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28025" w14:textId="77777777" w:rsidR="002E41AC" w:rsidRDefault="00C61E51">
      <w:pPr>
        <w:pStyle w:val="Title"/>
        <w:jc w:val="center"/>
      </w:pPr>
      <w:r>
        <w:t>Recovery After Myocarditis: A Contemporary Literature Review</w:t>
      </w:r>
    </w:p>
    <w:p w14:paraId="5635671A" w14:textId="77777777" w:rsidR="000A6B28" w:rsidRPr="00C61E51" w:rsidRDefault="000A6B28" w:rsidP="00C61E51">
      <w:pPr>
        <w:rPr>
          <w:b/>
          <w:bCs/>
          <w:lang w:val="fr-FR"/>
        </w:rPr>
      </w:pPr>
    </w:p>
    <w:p w14:paraId="7E6A0D1D" w14:textId="77777777" w:rsidR="00C61E51" w:rsidRPr="00C61E51" w:rsidRDefault="00C61E51" w:rsidP="00C61E51"/>
    <w:p w14:paraId="45861AF5" w14:textId="77777777" w:rsidR="002E41AC" w:rsidRDefault="00C61E51">
      <w:pPr>
        <w:pStyle w:val="Heading1"/>
      </w:pPr>
      <w:r>
        <w:t>Abstract</w:t>
      </w:r>
    </w:p>
    <w:p w14:paraId="44C4F881" w14:textId="77777777" w:rsidR="002E41AC" w:rsidRDefault="00C61E51">
      <w:r>
        <w:t>Myocarditis is one of the most varied syndromes seen in cardiovascular medicine, being diagnosed as a self-limited inflammatory injury with rapid resolution of symptoms, to fulminant cardiogenic shock, malignant arrhythmias and chronic inflammatory cardiomyopathy as well as significant progression to dilated cardiomyopathy. Because of this, the term "recovery" after myocarditis cannot be defined in terms of one endpoint. A patient may have a good clinical status at the time of evaluation, yet still have residual myocardial scarring on cardiac magnetic resonance (CMR); cardiac biomarkers may resolve prior to a return to exercise tolerance; the patient may have returned to normal left ventricular ejection fraction (LVEF), yet the risk of arrhythmias in specific phenotypes still exists. This review paper will examine recovery from myocarditis as a multiphasic process comprising of clinical improvement, normalization of ventricular function, electrical stability, structural healing, exercise tolerance, and long-term absence of heart failure or recurrent inflammatory events.</w:t>
      </w:r>
    </w:p>
    <w:p w14:paraId="537E3BFD" w14:textId="77777777" w:rsidR="002E41AC" w:rsidRDefault="00C61E51">
      <w:r>
        <w:t>The majority of patients with uncomplicated acute myocarditis will have a positive short-term clinical outcome according to published research and guidelines from multiple national and international cardiology and medical societies until 2026. However, many patients will have findings of residual abnormalities demonstrated through follow-up imaging studies. These include findings of late gadolinium enhancement (LGE) on CMR in most patients. Prognosis associated with myocarditis is not solely determined by diagnosis; other factors that influence prognosis include presentation phenotype, degree of left ventricular dysfunction, presence of malignant arrhythmias, known histologic subtype of myocarditis (when known), the burden of residual scarring, and the distribution of residual scarring in the ventricles. Fulminant myocarditis patients should receive special attention, as although there is a high rate of early mortality, surviving fulminant myocarditis patients often have impressive improvements in left ventricular function when there is rapid delivery of mechanical support and access to specialized care. Pediatric patients with myocarditis and patients with accusations of myocarditis following vaccination routinely have good medium-term clinical outcomes, but there is a very important concept that has been demonstrated to be true by these 2 groups of patients: that clinical improvement often precedes the resolution of the morbidly altered anatomic structure of the patients.</w:t>
      </w:r>
    </w:p>
    <w:p w14:paraId="2CD02B8F" w14:textId="77777777" w:rsidR="002E41AC" w:rsidRDefault="00C61E51">
      <w:r>
        <w:t>Currently, there has been a move towards the use of phenotype-specific surveillance instead of the generic post-myocarditis strategy. However, early reassessments, repeat echocardiography, selective repeated CMR, ambulatory rhythm monitoring, and a carefully staged return to exercise remain the key components for the management of patients following myocarditis. Patients who exhibit symptoms, decreased LVEF, significant degree of or septal LGE, ventricular arrhythmias, conduction disorders, autoimmune or biopsy-proven aggressive forms, and genetic predisposition should be followed closely. How residual inflammation and residual scar should be interpreted and how and when management should be altered based on the presence of LGE, and whether the use of imaging-guided recovery pathways can improve long-term outcomes, is the focus of future research investigations.</w:t>
      </w:r>
    </w:p>
    <w:p w14:paraId="4923CDD6" w14:textId="77777777" w:rsidR="002E41AC" w:rsidRDefault="00C61E51">
      <w:r>
        <w:rPr>
          <w:b/>
        </w:rPr>
        <w:lastRenderedPageBreak/>
        <w:t xml:space="preserve">Keywords: </w:t>
      </w:r>
      <w:r>
        <w:t>myocarditis; recovery; cardiac magnetic resonance; late gadolinium enhancement; follow-up; ventricular function; arrhythmia; return to play; fulminant myocarditis</w:t>
      </w:r>
    </w:p>
    <w:p w14:paraId="7D9C701E" w14:textId="77777777" w:rsidR="002E41AC" w:rsidRDefault="00C61E51">
      <w:pPr>
        <w:pStyle w:val="Heading1"/>
      </w:pPr>
      <w:r>
        <w:lastRenderedPageBreak/>
        <w:t>1. Introduction</w:t>
      </w:r>
    </w:p>
    <w:p w14:paraId="758625E2"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Myocarditis is known for its clinical variability in terms of presentation, course and recovery. For example, some patients have a short presentation of chest pain (after a viral illness) and then go to home with normal ventricular function while others arrive in cardiogenic shock, require inotropic or mechanical support, or develop long-term left ventricular dysfunction. Thus, patients you apply the same clinical diagnosis (i.e. myocarditis) may have very different underlying biological states and very different courses of recovery [1-12].</w:t>
      </w:r>
    </w:p>
    <w:p w14:paraId="36683A06" w14:textId="77777777" w:rsidR="002E41AC" w:rsidRDefault="002E41AC">
      <w:pPr>
        <w:pStyle w:val="Heading1"/>
        <w:rPr>
          <w:rFonts w:ascii="Cambria" w:eastAsia="MS Mincho" w:hAnsi="Cambria" w:cs="Arial"/>
          <w:b w:val="0"/>
          <w:bCs w:val="0"/>
          <w:color w:val="auto"/>
          <w:sz w:val="21"/>
          <w:szCs w:val="22"/>
        </w:rPr>
      </w:pPr>
    </w:p>
    <w:p w14:paraId="5786D9CF"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This variability is the reason that recovery from myocarditis deserves its own discussion. Clinically, most clinicians assess the resolution of myocarditis based upon one of three clinical signs (improvement of symptoms, decrease in troponin, increase to normal in LVEF) but all of these signs may not reflect the totality of the post-inflammatory course of myocarditis. For example, residual scarring may remain even if the clinical presentation of myocarditis was benign, despite the presence of palpitations or exercise limitation, or at the time of normal echocardiogram. Additionally, myocarditis may resolve dramatically in the setting of previously fulminant disease but some patients with initially mild disease may have persistent abnormalities on cardiovascular magnetic resonance imaging (CMR) or experience subsequent adverse cardiovascular events [1-4, 13-24].</w:t>
      </w:r>
    </w:p>
    <w:p w14:paraId="6B5ECE09" w14:textId="77777777" w:rsidR="002E41AC" w:rsidRDefault="002E41AC">
      <w:pPr>
        <w:pStyle w:val="Heading1"/>
        <w:rPr>
          <w:rFonts w:ascii="Cambria" w:eastAsia="MS Mincho" w:hAnsi="Cambria" w:cs="Arial"/>
          <w:b w:val="0"/>
          <w:bCs w:val="0"/>
          <w:color w:val="auto"/>
          <w:sz w:val="21"/>
          <w:szCs w:val="22"/>
        </w:rPr>
      </w:pPr>
    </w:p>
    <w:p w14:paraId="2F13286E"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field has progressed toward a more formalized manner, with recent recommendations noting that evidence-based guidelines in the ACC (2024) and ESC (2025) opened up the realm of post-acute care as part of the management of myocarditis rather than being an afterthought at the completion of the index hospital admission [1-2]. This change in philosophy will be important because the answer to the question of whether a patient has survived the acute episode of myocarditis is not as important as answering whether the inflammatory component has resolved, whether there is a stable scar within the heart, whether the ventricle has recovered, whether the patient has an acceptable risk of developing arrhythmias, and when the patient can resume "normal" activities (work, exercise, plans for pregnancy, or athletics) with confidence.</w:t>
      </w:r>
    </w:p>
    <w:p w14:paraId="0D02D2DD" w14:textId="77777777" w:rsidR="002E41AC" w:rsidRDefault="002E41AC">
      <w:pPr>
        <w:pStyle w:val="Heading1"/>
        <w:rPr>
          <w:rFonts w:ascii="Cambria" w:eastAsia="MS Mincho" w:hAnsi="Cambria" w:cs="Arial"/>
          <w:b w:val="0"/>
          <w:bCs w:val="0"/>
          <w:color w:val="auto"/>
          <w:sz w:val="21"/>
          <w:szCs w:val="22"/>
        </w:rPr>
      </w:pPr>
    </w:p>
    <w:p w14:paraId="40602607"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This article reviews the literature regarding the recovery from myocarditis in a practical, clinically grounded manner. The five main issues discussed in this paper are: determining the appropriate definition of recovery; the understanding of the natural history of clinical, functional, and structural improvements; identifying factors associated with incomplete recovery; determining an efficient organizational structure for follow-up care in routine clinical practice; finally, identifying the differences between recovery across major phenotypes of myocarditis (e.g., fulminant myocarditis; pediatric myocarditis; vaccine-associated myocarditis). The goal of this paper does not establish a unified pathway for recovery from myocarditis with predetermined stages but to highlight the necessity of utilizing a multidimensional and phenotype-specific approach to understanding recovery.</w:t>
      </w:r>
    </w:p>
    <w:p w14:paraId="439FA7CB" w14:textId="77777777" w:rsidR="002E41AC" w:rsidRDefault="00C61E51">
      <w:pPr>
        <w:pStyle w:val="Heading1"/>
      </w:pPr>
      <w:r>
        <w:t>2. What Does “Recovery” Mean After Myocarditis?</w:t>
      </w:r>
    </w:p>
    <w:p w14:paraId="5EF4FB00" w14:textId="77777777" w:rsidR="002E41AC" w:rsidRDefault="00C61E51">
      <w:r>
        <w:t xml:space="preserve">An alternative approach to look at recovery might be to define recovery by several different 'domains' instead of trying to define recovery as a single outcome that is either completed or not completed. Clinical </w:t>
      </w:r>
      <w:r>
        <w:lastRenderedPageBreak/>
        <w:t>recovery refers to the resolution of symptoms related to heart failure such as chest pain, dyspnea, fatigue, syncope, and heart failure symptoms themselves, as well as no further hospitalization for heart failure, and the ability to return to normal daily activities. Functional recovery refers to the ability of the ventricles to perform normally or have made significant improvements in their performance. This definition applies specifically to left ventricular ejection fraction (LVEF) and right ventricular function (if right ventricular function is impacted), as well as the ability to perform exercise. Electrical recovery refers to the ability of the ventricles to stop having significant ventricular ectopics, stop having conduction disease, and stop having sustained arrhythmias. Structural recovery refers to the resolution of ventricular edema and the stabilization or regression of scar at CMR. Biological recovery refers to the normalization of cardiac biomarker levels (specifically troponin, natriuretic peptides and inflammatory biomarkers), although they are not always considered perfect indicators of whether there has been healing at the tissue level [1-4,13-19].</w:t>
      </w:r>
    </w:p>
    <w:p w14:paraId="774E0A2F" w14:textId="77777777" w:rsidR="002E41AC" w:rsidRDefault="00C61E51">
      <w:r>
        <w:t>These domains do not achieve recovery at the same time. For example; troponin levels may normalise before all symptoms including fatigue and palpitations have resolved. LVEF may normalise before the CMR abnormalities that were identified at the time of diagnosis have resolved. Conversely; residual late gadolinium enhancement (LGE) may be present, despite complete resolution of symptoms and a normal echocardiogram. This separation of clinical recovery, functional recovery, electrical recovery, structural recovery, and biological recovery is one of the most important lessons of modern literature. This has ramifications on how follow-up assessments are scheduled; symptoms alone cannot be used for the follow-up care of younger individuals, who may feel well and return to physical activity too soon [1,5,14,18-19,25-29].</w:t>
      </w:r>
    </w:p>
    <w:p w14:paraId="07E9AF74" w14:textId="77777777" w:rsidR="002E41AC" w:rsidRDefault="00C61E51">
      <w:r>
        <w:t>Recovery from Myocarditis Depends on the Point Of Reference Used to Evaluate Recovery</w:t>
      </w:r>
    </w:p>
    <w:p w14:paraId="2AFCAAB7" w14:textId="77777777" w:rsidR="002E41AC" w:rsidRDefault="00C61E51">
      <w:r>
        <w:t>In the case of uncomplicated infarction-like presentations, the patient is typically clinically considered to be recovered prior to complete resolution of their symptoms, normalization of their biomarkers, the normalisation of their left ventricular ejection fraction (LVEF), and an uneventful follow-up [1]. On the other hand, when evaluating fulminant myocarditis, the benchmarks to evaluate recovery include survival and discharge from the hospital, successful weaning off temporary mechanical support, and progression towards ventricular recovery over several weeks to months [1,3,4]. Recovery from giant cell myocarditis or eosinophilic myocarditis includes ventricular recovery and ongoing disease control of the underlying inflammatory disorder via immunosuppressive therapy [1,3,4,30-34].</w:t>
      </w:r>
    </w:p>
    <w:p w14:paraId="3A2E0373" w14:textId="77777777" w:rsidR="002E41AC" w:rsidRDefault="00C61E51">
      <w:r>
        <w:t>Research has indicated that recovery from the myocarditis has a layered approach to recovery. The first layer is acute stabilization, the second layer is early clinical and hemodynamic improvement, the third layer is intermediate structural and electrical re-evaluation within three to six months, and the fourth layer is longer-term risk re-evaluation due to persistent scars, arrhythmias, and ventricular dysfunction, recurrence or progression to inflammatory or dilated cardiomyopathic conditions over time [1,2,18,20-24]. A patient may cross one layer and not by default cannot cross to the next layer. Therefore, the phrase “the patient has recovered from myocarditis” should be used carefully and, if possible, qualified by the domain of reference.</w:t>
      </w:r>
    </w:p>
    <w:p w14:paraId="12472BDF" w14:textId="77777777" w:rsidR="002E41AC" w:rsidRDefault="00C61E51">
      <w:r>
        <w:t>As a consequence, patient follow-up consultations must be clear about the expectations for future symptom relief to ensure patients have the correct understanding of their progress toward recovery. For example, many people believe that an early relief of their symptoms demonstrates that their heart has healed. Although this appears to be supported by current evidence, it has not actually been demonstrated in adults or children who have experienced residual imaging abnormality beyond the time frame when both symptom and lab tests have returned to normal [18-19,35-38]. This difference between when a patient feels well and when the tissue is actually healthy at the conclusion of treatment is clinically important and impacts counseling recommendations regarding exercise, pregnancy, medication discontinuation and the frequency at which patients should be followed up or observed.</w:t>
      </w:r>
    </w:p>
    <w:p w14:paraId="4F6ABC5D" w14:textId="77777777" w:rsidR="002E41AC" w:rsidRDefault="002E41AC"/>
    <w:p w14:paraId="4CC91805" w14:textId="77777777" w:rsidR="002E41AC" w:rsidRDefault="00C61E51">
      <w:pPr>
        <w:pStyle w:val="Heading2"/>
      </w:pPr>
      <w:r>
        <w:t>Table 1. Domains of recovery after myocarditis and their clinical meaning.</w:t>
      </w:r>
    </w:p>
    <w:tbl>
      <w:tblPr>
        <w:tblStyle w:val="TableGrid"/>
        <w:tblW w:w="0" w:type="auto"/>
        <w:jc w:val="center"/>
        <w:tblLook w:val="04A0" w:firstRow="1" w:lastRow="0" w:firstColumn="1" w:lastColumn="0" w:noHBand="0" w:noVBand="1"/>
      </w:tblPr>
      <w:tblGrid>
        <w:gridCol w:w="1810"/>
        <w:gridCol w:w="2742"/>
        <w:gridCol w:w="3080"/>
        <w:gridCol w:w="2340"/>
      </w:tblGrid>
      <w:tr w:rsidR="002E41AC" w14:paraId="7EEED722" w14:textId="77777777">
        <w:trPr>
          <w:tblHeader/>
          <w:jc w:val="center"/>
        </w:trPr>
        <w:tc>
          <w:tcPr>
            <w:tcW w:w="1944" w:type="dxa"/>
            <w:shd w:val="clear" w:color="auto" w:fill="DCEFEF"/>
            <w:tcMar>
              <w:top w:w="80" w:type="dxa"/>
              <w:left w:w="90" w:type="dxa"/>
              <w:bottom w:w="80" w:type="dxa"/>
              <w:right w:w="90" w:type="dxa"/>
            </w:tcMar>
            <w:vAlign w:val="center"/>
          </w:tcPr>
          <w:p w14:paraId="59AB68A8" w14:textId="77777777" w:rsidR="002E41AC" w:rsidRDefault="00C61E51">
            <w:pPr>
              <w:spacing w:after="0" w:line="259" w:lineRule="auto"/>
              <w:jc w:val="center"/>
            </w:pPr>
            <w:r>
              <w:rPr>
                <w:b/>
                <w:color w:val="184B52"/>
                <w:sz w:val="18"/>
              </w:rPr>
              <w:t>Domain</w:t>
            </w:r>
          </w:p>
        </w:tc>
        <w:tc>
          <w:tcPr>
            <w:tcW w:w="2952" w:type="dxa"/>
            <w:shd w:val="clear" w:color="auto" w:fill="DCEFEF"/>
            <w:tcMar>
              <w:top w:w="80" w:type="dxa"/>
              <w:left w:w="90" w:type="dxa"/>
              <w:bottom w:w="80" w:type="dxa"/>
              <w:right w:w="90" w:type="dxa"/>
            </w:tcMar>
            <w:vAlign w:val="center"/>
          </w:tcPr>
          <w:p w14:paraId="1FDAE401" w14:textId="77777777" w:rsidR="002E41AC" w:rsidRDefault="00C61E51">
            <w:pPr>
              <w:spacing w:after="0" w:line="259" w:lineRule="auto"/>
              <w:jc w:val="center"/>
            </w:pPr>
            <w:r>
              <w:rPr>
                <w:b/>
                <w:color w:val="184B52"/>
                <w:sz w:val="18"/>
              </w:rPr>
              <w:t>What to assess</w:t>
            </w:r>
          </w:p>
        </w:tc>
        <w:tc>
          <w:tcPr>
            <w:tcW w:w="3384" w:type="dxa"/>
            <w:shd w:val="clear" w:color="auto" w:fill="DCEFEF"/>
            <w:tcMar>
              <w:top w:w="80" w:type="dxa"/>
              <w:left w:w="90" w:type="dxa"/>
              <w:bottom w:w="80" w:type="dxa"/>
              <w:right w:w="90" w:type="dxa"/>
            </w:tcMar>
            <w:vAlign w:val="center"/>
          </w:tcPr>
          <w:p w14:paraId="2B69AE37" w14:textId="77777777" w:rsidR="002E41AC" w:rsidRDefault="00C61E51">
            <w:pPr>
              <w:spacing w:after="0" w:line="259" w:lineRule="auto"/>
              <w:jc w:val="center"/>
            </w:pPr>
            <w:r>
              <w:rPr>
                <w:b/>
                <w:color w:val="184B52"/>
                <w:sz w:val="18"/>
              </w:rPr>
              <w:t>Why it can be misleading if used alone</w:t>
            </w:r>
          </w:p>
        </w:tc>
        <w:tc>
          <w:tcPr>
            <w:tcW w:w="2520" w:type="dxa"/>
            <w:shd w:val="clear" w:color="auto" w:fill="DCEFEF"/>
            <w:tcMar>
              <w:top w:w="80" w:type="dxa"/>
              <w:left w:w="90" w:type="dxa"/>
              <w:bottom w:w="80" w:type="dxa"/>
              <w:right w:w="90" w:type="dxa"/>
            </w:tcMar>
            <w:vAlign w:val="center"/>
          </w:tcPr>
          <w:p w14:paraId="104D4222" w14:textId="77777777" w:rsidR="002E41AC" w:rsidRDefault="00C61E51">
            <w:pPr>
              <w:spacing w:after="0" w:line="259" w:lineRule="auto"/>
              <w:jc w:val="center"/>
            </w:pPr>
            <w:r>
              <w:rPr>
                <w:b/>
                <w:color w:val="184B52"/>
                <w:sz w:val="18"/>
              </w:rPr>
              <w:t>Clinical meaning</w:t>
            </w:r>
          </w:p>
        </w:tc>
      </w:tr>
      <w:tr w:rsidR="002E41AC" w14:paraId="5B5B79DC" w14:textId="77777777">
        <w:trPr>
          <w:jc w:val="center"/>
        </w:trPr>
        <w:tc>
          <w:tcPr>
            <w:tcW w:w="1944" w:type="dxa"/>
            <w:tcMar>
              <w:top w:w="80" w:type="dxa"/>
              <w:left w:w="90" w:type="dxa"/>
              <w:bottom w:w="80" w:type="dxa"/>
              <w:right w:w="90" w:type="dxa"/>
            </w:tcMar>
            <w:vAlign w:val="center"/>
          </w:tcPr>
          <w:p w14:paraId="2BC029D1" w14:textId="77777777" w:rsidR="002E41AC" w:rsidRDefault="00C61E51">
            <w:pPr>
              <w:spacing w:after="0" w:line="259" w:lineRule="auto"/>
            </w:pPr>
            <w:r>
              <w:rPr>
                <w:sz w:val="18"/>
              </w:rPr>
              <w:t>Clinical recovery</w:t>
            </w:r>
          </w:p>
        </w:tc>
        <w:tc>
          <w:tcPr>
            <w:tcW w:w="2952" w:type="dxa"/>
            <w:tcMar>
              <w:top w:w="80" w:type="dxa"/>
              <w:left w:w="90" w:type="dxa"/>
              <w:bottom w:w="80" w:type="dxa"/>
              <w:right w:w="90" w:type="dxa"/>
            </w:tcMar>
            <w:vAlign w:val="center"/>
          </w:tcPr>
          <w:p w14:paraId="0610F126" w14:textId="77777777" w:rsidR="002E41AC" w:rsidRDefault="00C61E51">
            <w:pPr>
              <w:spacing w:after="0" w:line="259" w:lineRule="auto"/>
            </w:pPr>
            <w:r>
              <w:rPr>
                <w:sz w:val="18"/>
              </w:rPr>
              <w:t>Resolution of chest pain, dyspnea, fatigue, syncope, and need for rehospitalization</w:t>
            </w:r>
          </w:p>
        </w:tc>
        <w:tc>
          <w:tcPr>
            <w:tcW w:w="3384" w:type="dxa"/>
            <w:tcMar>
              <w:top w:w="80" w:type="dxa"/>
              <w:left w:w="90" w:type="dxa"/>
              <w:bottom w:w="80" w:type="dxa"/>
              <w:right w:w="90" w:type="dxa"/>
            </w:tcMar>
            <w:vAlign w:val="center"/>
          </w:tcPr>
          <w:p w14:paraId="52FFF773" w14:textId="77777777" w:rsidR="002E41AC" w:rsidRDefault="00C61E51">
            <w:pPr>
              <w:spacing w:after="0" w:line="259" w:lineRule="auto"/>
              <w:jc w:val="center"/>
            </w:pPr>
            <w:r>
              <w:rPr>
                <w:sz w:val="18"/>
              </w:rPr>
              <w:t>Symptoms can improve before scar or rhythm instability resolve</w:t>
            </w:r>
          </w:p>
        </w:tc>
        <w:tc>
          <w:tcPr>
            <w:tcW w:w="2520" w:type="dxa"/>
            <w:tcMar>
              <w:top w:w="80" w:type="dxa"/>
              <w:left w:w="90" w:type="dxa"/>
              <w:bottom w:w="80" w:type="dxa"/>
              <w:right w:w="90" w:type="dxa"/>
            </w:tcMar>
            <w:vAlign w:val="center"/>
          </w:tcPr>
          <w:p w14:paraId="40C4DCE8" w14:textId="77777777" w:rsidR="002E41AC" w:rsidRDefault="00C61E51">
            <w:pPr>
              <w:spacing w:after="0" w:line="259" w:lineRule="auto"/>
              <w:jc w:val="center"/>
            </w:pPr>
            <w:r>
              <w:rPr>
                <w:sz w:val="18"/>
              </w:rPr>
              <w:t>Useful early marker of improvement, but not proof of complete healing</w:t>
            </w:r>
          </w:p>
        </w:tc>
      </w:tr>
      <w:tr w:rsidR="002E41AC" w14:paraId="0BECE102" w14:textId="77777777">
        <w:trPr>
          <w:jc w:val="center"/>
        </w:trPr>
        <w:tc>
          <w:tcPr>
            <w:tcW w:w="1944" w:type="dxa"/>
            <w:tcMar>
              <w:top w:w="80" w:type="dxa"/>
              <w:left w:w="90" w:type="dxa"/>
              <w:bottom w:w="80" w:type="dxa"/>
              <w:right w:w="90" w:type="dxa"/>
            </w:tcMar>
            <w:vAlign w:val="center"/>
          </w:tcPr>
          <w:p w14:paraId="5F5ED4FF" w14:textId="77777777" w:rsidR="002E41AC" w:rsidRDefault="00C61E51">
            <w:pPr>
              <w:spacing w:after="0" w:line="259" w:lineRule="auto"/>
            </w:pPr>
            <w:r>
              <w:rPr>
                <w:sz w:val="18"/>
              </w:rPr>
              <w:t>Functional recovery</w:t>
            </w:r>
          </w:p>
        </w:tc>
        <w:tc>
          <w:tcPr>
            <w:tcW w:w="2952" w:type="dxa"/>
            <w:tcMar>
              <w:top w:w="80" w:type="dxa"/>
              <w:left w:w="90" w:type="dxa"/>
              <w:bottom w:w="80" w:type="dxa"/>
              <w:right w:w="90" w:type="dxa"/>
            </w:tcMar>
            <w:vAlign w:val="center"/>
          </w:tcPr>
          <w:p w14:paraId="541E1FF0" w14:textId="77777777" w:rsidR="002E41AC" w:rsidRDefault="00C61E51">
            <w:pPr>
              <w:spacing w:after="0" w:line="259" w:lineRule="auto"/>
            </w:pPr>
            <w:r>
              <w:rPr>
                <w:sz w:val="18"/>
              </w:rPr>
              <w:t>LVEF, RV function, reverse remodeling, exercise tolerance</w:t>
            </w:r>
          </w:p>
        </w:tc>
        <w:tc>
          <w:tcPr>
            <w:tcW w:w="3384" w:type="dxa"/>
            <w:tcMar>
              <w:top w:w="80" w:type="dxa"/>
              <w:left w:w="90" w:type="dxa"/>
              <w:bottom w:w="80" w:type="dxa"/>
              <w:right w:w="90" w:type="dxa"/>
            </w:tcMar>
            <w:vAlign w:val="center"/>
          </w:tcPr>
          <w:p w14:paraId="22BC2A35" w14:textId="77777777" w:rsidR="002E41AC" w:rsidRDefault="00C61E51">
            <w:pPr>
              <w:spacing w:after="0" w:line="259" w:lineRule="auto"/>
              <w:jc w:val="center"/>
            </w:pPr>
            <w:r>
              <w:rPr>
                <w:sz w:val="18"/>
              </w:rPr>
              <w:t>Normal LVEF does not exclude residual scar or arrhythmic substrate</w:t>
            </w:r>
          </w:p>
        </w:tc>
        <w:tc>
          <w:tcPr>
            <w:tcW w:w="2520" w:type="dxa"/>
            <w:tcMar>
              <w:top w:w="80" w:type="dxa"/>
              <w:left w:w="90" w:type="dxa"/>
              <w:bottom w:w="80" w:type="dxa"/>
              <w:right w:w="90" w:type="dxa"/>
            </w:tcMar>
            <w:vAlign w:val="center"/>
          </w:tcPr>
          <w:p w14:paraId="27ABFBF0" w14:textId="77777777" w:rsidR="002E41AC" w:rsidRDefault="00C61E51">
            <w:pPr>
              <w:spacing w:after="0" w:line="259" w:lineRule="auto"/>
              <w:jc w:val="center"/>
            </w:pPr>
            <w:r>
              <w:rPr>
                <w:sz w:val="18"/>
              </w:rPr>
              <w:t>Guides heart-failure therapy decisions and activity counseling</w:t>
            </w:r>
          </w:p>
        </w:tc>
      </w:tr>
      <w:tr w:rsidR="002E41AC" w14:paraId="2A31ABF6" w14:textId="77777777">
        <w:trPr>
          <w:jc w:val="center"/>
        </w:trPr>
        <w:tc>
          <w:tcPr>
            <w:tcW w:w="1944" w:type="dxa"/>
            <w:tcMar>
              <w:top w:w="80" w:type="dxa"/>
              <w:left w:w="90" w:type="dxa"/>
              <w:bottom w:w="80" w:type="dxa"/>
              <w:right w:w="90" w:type="dxa"/>
            </w:tcMar>
            <w:vAlign w:val="center"/>
          </w:tcPr>
          <w:p w14:paraId="1980D3C2" w14:textId="77777777" w:rsidR="002E41AC" w:rsidRDefault="00C61E51">
            <w:pPr>
              <w:spacing w:after="0" w:line="259" w:lineRule="auto"/>
            </w:pPr>
            <w:r>
              <w:rPr>
                <w:sz w:val="18"/>
              </w:rPr>
              <w:t>Electrical recovery</w:t>
            </w:r>
          </w:p>
        </w:tc>
        <w:tc>
          <w:tcPr>
            <w:tcW w:w="2952" w:type="dxa"/>
            <w:tcMar>
              <w:top w:w="80" w:type="dxa"/>
              <w:left w:w="90" w:type="dxa"/>
              <w:bottom w:w="80" w:type="dxa"/>
              <w:right w:w="90" w:type="dxa"/>
            </w:tcMar>
            <w:vAlign w:val="center"/>
          </w:tcPr>
          <w:p w14:paraId="7E487EA2" w14:textId="77777777" w:rsidR="002E41AC" w:rsidRDefault="00C61E51">
            <w:pPr>
              <w:spacing w:after="0" w:line="259" w:lineRule="auto"/>
            </w:pPr>
            <w:r>
              <w:rPr>
                <w:sz w:val="18"/>
              </w:rPr>
              <w:t>ECG normalization, low ectopy burden, absence of sustained arrhythmia or conduction disease</w:t>
            </w:r>
          </w:p>
        </w:tc>
        <w:tc>
          <w:tcPr>
            <w:tcW w:w="3384" w:type="dxa"/>
            <w:tcMar>
              <w:top w:w="80" w:type="dxa"/>
              <w:left w:w="90" w:type="dxa"/>
              <w:bottom w:w="80" w:type="dxa"/>
              <w:right w:w="90" w:type="dxa"/>
            </w:tcMar>
            <w:vAlign w:val="center"/>
          </w:tcPr>
          <w:p w14:paraId="3E2EFFCB" w14:textId="77777777" w:rsidR="002E41AC" w:rsidRDefault="00C61E51">
            <w:pPr>
              <w:spacing w:after="0" w:line="259" w:lineRule="auto"/>
              <w:jc w:val="center"/>
            </w:pPr>
            <w:r>
              <w:rPr>
                <w:sz w:val="18"/>
              </w:rPr>
              <w:t>Resting ECG may miss exertional or intermittent rhythm abnormalities</w:t>
            </w:r>
          </w:p>
        </w:tc>
        <w:tc>
          <w:tcPr>
            <w:tcW w:w="2520" w:type="dxa"/>
            <w:tcMar>
              <w:top w:w="80" w:type="dxa"/>
              <w:left w:w="90" w:type="dxa"/>
              <w:bottom w:w="80" w:type="dxa"/>
              <w:right w:w="90" w:type="dxa"/>
            </w:tcMar>
            <w:vAlign w:val="center"/>
          </w:tcPr>
          <w:p w14:paraId="2C17DACD" w14:textId="77777777" w:rsidR="002E41AC" w:rsidRDefault="00C61E51">
            <w:pPr>
              <w:spacing w:after="0" w:line="259" w:lineRule="auto"/>
              <w:jc w:val="center"/>
            </w:pPr>
            <w:r>
              <w:rPr>
                <w:sz w:val="18"/>
              </w:rPr>
              <w:t>Central to return-to-sport and safety decisions</w:t>
            </w:r>
          </w:p>
        </w:tc>
      </w:tr>
      <w:tr w:rsidR="002E41AC" w14:paraId="4E268279" w14:textId="77777777">
        <w:trPr>
          <w:jc w:val="center"/>
        </w:trPr>
        <w:tc>
          <w:tcPr>
            <w:tcW w:w="1944" w:type="dxa"/>
            <w:tcMar>
              <w:top w:w="80" w:type="dxa"/>
              <w:left w:w="90" w:type="dxa"/>
              <w:bottom w:w="80" w:type="dxa"/>
              <w:right w:w="90" w:type="dxa"/>
            </w:tcMar>
            <w:vAlign w:val="center"/>
          </w:tcPr>
          <w:p w14:paraId="4E9ECCC4" w14:textId="77777777" w:rsidR="002E41AC" w:rsidRDefault="00C61E51">
            <w:pPr>
              <w:spacing w:after="0" w:line="259" w:lineRule="auto"/>
            </w:pPr>
            <w:r>
              <w:rPr>
                <w:sz w:val="18"/>
              </w:rPr>
              <w:t>Structural recovery</w:t>
            </w:r>
          </w:p>
        </w:tc>
        <w:tc>
          <w:tcPr>
            <w:tcW w:w="2952" w:type="dxa"/>
            <w:tcMar>
              <w:top w:w="80" w:type="dxa"/>
              <w:left w:w="90" w:type="dxa"/>
              <w:bottom w:w="80" w:type="dxa"/>
              <w:right w:w="90" w:type="dxa"/>
            </w:tcMar>
            <w:vAlign w:val="center"/>
          </w:tcPr>
          <w:p w14:paraId="3D225139" w14:textId="77777777" w:rsidR="002E41AC" w:rsidRDefault="00C61E51">
            <w:pPr>
              <w:spacing w:after="0" w:line="259" w:lineRule="auto"/>
            </w:pPr>
            <w:r>
              <w:rPr>
                <w:sz w:val="18"/>
              </w:rPr>
              <w:t>Resolution of edema and stabilization or regression of scar on CMR</w:t>
            </w:r>
          </w:p>
        </w:tc>
        <w:tc>
          <w:tcPr>
            <w:tcW w:w="3384" w:type="dxa"/>
            <w:tcMar>
              <w:top w:w="80" w:type="dxa"/>
              <w:left w:w="90" w:type="dxa"/>
              <w:bottom w:w="80" w:type="dxa"/>
              <w:right w:w="90" w:type="dxa"/>
            </w:tcMar>
            <w:vAlign w:val="center"/>
          </w:tcPr>
          <w:p w14:paraId="6892BF43" w14:textId="77777777" w:rsidR="002E41AC" w:rsidRDefault="00C61E51">
            <w:pPr>
              <w:spacing w:after="0" w:line="259" w:lineRule="auto"/>
              <w:jc w:val="center"/>
            </w:pPr>
            <w:r>
              <w:rPr>
                <w:sz w:val="18"/>
              </w:rPr>
              <w:t>Residual LGE may persist after symptoms and function improve</w:t>
            </w:r>
          </w:p>
        </w:tc>
        <w:tc>
          <w:tcPr>
            <w:tcW w:w="2520" w:type="dxa"/>
            <w:tcMar>
              <w:top w:w="80" w:type="dxa"/>
              <w:left w:w="90" w:type="dxa"/>
              <w:bottom w:w="80" w:type="dxa"/>
              <w:right w:w="90" w:type="dxa"/>
            </w:tcMar>
            <w:vAlign w:val="center"/>
          </w:tcPr>
          <w:p w14:paraId="60C05916" w14:textId="77777777" w:rsidR="002E41AC" w:rsidRDefault="00C61E51">
            <w:pPr>
              <w:spacing w:after="0" w:line="259" w:lineRule="auto"/>
              <w:jc w:val="center"/>
            </w:pPr>
            <w:r>
              <w:rPr>
                <w:sz w:val="18"/>
              </w:rPr>
              <w:t>Important for long-term risk refinement</w:t>
            </w:r>
          </w:p>
        </w:tc>
      </w:tr>
      <w:tr w:rsidR="002E41AC" w14:paraId="63B4C0BA" w14:textId="77777777">
        <w:trPr>
          <w:jc w:val="center"/>
        </w:trPr>
        <w:tc>
          <w:tcPr>
            <w:tcW w:w="1944" w:type="dxa"/>
            <w:tcMar>
              <w:top w:w="80" w:type="dxa"/>
              <w:left w:w="90" w:type="dxa"/>
              <w:bottom w:w="80" w:type="dxa"/>
              <w:right w:w="90" w:type="dxa"/>
            </w:tcMar>
            <w:vAlign w:val="center"/>
          </w:tcPr>
          <w:p w14:paraId="366841DC" w14:textId="77777777" w:rsidR="002E41AC" w:rsidRDefault="00C61E51">
            <w:pPr>
              <w:spacing w:after="0" w:line="259" w:lineRule="auto"/>
            </w:pPr>
            <w:r>
              <w:rPr>
                <w:sz w:val="18"/>
              </w:rPr>
              <w:t>Biological recovery</w:t>
            </w:r>
          </w:p>
        </w:tc>
        <w:tc>
          <w:tcPr>
            <w:tcW w:w="2952" w:type="dxa"/>
            <w:tcMar>
              <w:top w:w="80" w:type="dxa"/>
              <w:left w:w="90" w:type="dxa"/>
              <w:bottom w:w="80" w:type="dxa"/>
              <w:right w:w="90" w:type="dxa"/>
            </w:tcMar>
            <w:vAlign w:val="center"/>
          </w:tcPr>
          <w:p w14:paraId="58B36FF5" w14:textId="77777777" w:rsidR="002E41AC" w:rsidRDefault="00C61E51">
            <w:pPr>
              <w:spacing w:after="0" w:line="259" w:lineRule="auto"/>
            </w:pPr>
            <w:r>
              <w:rPr>
                <w:sz w:val="18"/>
              </w:rPr>
              <w:t>Normalization of troponin, natriuretic peptides, inflammatory markers</w:t>
            </w:r>
          </w:p>
        </w:tc>
        <w:tc>
          <w:tcPr>
            <w:tcW w:w="3384" w:type="dxa"/>
            <w:tcMar>
              <w:top w:w="80" w:type="dxa"/>
              <w:left w:w="90" w:type="dxa"/>
              <w:bottom w:w="80" w:type="dxa"/>
              <w:right w:w="90" w:type="dxa"/>
            </w:tcMar>
            <w:vAlign w:val="center"/>
          </w:tcPr>
          <w:p w14:paraId="76DAFE70" w14:textId="77777777" w:rsidR="002E41AC" w:rsidRDefault="00C61E51">
            <w:pPr>
              <w:spacing w:after="0" w:line="259" w:lineRule="auto"/>
              <w:jc w:val="center"/>
            </w:pPr>
            <w:r>
              <w:rPr>
                <w:sz w:val="18"/>
              </w:rPr>
              <w:t>Laboratory normalization may precede true tissue-level recovery</w:t>
            </w:r>
          </w:p>
        </w:tc>
        <w:tc>
          <w:tcPr>
            <w:tcW w:w="2520" w:type="dxa"/>
            <w:tcMar>
              <w:top w:w="80" w:type="dxa"/>
              <w:left w:w="90" w:type="dxa"/>
              <w:bottom w:w="80" w:type="dxa"/>
              <w:right w:w="90" w:type="dxa"/>
            </w:tcMar>
            <w:vAlign w:val="center"/>
          </w:tcPr>
          <w:p w14:paraId="4A60193B" w14:textId="77777777" w:rsidR="002E41AC" w:rsidRDefault="00C61E51">
            <w:pPr>
              <w:spacing w:after="0" w:line="259" w:lineRule="auto"/>
              <w:jc w:val="center"/>
            </w:pPr>
            <w:r>
              <w:rPr>
                <w:sz w:val="18"/>
              </w:rPr>
              <w:t>Supportive, but not definitive, evidence of healing</w:t>
            </w:r>
          </w:p>
        </w:tc>
      </w:tr>
    </w:tbl>
    <w:p w14:paraId="285286AC" w14:textId="77777777" w:rsidR="002E41AC" w:rsidRDefault="002E41AC"/>
    <w:p w14:paraId="01054BEE" w14:textId="77777777" w:rsidR="002E41AC" w:rsidRDefault="00C61E51">
      <w:pPr>
        <w:jc w:val="center"/>
      </w:pPr>
      <w:r>
        <w:rPr>
          <w:noProof/>
          <w:lang w:val="fr-FR" w:eastAsia="fr-FR"/>
        </w:rPr>
        <w:lastRenderedPageBreak/>
        <w:drawing>
          <wp:inline distT="0" distB="0" distL="0" distR="0" wp14:anchorId="337BBCA8" wp14:editId="2D015558">
            <wp:extent cx="6309360" cy="4617781"/>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6309360" cy="4617781"/>
                    </a:xfrm>
                    <a:prstGeom prst="rect">
                      <a:avLst/>
                    </a:prstGeom>
                  </pic:spPr>
                </pic:pic>
              </a:graphicData>
            </a:graphic>
          </wp:inline>
        </w:drawing>
      </w:r>
    </w:p>
    <w:p w14:paraId="433E9BF6" w14:textId="77777777" w:rsidR="002E41AC" w:rsidRDefault="00C61E51">
      <w:r>
        <w:rPr>
          <w:i/>
          <w:sz w:val="20"/>
        </w:rPr>
        <w:t>Figure 1. Recovery after myocarditis is multidimensional rather than binary. Clinical improvement, ventricular recovery, electrical stability, biomarker normalization, and structural healing often occur at different speeds.</w:t>
      </w:r>
    </w:p>
    <w:p w14:paraId="53F2168A" w14:textId="77777777" w:rsidR="002E41AC" w:rsidRDefault="00C61E51">
      <w:pPr>
        <w:pStyle w:val="Heading1"/>
      </w:pPr>
      <w:r>
        <w:lastRenderedPageBreak/>
        <w:t>3. Natural History and Typical Clinical Trajectories</w:t>
      </w:r>
    </w:p>
    <w:p w14:paraId="0957A033"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Most patients with myocarditis have a good overall diagnosis (but not all), with the best guidance available, the American College of Cardiology (ACC) Clinical Practice Guidelines from 2013, indicating that half of patients with biopsy-proven myocarditis will have complete resolution within weeks, whereas a small number will progress to chronic inflammation and/or severe dysfunction resulting in advanced heart failure, heart transplantation, or death [1]. Older reviews and cohort studies convey the same information, however, less algorithmically:  Most patients with uncomplicated acute myocarditis have complete symptom resolution, however, some patients due to their inflammatory nature or other pre-existing conditions may develop chronic inflammatory cardiomyopathy and several will develop evidence of progressive dilated remodeling [5-6,9-12,21].</w:t>
      </w:r>
    </w:p>
    <w:p w14:paraId="01A985DE" w14:textId="77777777" w:rsidR="002E41AC" w:rsidRDefault="002E41AC">
      <w:pPr>
        <w:pStyle w:val="Heading1"/>
        <w:rPr>
          <w:rFonts w:ascii="Cambria" w:eastAsia="MS Mincho" w:hAnsi="Cambria" w:cs="Arial"/>
          <w:b w:val="0"/>
          <w:bCs w:val="0"/>
          <w:color w:val="auto"/>
          <w:sz w:val="21"/>
          <w:szCs w:val="22"/>
        </w:rPr>
      </w:pPr>
    </w:p>
    <w:p w14:paraId="5F81581C"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early phase of recovery is characterized by the initial clinical presentation. Patients with chest pain and normal or only slightly decreased systolic function will show rapid symptom resolution and shorter length of stay compared to patients presenting with established heart failure with significant conduction disturbance, established sustained ventricular arrhythmia, or hemodynamic instability will take longer to show clinical improvement and will require at least twice the amount of time for post-discharge assessment, although ultimately resulting in similar clinical outcomes [5-6,20,39]. The Lombardy Multicenter Study, a large multicenter longitudinal follow-up study, was very helpful to further delineate and aid in understanding the spectrum of presentations and clearly indicated that the clinical presentation will greatly influence both the short- and long-term outcomes. [20]</w:t>
      </w:r>
    </w:p>
    <w:p w14:paraId="001E0870" w14:textId="77777777" w:rsidR="002E41AC" w:rsidRDefault="002E41AC">
      <w:pPr>
        <w:pStyle w:val="Heading1"/>
        <w:rPr>
          <w:rFonts w:ascii="Cambria" w:eastAsia="MS Mincho" w:hAnsi="Cambria" w:cs="Arial"/>
          <w:b w:val="0"/>
          <w:bCs w:val="0"/>
          <w:color w:val="auto"/>
          <w:sz w:val="21"/>
          <w:szCs w:val="22"/>
        </w:rPr>
      </w:pPr>
    </w:p>
    <w:p w14:paraId="1B365C99"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At a population level, this means that myocarditis should not be described as either benign or malignant in general terms. A better description is that the disease is risk-stratified by presentation, tissue injury pattern, and evolution over time. This point is reinforced by more recent studies of “intermediate-risk” or uncomplicated presentations. Even patients who do not meet criteria for fulminant myocarditis may carry a measurable long-term burden of cardiovascular events, particularly when the initial evaluation or subsequent follow-up is incomplete [22-24,39]. The nationwide cohort reported by Schelldorfer and colleagues is especially sobering in this regard, because it suggests that apparently uncomplicated myocarditis is not synonymous with negligible long-term risk [24].</w:t>
      </w:r>
    </w:p>
    <w:p w14:paraId="0F8B1DFF" w14:textId="77777777" w:rsidR="002E41AC" w:rsidRDefault="002E41AC">
      <w:pPr>
        <w:pStyle w:val="Heading1"/>
        <w:rPr>
          <w:rFonts w:ascii="Cambria" w:eastAsia="MS Mincho" w:hAnsi="Cambria" w:cs="Arial"/>
          <w:b w:val="0"/>
          <w:bCs w:val="0"/>
          <w:color w:val="auto"/>
          <w:sz w:val="21"/>
          <w:szCs w:val="22"/>
        </w:rPr>
      </w:pPr>
    </w:p>
    <w:p w14:paraId="670A7B47"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A second aspect of natural history is the disparity between short-term and long-term recovery. Patients might achieve stabilization within a few days or weeks after developing a condition, but medium-term progress is contingent upon slower processes such as scar maturation, reverse modeling, cessation and/or continued use of heart failure medications, development of arrhythmias, and/or whether or not repeat CMR is warranted. Thus, at the time of discharge, many cohorts may seem reassuring; however, if the observation period is extended to one or more years, the same population may be much less reassuring than previously noted when initially evaluated after 1-2 months [16-24]. Young adults, athletes, and some individuals with myocarditis after receiving vaccines may have mild symptoms initially but, upon repeat imaging, will many times have persistent late gadolinium enhancement or strain abnormality on follow-up imaging [38,40-45].</w:t>
      </w:r>
    </w:p>
    <w:p w14:paraId="1828431D" w14:textId="77777777" w:rsidR="002E41AC" w:rsidRDefault="002E41AC">
      <w:pPr>
        <w:pStyle w:val="Heading1"/>
        <w:rPr>
          <w:rFonts w:ascii="Cambria" w:eastAsia="MS Mincho" w:hAnsi="Cambria" w:cs="Arial"/>
          <w:b w:val="0"/>
          <w:bCs w:val="0"/>
          <w:color w:val="auto"/>
          <w:sz w:val="21"/>
          <w:szCs w:val="22"/>
        </w:rPr>
      </w:pPr>
    </w:p>
    <w:p w14:paraId="5BA36DB9"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lastRenderedPageBreak/>
        <w:t>Finally, the natural history of myocarditis is partly determined by what remains unknown at the time of diagnosis. In many cases, the precise trigger is never confirmed, and an endomyocardial biopsy is not performed. As a result, clinicians frequently manage recovery under conditions of uncertainty. A patient may be recovering from viral lymphocytic myocarditis, from a transient immune-mediated insult, from a genetically modulated inflammatory episode unmasking arrhythmogenic cardiomyopathy, or from the earliest stage of a chronic inflammatory cardiomyopathy. The need for follow-up, therefore, does not reflect only the risk of known disease as well as the risk of hidden disease that becomes visible only over time [1-4,7-8,19,22].</w:t>
      </w:r>
    </w:p>
    <w:p w14:paraId="27B54945" w14:textId="77777777" w:rsidR="002E41AC" w:rsidRDefault="002E41AC">
      <w:pPr>
        <w:pStyle w:val="Heading1"/>
        <w:rPr>
          <w:rFonts w:ascii="Cambria" w:eastAsia="MS Mincho" w:hAnsi="Cambria" w:cs="Arial"/>
          <w:b w:val="0"/>
          <w:bCs w:val="0"/>
          <w:color w:val="auto"/>
          <w:sz w:val="21"/>
          <w:szCs w:val="22"/>
        </w:rPr>
      </w:pPr>
    </w:p>
    <w:p w14:paraId="70C8A797" w14:textId="77777777" w:rsidR="002E41AC" w:rsidRDefault="00C61E51">
      <w:pPr>
        <w:pStyle w:val="Heading1"/>
      </w:pPr>
      <w:r>
        <w:t>4. Determinants of Incomplete Recovery</w:t>
      </w:r>
    </w:p>
    <w:p w14:paraId="5CD24FA7" w14:textId="77777777" w:rsidR="002E41AC" w:rsidRDefault="00C61E51">
      <w:pPr>
        <w:pStyle w:val="Heading2"/>
      </w:pPr>
      <w:r>
        <w:t>4.1 Initial Clinical Severity</w:t>
      </w:r>
    </w:p>
    <w:p w14:paraId="0B46A6FE"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Among the most reliable prognostic indicators for an incomplete recovery is the initial severity of this condition. Patients can be identified as less likely to experience an uncomplicated trajectory if they have documented hemodynamic impairment, cardiogenic shock, persistent ventricular myocradial arrhythmia, advanced atrioventricular block, or a markedly depressed left ventricular ejection fraction [1-4,20,39]. While this statement may seem logical, it bears repeating because prognostic estimates made by clinicians using the term "acute myocarditis" are not reliable compared to these clinical indicators for these patients.</w:t>
      </w:r>
    </w:p>
    <w:p w14:paraId="30811246" w14:textId="77777777" w:rsidR="002E41AC" w:rsidRDefault="002E41AC">
      <w:pPr>
        <w:pStyle w:val="Heading2"/>
        <w:rPr>
          <w:rFonts w:ascii="Cambria" w:eastAsia="MS Mincho" w:hAnsi="Cambria" w:cs="Arial"/>
          <w:b w:val="0"/>
          <w:bCs w:val="0"/>
          <w:color w:val="auto"/>
          <w:sz w:val="21"/>
          <w:szCs w:val="22"/>
        </w:rPr>
      </w:pPr>
    </w:p>
    <w:p w14:paraId="62A6E384"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concept of a "complicated presentation" is now increasingly common in modern literature. Complicated presentations typically indicate that the patient has heart failure requiring intravenous treatment, a low left ventricular ejection fraction, sustained malignant arrhythmia, or a need for circulatory assistance. In many recent studies within multi-site multicenter cohorts, this concept is more predictive of adverse outcomes than non-specific diagnostic categories [20,22,39]. Patients with complicated presentations deserve heightened monitoring, even when there has been good improvement early in their clinical course.</w:t>
      </w:r>
    </w:p>
    <w:p w14:paraId="377321DC" w14:textId="77777777" w:rsidR="002E41AC" w:rsidRDefault="00C61E51">
      <w:pPr>
        <w:pStyle w:val="Heading2"/>
      </w:pPr>
      <w:r>
        <w:t>4.2 Ventricular Function and Reverse Remodeling</w:t>
      </w:r>
    </w:p>
    <w:p w14:paraId="56E6C5C5"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Ventricular function is more than a descriptive variable; it is an indicator of biological stress. Low LVEF at diagnosis indicates that a patient is likely to have incomplete reverse remodeling, persist with treatment for heart failure, and experience poor clinical outcomes [1-4,20-22]. On the other hand, it has been shown in some studies that significant increases in LVEF are possible after injury associated with inflammatory processes rather than scar tissue. This is one reason myocarditis is distinct from most other chronic cardiomyopathies; patients with severely dysfunctional hearts in the acute phase may do remarkably well in the long term.</w:t>
      </w:r>
    </w:p>
    <w:p w14:paraId="6E3DF007" w14:textId="77777777" w:rsidR="002E41AC" w:rsidRDefault="002E41AC">
      <w:pPr>
        <w:pStyle w:val="Heading2"/>
        <w:rPr>
          <w:rFonts w:ascii="Cambria" w:eastAsia="MS Mincho" w:hAnsi="Cambria" w:cs="Arial"/>
          <w:b w:val="0"/>
          <w:bCs w:val="0"/>
          <w:color w:val="auto"/>
          <w:sz w:val="21"/>
          <w:szCs w:val="22"/>
        </w:rPr>
      </w:pPr>
    </w:p>
    <w:p w14:paraId="592E3819"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Although the LVEF returns to normal does not automatically signify that patients may be forgotten after follow-up. The potential for right ventricular injury can often be underestimated. Strain abnormalities can persist after LVEF normalizes. The presence of residual scar can provide prognostic data that are separate from information related to systolic function [16-19,22-23]. Therefore, reverse remodeling is required to prove recovery but is not always enough evidence to demonstrate complete recovery.</w:t>
      </w:r>
    </w:p>
    <w:p w14:paraId="5D2B0526" w14:textId="77777777" w:rsidR="002E41AC" w:rsidRDefault="00C61E51">
      <w:pPr>
        <w:pStyle w:val="Heading2"/>
      </w:pPr>
      <w:r>
        <w:lastRenderedPageBreak/>
        <w:t>4.3 CMR Pattern, Residual Scar, and Distribution of Injury</w:t>
      </w:r>
    </w:p>
    <w:p w14:paraId="56717C7D"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CMR has become a key tool in the assessment of recovery because it can differentiate between acute and chronic inflammation better than echocardiography typically could. Several studies have demonstrated that LGE extent and distribution influence outcomes, even after adjusting for conventional clinical variables (i.e. involvement of the septum and extensive LGE burden, as well as certain non-ischcemic distributions, are all associated with worse outcomes)(16, 17, 22-23). Repeat CMR is also providing us with an important second piece of information. The presence of scars and/or other combined abnormalities over time provides us with better risk estimation than a single baseline study would.</w:t>
      </w:r>
    </w:p>
    <w:p w14:paraId="5AC1A0A6" w14:textId="77777777" w:rsidR="002E41AC" w:rsidRDefault="002E41AC">
      <w:pPr>
        <w:pStyle w:val="Heading2"/>
        <w:rPr>
          <w:rFonts w:ascii="Cambria" w:eastAsia="MS Mincho" w:hAnsi="Cambria" w:cs="Arial"/>
          <w:b w:val="0"/>
          <w:bCs w:val="0"/>
          <w:color w:val="auto"/>
          <w:sz w:val="21"/>
          <w:szCs w:val="22"/>
        </w:rPr>
      </w:pPr>
    </w:p>
    <w:p w14:paraId="513CE6F5"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This may also have important implications for patient management. For example, if an asymptomatic patient has normal echocardiograms at regular intervals after their initial presentation, but they continue to have septal LGE, they may still need more frequent follow-up, slower de-escalation of therapy, and more careful assessment of rhythm prior to returning to high levels of sport (1, 2, 16-19, 25, 29).</w:t>
      </w:r>
    </w:p>
    <w:p w14:paraId="28751900" w14:textId="77777777" w:rsidR="002E41AC" w:rsidRDefault="00C61E51">
      <w:pPr>
        <w:pStyle w:val="Heading2"/>
      </w:pPr>
      <w:r>
        <w:t>4.4 Histology, Etiology, and Host Factors</w:t>
      </w:r>
    </w:p>
    <w:p w14:paraId="2F4CE03B" w14:textId="77777777" w:rsidR="002E41AC" w:rsidRDefault="00C61E51">
      <w:r>
        <w:t>Following the histological evaluation of a biopsy for myocarditis, expectations can be altered considerably. For example, some autoimmune forms, giant cell myocarditis, eosinophilic myocarditis, and myocarditis associated with immune checkpoint inhibitors typically differ from lymphocytic viral myocarditis in behaviour (3, 4, 30-34). Recovery in these cases relies on both the diagnosis of the cause of inflammation and timely immunomodulation, as well as typical heart failure management.</w:t>
      </w:r>
    </w:p>
    <w:p w14:paraId="3342F8FF" w14:textId="77777777" w:rsidR="002E41AC" w:rsidRDefault="00C61E51">
      <w:r>
        <w:t>Host factors too matter. Age, comorbid autoimmune disease, genetic susceptibility, and family history of cardiomyopathy or sudden death can all shift the interpretation of an inflammatory episode [1-2,6-8]. A single episode of myocarditis in a patient with an arrhythmogenic substrate may not be truly “transient.” Instead, the inflammatory event may reveal a predisposition to a more extensive cardiomyopathic process. This is an important reason why current guidance recommends a lower threshold for genetic evaluation or prolonged monitoring in selected patients [1-2].</w:t>
      </w:r>
    </w:p>
    <w:p w14:paraId="2B572601" w14:textId="77777777" w:rsidR="002E41AC" w:rsidRDefault="002E41AC"/>
    <w:p w14:paraId="4959C642" w14:textId="77777777" w:rsidR="002E41AC" w:rsidRDefault="00C61E51">
      <w:pPr>
        <w:pStyle w:val="Heading2"/>
      </w:pPr>
      <w:r>
        <w:lastRenderedPageBreak/>
        <w:t>4.5 Rhythm Disturbance and Persistent Symptoms</w:t>
      </w:r>
    </w:p>
    <w:p w14:paraId="1417C046"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arrhythmia is both a sign and a cause of poor recovery. Evidence of ventricular ectopy, multiple runs of ventricular tachycardia, conduction abnormalities or syncope following the acute phase of illness is considered as an indicator that the heart muscle is no longer able to stabilize itself electrically in even the most mild of presentations[1-2,4,25-29,39]. As such, there is equal merit given to persistent symptomatology. Symptoms of post-myocarditis fatigue, chest pain, inability to perform physical activity or inappropriate tachycardia may be discounted when standard cardiovascular testing yields results within normal range; however, they often lead to further investigation demonstrating persistent myocardial scarring, altered myocardial strain, autonomic dysfunction or incomplete biological recovery.</w:t>
      </w:r>
    </w:p>
    <w:p w14:paraId="6E37FF4A" w14:textId="77777777" w:rsidR="002E41AC" w:rsidRDefault="002E41AC">
      <w:pPr>
        <w:pStyle w:val="Heading2"/>
        <w:rPr>
          <w:rFonts w:ascii="Cambria" w:eastAsia="MS Mincho" w:hAnsi="Cambria" w:cs="Arial"/>
          <w:b w:val="0"/>
          <w:bCs w:val="0"/>
          <w:color w:val="auto"/>
          <w:sz w:val="21"/>
          <w:szCs w:val="22"/>
        </w:rPr>
      </w:pPr>
    </w:p>
    <w:p w14:paraId="7549AD1F"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When all these pieces of information are taken together, they support a fundamental principle in clinical practice - complete recovery from myocarditis based on one isolated finding is rare; rather, complete recovery is inferred through an amalgamation; the initial presentation, the course of the recovery process, the existence of a scar, the presence of rhythm disturbances, and the overall clinical context for the injury.</w:t>
      </w:r>
    </w:p>
    <w:p w14:paraId="26836630" w14:textId="77777777" w:rsidR="002E41AC" w:rsidRDefault="00C61E51">
      <w:pPr>
        <w:pStyle w:val="Heading2"/>
      </w:pPr>
      <w:r>
        <w:t>Table 2. Features associated with incomplete recovery or need for closer surveillance.</w:t>
      </w:r>
    </w:p>
    <w:tbl>
      <w:tblPr>
        <w:tblStyle w:val="TableGrid"/>
        <w:tblW w:w="0" w:type="auto"/>
        <w:jc w:val="center"/>
        <w:tblLook w:val="04A0" w:firstRow="1" w:lastRow="0" w:firstColumn="1" w:lastColumn="0" w:noHBand="0" w:noVBand="1"/>
      </w:tblPr>
      <w:tblGrid>
        <w:gridCol w:w="2808"/>
        <w:gridCol w:w="3672"/>
        <w:gridCol w:w="3096"/>
      </w:tblGrid>
      <w:tr w:rsidR="002E41AC" w14:paraId="4BAC2B7F" w14:textId="77777777">
        <w:trPr>
          <w:tblHeader/>
          <w:jc w:val="center"/>
        </w:trPr>
        <w:tc>
          <w:tcPr>
            <w:tcW w:w="2808" w:type="dxa"/>
            <w:shd w:val="clear" w:color="auto" w:fill="DCEFEF"/>
            <w:tcMar>
              <w:top w:w="80" w:type="dxa"/>
              <w:left w:w="90" w:type="dxa"/>
              <w:bottom w:w="80" w:type="dxa"/>
              <w:right w:w="90" w:type="dxa"/>
            </w:tcMar>
            <w:vAlign w:val="center"/>
          </w:tcPr>
          <w:p w14:paraId="19F416E2" w14:textId="77777777" w:rsidR="002E41AC" w:rsidRDefault="00C61E51">
            <w:pPr>
              <w:spacing w:after="0" w:line="259" w:lineRule="auto"/>
              <w:jc w:val="center"/>
            </w:pPr>
            <w:r>
              <w:rPr>
                <w:b/>
                <w:color w:val="184B52"/>
                <w:sz w:val="18"/>
              </w:rPr>
              <w:t>Feature</w:t>
            </w:r>
          </w:p>
        </w:tc>
        <w:tc>
          <w:tcPr>
            <w:tcW w:w="3672" w:type="dxa"/>
            <w:shd w:val="clear" w:color="auto" w:fill="DCEFEF"/>
            <w:tcMar>
              <w:top w:w="80" w:type="dxa"/>
              <w:left w:w="90" w:type="dxa"/>
              <w:bottom w:w="80" w:type="dxa"/>
              <w:right w:w="90" w:type="dxa"/>
            </w:tcMar>
            <w:vAlign w:val="center"/>
          </w:tcPr>
          <w:p w14:paraId="441E8E9A" w14:textId="77777777" w:rsidR="002E41AC" w:rsidRDefault="00C61E51">
            <w:pPr>
              <w:spacing w:after="0" w:line="259" w:lineRule="auto"/>
              <w:jc w:val="center"/>
            </w:pPr>
            <w:r>
              <w:rPr>
                <w:b/>
                <w:color w:val="184B52"/>
                <w:sz w:val="18"/>
              </w:rPr>
              <w:t>Why it matters</w:t>
            </w:r>
          </w:p>
        </w:tc>
        <w:tc>
          <w:tcPr>
            <w:tcW w:w="3096" w:type="dxa"/>
            <w:shd w:val="clear" w:color="auto" w:fill="DCEFEF"/>
            <w:tcMar>
              <w:top w:w="80" w:type="dxa"/>
              <w:left w:w="90" w:type="dxa"/>
              <w:bottom w:w="80" w:type="dxa"/>
              <w:right w:w="90" w:type="dxa"/>
            </w:tcMar>
            <w:vAlign w:val="center"/>
          </w:tcPr>
          <w:p w14:paraId="6351941E" w14:textId="77777777" w:rsidR="002E41AC" w:rsidRDefault="00C61E51">
            <w:pPr>
              <w:spacing w:after="0" w:line="259" w:lineRule="auto"/>
              <w:jc w:val="center"/>
            </w:pPr>
            <w:r>
              <w:rPr>
                <w:b/>
                <w:color w:val="184B52"/>
                <w:sz w:val="18"/>
              </w:rPr>
              <w:t>Usual implication</w:t>
            </w:r>
          </w:p>
        </w:tc>
      </w:tr>
      <w:tr w:rsidR="002E41AC" w14:paraId="6F4D8BB0" w14:textId="77777777">
        <w:trPr>
          <w:jc w:val="center"/>
        </w:trPr>
        <w:tc>
          <w:tcPr>
            <w:tcW w:w="2808" w:type="dxa"/>
            <w:tcMar>
              <w:top w:w="80" w:type="dxa"/>
              <w:left w:w="90" w:type="dxa"/>
              <w:bottom w:w="80" w:type="dxa"/>
              <w:right w:w="90" w:type="dxa"/>
            </w:tcMar>
            <w:vAlign w:val="center"/>
          </w:tcPr>
          <w:p w14:paraId="270D96DB" w14:textId="77777777" w:rsidR="002E41AC" w:rsidRDefault="00C61E51">
            <w:pPr>
              <w:spacing w:after="0" w:line="259" w:lineRule="auto"/>
            </w:pPr>
            <w:r>
              <w:rPr>
                <w:sz w:val="18"/>
              </w:rPr>
              <w:t>Complicated presentation (heart failure, shock, sustained arrhythmia, high-grade block)</w:t>
            </w:r>
          </w:p>
        </w:tc>
        <w:tc>
          <w:tcPr>
            <w:tcW w:w="3672" w:type="dxa"/>
            <w:tcMar>
              <w:top w:w="80" w:type="dxa"/>
              <w:left w:w="90" w:type="dxa"/>
              <w:bottom w:w="80" w:type="dxa"/>
              <w:right w:w="90" w:type="dxa"/>
            </w:tcMar>
            <w:vAlign w:val="center"/>
          </w:tcPr>
          <w:p w14:paraId="4F6122BA" w14:textId="77777777" w:rsidR="002E41AC" w:rsidRDefault="00C61E51">
            <w:pPr>
              <w:spacing w:after="0" w:line="259" w:lineRule="auto"/>
            </w:pPr>
            <w:r>
              <w:rPr>
                <w:sz w:val="18"/>
              </w:rPr>
              <w:t>Reflects larger biological burden and higher early event risk</w:t>
            </w:r>
          </w:p>
        </w:tc>
        <w:tc>
          <w:tcPr>
            <w:tcW w:w="3096" w:type="dxa"/>
            <w:tcMar>
              <w:top w:w="80" w:type="dxa"/>
              <w:left w:w="90" w:type="dxa"/>
              <w:bottom w:w="80" w:type="dxa"/>
              <w:right w:w="90" w:type="dxa"/>
            </w:tcMar>
            <w:vAlign w:val="center"/>
          </w:tcPr>
          <w:p w14:paraId="5C7E2B3C" w14:textId="77777777" w:rsidR="002E41AC" w:rsidRDefault="00C61E51">
            <w:pPr>
              <w:spacing w:after="0" w:line="259" w:lineRule="auto"/>
              <w:jc w:val="center"/>
            </w:pPr>
            <w:r>
              <w:rPr>
                <w:sz w:val="18"/>
              </w:rPr>
              <w:t>Closer follow-up; lower threshold for repeat echo/CMR and rhythm monitoring</w:t>
            </w:r>
          </w:p>
        </w:tc>
      </w:tr>
      <w:tr w:rsidR="002E41AC" w14:paraId="4C008F5A" w14:textId="77777777">
        <w:trPr>
          <w:jc w:val="center"/>
        </w:trPr>
        <w:tc>
          <w:tcPr>
            <w:tcW w:w="2808" w:type="dxa"/>
            <w:tcMar>
              <w:top w:w="80" w:type="dxa"/>
              <w:left w:w="90" w:type="dxa"/>
              <w:bottom w:w="80" w:type="dxa"/>
              <w:right w:w="90" w:type="dxa"/>
            </w:tcMar>
            <w:vAlign w:val="center"/>
          </w:tcPr>
          <w:p w14:paraId="0CF4D88D" w14:textId="77777777" w:rsidR="002E41AC" w:rsidRDefault="00C61E51">
            <w:pPr>
              <w:spacing w:after="0" w:line="259" w:lineRule="auto"/>
            </w:pPr>
            <w:r>
              <w:rPr>
                <w:sz w:val="18"/>
              </w:rPr>
              <w:t>Reduced LVEF at presentation or incomplete reverse remodeling</w:t>
            </w:r>
          </w:p>
        </w:tc>
        <w:tc>
          <w:tcPr>
            <w:tcW w:w="3672" w:type="dxa"/>
            <w:tcMar>
              <w:top w:w="80" w:type="dxa"/>
              <w:left w:w="90" w:type="dxa"/>
              <w:bottom w:w="80" w:type="dxa"/>
              <w:right w:w="90" w:type="dxa"/>
            </w:tcMar>
            <w:vAlign w:val="center"/>
          </w:tcPr>
          <w:p w14:paraId="28244535" w14:textId="77777777" w:rsidR="002E41AC" w:rsidRDefault="00C61E51">
            <w:pPr>
              <w:spacing w:after="0" w:line="259" w:lineRule="auto"/>
            </w:pPr>
            <w:r>
              <w:rPr>
                <w:sz w:val="18"/>
              </w:rPr>
              <w:t>Predicts persistent dysfunction and longer need for heart-failure therapy</w:t>
            </w:r>
          </w:p>
        </w:tc>
        <w:tc>
          <w:tcPr>
            <w:tcW w:w="3096" w:type="dxa"/>
            <w:tcMar>
              <w:top w:w="80" w:type="dxa"/>
              <w:left w:w="90" w:type="dxa"/>
              <w:bottom w:w="80" w:type="dxa"/>
              <w:right w:w="90" w:type="dxa"/>
            </w:tcMar>
            <w:vAlign w:val="center"/>
          </w:tcPr>
          <w:p w14:paraId="127FCDA3" w14:textId="77777777" w:rsidR="002E41AC" w:rsidRDefault="00C61E51">
            <w:pPr>
              <w:spacing w:after="0" w:line="259" w:lineRule="auto"/>
              <w:jc w:val="center"/>
            </w:pPr>
            <w:r>
              <w:rPr>
                <w:sz w:val="18"/>
              </w:rPr>
              <w:t>Do not de-escalate surveillance too early</w:t>
            </w:r>
          </w:p>
        </w:tc>
      </w:tr>
      <w:tr w:rsidR="002E41AC" w14:paraId="7E93E647" w14:textId="77777777">
        <w:trPr>
          <w:jc w:val="center"/>
        </w:trPr>
        <w:tc>
          <w:tcPr>
            <w:tcW w:w="2808" w:type="dxa"/>
            <w:tcMar>
              <w:top w:w="80" w:type="dxa"/>
              <w:left w:w="90" w:type="dxa"/>
              <w:bottom w:w="80" w:type="dxa"/>
              <w:right w:w="90" w:type="dxa"/>
            </w:tcMar>
            <w:vAlign w:val="center"/>
          </w:tcPr>
          <w:p w14:paraId="4C883ED2" w14:textId="77777777" w:rsidR="002E41AC" w:rsidRDefault="00C61E51">
            <w:pPr>
              <w:spacing w:after="0" w:line="259" w:lineRule="auto"/>
            </w:pPr>
            <w:r>
              <w:rPr>
                <w:sz w:val="18"/>
              </w:rPr>
              <w:t>Extensive, septal, or persistent LGE on CMR</w:t>
            </w:r>
          </w:p>
        </w:tc>
        <w:tc>
          <w:tcPr>
            <w:tcW w:w="3672" w:type="dxa"/>
            <w:tcMar>
              <w:top w:w="80" w:type="dxa"/>
              <w:left w:w="90" w:type="dxa"/>
              <w:bottom w:w="80" w:type="dxa"/>
              <w:right w:w="90" w:type="dxa"/>
            </w:tcMar>
            <w:vAlign w:val="center"/>
          </w:tcPr>
          <w:p w14:paraId="21DED0F0" w14:textId="77777777" w:rsidR="002E41AC" w:rsidRDefault="00C61E51">
            <w:pPr>
              <w:spacing w:after="0" w:line="259" w:lineRule="auto"/>
            </w:pPr>
            <w:r>
              <w:rPr>
                <w:sz w:val="18"/>
              </w:rPr>
              <w:t>Associated with less favorable long-term outcomes and potential arrhythmic substrate</w:t>
            </w:r>
          </w:p>
        </w:tc>
        <w:tc>
          <w:tcPr>
            <w:tcW w:w="3096" w:type="dxa"/>
            <w:tcMar>
              <w:top w:w="80" w:type="dxa"/>
              <w:left w:w="90" w:type="dxa"/>
              <w:bottom w:w="80" w:type="dxa"/>
              <w:right w:w="90" w:type="dxa"/>
            </w:tcMar>
            <w:vAlign w:val="center"/>
          </w:tcPr>
          <w:p w14:paraId="7C024812" w14:textId="77777777" w:rsidR="002E41AC" w:rsidRDefault="00C61E51">
            <w:pPr>
              <w:spacing w:after="0" w:line="259" w:lineRule="auto"/>
              <w:jc w:val="center"/>
            </w:pPr>
            <w:r>
              <w:rPr>
                <w:sz w:val="18"/>
              </w:rPr>
              <w:t>Selective repeat CMR and individualized risk discussion</w:t>
            </w:r>
          </w:p>
        </w:tc>
      </w:tr>
      <w:tr w:rsidR="002E41AC" w14:paraId="69209EBB" w14:textId="77777777">
        <w:trPr>
          <w:jc w:val="center"/>
        </w:trPr>
        <w:tc>
          <w:tcPr>
            <w:tcW w:w="2808" w:type="dxa"/>
            <w:tcMar>
              <w:top w:w="80" w:type="dxa"/>
              <w:left w:w="90" w:type="dxa"/>
              <w:bottom w:w="80" w:type="dxa"/>
              <w:right w:w="90" w:type="dxa"/>
            </w:tcMar>
            <w:vAlign w:val="center"/>
          </w:tcPr>
          <w:p w14:paraId="0AF628DC" w14:textId="77777777" w:rsidR="002E41AC" w:rsidRDefault="00C61E51">
            <w:pPr>
              <w:spacing w:after="0" w:line="259" w:lineRule="auto"/>
            </w:pPr>
            <w:r>
              <w:rPr>
                <w:sz w:val="18"/>
              </w:rPr>
              <w:t>Persistent ventricular ectopy or nonsustained ventricular tachycardia</w:t>
            </w:r>
          </w:p>
        </w:tc>
        <w:tc>
          <w:tcPr>
            <w:tcW w:w="3672" w:type="dxa"/>
            <w:tcMar>
              <w:top w:w="80" w:type="dxa"/>
              <w:left w:w="90" w:type="dxa"/>
              <w:bottom w:w="80" w:type="dxa"/>
              <w:right w:w="90" w:type="dxa"/>
            </w:tcMar>
            <w:vAlign w:val="center"/>
          </w:tcPr>
          <w:p w14:paraId="208A252A" w14:textId="77777777" w:rsidR="002E41AC" w:rsidRDefault="00C61E51">
            <w:pPr>
              <w:spacing w:after="0" w:line="259" w:lineRule="auto"/>
            </w:pPr>
            <w:r>
              <w:rPr>
                <w:sz w:val="18"/>
              </w:rPr>
              <w:t>Suggests incomplete electrical recovery</w:t>
            </w:r>
          </w:p>
        </w:tc>
        <w:tc>
          <w:tcPr>
            <w:tcW w:w="3096" w:type="dxa"/>
            <w:tcMar>
              <w:top w:w="80" w:type="dxa"/>
              <w:left w:w="90" w:type="dxa"/>
              <w:bottom w:w="80" w:type="dxa"/>
              <w:right w:w="90" w:type="dxa"/>
            </w:tcMar>
            <w:vAlign w:val="center"/>
          </w:tcPr>
          <w:p w14:paraId="6EC07A4C" w14:textId="77777777" w:rsidR="002E41AC" w:rsidRDefault="00C61E51">
            <w:pPr>
              <w:spacing w:after="0" w:line="259" w:lineRule="auto"/>
              <w:jc w:val="center"/>
            </w:pPr>
            <w:r>
              <w:rPr>
                <w:sz w:val="18"/>
              </w:rPr>
              <w:t>Ambulatory monitoring and more cautious return to strenuous activity</w:t>
            </w:r>
          </w:p>
        </w:tc>
      </w:tr>
      <w:tr w:rsidR="002E41AC" w14:paraId="48F8A010" w14:textId="77777777">
        <w:trPr>
          <w:jc w:val="center"/>
        </w:trPr>
        <w:tc>
          <w:tcPr>
            <w:tcW w:w="2808" w:type="dxa"/>
            <w:tcMar>
              <w:top w:w="80" w:type="dxa"/>
              <w:left w:w="90" w:type="dxa"/>
              <w:bottom w:w="80" w:type="dxa"/>
              <w:right w:w="90" w:type="dxa"/>
            </w:tcMar>
            <w:vAlign w:val="center"/>
          </w:tcPr>
          <w:p w14:paraId="23766625" w14:textId="77777777" w:rsidR="002E41AC" w:rsidRDefault="00C61E51">
            <w:pPr>
              <w:spacing w:after="0" w:line="259" w:lineRule="auto"/>
            </w:pPr>
            <w:r>
              <w:rPr>
                <w:sz w:val="18"/>
              </w:rPr>
              <w:t>Persistent symptoms despite near-normal routine testing</w:t>
            </w:r>
          </w:p>
        </w:tc>
        <w:tc>
          <w:tcPr>
            <w:tcW w:w="3672" w:type="dxa"/>
            <w:tcMar>
              <w:top w:w="80" w:type="dxa"/>
              <w:left w:w="90" w:type="dxa"/>
              <w:bottom w:w="80" w:type="dxa"/>
              <w:right w:w="90" w:type="dxa"/>
            </w:tcMar>
            <w:vAlign w:val="center"/>
          </w:tcPr>
          <w:p w14:paraId="103956BC" w14:textId="77777777" w:rsidR="002E41AC" w:rsidRDefault="00C61E51">
            <w:pPr>
              <w:spacing w:after="0" w:line="259" w:lineRule="auto"/>
            </w:pPr>
            <w:r>
              <w:rPr>
                <w:sz w:val="18"/>
              </w:rPr>
              <w:t>May signal residual injury, deconditioning, autonomic dysfunction, or another missed process</w:t>
            </w:r>
          </w:p>
        </w:tc>
        <w:tc>
          <w:tcPr>
            <w:tcW w:w="3096" w:type="dxa"/>
            <w:tcMar>
              <w:top w:w="80" w:type="dxa"/>
              <w:left w:w="90" w:type="dxa"/>
              <w:bottom w:w="80" w:type="dxa"/>
              <w:right w:w="90" w:type="dxa"/>
            </w:tcMar>
            <w:vAlign w:val="center"/>
          </w:tcPr>
          <w:p w14:paraId="02C1341B" w14:textId="77777777" w:rsidR="002E41AC" w:rsidRDefault="00C61E51">
            <w:pPr>
              <w:spacing w:after="0" w:line="259" w:lineRule="auto"/>
              <w:jc w:val="center"/>
            </w:pPr>
            <w:r>
              <w:rPr>
                <w:sz w:val="18"/>
              </w:rPr>
              <w:t>Reassess rather than dismiss; tailor additional testing</w:t>
            </w:r>
          </w:p>
        </w:tc>
      </w:tr>
      <w:tr w:rsidR="002E41AC" w14:paraId="4410CBDD" w14:textId="77777777">
        <w:trPr>
          <w:jc w:val="center"/>
        </w:trPr>
        <w:tc>
          <w:tcPr>
            <w:tcW w:w="2808" w:type="dxa"/>
            <w:tcMar>
              <w:top w:w="80" w:type="dxa"/>
              <w:left w:w="90" w:type="dxa"/>
              <w:bottom w:w="80" w:type="dxa"/>
              <w:right w:w="90" w:type="dxa"/>
            </w:tcMar>
            <w:vAlign w:val="center"/>
          </w:tcPr>
          <w:p w14:paraId="05215EC2" w14:textId="77777777" w:rsidR="002E41AC" w:rsidRDefault="00C61E51">
            <w:pPr>
              <w:spacing w:after="0" w:line="259" w:lineRule="auto"/>
            </w:pPr>
            <w:r>
              <w:rPr>
                <w:sz w:val="18"/>
              </w:rPr>
              <w:t>Biopsy-defined aggressive or immune-mediated histology</w:t>
            </w:r>
          </w:p>
        </w:tc>
        <w:tc>
          <w:tcPr>
            <w:tcW w:w="3672" w:type="dxa"/>
            <w:tcMar>
              <w:top w:w="80" w:type="dxa"/>
              <w:left w:w="90" w:type="dxa"/>
              <w:bottom w:w="80" w:type="dxa"/>
              <w:right w:w="90" w:type="dxa"/>
            </w:tcMar>
            <w:vAlign w:val="center"/>
          </w:tcPr>
          <w:p w14:paraId="6C3CF3E4" w14:textId="77777777" w:rsidR="002E41AC" w:rsidRDefault="00C61E51">
            <w:pPr>
              <w:spacing w:after="0" w:line="259" w:lineRule="auto"/>
            </w:pPr>
            <w:r>
              <w:rPr>
                <w:sz w:val="18"/>
              </w:rPr>
              <w:t>Recovery depends on mechanism-specific therapy, not supportive care alone</w:t>
            </w:r>
          </w:p>
        </w:tc>
        <w:tc>
          <w:tcPr>
            <w:tcW w:w="3096" w:type="dxa"/>
            <w:tcMar>
              <w:top w:w="80" w:type="dxa"/>
              <w:left w:w="90" w:type="dxa"/>
              <w:bottom w:w="80" w:type="dxa"/>
              <w:right w:w="90" w:type="dxa"/>
            </w:tcMar>
            <w:vAlign w:val="center"/>
          </w:tcPr>
          <w:p w14:paraId="7965739A" w14:textId="77777777" w:rsidR="002E41AC" w:rsidRDefault="00C61E51">
            <w:pPr>
              <w:spacing w:after="0" w:line="259" w:lineRule="auto"/>
              <w:jc w:val="center"/>
            </w:pPr>
            <w:r>
              <w:rPr>
                <w:sz w:val="18"/>
              </w:rPr>
              <w:t>Specialist follow-up and lower threshold for immunomodulatory strategies</w:t>
            </w:r>
          </w:p>
        </w:tc>
      </w:tr>
      <w:tr w:rsidR="002E41AC" w14:paraId="3D2433A6" w14:textId="77777777">
        <w:trPr>
          <w:jc w:val="center"/>
        </w:trPr>
        <w:tc>
          <w:tcPr>
            <w:tcW w:w="2808" w:type="dxa"/>
            <w:tcMar>
              <w:top w:w="80" w:type="dxa"/>
              <w:left w:w="90" w:type="dxa"/>
              <w:bottom w:w="80" w:type="dxa"/>
              <w:right w:w="90" w:type="dxa"/>
            </w:tcMar>
            <w:vAlign w:val="center"/>
          </w:tcPr>
          <w:p w14:paraId="5369ACEF" w14:textId="77777777" w:rsidR="002E41AC" w:rsidRDefault="00C61E51">
            <w:pPr>
              <w:spacing w:after="0" w:line="259" w:lineRule="auto"/>
            </w:pPr>
            <w:r>
              <w:rPr>
                <w:sz w:val="18"/>
              </w:rPr>
              <w:t>Family history or suspicion of underlying cardiomyopathy/genetic substrate</w:t>
            </w:r>
          </w:p>
        </w:tc>
        <w:tc>
          <w:tcPr>
            <w:tcW w:w="3672" w:type="dxa"/>
            <w:tcMar>
              <w:top w:w="80" w:type="dxa"/>
              <w:left w:w="90" w:type="dxa"/>
              <w:bottom w:w="80" w:type="dxa"/>
              <w:right w:w="90" w:type="dxa"/>
            </w:tcMar>
            <w:vAlign w:val="center"/>
          </w:tcPr>
          <w:p w14:paraId="181C29E3" w14:textId="77777777" w:rsidR="002E41AC" w:rsidRDefault="00C61E51">
            <w:pPr>
              <w:spacing w:after="0" w:line="259" w:lineRule="auto"/>
            </w:pPr>
            <w:r>
              <w:rPr>
                <w:sz w:val="18"/>
              </w:rPr>
              <w:t>Inflammation may unmask a broader myocardial disease</w:t>
            </w:r>
          </w:p>
        </w:tc>
        <w:tc>
          <w:tcPr>
            <w:tcW w:w="3096" w:type="dxa"/>
            <w:tcMar>
              <w:top w:w="80" w:type="dxa"/>
              <w:left w:w="90" w:type="dxa"/>
              <w:bottom w:w="80" w:type="dxa"/>
              <w:right w:w="90" w:type="dxa"/>
            </w:tcMar>
            <w:vAlign w:val="center"/>
          </w:tcPr>
          <w:p w14:paraId="0B7FB3DF" w14:textId="77777777" w:rsidR="002E41AC" w:rsidRDefault="00C61E51">
            <w:pPr>
              <w:spacing w:after="0" w:line="259" w:lineRule="auto"/>
              <w:jc w:val="center"/>
            </w:pPr>
            <w:r>
              <w:rPr>
                <w:sz w:val="18"/>
              </w:rPr>
              <w:t>Consider extended surveillance and phenotype-directed evaluation</w:t>
            </w:r>
          </w:p>
        </w:tc>
      </w:tr>
    </w:tbl>
    <w:p w14:paraId="30DE45A4" w14:textId="77777777" w:rsidR="002E41AC" w:rsidRDefault="002E41AC"/>
    <w:p w14:paraId="5A22725A" w14:textId="77777777" w:rsidR="002E41AC" w:rsidRDefault="00C61E51">
      <w:pPr>
        <w:pStyle w:val="Heading1"/>
      </w:pPr>
      <w:r>
        <w:lastRenderedPageBreak/>
        <w:t>5. Structural Recovery and the Central Role of Cardiac Magnetic Resonance</w:t>
      </w:r>
    </w:p>
    <w:p w14:paraId="7689D55D"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CMR has changed the modern understanding of recovery after myocarditis more than any other tool. The first and revised Lake Louise frameworks increased diagnostic confidence in the acute phase, but their influence goes beyond diagnosis. CMR has made it possible to observe that the myocardium may look “healed” on echocardiography while still showing residual scar or persistent inflammatory signatures on tissue characterization [13-19].</w:t>
      </w:r>
    </w:p>
    <w:p w14:paraId="20CB357E" w14:textId="77777777" w:rsidR="002E41AC" w:rsidRDefault="002E41AC">
      <w:pPr>
        <w:pStyle w:val="Heading1"/>
        <w:rPr>
          <w:rFonts w:ascii="Cambria" w:eastAsia="MS Mincho" w:hAnsi="Cambria" w:cs="Arial"/>
          <w:b w:val="0"/>
          <w:bCs w:val="0"/>
          <w:color w:val="auto"/>
          <w:sz w:val="21"/>
          <w:szCs w:val="22"/>
        </w:rPr>
      </w:pPr>
    </w:p>
    <w:p w14:paraId="2ECFDB0C"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In the acute setting, edema-sensitive sequences and mapping modalities are utilized to identify current inflammation, while LGE is used to indicate non-reversible injury or replacement fibrosis. On follow-up after the initial episode, edema tends to improve or regress, while LGE is likely to persist. The interpretation of persistent LGE is one of the most critical and unresolved clinical dilemmas in this area of study. Currently available literature demonstrates that many patients present with sustained residual LGE and that, as a whole, they are reported to have worse outcomes than patients who have achieved complete resolution of imaging [16-19,22-23]. Nevertheless, it has also been established that not all residual LGE is equivalent; for example, small areas of residual LGE in low risk individuals may not assume the same prognostic value as extensive, septal, or transmural patterns of nonischemic LGE.</w:t>
      </w:r>
    </w:p>
    <w:p w14:paraId="77131EA4" w14:textId="77777777" w:rsidR="002E41AC" w:rsidRDefault="002E41AC">
      <w:pPr>
        <w:pStyle w:val="Heading1"/>
        <w:rPr>
          <w:rFonts w:ascii="Cambria" w:eastAsia="MS Mincho" w:hAnsi="Cambria" w:cs="Arial"/>
          <w:b w:val="0"/>
          <w:bCs w:val="0"/>
          <w:color w:val="auto"/>
          <w:sz w:val="21"/>
          <w:szCs w:val="22"/>
        </w:rPr>
      </w:pPr>
    </w:p>
    <w:p w14:paraId="338B7E21"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literature measuring prognosis LGE has progressed along two pathways. First, baseline CMR evaluation (i.e., degree of LGE, septal location of LGE, and indices of LVEF) may be used to identify patients at higher risk for poor outcome [16-17,22-23]. Second, CMR follow-up has been shown to provide valuable prognostic information through distinguishing whether the original myocardial injury has progressed, remained the same, or improved [18-19]. Aquaro et al. demonstrated that follow-up CMR does not simply repeat the initial CMR; it provides a means to classify risk by differentiating nonischemic patients who experienced transient injuries from patients who are left with a more permanent substrate [18]. More recent evidence suggests that CMR findings and clinical presentation are complementary variables that together create a reliable prognostic model [22].</w:t>
      </w:r>
    </w:p>
    <w:p w14:paraId="097277E8" w14:textId="77777777" w:rsidR="002E41AC" w:rsidRDefault="002E41AC">
      <w:pPr>
        <w:pStyle w:val="Heading1"/>
        <w:rPr>
          <w:rFonts w:ascii="Cambria" w:eastAsia="MS Mincho" w:hAnsi="Cambria" w:cs="Arial"/>
          <w:b w:val="0"/>
          <w:bCs w:val="0"/>
          <w:color w:val="auto"/>
          <w:sz w:val="21"/>
          <w:szCs w:val="22"/>
        </w:rPr>
      </w:pPr>
    </w:p>
    <w:p w14:paraId="076EB070"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Adult and pediatric patient data converge in this context due to a number of studies performed on children (i.e., recorded by Małek, Dubey et al.) demonstrating a lack of correlation between clinical recovery or normalization of LVEF and LGE on follow-up imaging in some patients with myocardial infarction due to coronary artery disease [40-41]. Similar observations have also been made in vaccine-related myocarditis. In general, outcomes of these patients at follow-up are relatively good, but most patients will continue to show evidence of scarring and/or enhancement on subsequent serial CMR studies [42-45]. These studies indicate that while persistent LGE may have different meanings across the population, they do not necessarily mean the same thing, nor does symptom resolution necessarily imply full structural resolution of the heart.</w:t>
      </w:r>
    </w:p>
    <w:p w14:paraId="3C737228" w14:textId="77777777" w:rsidR="002E41AC" w:rsidRDefault="002E41AC">
      <w:pPr>
        <w:pStyle w:val="Heading1"/>
        <w:rPr>
          <w:rFonts w:ascii="Cambria" w:eastAsia="MS Mincho" w:hAnsi="Cambria" w:cs="Arial"/>
          <w:b w:val="0"/>
          <w:bCs w:val="0"/>
          <w:color w:val="auto"/>
          <w:sz w:val="21"/>
          <w:szCs w:val="22"/>
        </w:rPr>
      </w:pPr>
    </w:p>
    <w:p w14:paraId="33EF4E96"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lastRenderedPageBreak/>
        <w:t>The practical question regarding this data is when CMR should be repeated. Currents guidance indicates that CMR should only be repeated selectively rather than every patient, and there is a greater indication for repeat CMR in patients with prior ventricular dysfunction, a history of arrhythmias, persistent symptoms, an unclear diagnosis, highly competitive athletes or a large area of myocardial scarring on the first CMR [1-2]. This approach makes sense. CMR will provide more valuable information if it is done in answer to a specific clinical question; for example, has inflammation stopped? Is there extensive or limited scarring? Is the patient safe to begin establishing a new baseline for physical activity? etc. Therefore, under this condition, CMR is not only a diagnostic test but will continue to provide clinicians with additional information to help stage the patient in recovering from this condition.</w:t>
      </w:r>
    </w:p>
    <w:p w14:paraId="7EA6931A" w14:textId="77777777" w:rsidR="002E41AC" w:rsidRDefault="002E41AC">
      <w:pPr>
        <w:pStyle w:val="Heading1"/>
        <w:rPr>
          <w:rFonts w:ascii="Cambria" w:eastAsia="MS Mincho" w:hAnsi="Cambria" w:cs="Arial"/>
          <w:b w:val="0"/>
          <w:bCs w:val="0"/>
          <w:color w:val="auto"/>
          <w:sz w:val="21"/>
          <w:szCs w:val="22"/>
        </w:rPr>
      </w:pPr>
    </w:p>
    <w:p w14:paraId="576638A4"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At present, whilst evaluating results of CMR in patients, Care should be taken to avoid isolated Descriptionsofresults. Residual LGE is valuable in terms of managing patients, however, residual LGE must also be synthesised with other clinical data when making decisions regarding patient care. A patient who has a small, stable, left inferolateral scar and normal cardiac function with no symptoms or arrhythmia is different when compared with a patient who has a left septal scar, has experienced nonsustained ventricular tachycardia, and is exhibiting mild systolic recovery. Thus, through this larger clinical context, the power of CMR can be utilised to the maximum extent.</w:t>
      </w:r>
    </w:p>
    <w:p w14:paraId="0797D083" w14:textId="77777777" w:rsidR="002E41AC" w:rsidRDefault="002E41AC">
      <w:pPr>
        <w:pStyle w:val="Heading1"/>
        <w:rPr>
          <w:rFonts w:ascii="Cambria" w:eastAsia="MS Mincho" w:hAnsi="Cambria" w:cs="Arial"/>
          <w:b w:val="0"/>
          <w:bCs w:val="0"/>
          <w:color w:val="auto"/>
          <w:sz w:val="21"/>
          <w:szCs w:val="22"/>
        </w:rPr>
      </w:pPr>
    </w:p>
    <w:p w14:paraId="6626D867" w14:textId="77777777" w:rsidR="002E41AC" w:rsidRDefault="00C61E51">
      <w:pPr>
        <w:pStyle w:val="Heading1"/>
      </w:pPr>
      <w:r>
        <w:t>6. Biomarker Recovery, Rhythm Stability, and Electrophysiologic Follow-Up</w:t>
      </w:r>
    </w:p>
    <w:p w14:paraId="7B48C4B3"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normalization of troponin is also commonly detected as the first evidence that an individual has begun to heal from an explosive inflammatory event. Improvement in NT-proBNP levels can also occur as patients experience decreases in stress placed on the ventricular walls and, therefore, may indicate recovery but should be interpreted as such rather than as conclusive evidence of recovery. It is imperative to understand that troponin is an indicator of myocardial cell death/necrosis but does not indicate stability of a myocardial scar. Similarly, NT-proBNP reflects hemodynamic strain but does not signify the presence or absence of arrhythmic substrate. In clinical practice, normal laboratory results represent one level of evidence to consider when integrating imaging studies and clinical follow-up.</w:t>
      </w:r>
    </w:p>
    <w:p w14:paraId="31AF0CB3" w14:textId="77777777" w:rsidR="002E41AC" w:rsidRDefault="002E41AC">
      <w:pPr>
        <w:pStyle w:val="Heading1"/>
        <w:rPr>
          <w:rFonts w:ascii="Cambria" w:eastAsia="MS Mincho" w:hAnsi="Cambria" w:cs="Arial"/>
          <w:b w:val="0"/>
          <w:bCs w:val="0"/>
          <w:color w:val="auto"/>
          <w:sz w:val="21"/>
          <w:szCs w:val="22"/>
        </w:rPr>
      </w:pPr>
    </w:p>
    <w:p w14:paraId="23870AAB"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Patients may experience misleading electrocardiographic recovery. Resolution of ST-T changes, sinus tachycardia, conduction delays, or low-level ectopy may occur at 3 to 4 weeks; however, ambulatory rhythm monitoring may show the presence of ventricular ectopy, and palpitations may occur with exertion. Therefore, electrical assessments for post-acute arrhythmias should not end at a resting electrocardiogram, particularly in cases such as syncope, sustained arrhythmias, significant reduction in LVEF, significant scar burden (LGE), and patients on the verge of returning to an athletic level of activity.</w:t>
      </w:r>
    </w:p>
    <w:p w14:paraId="0EB0FB38" w14:textId="77777777" w:rsidR="002E41AC" w:rsidRDefault="002E41AC">
      <w:pPr>
        <w:pStyle w:val="Heading1"/>
        <w:rPr>
          <w:rFonts w:ascii="Cambria" w:eastAsia="MS Mincho" w:hAnsi="Cambria" w:cs="Arial"/>
          <w:b w:val="0"/>
          <w:bCs w:val="0"/>
          <w:color w:val="auto"/>
          <w:sz w:val="21"/>
          <w:szCs w:val="22"/>
        </w:rPr>
      </w:pPr>
    </w:p>
    <w:p w14:paraId="36A2568E"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lastRenderedPageBreak/>
        <w:t>The arrhythmic dimension of recovery is particularly important because it speaks to safety rather than comfort. A patient may tolerate mild tiredness and choose to live with it, but occult ventricular arrhythmia changes the risk calculus completely. Contemporary clinical guidance, therefore, incorporates ambulatory rhythm monitoring and exercise testing into recovery assessment, especially before the resumption of strenuous physical activity [1-2,25-29]This approach embodiests the simple fact that electrical recovery must often be proven, not assumed.</w:t>
      </w:r>
    </w:p>
    <w:p w14:paraId="0CDF5CCE" w14:textId="77777777" w:rsidR="002E41AC" w:rsidRDefault="002E41AC">
      <w:pPr>
        <w:pStyle w:val="Heading1"/>
        <w:rPr>
          <w:rFonts w:ascii="Cambria" w:eastAsia="MS Mincho" w:hAnsi="Cambria" w:cs="Arial"/>
          <w:b w:val="0"/>
          <w:bCs w:val="0"/>
          <w:color w:val="auto"/>
          <w:sz w:val="21"/>
          <w:szCs w:val="22"/>
        </w:rPr>
      </w:pPr>
    </w:p>
    <w:p w14:paraId="6FF80ECB"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Furthermore, there is an added complexity of the management of persistent symptoms following acute myocarditis or postmyocarditis syndrome that have few, if any, conventional findings. For many patients, exercise intolerance, palpitations, postural symptoms and decreased endurance can occur long after the acute myocarditis. While there is not yet a well-defined single framework addressing this patient population in the literature, it is possible that some may have residual injury to their myocardial tissue while others may have developed deconditioning, autonomic imbalance, hypersensitivity of the chest wall, or develop anxiety from a traumatic hospital experience or have an overlap with post-viral syndrome. It is critical to assess these cases carefully, rather than offer reassurance only. Recovery following myocarditis is more than just not dying or being transplanted; it is also about having a safe and sustainable functional capacity.</w:t>
      </w:r>
    </w:p>
    <w:p w14:paraId="1A5C7849" w14:textId="77777777" w:rsidR="002E41AC" w:rsidRDefault="002E41AC">
      <w:pPr>
        <w:pStyle w:val="Heading1"/>
        <w:rPr>
          <w:rFonts w:ascii="Cambria" w:eastAsia="MS Mincho" w:hAnsi="Cambria" w:cs="Arial"/>
          <w:b w:val="0"/>
          <w:bCs w:val="0"/>
          <w:color w:val="auto"/>
          <w:sz w:val="21"/>
          <w:szCs w:val="22"/>
        </w:rPr>
      </w:pPr>
    </w:p>
    <w:p w14:paraId="687F49C8"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added complication of medication management also serves as a very added layer. Patients showing depressed left ventricular ejection fraction are to remain on guideline-directed medical therapy for a prolonged period of time after reverse remodeling has been achieved unless there is clear evidence of durable structural recovery. For those with relatively rapid improvement, abrupt cessation of therapy could potentially result in poor outcomes as well in the event that no verifiable evidence supporting structural improvement is available  [1-4]. For patients who have preserved ventricular function and an otherwise uncomplicated case, the appropriate treatment plan may be to give an anti-inflammatory or supportive therapy for a short period prior to observation, rather than continuing treatment for a long period of time. In each instance, individualization is essential and treatment decisions based more upon physician professional judgment relative to the patient's clinical status than by a diagnosis of "myocarditis".</w:t>
      </w:r>
    </w:p>
    <w:p w14:paraId="763E5F82" w14:textId="77777777" w:rsidR="002E41AC" w:rsidRDefault="00C61E51">
      <w:pPr>
        <w:pStyle w:val="Heading1"/>
      </w:pPr>
      <w:r>
        <w:t>7. Functional Recovery, Rehabilitation, and Return to Exercise</w:t>
      </w:r>
    </w:p>
    <w:p w14:paraId="51E306F8"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After myocarditis, one of the most significant and visible decisions is whether to return to exercising after the illness. The recommendations that have been made state that there should be no vigorous exercise for three to six months. These recommendations are still widely accepted and supported by current literature; however, the rationale for these recommendations is clearer, and the implementation is more subtle than in years past . Exercise during the acute inflammatory stage of myocardial inflammation may worsen your myocardial injury or be the reason for creating an electrolyte imbalance or rhythm disturbance (arrhythmia) [1-2,25-29].</w:t>
      </w:r>
    </w:p>
    <w:p w14:paraId="0D8F44F8" w14:textId="77777777" w:rsidR="002E41AC" w:rsidRDefault="002E41AC">
      <w:pPr>
        <w:pStyle w:val="Heading1"/>
        <w:rPr>
          <w:rFonts w:ascii="Cambria" w:eastAsia="MS Mincho" w:hAnsi="Cambria" w:cs="Arial"/>
          <w:b w:val="0"/>
          <w:bCs w:val="0"/>
          <w:color w:val="auto"/>
          <w:sz w:val="21"/>
          <w:szCs w:val="22"/>
        </w:rPr>
      </w:pPr>
    </w:p>
    <w:p w14:paraId="4C558EA6"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lastRenderedPageBreak/>
        <w:t>In addition to competitive athletes, the same principles regarding exercise restriction and progression also apply to nonathletes. Therefore, individuals who will return to a physically demanding occupation, who are participating in high-intensity interval exercise, or who wish to participate in endurance-based activities will need to undergo an evaluation similar to a formal return to play assessment. The typical components of a return-to-exercise assessment include a symptom review, EKG, echocardiogram, telemetry rhythm monitoring, and, in many cases, stress testing. A repeat CMR (cardiac magnetic resonance imagery) can be especially helpful if the patient's initial presentation was severe, if the diagnosis remains uncertain, or if the patient wishes to return to a very high level of exercise intensity or competition [1-2,25-29].</w:t>
      </w:r>
    </w:p>
    <w:p w14:paraId="094E44C2" w14:textId="77777777" w:rsidR="002E41AC" w:rsidRDefault="002E41AC">
      <w:pPr>
        <w:pStyle w:val="Heading1"/>
        <w:rPr>
          <w:rFonts w:ascii="Cambria" w:eastAsia="MS Mincho" w:hAnsi="Cambria" w:cs="Arial"/>
          <w:b w:val="0"/>
          <w:bCs w:val="0"/>
          <w:color w:val="auto"/>
          <w:sz w:val="21"/>
          <w:szCs w:val="22"/>
        </w:rPr>
      </w:pPr>
    </w:p>
    <w:p w14:paraId="1AB080C6"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Latest research in sports cardiology indicates that although recovery is often determined by time alone it should not only be evaluated using this measure. Instead, the more important question to answer for each individual patient is: "Are there still any symptoms present; is the electrical system of the heart stable; has the heart returned to normal or near-normal hemodynamics and does any residual scar or inflammatory state remain which could predispose them to reinjury during exercise?" This is the reason a one-size-fits-all return interval is too generic. For instance, a patient with mild disease and completely normal re-evaluation may be able to resume sport participation sooner than those with residual LGE, ventricular ectopy, or sustained functional deficits, despite a longer interval since last injury. Experts are increasingly advocating for risk stratification based upon each patient's unique factors as opposed to automatically clearning an athlete based solely on elapsed time [1-2,26].</w:t>
      </w:r>
    </w:p>
    <w:p w14:paraId="0048EB8C" w14:textId="77777777" w:rsidR="002E41AC" w:rsidRDefault="002E41AC">
      <w:pPr>
        <w:pStyle w:val="Heading1"/>
        <w:rPr>
          <w:rFonts w:ascii="Cambria" w:eastAsia="MS Mincho" w:hAnsi="Cambria" w:cs="Arial"/>
          <w:b w:val="0"/>
          <w:bCs w:val="0"/>
          <w:color w:val="auto"/>
          <w:sz w:val="21"/>
          <w:szCs w:val="22"/>
        </w:rPr>
      </w:pPr>
    </w:p>
    <w:p w14:paraId="08811582"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In addition, the re-evaluation is staged, preferably starting from light daily activities, then progressing through structured aerobic activities, and finally moving to more vigorous exercises. When implementing this plan, practitioners will remain vigilant for symptom(s), such as recurrent chest pain, inappropriate tachycardia, dyspnea related to exertion, palpitations, presyncope, or onset of new fatigue, as they do when implementing other recovery protocols [25-29]. Practitioners and patients frequently benefit from written instructions that clearly define what should occur during each stage because many receive vague “take it easy” type instructions that provide little to no clarity.</w:t>
      </w:r>
    </w:p>
    <w:p w14:paraId="5B22BFD1" w14:textId="77777777" w:rsidR="002E41AC" w:rsidRDefault="002E41AC">
      <w:pPr>
        <w:pStyle w:val="Heading1"/>
        <w:rPr>
          <w:rFonts w:ascii="Cambria" w:eastAsia="MS Mincho" w:hAnsi="Cambria" w:cs="Arial"/>
          <w:b w:val="0"/>
          <w:bCs w:val="0"/>
          <w:color w:val="auto"/>
          <w:sz w:val="21"/>
          <w:szCs w:val="22"/>
        </w:rPr>
      </w:pPr>
    </w:p>
    <w:p w14:paraId="5F25A7DB"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Rehabilitation deserves more discussion than it usually receives. Much of the myocarditis literature focuses on diagnostics and acute treatment, whereas recovery often unfolds through practical issues: regaining confidence in activity, managing heart-failure medication side effects, titrating exercise and dealing withpsychological distress after an ICU admission or a period of strict restriction. Formal cardiac rehabilitation is not standard for every patient with myocarditis, but selected patients—especially those with heart-failure symptoms, prolonged hospitalization, or major deconditioning—are likely to benefit from supervised and individualized reconditioning.</w:t>
      </w:r>
    </w:p>
    <w:p w14:paraId="42A55F8A" w14:textId="77777777" w:rsidR="002E41AC" w:rsidRDefault="002E41AC">
      <w:pPr>
        <w:pStyle w:val="Heading1"/>
        <w:rPr>
          <w:rFonts w:ascii="Cambria" w:eastAsia="MS Mincho" w:hAnsi="Cambria" w:cs="Arial"/>
          <w:b w:val="0"/>
          <w:bCs w:val="0"/>
          <w:color w:val="auto"/>
          <w:sz w:val="21"/>
          <w:szCs w:val="22"/>
        </w:rPr>
      </w:pPr>
    </w:p>
    <w:p w14:paraId="5D4F08F3"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lastRenderedPageBreak/>
        <w:t>Patients and clinicians generally have different standards of success when it comes to functional recovery, an often overlooked aspect of functional recovery. Clinicians are likely to value LVEF or arrhythmia burden over other criteria such as whether they can ascend stairs or return to work, or whether they can exercise without anxiety. Therefore, the provision of good post-myocarditis care consists of medical risk reduction and, more importantly, provision of a patient-centred dialogue about how they envision recovery for their day-to-day lives; patients require that clinicians share with them what constitutes a successful outcome from their perspective.</w:t>
      </w:r>
    </w:p>
    <w:p w14:paraId="3C17279F" w14:textId="77777777" w:rsidR="002E41AC" w:rsidRDefault="00C61E51">
      <w:pPr>
        <w:pStyle w:val="Heading1"/>
      </w:pPr>
      <w:r>
        <w:t>8. Recovery Across Key Clinical Phenotypes</w:t>
      </w:r>
    </w:p>
    <w:p w14:paraId="5F57D454" w14:textId="77777777" w:rsidR="002E41AC" w:rsidRDefault="00C61E51">
      <w:pPr>
        <w:pStyle w:val="Heading2"/>
      </w:pPr>
      <w:r>
        <w:t>8.1 Fulminant Myocarditis</w:t>
      </w:r>
    </w:p>
    <w:p w14:paraId="477984FD"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Fulminant myocarditis is paradoxical; while it is characterized by symptoms including rapid onset of heart failure, cardiogenic shock, severe arrhythmia, or need for mechanical circulatory support, it also has a high early mortality rate and a significant risk of requiring transplantation [3-4,20,30-32]. For those individuals who endure the acute phase, however, there can be a large percent of functional recovery of the left ventricle and, often times, complete recovery. It is critically important that medical practitioners are aware of the paradox of high early hazard with a large potential functional recovery when they provide counseling to families, and when they consider what treatment options would be in the best interest of individual patients.</w:t>
      </w:r>
    </w:p>
    <w:p w14:paraId="1BEFBC06" w14:textId="77777777" w:rsidR="002E41AC" w:rsidRDefault="002E41AC">
      <w:pPr>
        <w:pStyle w:val="Heading2"/>
        <w:rPr>
          <w:rFonts w:ascii="Cambria" w:eastAsia="MS Mincho" w:hAnsi="Cambria" w:cs="Arial"/>
          <w:b w:val="0"/>
          <w:bCs w:val="0"/>
          <w:color w:val="auto"/>
          <w:sz w:val="21"/>
          <w:szCs w:val="22"/>
        </w:rPr>
      </w:pPr>
    </w:p>
    <w:p w14:paraId="570CEB0D"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management of severe myocarditis in the present day revolves around timeliness: fast identification, aggressive hemodynamic treatment, endomyocardial biopsy when possible, and quick progression to ECMO or VAD as needed [3-4, 29, 35, 36]. The literature on mechanical circulatory support demonstrates that there is growing evidence that a temporary device is not just a bridge to transplant, but in a significant subgroup acts as a bridge to recovery [29, 35, 36]. Older surgical reports and more recent reviews have documented successful ventricular recovery even after significant initial impairment, as long as the support is initiated prior to the development of irreversible multi-organ failure.</w:t>
      </w:r>
    </w:p>
    <w:p w14:paraId="25A22665" w14:textId="77777777" w:rsidR="002E41AC" w:rsidRDefault="002E41AC">
      <w:pPr>
        <w:pStyle w:val="Heading2"/>
        <w:rPr>
          <w:rFonts w:ascii="Cambria" w:eastAsia="MS Mincho" w:hAnsi="Cambria" w:cs="Arial"/>
          <w:b w:val="0"/>
          <w:bCs w:val="0"/>
          <w:color w:val="auto"/>
          <w:sz w:val="21"/>
          <w:szCs w:val="22"/>
        </w:rPr>
      </w:pPr>
    </w:p>
    <w:p w14:paraId="58A7ADE8"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approach to recovery after severe myocarditis should be different than that for recovery after uncomplicated disease. Discharge survival is the first milestone. The next goal is to determine how successful one is at weaning from support, achieving reverse remodeling, achieving a stable rhythm, and assessing for ongoing inflammation or immune-mediated pathology. As there will usually be more consideration of biopsy in patients with severe myocarditis, this phenotype demonstrates how important specificity in terms of etiology of myocarditis is: giant cell myocarditis, necrotizing eosinophilic myocarditis, and lymphocytic fulminant myocarditis are not clinically interchangeable [3-4, 37, 38].</w:t>
      </w:r>
    </w:p>
    <w:p w14:paraId="33C7867B" w14:textId="77777777" w:rsidR="002E41AC" w:rsidRDefault="00C61E51">
      <w:pPr>
        <w:pStyle w:val="Heading2"/>
      </w:pPr>
      <w:r>
        <w:t>8.2 Pediatric Myocarditis and MIS-C</w:t>
      </w:r>
    </w:p>
    <w:p w14:paraId="087EF76D"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lastRenderedPageBreak/>
        <w:t>Although ventricular function has been noted to have a rapid and complete recovery in most children, there is a substantial body of evidence indicating that clinical recovery may not correlate with full resolution of the underlying pathology of the heart muscle. Multiple studies conducted in paediatric populations have identified diminished or absent cardiac magnetic resonance imaging (CMR) changes on follow-up when compared to reference populations, despite good clinical recovery from myocarditis in these children. Additionally, studies suggest that an apparent complete recovery from the acute phase of myocarditis does not assure that a child’s heart does not retain an easily identifiable anatomical or functional scar as evidence of previous injury [40, 41].</w:t>
      </w:r>
    </w:p>
    <w:p w14:paraId="09E6C2CE" w14:textId="77777777" w:rsidR="002E41AC" w:rsidRDefault="002E41AC">
      <w:pPr>
        <w:pStyle w:val="Heading2"/>
        <w:rPr>
          <w:rFonts w:ascii="Cambria" w:eastAsia="MS Mincho" w:hAnsi="Cambria" w:cs="Arial"/>
          <w:b w:val="0"/>
          <w:bCs w:val="0"/>
          <w:color w:val="auto"/>
          <w:sz w:val="21"/>
          <w:szCs w:val="22"/>
        </w:rPr>
      </w:pPr>
    </w:p>
    <w:p w14:paraId="74CC00C5"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In addition to the information noted above, the growing impact of the COVID-19 pandemic has provided new insights into the heart’s ability to heal from the presence of cardiovascular disease attributable to multisystem inflammatory syndrome (MIS-C) in children. Children who suffer from MIS-C generally demonstrate rapid recovery from cardiac dysfunction, and thus far, long-term clinical outcomes have appeared favourable [42, 43]. Yet, when examined from a CMR perspective, subtle residual CMR findings may remain in many children, despite apparent clinical recovery [40, 41, 43]. Taken together, the available data suggest that although MIS-C appears to have many similarities with classic myocarditis, recovery from MIS-C requires evaluation by multiple methods to reach a definitive conclusion.</w:t>
      </w:r>
    </w:p>
    <w:p w14:paraId="51467EA6" w14:textId="77777777" w:rsidR="002E41AC" w:rsidRDefault="00C61E51">
      <w:pPr>
        <w:pStyle w:val="Heading2"/>
      </w:pPr>
      <w:r>
        <w:t>8.3 Vaccine-Associated Myocarditis</w:t>
      </w:r>
    </w:p>
    <w:p w14:paraId="18759487"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Myocarditis associated with vaccination (specifically, with mRNA COVID-19 vaccines) has been one of the most extensively studied recovery phenotypes in recent years [30-34]. The overall medium-term clinical outlook appears favorable for the majority of affected adolescents and young adults—most of whom experience relatively mild clinical courses initially, spend only a short time in the hospital, and have excellent recovery from the presenting symptoms and from left ventricular function [30-33]. The results of a variety of follow-up studies, including state-wide patient registries in both the United States and Australia, indicate that a majority of patients have returned to a state of clinical recovery according to their treating physician, and lifecare evaluation return rates are high [31-33].</w:t>
      </w:r>
    </w:p>
    <w:p w14:paraId="71CFB9EF" w14:textId="77777777" w:rsidR="002E41AC" w:rsidRDefault="002E41AC">
      <w:pPr>
        <w:pStyle w:val="Heading2"/>
        <w:rPr>
          <w:rFonts w:ascii="Cambria" w:eastAsia="MS Mincho" w:hAnsi="Cambria" w:cs="Arial"/>
          <w:b w:val="0"/>
          <w:bCs w:val="0"/>
          <w:color w:val="auto"/>
          <w:sz w:val="21"/>
          <w:szCs w:val="22"/>
        </w:rPr>
      </w:pPr>
    </w:p>
    <w:p w14:paraId="491CFD2F"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In contrast, follow-up imaging investigations yielded a more nuanced picture. Evaluation of several cohorts with follow-up with cardiac magnetic resonance (CMR) have shown a substantial number of patients demonstrate persistent late gadolinium enhancement (LGE) despite otherwise favorable clinical courses [42-45]. The MACiV study, a multicenter collaboration with the ability to provide both longitudinal follow-up and imaging data on a large number of individuals, found the results of clinical investigations were generally reassuring and, regardless, that the LGE status remained frequently positive at the time of the medium-term follow-up assessment [34]. Further, Semenzato et al. proposed that patients who develop vaccine-related myocarditis will likely have a better long-term prognosis than those who develop viral or traditional myocarditis, at least with respect to key outcomes associated with heart failure [33]. Regardless of this encouraging body of evidence, the presence of myocardial injury suggests continued follow-up is warranted, and simplistic reassurance should be avoided.</w:t>
      </w:r>
    </w:p>
    <w:p w14:paraId="7829DB8C" w14:textId="77777777" w:rsidR="002E41AC" w:rsidRDefault="00C61E51">
      <w:pPr>
        <w:pStyle w:val="Heading2"/>
      </w:pPr>
      <w:r>
        <w:t>8.4 Giant Cell, Eosinophilic, and Other Immune-Mediated Forms</w:t>
      </w:r>
    </w:p>
    <w:p w14:paraId="78D88424"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lastRenderedPageBreak/>
        <w:t>Recovery is frequently defined by the way an appropriate response to an aggressive immune-mediated disease happens such as the example shown with Giant Cell Myocarditis where early diagnosis, immunosuppression, and timely treatment are vital for recovery and the likelihood of death is high [33]; and Necrotizing Eosinophilic Myocarditis that does lose the opportunity to recover may experience marked improvement with immunosuppression and circulatory support if initiated early [34]. These two diseases and their subtypes are symptomatic of the fact that recovery (health) cannot be separated from the cause of the disease (etiologic treatment) and while conventional heart failure management will be a part of the recovery process they will not be enough by themselves to ensure a successful outcome.</w:t>
      </w:r>
    </w:p>
    <w:p w14:paraId="255243B4" w14:textId="77777777" w:rsidR="002E41AC" w:rsidRDefault="002E41AC">
      <w:pPr>
        <w:pStyle w:val="Heading2"/>
        <w:rPr>
          <w:rFonts w:ascii="Cambria" w:eastAsia="MS Mincho" w:hAnsi="Cambria" w:cs="Arial"/>
          <w:b w:val="0"/>
          <w:bCs w:val="0"/>
          <w:color w:val="auto"/>
          <w:sz w:val="21"/>
          <w:szCs w:val="22"/>
        </w:rPr>
      </w:pPr>
    </w:p>
    <w:p w14:paraId="5FFC1626" w14:textId="77777777" w:rsidR="002E41AC" w:rsidRDefault="00C61E51">
      <w:pPr>
        <w:pStyle w:val="Heading2"/>
        <w:rPr>
          <w:rFonts w:ascii="Cambria" w:eastAsia="MS Mincho" w:hAnsi="Cambria" w:cs="Arial"/>
          <w:b w:val="0"/>
          <w:bCs w:val="0"/>
          <w:color w:val="auto"/>
          <w:sz w:val="21"/>
          <w:szCs w:val="22"/>
        </w:rPr>
      </w:pPr>
      <w:r>
        <w:rPr>
          <w:rFonts w:ascii="Cambria" w:eastAsia="MS Mincho" w:hAnsi="Cambria" w:cs="Arial"/>
          <w:b w:val="0"/>
          <w:bCs w:val="0"/>
          <w:color w:val="auto"/>
          <w:sz w:val="21"/>
          <w:szCs w:val="22"/>
        </w:rPr>
        <w:t>It is important for clinicians to understand how rare conditions like Giant Cell Myocarditis and Necrotizing Eosinophilic Myocarditis should be emphasized in an examination of recovery from myocarditis as the conditions provide valuable insight into the multi-faceted nature of myocarditis as a disease. Specifically, these rare and often aggressive forms provide support to clinicians in considering the potential under-diagnosis of myocarditis and stimulate clinical examination of the diagnosis by means of biopsy strategies, autoimmune background, potential toxic exposures and occult (unidentified) cardiomyopathy rather than passively observing the patient without taking actions to confirm the underlying cause(s) of the myocarditis.</w:t>
      </w:r>
    </w:p>
    <w:p w14:paraId="64EA8DC3" w14:textId="77777777" w:rsidR="002E41AC" w:rsidRDefault="00C61E51">
      <w:pPr>
        <w:pStyle w:val="Heading2"/>
      </w:pPr>
      <w:r>
        <w:t>Table 3. Recovery patterns across major myocarditis phenotypes.</w:t>
      </w:r>
    </w:p>
    <w:tbl>
      <w:tblPr>
        <w:tblStyle w:val="TableGrid"/>
        <w:tblW w:w="0" w:type="auto"/>
        <w:jc w:val="center"/>
        <w:tblLook w:val="04A0" w:firstRow="1" w:lastRow="0" w:firstColumn="1" w:lastColumn="0" w:noHBand="0" w:noVBand="1"/>
      </w:tblPr>
      <w:tblGrid>
        <w:gridCol w:w="2235"/>
        <w:gridCol w:w="2650"/>
        <w:gridCol w:w="2782"/>
        <w:gridCol w:w="2305"/>
      </w:tblGrid>
      <w:tr w:rsidR="002E41AC" w14:paraId="08B0EEC4" w14:textId="77777777">
        <w:trPr>
          <w:tblHeader/>
          <w:jc w:val="center"/>
        </w:trPr>
        <w:tc>
          <w:tcPr>
            <w:tcW w:w="2235" w:type="dxa"/>
            <w:shd w:val="clear" w:color="auto" w:fill="DCEFEF"/>
            <w:tcMar>
              <w:top w:w="80" w:type="dxa"/>
              <w:left w:w="90" w:type="dxa"/>
              <w:bottom w:w="80" w:type="dxa"/>
              <w:right w:w="90" w:type="dxa"/>
            </w:tcMar>
            <w:vAlign w:val="center"/>
          </w:tcPr>
          <w:p w14:paraId="154D6981" w14:textId="77777777" w:rsidR="002E41AC" w:rsidRDefault="00C61E51">
            <w:pPr>
              <w:spacing w:after="0" w:line="259" w:lineRule="auto"/>
              <w:jc w:val="center"/>
            </w:pPr>
            <w:r>
              <w:rPr>
                <w:b/>
                <w:color w:val="184B52"/>
                <w:sz w:val="18"/>
              </w:rPr>
              <w:t>Phenotype</w:t>
            </w:r>
          </w:p>
        </w:tc>
        <w:tc>
          <w:tcPr>
            <w:tcW w:w="2650" w:type="dxa"/>
            <w:shd w:val="clear" w:color="auto" w:fill="DCEFEF"/>
            <w:tcMar>
              <w:top w:w="80" w:type="dxa"/>
              <w:left w:w="90" w:type="dxa"/>
              <w:bottom w:w="80" w:type="dxa"/>
              <w:right w:w="90" w:type="dxa"/>
            </w:tcMar>
            <w:vAlign w:val="center"/>
          </w:tcPr>
          <w:p w14:paraId="55D53069" w14:textId="77777777" w:rsidR="002E41AC" w:rsidRDefault="00C61E51">
            <w:pPr>
              <w:spacing w:after="0" w:line="259" w:lineRule="auto"/>
              <w:jc w:val="center"/>
            </w:pPr>
            <w:r>
              <w:rPr>
                <w:b/>
                <w:color w:val="184B52"/>
                <w:sz w:val="18"/>
              </w:rPr>
              <w:t>Typical short-term course</w:t>
            </w:r>
          </w:p>
        </w:tc>
        <w:tc>
          <w:tcPr>
            <w:tcW w:w="2782" w:type="dxa"/>
            <w:shd w:val="clear" w:color="auto" w:fill="DCEFEF"/>
            <w:tcMar>
              <w:top w:w="80" w:type="dxa"/>
              <w:left w:w="90" w:type="dxa"/>
              <w:bottom w:w="80" w:type="dxa"/>
              <w:right w:w="90" w:type="dxa"/>
            </w:tcMar>
            <w:vAlign w:val="center"/>
          </w:tcPr>
          <w:p w14:paraId="6EAF0EF9" w14:textId="77777777" w:rsidR="002E41AC" w:rsidRDefault="00C61E51">
            <w:pPr>
              <w:spacing w:after="0" w:line="259" w:lineRule="auto"/>
              <w:jc w:val="center"/>
            </w:pPr>
            <w:r>
              <w:rPr>
                <w:b/>
                <w:color w:val="184B52"/>
                <w:sz w:val="18"/>
              </w:rPr>
              <w:t>Recovery pattern</w:t>
            </w:r>
          </w:p>
        </w:tc>
        <w:tc>
          <w:tcPr>
            <w:tcW w:w="2305" w:type="dxa"/>
            <w:shd w:val="clear" w:color="auto" w:fill="DCEFEF"/>
            <w:tcMar>
              <w:top w:w="80" w:type="dxa"/>
              <w:left w:w="90" w:type="dxa"/>
              <w:bottom w:w="80" w:type="dxa"/>
              <w:right w:w="90" w:type="dxa"/>
            </w:tcMar>
            <w:vAlign w:val="center"/>
          </w:tcPr>
          <w:p w14:paraId="4CDE56B3" w14:textId="77777777" w:rsidR="002E41AC" w:rsidRDefault="00C61E51">
            <w:pPr>
              <w:spacing w:after="0" w:line="259" w:lineRule="auto"/>
              <w:jc w:val="center"/>
            </w:pPr>
            <w:r>
              <w:rPr>
                <w:b/>
                <w:color w:val="184B52"/>
                <w:sz w:val="18"/>
              </w:rPr>
              <w:t>Main caution</w:t>
            </w:r>
          </w:p>
        </w:tc>
      </w:tr>
      <w:tr w:rsidR="002E41AC" w14:paraId="0B4A03AB" w14:textId="77777777">
        <w:trPr>
          <w:jc w:val="center"/>
        </w:trPr>
        <w:tc>
          <w:tcPr>
            <w:tcW w:w="2235" w:type="dxa"/>
            <w:tcMar>
              <w:top w:w="80" w:type="dxa"/>
              <w:left w:w="90" w:type="dxa"/>
              <w:bottom w:w="80" w:type="dxa"/>
              <w:right w:w="90" w:type="dxa"/>
            </w:tcMar>
            <w:vAlign w:val="center"/>
          </w:tcPr>
          <w:p w14:paraId="06C49199" w14:textId="77777777" w:rsidR="002E41AC" w:rsidRDefault="00C61E51">
            <w:pPr>
              <w:spacing w:after="0" w:line="259" w:lineRule="auto"/>
            </w:pPr>
            <w:r>
              <w:rPr>
                <w:sz w:val="18"/>
              </w:rPr>
              <w:t>Uncomplicated infarct-like or mild acute myocarditis</w:t>
            </w:r>
          </w:p>
        </w:tc>
        <w:tc>
          <w:tcPr>
            <w:tcW w:w="2650" w:type="dxa"/>
            <w:tcMar>
              <w:top w:w="80" w:type="dxa"/>
              <w:left w:w="90" w:type="dxa"/>
              <w:bottom w:w="80" w:type="dxa"/>
              <w:right w:w="90" w:type="dxa"/>
            </w:tcMar>
            <w:vAlign w:val="center"/>
          </w:tcPr>
          <w:p w14:paraId="3E125D7E" w14:textId="77777777" w:rsidR="002E41AC" w:rsidRDefault="00C61E51">
            <w:pPr>
              <w:spacing w:after="0" w:line="259" w:lineRule="auto"/>
            </w:pPr>
            <w:r>
              <w:rPr>
                <w:sz w:val="18"/>
              </w:rPr>
              <w:t>Often rapid symptom improvement and preserved or mildly reduced function</w:t>
            </w:r>
          </w:p>
        </w:tc>
        <w:tc>
          <w:tcPr>
            <w:tcW w:w="2782" w:type="dxa"/>
            <w:tcMar>
              <w:top w:w="80" w:type="dxa"/>
              <w:left w:w="90" w:type="dxa"/>
              <w:bottom w:w="80" w:type="dxa"/>
              <w:right w:w="90" w:type="dxa"/>
            </w:tcMar>
            <w:vAlign w:val="center"/>
          </w:tcPr>
          <w:p w14:paraId="61998C7A" w14:textId="77777777" w:rsidR="002E41AC" w:rsidRDefault="00C61E51">
            <w:pPr>
              <w:spacing w:after="0" w:line="259" w:lineRule="auto"/>
              <w:jc w:val="center"/>
            </w:pPr>
            <w:r>
              <w:rPr>
                <w:sz w:val="18"/>
              </w:rPr>
              <w:t>Usually favorable clinical recovery; residual scar may persist</w:t>
            </w:r>
          </w:p>
        </w:tc>
        <w:tc>
          <w:tcPr>
            <w:tcW w:w="2305" w:type="dxa"/>
            <w:tcMar>
              <w:top w:w="80" w:type="dxa"/>
              <w:left w:w="90" w:type="dxa"/>
              <w:bottom w:w="80" w:type="dxa"/>
              <w:right w:w="90" w:type="dxa"/>
            </w:tcMar>
            <w:vAlign w:val="center"/>
          </w:tcPr>
          <w:p w14:paraId="5AAF1F20" w14:textId="77777777" w:rsidR="002E41AC" w:rsidRDefault="00C61E51">
            <w:pPr>
              <w:spacing w:after="0" w:line="259" w:lineRule="auto"/>
              <w:jc w:val="center"/>
            </w:pPr>
            <w:r>
              <w:rPr>
                <w:sz w:val="18"/>
              </w:rPr>
              <w:t>Do not assume complete healing without follow-up</w:t>
            </w:r>
          </w:p>
        </w:tc>
      </w:tr>
      <w:tr w:rsidR="002E41AC" w14:paraId="78626E35" w14:textId="77777777">
        <w:trPr>
          <w:jc w:val="center"/>
        </w:trPr>
        <w:tc>
          <w:tcPr>
            <w:tcW w:w="2235" w:type="dxa"/>
            <w:tcMar>
              <w:top w:w="80" w:type="dxa"/>
              <w:left w:w="90" w:type="dxa"/>
              <w:bottom w:w="80" w:type="dxa"/>
              <w:right w:w="90" w:type="dxa"/>
            </w:tcMar>
            <w:vAlign w:val="center"/>
          </w:tcPr>
          <w:p w14:paraId="317B5FF5" w14:textId="77777777" w:rsidR="002E41AC" w:rsidRDefault="00C61E51">
            <w:pPr>
              <w:spacing w:after="0" w:line="259" w:lineRule="auto"/>
            </w:pPr>
            <w:r>
              <w:rPr>
                <w:sz w:val="18"/>
              </w:rPr>
              <w:t>Complicated nonfulminant myocarditis</w:t>
            </w:r>
          </w:p>
        </w:tc>
        <w:tc>
          <w:tcPr>
            <w:tcW w:w="2650" w:type="dxa"/>
            <w:tcMar>
              <w:top w:w="80" w:type="dxa"/>
              <w:left w:w="90" w:type="dxa"/>
              <w:bottom w:w="80" w:type="dxa"/>
              <w:right w:w="90" w:type="dxa"/>
            </w:tcMar>
            <w:vAlign w:val="center"/>
          </w:tcPr>
          <w:p w14:paraId="651D139E" w14:textId="77777777" w:rsidR="002E41AC" w:rsidRDefault="00C61E51">
            <w:pPr>
              <w:spacing w:after="0" w:line="259" w:lineRule="auto"/>
            </w:pPr>
            <w:r>
              <w:rPr>
                <w:sz w:val="18"/>
              </w:rPr>
              <w:t>HF, arrhythmia, or clear ventricular dysfunction without frank shock</w:t>
            </w:r>
          </w:p>
        </w:tc>
        <w:tc>
          <w:tcPr>
            <w:tcW w:w="2782" w:type="dxa"/>
            <w:tcMar>
              <w:top w:w="80" w:type="dxa"/>
              <w:left w:w="90" w:type="dxa"/>
              <w:bottom w:w="80" w:type="dxa"/>
              <w:right w:w="90" w:type="dxa"/>
            </w:tcMar>
            <w:vAlign w:val="center"/>
          </w:tcPr>
          <w:p w14:paraId="27867788" w14:textId="77777777" w:rsidR="002E41AC" w:rsidRDefault="00C61E51">
            <w:pPr>
              <w:spacing w:after="0" w:line="259" w:lineRule="auto"/>
              <w:jc w:val="center"/>
            </w:pPr>
            <w:r>
              <w:rPr>
                <w:sz w:val="18"/>
              </w:rPr>
              <w:t>Recovery is more variable; reverse remodeling may be incomplete</w:t>
            </w:r>
          </w:p>
        </w:tc>
        <w:tc>
          <w:tcPr>
            <w:tcW w:w="2305" w:type="dxa"/>
            <w:tcMar>
              <w:top w:w="80" w:type="dxa"/>
              <w:left w:w="90" w:type="dxa"/>
              <w:bottom w:w="80" w:type="dxa"/>
              <w:right w:w="90" w:type="dxa"/>
            </w:tcMar>
            <w:vAlign w:val="center"/>
          </w:tcPr>
          <w:p w14:paraId="6CA45BCB" w14:textId="77777777" w:rsidR="002E41AC" w:rsidRDefault="00C61E51">
            <w:pPr>
              <w:spacing w:after="0" w:line="259" w:lineRule="auto"/>
              <w:jc w:val="center"/>
            </w:pPr>
            <w:r>
              <w:rPr>
                <w:sz w:val="18"/>
              </w:rPr>
              <w:t>Needs closer surveillance than symptom profile alone suggests</w:t>
            </w:r>
          </w:p>
        </w:tc>
      </w:tr>
      <w:tr w:rsidR="002E41AC" w14:paraId="4B475F56" w14:textId="77777777">
        <w:trPr>
          <w:jc w:val="center"/>
        </w:trPr>
        <w:tc>
          <w:tcPr>
            <w:tcW w:w="2235" w:type="dxa"/>
            <w:tcMar>
              <w:top w:w="80" w:type="dxa"/>
              <w:left w:w="90" w:type="dxa"/>
              <w:bottom w:w="80" w:type="dxa"/>
              <w:right w:w="90" w:type="dxa"/>
            </w:tcMar>
            <w:vAlign w:val="center"/>
          </w:tcPr>
          <w:p w14:paraId="732AE402" w14:textId="77777777" w:rsidR="002E41AC" w:rsidRDefault="00C61E51">
            <w:pPr>
              <w:spacing w:after="0" w:line="259" w:lineRule="auto"/>
            </w:pPr>
            <w:r>
              <w:rPr>
                <w:sz w:val="18"/>
              </w:rPr>
              <w:t>Fulminant myocarditis</w:t>
            </w:r>
          </w:p>
        </w:tc>
        <w:tc>
          <w:tcPr>
            <w:tcW w:w="2650" w:type="dxa"/>
            <w:tcMar>
              <w:top w:w="80" w:type="dxa"/>
              <w:left w:w="90" w:type="dxa"/>
              <w:bottom w:w="80" w:type="dxa"/>
              <w:right w:w="90" w:type="dxa"/>
            </w:tcMar>
            <w:vAlign w:val="center"/>
          </w:tcPr>
          <w:p w14:paraId="4F7A0B33" w14:textId="77777777" w:rsidR="002E41AC" w:rsidRDefault="00C61E51">
            <w:pPr>
              <w:spacing w:after="0" w:line="259" w:lineRule="auto"/>
            </w:pPr>
            <w:r>
              <w:rPr>
                <w:sz w:val="18"/>
              </w:rPr>
              <w:t>Shock, malignant arrhythmia, or need for inotropes/MCS</w:t>
            </w:r>
          </w:p>
        </w:tc>
        <w:tc>
          <w:tcPr>
            <w:tcW w:w="2782" w:type="dxa"/>
            <w:tcMar>
              <w:top w:w="80" w:type="dxa"/>
              <w:left w:w="90" w:type="dxa"/>
              <w:bottom w:w="80" w:type="dxa"/>
              <w:right w:w="90" w:type="dxa"/>
            </w:tcMar>
            <w:vAlign w:val="center"/>
          </w:tcPr>
          <w:p w14:paraId="180C81B7" w14:textId="77777777" w:rsidR="002E41AC" w:rsidRDefault="00C61E51">
            <w:pPr>
              <w:spacing w:after="0" w:line="259" w:lineRule="auto"/>
              <w:jc w:val="center"/>
            </w:pPr>
            <w:r>
              <w:rPr>
                <w:sz w:val="18"/>
              </w:rPr>
              <w:t>High early risk; survivors can recover impressively</w:t>
            </w:r>
          </w:p>
        </w:tc>
        <w:tc>
          <w:tcPr>
            <w:tcW w:w="2305" w:type="dxa"/>
            <w:tcMar>
              <w:top w:w="80" w:type="dxa"/>
              <w:left w:w="90" w:type="dxa"/>
              <w:bottom w:w="80" w:type="dxa"/>
              <w:right w:w="90" w:type="dxa"/>
            </w:tcMar>
            <w:vAlign w:val="center"/>
          </w:tcPr>
          <w:p w14:paraId="32D90952" w14:textId="77777777" w:rsidR="002E41AC" w:rsidRDefault="00C61E51">
            <w:pPr>
              <w:spacing w:after="0" w:line="259" w:lineRule="auto"/>
              <w:jc w:val="center"/>
            </w:pPr>
            <w:r>
              <w:rPr>
                <w:sz w:val="18"/>
              </w:rPr>
              <w:t>Outcome depends on rapid recognition and advanced support</w:t>
            </w:r>
          </w:p>
        </w:tc>
      </w:tr>
      <w:tr w:rsidR="002E41AC" w14:paraId="6C33A5A8" w14:textId="77777777">
        <w:trPr>
          <w:jc w:val="center"/>
        </w:trPr>
        <w:tc>
          <w:tcPr>
            <w:tcW w:w="2235" w:type="dxa"/>
            <w:tcMar>
              <w:top w:w="80" w:type="dxa"/>
              <w:left w:w="90" w:type="dxa"/>
              <w:bottom w:w="80" w:type="dxa"/>
              <w:right w:w="90" w:type="dxa"/>
            </w:tcMar>
            <w:vAlign w:val="center"/>
          </w:tcPr>
          <w:p w14:paraId="0C214A33" w14:textId="77777777" w:rsidR="002E41AC" w:rsidRDefault="00C61E51">
            <w:pPr>
              <w:spacing w:after="0" w:line="259" w:lineRule="auto"/>
            </w:pPr>
            <w:r>
              <w:rPr>
                <w:sz w:val="18"/>
              </w:rPr>
              <w:t>Pediatric myocarditis</w:t>
            </w:r>
          </w:p>
        </w:tc>
        <w:tc>
          <w:tcPr>
            <w:tcW w:w="2650" w:type="dxa"/>
            <w:tcMar>
              <w:top w:w="80" w:type="dxa"/>
              <w:left w:w="90" w:type="dxa"/>
              <w:bottom w:w="80" w:type="dxa"/>
              <w:right w:w="90" w:type="dxa"/>
            </w:tcMar>
          </w:tcPr>
          <w:p w14:paraId="742845D7" w14:textId="77777777" w:rsidR="002E41AC" w:rsidRDefault="00C61E51">
            <w:pPr>
              <w:spacing w:after="0" w:line="259" w:lineRule="auto"/>
            </w:pPr>
            <w:r>
              <w:t xml:space="preserve">Often marked functional recovery </w:t>
            </w:r>
            <w:r>
              <w:rPr>
                <w:b/>
                <w:bCs/>
              </w:rPr>
              <w:t>[40, 41]</w:t>
            </w:r>
            <w:r>
              <w:t>.</w:t>
            </w:r>
          </w:p>
        </w:tc>
        <w:tc>
          <w:tcPr>
            <w:tcW w:w="2782" w:type="dxa"/>
            <w:tcMar>
              <w:top w:w="80" w:type="dxa"/>
              <w:left w:w="90" w:type="dxa"/>
              <w:bottom w:w="80" w:type="dxa"/>
              <w:right w:w="90" w:type="dxa"/>
            </w:tcMar>
            <w:vAlign w:val="center"/>
          </w:tcPr>
          <w:p w14:paraId="480C359A" w14:textId="77777777" w:rsidR="002E41AC" w:rsidRDefault="00C61E51">
            <w:pPr>
              <w:spacing w:after="0" w:line="259" w:lineRule="auto"/>
              <w:jc w:val="center"/>
            </w:pPr>
            <w:r>
              <w:rPr>
                <w:sz w:val="18"/>
              </w:rPr>
              <w:t>Residual CMR abnormalities may persist despite clinical improvement</w:t>
            </w:r>
          </w:p>
        </w:tc>
        <w:tc>
          <w:tcPr>
            <w:tcW w:w="2305" w:type="dxa"/>
            <w:tcMar>
              <w:top w:w="80" w:type="dxa"/>
              <w:left w:w="90" w:type="dxa"/>
              <w:bottom w:w="80" w:type="dxa"/>
              <w:right w:w="90" w:type="dxa"/>
            </w:tcMar>
            <w:vAlign w:val="center"/>
          </w:tcPr>
          <w:p w14:paraId="17712F63" w14:textId="77777777" w:rsidR="002E41AC" w:rsidRDefault="00C61E51">
            <w:pPr>
              <w:spacing w:after="0" w:line="259" w:lineRule="auto"/>
              <w:jc w:val="center"/>
            </w:pPr>
            <w:r>
              <w:rPr>
                <w:sz w:val="18"/>
              </w:rPr>
              <w:t>Structural follow-up may remain informative</w:t>
            </w:r>
          </w:p>
        </w:tc>
      </w:tr>
      <w:tr w:rsidR="002E41AC" w14:paraId="42433B50" w14:textId="77777777">
        <w:trPr>
          <w:jc w:val="center"/>
        </w:trPr>
        <w:tc>
          <w:tcPr>
            <w:tcW w:w="2235" w:type="dxa"/>
            <w:tcMar>
              <w:top w:w="80" w:type="dxa"/>
              <w:left w:w="90" w:type="dxa"/>
              <w:bottom w:w="80" w:type="dxa"/>
              <w:right w:w="90" w:type="dxa"/>
            </w:tcMar>
            <w:vAlign w:val="center"/>
          </w:tcPr>
          <w:p w14:paraId="1466FCD2" w14:textId="77777777" w:rsidR="002E41AC" w:rsidRDefault="00C61E51">
            <w:pPr>
              <w:spacing w:after="0" w:line="259" w:lineRule="auto"/>
            </w:pPr>
            <w:r>
              <w:rPr>
                <w:sz w:val="18"/>
              </w:rPr>
              <w:t>MIS-C-related myocardial involvement</w:t>
            </w:r>
          </w:p>
        </w:tc>
        <w:tc>
          <w:tcPr>
            <w:tcW w:w="2650" w:type="dxa"/>
            <w:tcMar>
              <w:top w:w="80" w:type="dxa"/>
              <w:left w:w="90" w:type="dxa"/>
              <w:bottom w:w="80" w:type="dxa"/>
              <w:right w:w="90" w:type="dxa"/>
            </w:tcMar>
          </w:tcPr>
          <w:p w14:paraId="4DFDAF39" w14:textId="77777777" w:rsidR="002E41AC" w:rsidRDefault="00C61E51">
            <w:pPr>
              <w:spacing w:after="0" w:line="259" w:lineRule="auto"/>
            </w:pPr>
            <w:r>
              <w:t xml:space="preserve">Usually rapid hemodynamic improvement </w:t>
            </w:r>
            <w:r>
              <w:rPr>
                <w:b/>
                <w:bCs/>
              </w:rPr>
              <w:t>[42, 43]</w:t>
            </w:r>
            <w:r>
              <w:t>.</w:t>
            </w:r>
          </w:p>
        </w:tc>
        <w:tc>
          <w:tcPr>
            <w:tcW w:w="2782" w:type="dxa"/>
            <w:tcMar>
              <w:top w:w="80" w:type="dxa"/>
              <w:left w:w="90" w:type="dxa"/>
              <w:bottom w:w="80" w:type="dxa"/>
              <w:right w:w="90" w:type="dxa"/>
            </w:tcMar>
            <w:vAlign w:val="center"/>
          </w:tcPr>
          <w:p w14:paraId="1837FA9F" w14:textId="77777777" w:rsidR="002E41AC" w:rsidRDefault="00C61E51">
            <w:pPr>
              <w:spacing w:after="0" w:line="259" w:lineRule="auto"/>
              <w:jc w:val="center"/>
            </w:pPr>
            <w:r>
              <w:rPr>
                <w:sz w:val="18"/>
              </w:rPr>
              <w:t>Medium-term clinical outcomes generally reassuring</w:t>
            </w:r>
          </w:p>
        </w:tc>
        <w:tc>
          <w:tcPr>
            <w:tcW w:w="2305" w:type="dxa"/>
            <w:tcMar>
              <w:top w:w="80" w:type="dxa"/>
              <w:left w:w="90" w:type="dxa"/>
              <w:bottom w:w="80" w:type="dxa"/>
              <w:right w:w="90" w:type="dxa"/>
            </w:tcMar>
            <w:vAlign w:val="center"/>
          </w:tcPr>
          <w:p w14:paraId="3696623B" w14:textId="77777777" w:rsidR="002E41AC" w:rsidRDefault="00C61E51">
            <w:pPr>
              <w:spacing w:after="0" w:line="259" w:lineRule="auto"/>
              <w:jc w:val="center"/>
            </w:pPr>
            <w:r>
              <w:rPr>
                <w:sz w:val="18"/>
              </w:rPr>
              <w:t>Subtle imaging abnormalities can outlast symptom resolution</w:t>
            </w:r>
          </w:p>
        </w:tc>
      </w:tr>
      <w:tr w:rsidR="002E41AC" w14:paraId="536E61BD" w14:textId="77777777">
        <w:trPr>
          <w:jc w:val="center"/>
        </w:trPr>
        <w:tc>
          <w:tcPr>
            <w:tcW w:w="2235" w:type="dxa"/>
            <w:tcMar>
              <w:top w:w="80" w:type="dxa"/>
              <w:left w:w="90" w:type="dxa"/>
              <w:bottom w:w="80" w:type="dxa"/>
              <w:right w:w="90" w:type="dxa"/>
            </w:tcMar>
            <w:vAlign w:val="center"/>
          </w:tcPr>
          <w:p w14:paraId="284749A6" w14:textId="77777777" w:rsidR="002E41AC" w:rsidRDefault="00C61E51">
            <w:pPr>
              <w:spacing w:after="0" w:line="259" w:lineRule="auto"/>
            </w:pPr>
            <w:r>
              <w:rPr>
                <w:sz w:val="18"/>
              </w:rPr>
              <w:t>Vaccine-associated myocarditis</w:t>
            </w:r>
          </w:p>
        </w:tc>
        <w:tc>
          <w:tcPr>
            <w:tcW w:w="2650" w:type="dxa"/>
            <w:tcMar>
              <w:top w:w="80" w:type="dxa"/>
              <w:left w:w="90" w:type="dxa"/>
              <w:bottom w:w="80" w:type="dxa"/>
              <w:right w:w="90" w:type="dxa"/>
            </w:tcMar>
          </w:tcPr>
          <w:p w14:paraId="51E13A1F" w14:textId="77777777" w:rsidR="002E41AC" w:rsidRDefault="00C61E51">
            <w:pPr>
              <w:spacing w:after="0" w:line="259" w:lineRule="auto"/>
            </w:pPr>
            <w:r>
              <w:t>Usually mild initial course in adolescents/young adults [30-34]</w:t>
            </w:r>
          </w:p>
        </w:tc>
        <w:tc>
          <w:tcPr>
            <w:tcW w:w="2782" w:type="dxa"/>
            <w:tcMar>
              <w:top w:w="80" w:type="dxa"/>
              <w:left w:w="90" w:type="dxa"/>
              <w:bottom w:w="80" w:type="dxa"/>
              <w:right w:w="90" w:type="dxa"/>
            </w:tcMar>
            <w:vAlign w:val="center"/>
          </w:tcPr>
          <w:p w14:paraId="487FA8C7" w14:textId="77777777" w:rsidR="002E41AC" w:rsidRDefault="00C61E51">
            <w:pPr>
              <w:spacing w:after="0" w:line="259" w:lineRule="auto"/>
              <w:jc w:val="center"/>
            </w:pPr>
            <w:r>
              <w:rPr>
                <w:sz w:val="18"/>
              </w:rPr>
              <w:t>Clinical recovery is often favorable; LGE may persist on follow-up</w:t>
            </w:r>
          </w:p>
        </w:tc>
        <w:tc>
          <w:tcPr>
            <w:tcW w:w="2305" w:type="dxa"/>
            <w:tcMar>
              <w:top w:w="80" w:type="dxa"/>
              <w:left w:w="90" w:type="dxa"/>
              <w:bottom w:w="80" w:type="dxa"/>
              <w:right w:w="90" w:type="dxa"/>
            </w:tcMar>
            <w:vAlign w:val="center"/>
          </w:tcPr>
          <w:p w14:paraId="647ABB40" w14:textId="77777777" w:rsidR="002E41AC" w:rsidRDefault="00C61E51">
            <w:pPr>
              <w:spacing w:after="0" w:line="259" w:lineRule="auto"/>
              <w:jc w:val="center"/>
            </w:pPr>
            <w:r>
              <w:rPr>
                <w:sz w:val="18"/>
              </w:rPr>
              <w:t>Avoid equating good symptoms with complete structural resolution</w:t>
            </w:r>
          </w:p>
        </w:tc>
      </w:tr>
      <w:tr w:rsidR="002E41AC" w14:paraId="088D4DFC" w14:textId="77777777">
        <w:trPr>
          <w:jc w:val="center"/>
        </w:trPr>
        <w:tc>
          <w:tcPr>
            <w:tcW w:w="2235" w:type="dxa"/>
            <w:tcMar>
              <w:top w:w="80" w:type="dxa"/>
              <w:left w:w="90" w:type="dxa"/>
              <w:bottom w:w="80" w:type="dxa"/>
              <w:right w:w="90" w:type="dxa"/>
            </w:tcMar>
            <w:vAlign w:val="center"/>
          </w:tcPr>
          <w:p w14:paraId="4CA8612F" w14:textId="77777777" w:rsidR="002E41AC" w:rsidRDefault="00C61E51">
            <w:pPr>
              <w:spacing w:after="0" w:line="259" w:lineRule="auto"/>
            </w:pPr>
            <w:r>
              <w:rPr>
                <w:sz w:val="18"/>
              </w:rPr>
              <w:t>Giant cell or eosinophilic myocarditis</w:t>
            </w:r>
          </w:p>
        </w:tc>
        <w:tc>
          <w:tcPr>
            <w:tcW w:w="2650" w:type="dxa"/>
            <w:tcMar>
              <w:top w:w="80" w:type="dxa"/>
              <w:left w:w="90" w:type="dxa"/>
              <w:bottom w:w="80" w:type="dxa"/>
              <w:right w:w="90" w:type="dxa"/>
            </w:tcMar>
            <w:vAlign w:val="center"/>
          </w:tcPr>
          <w:p w14:paraId="72A51386" w14:textId="77777777" w:rsidR="002E41AC" w:rsidRDefault="00C61E51">
            <w:pPr>
              <w:spacing w:after="0" w:line="259" w:lineRule="auto"/>
            </w:pPr>
            <w:r>
              <w:rPr>
                <w:sz w:val="18"/>
              </w:rPr>
              <w:t>Often severe and rapidly progressive</w:t>
            </w:r>
          </w:p>
        </w:tc>
        <w:tc>
          <w:tcPr>
            <w:tcW w:w="2782" w:type="dxa"/>
            <w:tcMar>
              <w:top w:w="80" w:type="dxa"/>
              <w:left w:w="90" w:type="dxa"/>
              <w:bottom w:w="80" w:type="dxa"/>
              <w:right w:w="90" w:type="dxa"/>
            </w:tcMar>
            <w:vAlign w:val="center"/>
          </w:tcPr>
          <w:p w14:paraId="41EAF883" w14:textId="77777777" w:rsidR="002E41AC" w:rsidRDefault="00C61E51">
            <w:pPr>
              <w:spacing w:after="0" w:line="259" w:lineRule="auto"/>
              <w:jc w:val="center"/>
            </w:pPr>
            <w:r>
              <w:rPr>
                <w:sz w:val="18"/>
              </w:rPr>
              <w:t>Recovery depends on early mechanism-directed therapy</w:t>
            </w:r>
          </w:p>
        </w:tc>
        <w:tc>
          <w:tcPr>
            <w:tcW w:w="2305" w:type="dxa"/>
            <w:tcMar>
              <w:top w:w="80" w:type="dxa"/>
              <w:left w:w="90" w:type="dxa"/>
              <w:bottom w:w="80" w:type="dxa"/>
              <w:right w:w="90" w:type="dxa"/>
            </w:tcMar>
            <w:vAlign w:val="center"/>
          </w:tcPr>
          <w:p w14:paraId="6E4C84BE" w14:textId="77777777" w:rsidR="002E41AC" w:rsidRDefault="00C61E51">
            <w:pPr>
              <w:spacing w:after="0" w:line="259" w:lineRule="auto"/>
              <w:jc w:val="center"/>
            </w:pPr>
            <w:r>
              <w:rPr>
                <w:sz w:val="18"/>
              </w:rPr>
              <w:t>Persistent or atypical course should trigger etiologic reconsideration</w:t>
            </w:r>
          </w:p>
        </w:tc>
      </w:tr>
    </w:tbl>
    <w:p w14:paraId="2FF571D2" w14:textId="77777777" w:rsidR="002E41AC" w:rsidRDefault="002E41AC"/>
    <w:p w14:paraId="761C64BF" w14:textId="77777777" w:rsidR="002E41AC" w:rsidRDefault="00C61E51">
      <w:pPr>
        <w:pStyle w:val="Heading1"/>
      </w:pPr>
      <w:r>
        <w:lastRenderedPageBreak/>
        <w:t>9. A Pragmatic Framework for Follow-Up After Acute Myocarditis</w:t>
      </w:r>
    </w:p>
    <w:p w14:paraId="3A51DCF6" w14:textId="77777777" w:rsidR="002E41AC" w:rsidRDefault="00C61E51">
      <w:r>
        <w:t>Once a patient has been diagnosed with myocarditis, it is essential to develop a follow-up strategy that will allow for intentional follow-up based on the diagnosis date. Often, the continuity of care is unclear, especially in children who may have improved prior to discharge yet appear to be fully functional upon discharge. Current recommendations oppose this approach. All patients will require reassessment within weeks of symptom onset, a review of medications, and a plan for restrictions on physical activity; in addition to this assessment, surveillance intensity should be based on the patient's unique phenotype.</w:t>
      </w:r>
    </w:p>
    <w:p w14:paraId="7196A0A8" w14:textId="77777777" w:rsidR="002E41AC" w:rsidRDefault="00C61E51">
      <w:r>
        <w:t>A clear and pragmatic four-step process for follow-up would include 1) an early review of symptoms, heart failure status, medication tolerance, and baseline rhythm and echocardiographic data from patients with significant initial heart involvement, approximately within four weeks post-diagnosis 2) an intermediate reassessment after approximately three months to evaluate whether the clinical recovery has been matched by electrical recovery and improvement in functional status; 3) an assessment after six months using symptoms, Left Ventricular Ejection Fraction (LVEF), percussion data, and repeat selective cardiovascular magnetic resonance imaging (CMR) will confirm whether the child can transition to a low-frequency follow-up strategy 4) those who remain at high risk for developing heart failure with clinical signs of continued inflammation will be monitored for a longer period of time if they demonstrate one or more of the following characteristics: residual damage, LVEF &lt; 0.45, arrhythmia, persistent symptoms, biopsy-proven aggressive forms of myocarditis, autoimmune condition, or suspected genetic predisposition.</w:t>
      </w:r>
    </w:p>
    <w:p w14:paraId="3A9E3E53" w14:textId="77777777" w:rsidR="002E41AC" w:rsidRDefault="00C61E51">
      <w:r>
        <w:t>This method of surveillance is flexible, and it won't suit every patient the same way. For instance, there are those with normal function and a complete resolution of symptoms who can expedite progression to a less intensive level of surveillance. Then there are those who require a much higher level of monitoring. The key point is that when a patient returns for their follow-up visit, the questions asked during the visit must be precise. For example; is my myocardium still inflamed? Has my scar stabilized? Do I still require treatment for heart failure? Is my risk for an arrhythmia low enough that I can return to vigorous activities? Does the pattern of what I have experienced indicate chronic inflammatory cardiomyopathy vs. a singular occurrence?</w:t>
      </w:r>
    </w:p>
    <w:p w14:paraId="63C9C234" w14:textId="77777777" w:rsidR="002E41AC" w:rsidRDefault="00C61E51">
      <w:r>
        <w:t>Patient education is an integral component of the strategy for follow-up care; it is not an optional "add-on." Patients need to understand why they were restricted from exercising following their initial presentation, what kind of symptoms would warrant urgent follow-up, and why follow-up tests (i.e., repeat imaging or rhythm monitoring) may be warranted even in the absence of any symptoms. The way patient interpret their level of recovery will have a significant influence on how quickly the patients return to their pre-injury lifestyle.</w:t>
      </w:r>
    </w:p>
    <w:p w14:paraId="4E2C2CBE" w14:textId="77777777" w:rsidR="002E41AC" w:rsidRDefault="00C61E51">
      <w:r>
        <w:t>Another important aspect to take into account is how long we should continue with medical therapy for patients post-recovery. Unfortunately there is no set time frame for doing so. For example, continuing guideline-directed medical therapy after recovery for patients with reduced left ventricular dysfunction (LVEF) is helpful until we have stable evidence of recovery [1-4]. For patients who are low risk and have normal heart function, have not had arrhythmia, and who will receive adequate follow-up care may do so sooner.</w:t>
      </w:r>
    </w:p>
    <w:p w14:paraId="0FBD456D" w14:textId="77777777" w:rsidR="002E41AC" w:rsidRDefault="00C61E51">
      <w:r>
        <w:t>Decisions regarding the withdrawal of medications must be made with caution, because patients either may relapse or experience symptoms of latent cardiomyopathy only after their acute presentation has passed.</w:t>
      </w:r>
    </w:p>
    <w:p w14:paraId="6B1D1640" w14:textId="77777777" w:rsidR="002E41AC" w:rsidRDefault="00C61E51">
      <w:r>
        <w:t>The follow-up visit after myocarditis should always be interpreted as finding risk refinement over time. The intent of this is not to validate that the patient had the diagnosis before, but to determine if the patient has recovered from the acute inflammatory disease process into a permanent scar (low risk) or has been left with a chronic substrate requiring ongoing care by a cardiologist.</w:t>
      </w:r>
    </w:p>
    <w:p w14:paraId="55EB832B" w14:textId="77777777" w:rsidR="002E41AC" w:rsidRDefault="00C61E51">
      <w:pPr>
        <w:jc w:val="center"/>
      </w:pPr>
      <w:r>
        <w:rPr>
          <w:noProof/>
          <w:lang w:val="fr-FR" w:eastAsia="fr-FR"/>
        </w:rPr>
        <w:lastRenderedPageBreak/>
        <w:drawing>
          <wp:inline distT="0" distB="0" distL="0" distR="0" wp14:anchorId="2733E26B" wp14:editId="0C81E75C">
            <wp:extent cx="6400800" cy="2575423"/>
            <wp:effectExtent l="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6400800" cy="2575423"/>
                    </a:xfrm>
                    <a:prstGeom prst="rect">
                      <a:avLst/>
                    </a:prstGeom>
                  </pic:spPr>
                </pic:pic>
              </a:graphicData>
            </a:graphic>
          </wp:inline>
        </w:drawing>
      </w:r>
    </w:p>
    <w:p w14:paraId="4713F471" w14:textId="77777777" w:rsidR="002E41AC" w:rsidRDefault="00C61E51">
      <w:r>
        <w:rPr>
          <w:i/>
          <w:sz w:val="20"/>
        </w:rPr>
        <w:t>Figure 2. Pragmatic post-myocarditis follow-up timeline. The exact schedule should be individualized, but structured reassessment is preferable to informal follow-up.</w:t>
      </w:r>
    </w:p>
    <w:p w14:paraId="63957B80" w14:textId="77777777" w:rsidR="002E41AC" w:rsidRDefault="00C61E51">
      <w:pPr>
        <w:pStyle w:val="Heading2"/>
      </w:pPr>
      <w:r>
        <w:t>Table 4. Practical follow-up framework after acute myocarditis.</w:t>
      </w:r>
    </w:p>
    <w:tbl>
      <w:tblPr>
        <w:tblStyle w:val="TableGrid"/>
        <w:tblW w:w="0" w:type="auto"/>
        <w:jc w:val="center"/>
        <w:tblLook w:val="04A0" w:firstRow="1" w:lastRow="0" w:firstColumn="1" w:lastColumn="0" w:noHBand="0" w:noVBand="1"/>
      </w:tblPr>
      <w:tblGrid>
        <w:gridCol w:w="1592"/>
        <w:gridCol w:w="2956"/>
        <w:gridCol w:w="2767"/>
        <w:gridCol w:w="2657"/>
      </w:tblGrid>
      <w:tr w:rsidR="002E41AC" w14:paraId="57862AFD" w14:textId="77777777">
        <w:trPr>
          <w:tblHeader/>
          <w:jc w:val="center"/>
        </w:trPr>
        <w:tc>
          <w:tcPr>
            <w:tcW w:w="1656" w:type="dxa"/>
            <w:shd w:val="clear" w:color="auto" w:fill="DCEFEF"/>
            <w:tcMar>
              <w:top w:w="80" w:type="dxa"/>
              <w:left w:w="90" w:type="dxa"/>
              <w:bottom w:w="80" w:type="dxa"/>
              <w:right w:w="90" w:type="dxa"/>
            </w:tcMar>
            <w:vAlign w:val="center"/>
          </w:tcPr>
          <w:p w14:paraId="78AFBF47" w14:textId="77777777" w:rsidR="002E41AC" w:rsidRDefault="00C61E51">
            <w:pPr>
              <w:spacing w:after="0" w:line="259" w:lineRule="auto"/>
              <w:jc w:val="center"/>
            </w:pPr>
            <w:r>
              <w:rPr>
                <w:b/>
                <w:color w:val="184B52"/>
                <w:sz w:val="18"/>
              </w:rPr>
              <w:t>Time point</w:t>
            </w:r>
          </w:p>
        </w:tc>
        <w:tc>
          <w:tcPr>
            <w:tcW w:w="3096" w:type="dxa"/>
            <w:shd w:val="clear" w:color="auto" w:fill="DCEFEF"/>
            <w:tcMar>
              <w:top w:w="80" w:type="dxa"/>
              <w:left w:w="90" w:type="dxa"/>
              <w:bottom w:w="80" w:type="dxa"/>
              <w:right w:w="90" w:type="dxa"/>
            </w:tcMar>
            <w:vAlign w:val="center"/>
          </w:tcPr>
          <w:p w14:paraId="094A0893" w14:textId="77777777" w:rsidR="002E41AC" w:rsidRDefault="00C61E51">
            <w:pPr>
              <w:spacing w:after="0" w:line="259" w:lineRule="auto"/>
              <w:jc w:val="center"/>
            </w:pPr>
            <w:r>
              <w:rPr>
                <w:b/>
                <w:color w:val="184B52"/>
                <w:sz w:val="18"/>
              </w:rPr>
              <w:t>Main goals</w:t>
            </w:r>
          </w:p>
        </w:tc>
        <w:tc>
          <w:tcPr>
            <w:tcW w:w="2880" w:type="dxa"/>
            <w:shd w:val="clear" w:color="auto" w:fill="DCEFEF"/>
            <w:tcMar>
              <w:top w:w="80" w:type="dxa"/>
              <w:left w:w="90" w:type="dxa"/>
              <w:bottom w:w="80" w:type="dxa"/>
              <w:right w:w="90" w:type="dxa"/>
            </w:tcMar>
            <w:vAlign w:val="center"/>
          </w:tcPr>
          <w:p w14:paraId="78379397" w14:textId="77777777" w:rsidR="002E41AC" w:rsidRDefault="00C61E51">
            <w:pPr>
              <w:spacing w:after="0" w:line="259" w:lineRule="auto"/>
              <w:jc w:val="center"/>
            </w:pPr>
            <w:r>
              <w:rPr>
                <w:b/>
                <w:color w:val="184B52"/>
                <w:sz w:val="18"/>
              </w:rPr>
              <w:t>Typical tools</w:t>
            </w:r>
          </w:p>
        </w:tc>
        <w:tc>
          <w:tcPr>
            <w:tcW w:w="2736" w:type="dxa"/>
            <w:shd w:val="clear" w:color="auto" w:fill="DCEFEF"/>
            <w:tcMar>
              <w:top w:w="80" w:type="dxa"/>
              <w:left w:w="90" w:type="dxa"/>
              <w:bottom w:w="80" w:type="dxa"/>
              <w:right w:w="90" w:type="dxa"/>
            </w:tcMar>
            <w:vAlign w:val="center"/>
          </w:tcPr>
          <w:p w14:paraId="0725FDCC" w14:textId="77777777" w:rsidR="002E41AC" w:rsidRDefault="00C61E51">
            <w:pPr>
              <w:spacing w:after="0" w:line="259" w:lineRule="auto"/>
              <w:jc w:val="center"/>
            </w:pPr>
            <w:r>
              <w:rPr>
                <w:b/>
                <w:color w:val="184B52"/>
                <w:sz w:val="18"/>
              </w:rPr>
              <w:t>Who needs extra caution?</w:t>
            </w:r>
          </w:p>
        </w:tc>
      </w:tr>
      <w:tr w:rsidR="002E41AC" w14:paraId="1B92B25D" w14:textId="77777777">
        <w:trPr>
          <w:jc w:val="center"/>
        </w:trPr>
        <w:tc>
          <w:tcPr>
            <w:tcW w:w="1656" w:type="dxa"/>
            <w:tcMar>
              <w:top w:w="80" w:type="dxa"/>
              <w:left w:w="90" w:type="dxa"/>
              <w:bottom w:w="80" w:type="dxa"/>
              <w:right w:w="90" w:type="dxa"/>
            </w:tcMar>
            <w:vAlign w:val="center"/>
          </w:tcPr>
          <w:p w14:paraId="512C085F" w14:textId="77777777" w:rsidR="002E41AC" w:rsidRDefault="00C61E51">
            <w:pPr>
              <w:spacing w:after="0" w:line="259" w:lineRule="auto"/>
            </w:pPr>
            <w:r>
              <w:rPr>
                <w:sz w:val="18"/>
              </w:rPr>
              <w:t>At discharge</w:t>
            </w:r>
          </w:p>
        </w:tc>
        <w:tc>
          <w:tcPr>
            <w:tcW w:w="3096" w:type="dxa"/>
            <w:tcMar>
              <w:top w:w="80" w:type="dxa"/>
              <w:left w:w="90" w:type="dxa"/>
              <w:bottom w:w="80" w:type="dxa"/>
              <w:right w:w="90" w:type="dxa"/>
            </w:tcMar>
            <w:vAlign w:val="center"/>
          </w:tcPr>
          <w:p w14:paraId="214A03E6" w14:textId="77777777" w:rsidR="002E41AC" w:rsidRDefault="00C61E51">
            <w:pPr>
              <w:spacing w:after="0" w:line="259" w:lineRule="auto"/>
            </w:pPr>
            <w:r>
              <w:rPr>
                <w:sz w:val="18"/>
              </w:rPr>
              <w:t>Explain diagnosis, restrict strenuous activity, clarify medication plan</w:t>
            </w:r>
          </w:p>
        </w:tc>
        <w:tc>
          <w:tcPr>
            <w:tcW w:w="2880" w:type="dxa"/>
            <w:tcMar>
              <w:top w:w="80" w:type="dxa"/>
              <w:left w:w="90" w:type="dxa"/>
              <w:bottom w:w="80" w:type="dxa"/>
              <w:right w:w="90" w:type="dxa"/>
            </w:tcMar>
            <w:vAlign w:val="center"/>
          </w:tcPr>
          <w:p w14:paraId="2F844ACC" w14:textId="77777777" w:rsidR="002E41AC" w:rsidRDefault="00C61E51">
            <w:pPr>
              <w:spacing w:after="0" w:line="259" w:lineRule="auto"/>
              <w:jc w:val="center"/>
            </w:pPr>
            <w:r>
              <w:rPr>
                <w:sz w:val="18"/>
              </w:rPr>
              <w:t>Written counseling, discharge ECG/echo summary, clear return precautions</w:t>
            </w:r>
          </w:p>
        </w:tc>
        <w:tc>
          <w:tcPr>
            <w:tcW w:w="2736" w:type="dxa"/>
            <w:tcMar>
              <w:top w:w="80" w:type="dxa"/>
              <w:left w:w="90" w:type="dxa"/>
              <w:bottom w:w="80" w:type="dxa"/>
              <w:right w:w="90" w:type="dxa"/>
            </w:tcMar>
            <w:vAlign w:val="center"/>
          </w:tcPr>
          <w:p w14:paraId="01364F73" w14:textId="77777777" w:rsidR="002E41AC" w:rsidRDefault="00C61E51">
            <w:pPr>
              <w:spacing w:after="0" w:line="259" w:lineRule="auto"/>
              <w:jc w:val="center"/>
            </w:pPr>
            <w:r>
              <w:rPr>
                <w:sz w:val="18"/>
              </w:rPr>
              <w:t>All patients, especially younger adults who feel rapidly improved</w:t>
            </w:r>
          </w:p>
        </w:tc>
      </w:tr>
      <w:tr w:rsidR="002E41AC" w14:paraId="2D72FA52" w14:textId="77777777">
        <w:trPr>
          <w:jc w:val="center"/>
        </w:trPr>
        <w:tc>
          <w:tcPr>
            <w:tcW w:w="1656" w:type="dxa"/>
            <w:tcMar>
              <w:top w:w="80" w:type="dxa"/>
              <w:left w:w="90" w:type="dxa"/>
              <w:bottom w:w="80" w:type="dxa"/>
              <w:right w:w="90" w:type="dxa"/>
            </w:tcMar>
            <w:vAlign w:val="center"/>
          </w:tcPr>
          <w:p w14:paraId="65D16D7B" w14:textId="77777777" w:rsidR="002E41AC" w:rsidRDefault="00C61E51">
            <w:pPr>
              <w:spacing w:after="0" w:line="259" w:lineRule="auto"/>
            </w:pPr>
            <w:r>
              <w:rPr>
                <w:sz w:val="18"/>
              </w:rPr>
              <w:t>2–4 weeks</w:t>
            </w:r>
          </w:p>
        </w:tc>
        <w:tc>
          <w:tcPr>
            <w:tcW w:w="3096" w:type="dxa"/>
            <w:tcMar>
              <w:top w:w="80" w:type="dxa"/>
              <w:left w:w="90" w:type="dxa"/>
              <w:bottom w:w="80" w:type="dxa"/>
              <w:right w:w="90" w:type="dxa"/>
            </w:tcMar>
            <w:vAlign w:val="center"/>
          </w:tcPr>
          <w:p w14:paraId="2E61E8E8" w14:textId="77777777" w:rsidR="002E41AC" w:rsidRDefault="00C61E51">
            <w:pPr>
              <w:spacing w:after="0" w:line="259" w:lineRule="auto"/>
            </w:pPr>
            <w:r>
              <w:rPr>
                <w:sz w:val="18"/>
              </w:rPr>
              <w:t>Check symptom trajectory and treatment tolerance; repeat function assessment in higher-risk cases</w:t>
            </w:r>
          </w:p>
        </w:tc>
        <w:tc>
          <w:tcPr>
            <w:tcW w:w="2880" w:type="dxa"/>
            <w:tcMar>
              <w:top w:w="80" w:type="dxa"/>
              <w:left w:w="90" w:type="dxa"/>
              <w:bottom w:w="80" w:type="dxa"/>
              <w:right w:w="90" w:type="dxa"/>
            </w:tcMar>
            <w:vAlign w:val="center"/>
          </w:tcPr>
          <w:p w14:paraId="7D30C692" w14:textId="77777777" w:rsidR="002E41AC" w:rsidRDefault="00C61E51">
            <w:pPr>
              <w:spacing w:after="0" w:line="259" w:lineRule="auto"/>
              <w:jc w:val="center"/>
            </w:pPr>
            <w:r>
              <w:rPr>
                <w:sz w:val="18"/>
              </w:rPr>
              <w:t>Clinic visit, ECG, selective echocardiography</w:t>
            </w:r>
          </w:p>
        </w:tc>
        <w:tc>
          <w:tcPr>
            <w:tcW w:w="2736" w:type="dxa"/>
            <w:tcMar>
              <w:top w:w="80" w:type="dxa"/>
              <w:left w:w="90" w:type="dxa"/>
              <w:bottom w:w="80" w:type="dxa"/>
              <w:right w:w="90" w:type="dxa"/>
            </w:tcMar>
            <w:vAlign w:val="center"/>
          </w:tcPr>
          <w:p w14:paraId="533EDB61" w14:textId="77777777" w:rsidR="002E41AC" w:rsidRDefault="00C61E51">
            <w:pPr>
              <w:spacing w:after="0" w:line="259" w:lineRule="auto"/>
              <w:jc w:val="center"/>
            </w:pPr>
            <w:r>
              <w:rPr>
                <w:sz w:val="18"/>
              </w:rPr>
              <w:t>Patients with HF symptoms, arrhythmia, reduced LVEF, or uncertain course</w:t>
            </w:r>
          </w:p>
        </w:tc>
      </w:tr>
      <w:tr w:rsidR="002E41AC" w14:paraId="1415813B" w14:textId="77777777">
        <w:trPr>
          <w:jc w:val="center"/>
        </w:trPr>
        <w:tc>
          <w:tcPr>
            <w:tcW w:w="1656" w:type="dxa"/>
            <w:tcMar>
              <w:top w:w="80" w:type="dxa"/>
              <w:left w:w="90" w:type="dxa"/>
              <w:bottom w:w="80" w:type="dxa"/>
              <w:right w:w="90" w:type="dxa"/>
            </w:tcMar>
            <w:vAlign w:val="center"/>
          </w:tcPr>
          <w:p w14:paraId="2EF9ECB7" w14:textId="77777777" w:rsidR="002E41AC" w:rsidRDefault="00C61E51">
            <w:pPr>
              <w:spacing w:after="0" w:line="259" w:lineRule="auto"/>
            </w:pPr>
            <w:r>
              <w:rPr>
                <w:sz w:val="18"/>
              </w:rPr>
              <w:t>Around 3 months</w:t>
            </w:r>
          </w:p>
        </w:tc>
        <w:tc>
          <w:tcPr>
            <w:tcW w:w="3096" w:type="dxa"/>
            <w:tcMar>
              <w:top w:w="80" w:type="dxa"/>
              <w:left w:w="90" w:type="dxa"/>
              <w:bottom w:w="80" w:type="dxa"/>
              <w:right w:w="90" w:type="dxa"/>
            </w:tcMar>
            <w:vAlign w:val="center"/>
          </w:tcPr>
          <w:p w14:paraId="44FAE28D" w14:textId="77777777" w:rsidR="002E41AC" w:rsidRDefault="00C61E51">
            <w:pPr>
              <w:spacing w:after="0" w:line="259" w:lineRule="auto"/>
            </w:pPr>
            <w:r>
              <w:rPr>
                <w:sz w:val="18"/>
              </w:rPr>
              <w:t>Assess electrical and functional recovery; consider staged return to activity</w:t>
            </w:r>
          </w:p>
        </w:tc>
        <w:tc>
          <w:tcPr>
            <w:tcW w:w="2880" w:type="dxa"/>
            <w:tcMar>
              <w:top w:w="80" w:type="dxa"/>
              <w:left w:w="90" w:type="dxa"/>
              <w:bottom w:w="80" w:type="dxa"/>
              <w:right w:w="90" w:type="dxa"/>
            </w:tcMar>
            <w:vAlign w:val="center"/>
          </w:tcPr>
          <w:p w14:paraId="67D20C4B" w14:textId="77777777" w:rsidR="002E41AC" w:rsidRDefault="00C61E51">
            <w:pPr>
              <w:spacing w:after="0" w:line="259" w:lineRule="auto"/>
              <w:jc w:val="center"/>
            </w:pPr>
            <w:r>
              <w:rPr>
                <w:sz w:val="18"/>
              </w:rPr>
              <w:t>ECG, ambulatory monitoring, exercise testing when relevant, echo</w:t>
            </w:r>
          </w:p>
        </w:tc>
        <w:tc>
          <w:tcPr>
            <w:tcW w:w="2736" w:type="dxa"/>
            <w:tcMar>
              <w:top w:w="80" w:type="dxa"/>
              <w:left w:w="90" w:type="dxa"/>
              <w:bottom w:w="80" w:type="dxa"/>
              <w:right w:w="90" w:type="dxa"/>
            </w:tcMar>
            <w:vAlign w:val="center"/>
          </w:tcPr>
          <w:p w14:paraId="002E879F" w14:textId="77777777" w:rsidR="002E41AC" w:rsidRDefault="00C61E51">
            <w:pPr>
              <w:spacing w:after="0" w:line="259" w:lineRule="auto"/>
              <w:jc w:val="center"/>
            </w:pPr>
            <w:r>
              <w:rPr>
                <w:sz w:val="18"/>
              </w:rPr>
              <w:t>Athletes, physically demanding occupations, persistent symptoms</w:t>
            </w:r>
          </w:p>
        </w:tc>
      </w:tr>
      <w:tr w:rsidR="002E41AC" w14:paraId="54EAE298" w14:textId="77777777">
        <w:trPr>
          <w:jc w:val="center"/>
        </w:trPr>
        <w:tc>
          <w:tcPr>
            <w:tcW w:w="1656" w:type="dxa"/>
            <w:tcMar>
              <w:top w:w="80" w:type="dxa"/>
              <w:left w:w="90" w:type="dxa"/>
              <w:bottom w:w="80" w:type="dxa"/>
              <w:right w:w="90" w:type="dxa"/>
            </w:tcMar>
            <w:vAlign w:val="center"/>
          </w:tcPr>
          <w:p w14:paraId="180B7D31" w14:textId="77777777" w:rsidR="002E41AC" w:rsidRDefault="00C61E51">
            <w:pPr>
              <w:spacing w:after="0" w:line="259" w:lineRule="auto"/>
            </w:pPr>
            <w:r>
              <w:rPr>
                <w:sz w:val="18"/>
              </w:rPr>
              <w:t>Around 6 months</w:t>
            </w:r>
          </w:p>
        </w:tc>
        <w:tc>
          <w:tcPr>
            <w:tcW w:w="3096" w:type="dxa"/>
            <w:tcMar>
              <w:top w:w="80" w:type="dxa"/>
              <w:left w:w="90" w:type="dxa"/>
              <w:bottom w:w="80" w:type="dxa"/>
              <w:right w:w="90" w:type="dxa"/>
            </w:tcMar>
            <w:vAlign w:val="center"/>
          </w:tcPr>
          <w:p w14:paraId="0BCE90F5" w14:textId="77777777" w:rsidR="002E41AC" w:rsidRDefault="00C61E51">
            <w:pPr>
              <w:spacing w:after="0" w:line="259" w:lineRule="auto"/>
            </w:pPr>
            <w:r>
              <w:rPr>
                <w:sz w:val="18"/>
              </w:rPr>
              <w:t>Reclassify risk and decide whether surveillance can be reduced</w:t>
            </w:r>
          </w:p>
        </w:tc>
        <w:tc>
          <w:tcPr>
            <w:tcW w:w="2880" w:type="dxa"/>
            <w:tcMar>
              <w:top w:w="80" w:type="dxa"/>
              <w:left w:w="90" w:type="dxa"/>
              <w:bottom w:w="80" w:type="dxa"/>
              <w:right w:w="90" w:type="dxa"/>
            </w:tcMar>
            <w:vAlign w:val="center"/>
          </w:tcPr>
          <w:p w14:paraId="0E9BCFF8" w14:textId="77777777" w:rsidR="002E41AC" w:rsidRDefault="00C61E51">
            <w:pPr>
              <w:spacing w:after="0" w:line="259" w:lineRule="auto"/>
              <w:jc w:val="center"/>
            </w:pPr>
            <w:r>
              <w:rPr>
                <w:sz w:val="18"/>
              </w:rPr>
              <w:t>Echo for many; repeat CMR in selected higher-risk or persistent cases</w:t>
            </w:r>
          </w:p>
        </w:tc>
        <w:tc>
          <w:tcPr>
            <w:tcW w:w="2736" w:type="dxa"/>
            <w:tcMar>
              <w:top w:w="80" w:type="dxa"/>
              <w:left w:w="90" w:type="dxa"/>
              <w:bottom w:w="80" w:type="dxa"/>
              <w:right w:w="90" w:type="dxa"/>
            </w:tcMar>
            <w:vAlign w:val="center"/>
          </w:tcPr>
          <w:p w14:paraId="0A861546" w14:textId="77777777" w:rsidR="002E41AC" w:rsidRDefault="00C61E51">
            <w:pPr>
              <w:spacing w:after="0" w:line="259" w:lineRule="auto"/>
              <w:jc w:val="center"/>
            </w:pPr>
            <w:r>
              <w:rPr>
                <w:sz w:val="18"/>
              </w:rPr>
              <w:t>Residual LGE, arrhythmia, reduced LVEF, autoimmune/biopsy-defined forms</w:t>
            </w:r>
          </w:p>
        </w:tc>
      </w:tr>
      <w:tr w:rsidR="002E41AC" w14:paraId="6067541E" w14:textId="77777777">
        <w:trPr>
          <w:jc w:val="center"/>
        </w:trPr>
        <w:tc>
          <w:tcPr>
            <w:tcW w:w="1656" w:type="dxa"/>
            <w:tcMar>
              <w:top w:w="80" w:type="dxa"/>
              <w:left w:w="90" w:type="dxa"/>
              <w:bottom w:w="80" w:type="dxa"/>
              <w:right w:w="90" w:type="dxa"/>
            </w:tcMar>
            <w:vAlign w:val="center"/>
          </w:tcPr>
          <w:p w14:paraId="5203CE25" w14:textId="77777777" w:rsidR="002E41AC" w:rsidRDefault="00C61E51">
            <w:pPr>
              <w:spacing w:after="0" w:line="259" w:lineRule="auto"/>
            </w:pPr>
            <w:r>
              <w:rPr>
                <w:sz w:val="18"/>
              </w:rPr>
              <w:t>Beyond 6–12 months</w:t>
            </w:r>
          </w:p>
        </w:tc>
        <w:tc>
          <w:tcPr>
            <w:tcW w:w="3096" w:type="dxa"/>
            <w:tcMar>
              <w:top w:w="80" w:type="dxa"/>
              <w:left w:w="90" w:type="dxa"/>
              <w:bottom w:w="80" w:type="dxa"/>
              <w:right w:w="90" w:type="dxa"/>
            </w:tcMar>
            <w:vAlign w:val="center"/>
          </w:tcPr>
          <w:p w14:paraId="77084731" w14:textId="77777777" w:rsidR="002E41AC" w:rsidRDefault="00C61E51">
            <w:pPr>
              <w:spacing w:after="0" w:line="259" w:lineRule="auto"/>
            </w:pPr>
            <w:r>
              <w:rPr>
                <w:sz w:val="18"/>
              </w:rPr>
              <w:t>Identify chronic inflammatory cardiomyopathy, recurrent disease, or persistent scar-related risk</w:t>
            </w:r>
          </w:p>
        </w:tc>
        <w:tc>
          <w:tcPr>
            <w:tcW w:w="2880" w:type="dxa"/>
            <w:tcMar>
              <w:top w:w="80" w:type="dxa"/>
              <w:left w:w="90" w:type="dxa"/>
              <w:bottom w:w="80" w:type="dxa"/>
              <w:right w:w="90" w:type="dxa"/>
            </w:tcMar>
            <w:vAlign w:val="center"/>
          </w:tcPr>
          <w:p w14:paraId="13A01645" w14:textId="77777777" w:rsidR="002E41AC" w:rsidRDefault="00C61E51">
            <w:pPr>
              <w:spacing w:after="0" w:line="259" w:lineRule="auto"/>
              <w:jc w:val="center"/>
            </w:pPr>
            <w:r>
              <w:rPr>
                <w:sz w:val="18"/>
              </w:rPr>
              <w:t>Phenotype-specific follow-up, rhythm monitoring, imaging as indicated</w:t>
            </w:r>
          </w:p>
        </w:tc>
        <w:tc>
          <w:tcPr>
            <w:tcW w:w="2736" w:type="dxa"/>
            <w:tcMar>
              <w:top w:w="80" w:type="dxa"/>
              <w:left w:w="90" w:type="dxa"/>
              <w:bottom w:w="80" w:type="dxa"/>
              <w:right w:w="90" w:type="dxa"/>
            </w:tcMar>
            <w:vAlign w:val="center"/>
          </w:tcPr>
          <w:p w14:paraId="7F830518" w14:textId="77777777" w:rsidR="002E41AC" w:rsidRDefault="00C61E51">
            <w:pPr>
              <w:spacing w:after="0" w:line="259" w:lineRule="auto"/>
              <w:jc w:val="center"/>
            </w:pPr>
            <w:r>
              <w:rPr>
                <w:sz w:val="18"/>
              </w:rPr>
              <w:t>Persistent symptoms, genetic concern, aggressive histology, recurrent events</w:t>
            </w:r>
          </w:p>
        </w:tc>
      </w:tr>
    </w:tbl>
    <w:p w14:paraId="7712DA09" w14:textId="77777777" w:rsidR="002E41AC" w:rsidRDefault="002E41AC"/>
    <w:p w14:paraId="294394FD" w14:textId="77777777" w:rsidR="002E41AC" w:rsidRDefault="00C61E51">
      <w:pPr>
        <w:pStyle w:val="Heading1"/>
      </w:pPr>
      <w:r>
        <w:lastRenderedPageBreak/>
        <w:t>10. Knowledge Gaps and Future Directions</w:t>
      </w:r>
    </w:p>
    <w:p w14:paraId="20B7825B"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Even though there has been advancement in science, a lot of issues need discussion. The most important being persistent late gadolinium enhancement (LGE). The utilization of CMR, in aggregate, for determining a risk associated with patients given a LGE is commonly considered throughout all medical specialties. However, there are no well-defined thresholds to help determine how LGE as seen by imaging should negatively or positively impact a specific patient’s management over time. Standardized studies utilizing CMR with both longitudinal assessment (using CMR) and rhythm data along with definite clinical end points will help researchers answer this question [16-19,22-23].</w:t>
      </w:r>
    </w:p>
    <w:p w14:paraId="3B10ABBC" w14:textId="77777777" w:rsidR="002E41AC" w:rsidRDefault="002E41AC">
      <w:pPr>
        <w:pStyle w:val="Heading1"/>
        <w:rPr>
          <w:rFonts w:ascii="Cambria" w:eastAsia="MS Mincho" w:hAnsi="Cambria" w:cs="Arial"/>
          <w:b w:val="0"/>
          <w:bCs w:val="0"/>
          <w:color w:val="auto"/>
          <w:sz w:val="21"/>
          <w:szCs w:val="22"/>
        </w:rPr>
      </w:pPr>
    </w:p>
    <w:p w14:paraId="09991A80"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Another unanswered area of research deals with symptoms of recovery that have been documented beyond those demonstrated on routine imaging. For example, some patients continue to report a degree of fatigue, decreased exercise tolerance, atypical chest discomfort, or palpitations after the acute episode despite no evidence of ongoing scar burden. Even though these symptoms can result in clinically significant morbidity, there is little in the current literature to help define these as post myocardial injury or secondary to other causes like autonomic dysfunction, deconditioning, anxiety, or other post-viral syndromes. Future studies should include exercise physiology and patient-reported outcome measures versus only focusing on LVEF and mortality.</w:t>
      </w:r>
    </w:p>
    <w:p w14:paraId="519A53C0" w14:textId="77777777" w:rsidR="002E41AC" w:rsidRDefault="002E41AC">
      <w:pPr>
        <w:pStyle w:val="Heading1"/>
        <w:rPr>
          <w:rFonts w:ascii="Cambria" w:eastAsia="MS Mincho" w:hAnsi="Cambria" w:cs="Arial"/>
          <w:b w:val="0"/>
          <w:bCs w:val="0"/>
          <w:color w:val="auto"/>
          <w:sz w:val="21"/>
          <w:szCs w:val="22"/>
        </w:rPr>
      </w:pPr>
    </w:p>
    <w:p w14:paraId="288BCFE2"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The third issue to address is monitoring patients based on their specific phenotype. For example, to date there has been limited research evaluating patients with myocarditis occurring from a vaccine vs those with myocarditis due to multiple inflammatory syndrome in children (MIS-C) vs those with classic lymphocytic myocarditis vs those with myocarditis due to immune checkpoint inhibitors vs those with biopsy-proven giant cell myocarditis (biopsy of the myocardium confirming giant cell myocarditis). Each of these entities has different biological and recovery patterns, however they are generally presented as one unified category (myocarditis). Lastly, follow-up protocols for the monitoring of these patients will need to reflect their individual characteristics.</w:t>
      </w:r>
    </w:p>
    <w:p w14:paraId="16B2D07E" w14:textId="77777777" w:rsidR="002E41AC" w:rsidRDefault="002E41AC">
      <w:pPr>
        <w:pStyle w:val="Heading1"/>
        <w:rPr>
          <w:rFonts w:ascii="Cambria" w:eastAsia="MS Mincho" w:hAnsi="Cambria" w:cs="Arial"/>
          <w:b w:val="0"/>
          <w:bCs w:val="0"/>
          <w:color w:val="auto"/>
          <w:sz w:val="21"/>
          <w:szCs w:val="22"/>
        </w:rPr>
      </w:pPr>
    </w:p>
    <w:p w14:paraId="64F53EDF"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An additional challenge includes the incorporation of genetic and cardiomyopathy pathway components into diagnosis and treatment options. Many patients with myocarditis may experience an inflammatory flare-up as a result of a genetic predisposition to cardiomyopathy or chronic inflammatory disease. Attempting to differentiate between a temporary inflammation or the initial stage of a progressive level of cardiomyopathy will require better integration of results from multiple testing modalities (imaging, family history, biopsy, and genomic results) over a shorter period of time [1-2].</w:t>
      </w:r>
    </w:p>
    <w:p w14:paraId="2F79EDB2" w14:textId="77777777" w:rsidR="002E41AC" w:rsidRDefault="002E41AC">
      <w:pPr>
        <w:pStyle w:val="Heading1"/>
        <w:rPr>
          <w:rFonts w:ascii="Cambria" w:eastAsia="MS Mincho" w:hAnsi="Cambria" w:cs="Arial"/>
          <w:b w:val="0"/>
          <w:bCs w:val="0"/>
          <w:color w:val="auto"/>
          <w:sz w:val="21"/>
          <w:szCs w:val="22"/>
        </w:rPr>
      </w:pPr>
    </w:p>
    <w:p w14:paraId="73A082BA" w14:textId="77777777" w:rsidR="002E41AC" w:rsidRDefault="002E41AC">
      <w:pPr>
        <w:pStyle w:val="Heading1"/>
        <w:rPr>
          <w:rFonts w:ascii="Cambria" w:eastAsia="MS Mincho" w:hAnsi="Cambria" w:cs="Arial"/>
          <w:b w:val="0"/>
          <w:bCs w:val="0"/>
          <w:color w:val="auto"/>
          <w:sz w:val="21"/>
          <w:szCs w:val="22"/>
        </w:rPr>
      </w:pPr>
    </w:p>
    <w:p w14:paraId="6FC41B32" w14:textId="77777777" w:rsidR="002E41AC" w:rsidRDefault="002E41AC">
      <w:pPr>
        <w:pStyle w:val="Heading1"/>
        <w:rPr>
          <w:rFonts w:ascii="Cambria" w:eastAsia="MS Mincho" w:hAnsi="Cambria" w:cs="Arial"/>
          <w:b w:val="0"/>
          <w:bCs w:val="0"/>
          <w:color w:val="auto"/>
          <w:sz w:val="21"/>
          <w:szCs w:val="22"/>
        </w:rPr>
      </w:pPr>
    </w:p>
    <w:p w14:paraId="5154304B"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lastRenderedPageBreak/>
        <w:t>Research into recovery processes should move away from time-to-survive measures only. We need better quantitative and qualitative evidence to establish when a patient is able to safely return to work, resume exercise, discontinue medications, counsel about pregnancy, assess long-term quality-of-life outcomes, and determine the correct cadence for performing rhythm monitoring. These are the most common requests from patients after the acute phase of myocarditis has resolved.</w:t>
      </w:r>
    </w:p>
    <w:p w14:paraId="25CD9313" w14:textId="77777777" w:rsidR="002E41AC" w:rsidRDefault="00C61E51">
      <w:pPr>
        <w:pStyle w:val="Heading1"/>
      </w:pPr>
      <w:r>
        <w:t>11. Conclusion</w:t>
      </w:r>
    </w:p>
    <w:p w14:paraId="5A9013F8"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Recovery following an episode of myocarditis is not one point in time but the cumulative outcome of symptoms, left ventricular function, conduction system stability, myocardial tissue healing, and future clinical outcomes over time. Most individuals who sustain acute, uncomplicated myocarditis have returned to their normal level of activity post-recovery, therefore, it is important to remember that the majority of these individuals will not experience any long-term cardiovascular events. However, existing research indicates that a patient who appears to have completely recovered from an acute episode of myocarditis may still have chronic scarring, residual conduction system abnormality, or significant risk resulting from cardiomyopathy after recovery is declared. This illustrates that post-acute myocarditis care should be managed with a structured approach (i.e., there will need to be supervision of activity levels and medications).</w:t>
      </w:r>
    </w:p>
    <w:p w14:paraId="645B09A7" w14:textId="77777777" w:rsidR="002E41AC" w:rsidRDefault="002E41AC">
      <w:pPr>
        <w:pStyle w:val="Heading1"/>
        <w:rPr>
          <w:rFonts w:ascii="Cambria" w:eastAsia="MS Mincho" w:hAnsi="Cambria" w:cs="Arial"/>
          <w:b w:val="0"/>
          <w:bCs w:val="0"/>
          <w:color w:val="auto"/>
          <w:sz w:val="21"/>
          <w:szCs w:val="22"/>
        </w:rPr>
      </w:pPr>
    </w:p>
    <w:p w14:paraId="138E2F7A"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Concrete indicators, not broad classifications, are the most reliable indicators of incomplete recovery: complicated clinical presentation, decreased Left Ventricular Ejection Fraction (LVEF), residual symptoms, ventricular arrhythmia, and an unfavorable Cardiac Magnetic Resonance Imaging (CMR) profile, particularly with extensive and/or septal Late Gadolinium Enhancement (LGE), remain concrete predictors of no recovery from myocarditis. Conversely, fulminant myocarditis has one of the highest rates of early mortality; however, recoveries following prompt specialist intervention can be astonishingly rapid with regard to ventricular function. Generally, pediatrics and vaccine-related myocarditis will have a favourable medium-term prognosis, which again illustrates the broader principle that full recovery from clinical symptoms may occur prior to complete recovery of the underlying structure.</w:t>
      </w:r>
    </w:p>
    <w:p w14:paraId="50C00CB3" w14:textId="77777777" w:rsidR="002E41AC" w:rsidRDefault="002E41AC">
      <w:pPr>
        <w:pStyle w:val="Heading1"/>
        <w:rPr>
          <w:rFonts w:ascii="Cambria" w:eastAsia="MS Mincho" w:hAnsi="Cambria" w:cs="Arial"/>
          <w:b w:val="0"/>
          <w:bCs w:val="0"/>
          <w:color w:val="auto"/>
          <w:sz w:val="21"/>
          <w:szCs w:val="22"/>
        </w:rPr>
      </w:pPr>
    </w:p>
    <w:p w14:paraId="72B3FD66" w14:textId="77777777" w:rsidR="002E41AC" w:rsidRDefault="00C61E51">
      <w:pPr>
        <w:pStyle w:val="Heading1"/>
        <w:rPr>
          <w:rFonts w:ascii="Cambria" w:eastAsia="MS Mincho" w:hAnsi="Cambria" w:cs="Arial"/>
          <w:b w:val="0"/>
          <w:bCs w:val="0"/>
          <w:color w:val="auto"/>
          <w:sz w:val="21"/>
          <w:szCs w:val="22"/>
        </w:rPr>
      </w:pPr>
      <w:r>
        <w:rPr>
          <w:rFonts w:ascii="Cambria" w:eastAsia="MS Mincho" w:hAnsi="Cambria" w:cs="Arial"/>
          <w:b w:val="0"/>
          <w:bCs w:val="0"/>
          <w:color w:val="auto"/>
          <w:sz w:val="21"/>
          <w:szCs w:val="22"/>
        </w:rPr>
        <w:t>Consequently, the most practical feature is that recovery must be documented rather than assumed. Tools for ongoing follow-up include early re-evaluation, selective repeat echocardiography and CMR, rhythm monitoring and staged return to exercise. In the future, it will no longer be sufficient for clinicians to indicate if a patient has improved; they will need to be able to determine when it is appropriate to discontinue monitoring for additional injury, and when it is appropriate to continue monitoring for ongoing structural damage.</w:t>
      </w:r>
    </w:p>
    <w:p w14:paraId="1B6BA990" w14:textId="77777777" w:rsidR="005B7195" w:rsidRDefault="005B7195" w:rsidP="005B7195"/>
    <w:p w14:paraId="581EC631" w14:textId="77777777" w:rsidR="005B7195" w:rsidRPr="005B7195" w:rsidRDefault="005B7195" w:rsidP="005B7195">
      <w:pPr>
        <w:spacing w:after="200"/>
        <w:rPr>
          <w:rFonts w:ascii="Arial" w:eastAsia="Times New Roman" w:hAnsi="Arial"/>
          <w:b/>
          <w:bCs/>
          <w:sz w:val="22"/>
          <w:lang w:val="en-GB" w:eastAsia="en-GB"/>
        </w:rPr>
      </w:pPr>
      <w:r w:rsidRPr="005B7195">
        <w:rPr>
          <w:rFonts w:ascii="Arial" w:eastAsia="Times New Roman" w:hAnsi="Arial"/>
          <w:b/>
          <w:bCs/>
          <w:sz w:val="22"/>
          <w:lang w:val="en-GB" w:eastAsia="en-GB"/>
        </w:rPr>
        <w:t>COMPETING INTERESTS DISCLAIMER:</w:t>
      </w:r>
    </w:p>
    <w:p w14:paraId="2FA62BDB" w14:textId="77777777" w:rsidR="005B7195" w:rsidRPr="005B7195" w:rsidRDefault="005B7195" w:rsidP="005B7195">
      <w:pPr>
        <w:spacing w:after="200"/>
        <w:rPr>
          <w:rFonts w:ascii="Calibri" w:eastAsia="Times New Roman" w:hAnsi="Calibri" w:cs="Times New Roman"/>
          <w:sz w:val="22"/>
          <w:lang w:val="en-GB" w:eastAsia="en-GB"/>
        </w:rPr>
      </w:pPr>
      <w:r w:rsidRPr="005B7195">
        <w:rPr>
          <w:rFonts w:ascii="Arial" w:eastAsia="Times New Roman" w:hAnsi="Arial"/>
          <w:sz w:val="22"/>
          <w:lang w:val="en-GB" w:eastAsia="en-GB"/>
        </w:rPr>
        <w:t>Authors have declared that they have no known competing financial interests OR non-financial interests OR personal relationships that could have appeared to influence the work reported in this paper.</w:t>
      </w:r>
    </w:p>
    <w:p w14:paraId="26F15901" w14:textId="77777777" w:rsidR="005B7195" w:rsidRPr="005B7195" w:rsidRDefault="005B7195" w:rsidP="005B7195"/>
    <w:p w14:paraId="301102F3" w14:textId="77777777" w:rsidR="00C14118" w:rsidRPr="00005ED1" w:rsidRDefault="00C14118" w:rsidP="00C14118">
      <w:pPr>
        <w:pStyle w:val="NoSpacing"/>
        <w:rPr>
          <w:rFonts w:ascii="Arial" w:hAnsi="Arial"/>
          <w:highlight w:val="yellow"/>
        </w:rPr>
      </w:pPr>
      <w:bookmarkStart w:id="0" w:name="_Hlk198031404"/>
      <w:r w:rsidRPr="00005ED1">
        <w:rPr>
          <w:rFonts w:ascii="Arial" w:hAnsi="Arial"/>
          <w:highlight w:val="yellow"/>
        </w:rPr>
        <w:t>Disclaimer (Artificial intelligence)</w:t>
      </w:r>
    </w:p>
    <w:p w14:paraId="17AAEF0F" w14:textId="77777777" w:rsidR="00C14118" w:rsidRPr="00005ED1" w:rsidRDefault="00C14118" w:rsidP="00C14118">
      <w:pPr>
        <w:pStyle w:val="NoSpacing"/>
        <w:rPr>
          <w:rFonts w:ascii="Arial" w:hAnsi="Arial"/>
          <w:highlight w:val="yellow"/>
        </w:rPr>
      </w:pPr>
    </w:p>
    <w:p w14:paraId="13A1D091" w14:textId="77777777" w:rsidR="00C14118" w:rsidRPr="00005ED1" w:rsidRDefault="00C14118" w:rsidP="00C14118">
      <w:pPr>
        <w:pStyle w:val="NoSpacing"/>
        <w:rPr>
          <w:rFonts w:ascii="Arial" w:hAnsi="Arial"/>
          <w:highlight w:val="yellow"/>
        </w:rPr>
      </w:pPr>
      <w:r w:rsidRPr="00005ED1">
        <w:rPr>
          <w:rFonts w:ascii="Arial" w:hAnsi="Arial"/>
          <w:highlight w:val="yellow"/>
        </w:rPr>
        <w:t>Author(s) hereby declare that NO generative AI technologies such as Large Language Models (</w:t>
      </w:r>
      <w:proofErr w:type="spellStart"/>
      <w:r w:rsidRPr="00005ED1">
        <w:rPr>
          <w:rFonts w:ascii="Arial" w:hAnsi="Arial"/>
          <w:highlight w:val="yellow"/>
        </w:rPr>
        <w:t>ChatGPT</w:t>
      </w:r>
      <w:proofErr w:type="spellEnd"/>
      <w:r w:rsidRPr="00005ED1">
        <w:rPr>
          <w:rFonts w:ascii="Arial" w:hAnsi="Arial"/>
          <w:highlight w:val="yellow"/>
        </w:rPr>
        <w:t xml:space="preserve">, COPILOT, etc.) and text-to-image generators have been used during the writing or editing of this manuscript. </w:t>
      </w:r>
    </w:p>
    <w:p w14:paraId="14881AC6" w14:textId="77777777" w:rsidR="00C14118" w:rsidRDefault="00C14118">
      <w:pPr>
        <w:pStyle w:val="Heading1"/>
      </w:pPr>
      <w:bookmarkStart w:id="1" w:name="_GoBack"/>
      <w:bookmarkEnd w:id="0"/>
      <w:bookmarkEnd w:id="1"/>
    </w:p>
    <w:p w14:paraId="4701EDEA" w14:textId="77777777" w:rsidR="00C14118" w:rsidRDefault="00C14118">
      <w:pPr>
        <w:pStyle w:val="Heading1"/>
      </w:pPr>
    </w:p>
    <w:p w14:paraId="7E0D321B" w14:textId="4477E7BC" w:rsidR="002E41AC" w:rsidRDefault="00C61E51">
      <w:pPr>
        <w:pStyle w:val="Heading1"/>
      </w:pPr>
      <w:r>
        <w:t>References</w:t>
      </w:r>
    </w:p>
    <w:p w14:paraId="5B481FFB" w14:textId="77777777" w:rsidR="002E41AC" w:rsidRDefault="00C61E51">
      <w:pPr>
        <w:spacing w:after="40" w:line="240" w:lineRule="auto"/>
        <w:ind w:left="360" w:hanging="360"/>
      </w:pPr>
      <w:r>
        <w:t>1  Writing Committee, Drazner MH, Bozkurt B, Cooper LT, Aggarwal NR, Basso C, Bhave NM, et al. 2024 ACC Expert Consensus Decision Pathway on Strategies and Criteria for the Diagnosis and Management of Myocarditis: A Report of the American College of Cardiology Solution Set Oversight Committee. J Am Coll Cardiol. 2025;85(4):391-431. doi:10.1016/j.jacc.2024.10.080.</w:t>
      </w:r>
    </w:p>
    <w:p w14:paraId="78FFC8DB" w14:textId="77777777" w:rsidR="002E41AC" w:rsidRDefault="00C61E51">
      <w:pPr>
        <w:spacing w:after="40" w:line="240" w:lineRule="auto"/>
        <w:ind w:left="360" w:hanging="360"/>
      </w:pPr>
      <w:r>
        <w:rPr>
          <w:sz w:val="19"/>
        </w:rPr>
        <w:t>2. Schulz-Menger J, Collini V, Gröschel J, Adler Y, Brucato A, Christian V, et al. 2025 ESC Guidelines for the management of myocarditis and pericarditis. Eur Heart J. 2025;46(40):3952-4041. doi:10.1093/eurheartj/ehaf192.</w:t>
      </w:r>
    </w:p>
    <w:p w14:paraId="07C97040" w14:textId="77777777" w:rsidR="002E41AC" w:rsidRDefault="00C61E51">
      <w:pPr>
        <w:spacing w:after="40" w:line="240" w:lineRule="auto"/>
        <w:ind w:left="360" w:hanging="360"/>
      </w:pPr>
      <w:r>
        <w:rPr>
          <w:sz w:val="19"/>
        </w:rPr>
        <w:t>3. Ammirati E, Frigerio M, Adler ED, Basso C, Birnie DH, Brambatti M, et al. Management of Acute Myocarditis and Chronic Inflammatory Cardiomyopathy: An Expert Consensus Document. Circ Heart Fail. 2020;13(11):e007405. doi:10.1161/CIRCHEARTFAILURE.120.007405.</w:t>
      </w:r>
    </w:p>
    <w:p w14:paraId="55E3EFEF" w14:textId="77777777" w:rsidR="002E41AC" w:rsidRDefault="00C61E51">
      <w:pPr>
        <w:spacing w:after="40" w:line="240" w:lineRule="auto"/>
        <w:ind w:left="360" w:hanging="360"/>
      </w:pPr>
      <w:r>
        <w:rPr>
          <w:sz w:val="19"/>
        </w:rPr>
        <w:t>4. Kociol RD, Cooper LT, Fang JC, Moslehi JJ, Pang PS, Sabe MA, et al. Recognition and Initial Management of Fulminant Myocarditis: A Scientific Statement From the American Heart Association. Circulation. 2020;141(6):e69-e92. doi:10.1161/CIR.0000000000000745.</w:t>
      </w:r>
    </w:p>
    <w:p w14:paraId="247895DE" w14:textId="77777777" w:rsidR="002E41AC" w:rsidRDefault="00C61E51">
      <w:pPr>
        <w:spacing w:after="40" w:line="240" w:lineRule="auto"/>
        <w:ind w:left="360" w:hanging="360"/>
      </w:pPr>
      <w:r>
        <w:rPr>
          <w:sz w:val="19"/>
        </w:rPr>
        <w:t>5. Lampejo T, Durkin SM, Bhatt N, Guttmann O. Acute myocarditis: aetiology, diagnosis and management. Clin Med (Lond). 2021;21(5):e505-e510. doi:10.7861/clinmed.2021-0121.</w:t>
      </w:r>
    </w:p>
    <w:p w14:paraId="411A2AA8" w14:textId="77777777" w:rsidR="002E41AC" w:rsidRDefault="00C61E51">
      <w:pPr>
        <w:spacing w:after="40" w:line="240" w:lineRule="auto"/>
        <w:ind w:left="360" w:hanging="360"/>
      </w:pPr>
      <w:r>
        <w:rPr>
          <w:sz w:val="19"/>
        </w:rPr>
        <w:t>6. Ammirati E, Moslehi JJ. Diagnosis and Treatment of Acute Myocarditis: A Review. JAMA. 2023;329(13):1098-1113. doi:10.1001/jama.2023.3371.</w:t>
      </w:r>
    </w:p>
    <w:p w14:paraId="23E35409" w14:textId="77777777" w:rsidR="002E41AC" w:rsidRDefault="00C61E51">
      <w:pPr>
        <w:spacing w:after="40" w:line="240" w:lineRule="auto"/>
        <w:ind w:left="360" w:hanging="360"/>
      </w:pPr>
      <w:r>
        <w:rPr>
          <w:sz w:val="19"/>
        </w:rPr>
        <w:t>7. Tymińska A, Ozierański K, Caforio ALP, Marcolongo R, Marchel M, Kapłon-Cieślicka A, et al. Personalized Management of Myocarditis and Inflammatory Cardiomyopathy in Clinical Practice. J Pers Med. 2022;12(2):183. doi:10.3390/jpm12020183.</w:t>
      </w:r>
    </w:p>
    <w:p w14:paraId="631BB16A" w14:textId="77777777" w:rsidR="002E41AC" w:rsidRDefault="00C61E51">
      <w:pPr>
        <w:spacing w:after="40" w:line="240" w:lineRule="auto"/>
        <w:ind w:left="360" w:hanging="360"/>
      </w:pPr>
      <w:r>
        <w:rPr>
          <w:sz w:val="19"/>
        </w:rPr>
        <w:t>8. Lasica R, Zujewski P, Kołtowski Ł, Grabowski M, Filipiak KJ, Kopeć G, et al. Update on Myocarditis: From Etiology and Clinical Picture to Modern Diagnostics and Methods of Treatment. Diagnostics (Basel). 2023;13(19):3073. doi:10.3390/diagnostics13193073.</w:t>
      </w:r>
    </w:p>
    <w:p w14:paraId="387208AC" w14:textId="77777777" w:rsidR="002E41AC" w:rsidRDefault="00C61E51">
      <w:pPr>
        <w:spacing w:after="40" w:line="240" w:lineRule="auto"/>
        <w:ind w:left="360" w:hanging="360"/>
      </w:pPr>
      <w:r>
        <w:rPr>
          <w:sz w:val="19"/>
        </w:rPr>
        <w:t>9. Caforio ALP, Pankuweit S, Arbustini E, Basso C, Gimeno-Blanes J, Felix SB, et al. Current state of knowledge on aetiology, diagnosis, management, and therapy of myocarditis: a position statement of the ESC Working Group on Myocardial and Pericardial Diseases. Eur Heart J. 2013;34(33):2636-48, 2648a-2648d. doi:10.1093/eurheartj/eht210.</w:t>
      </w:r>
    </w:p>
    <w:p w14:paraId="09C38E2C" w14:textId="77777777" w:rsidR="002E41AC" w:rsidRDefault="00C61E51">
      <w:pPr>
        <w:spacing w:after="40" w:line="240" w:lineRule="auto"/>
        <w:ind w:left="360" w:hanging="360"/>
        <w:rPr>
          <w:lang w:val="fr-FR"/>
        </w:rPr>
      </w:pPr>
      <w:r>
        <w:rPr>
          <w:sz w:val="19"/>
        </w:rPr>
        <w:t xml:space="preserve">10. Sagar S, Liu PP, Cooper LT Jr. </w:t>
      </w:r>
      <w:r>
        <w:rPr>
          <w:sz w:val="19"/>
          <w:lang w:val="fr-FR"/>
        </w:rPr>
        <w:t>Myocarditis. Lancet. 2012;379(9817):738-747. doi:10.1016/S0140-6736(11)60648-X.</w:t>
      </w:r>
    </w:p>
    <w:p w14:paraId="2E31DFBD" w14:textId="77777777" w:rsidR="002E41AC" w:rsidRDefault="00C61E51">
      <w:pPr>
        <w:spacing w:after="40" w:line="240" w:lineRule="auto"/>
        <w:ind w:left="360" w:hanging="360"/>
      </w:pPr>
      <w:r>
        <w:rPr>
          <w:sz w:val="19"/>
        </w:rPr>
        <w:t>11. Cooper LT Jr. Myocarditis. N Engl J Med. 2009;360(15):1526-1538. doi:10.1056/NEJMra0800028.</w:t>
      </w:r>
    </w:p>
    <w:p w14:paraId="4A612083" w14:textId="77777777" w:rsidR="002E41AC" w:rsidRDefault="00C61E51">
      <w:pPr>
        <w:spacing w:after="40" w:line="240" w:lineRule="auto"/>
        <w:ind w:left="360" w:hanging="360"/>
      </w:pPr>
      <w:r>
        <w:rPr>
          <w:sz w:val="19"/>
        </w:rPr>
        <w:t>12. Schultheiss HP, Kühl U, Cooper LT. The management of myocarditis. Eur Heart J. 2011;32(21):2616-2625. doi:10.1093/eurheartj/ehr165.</w:t>
      </w:r>
    </w:p>
    <w:p w14:paraId="0B292D0A" w14:textId="77777777" w:rsidR="002E41AC" w:rsidRDefault="00C61E51">
      <w:pPr>
        <w:spacing w:after="40" w:line="240" w:lineRule="auto"/>
        <w:ind w:left="360" w:hanging="360"/>
      </w:pPr>
      <w:r>
        <w:rPr>
          <w:sz w:val="19"/>
        </w:rPr>
        <w:t>13. Friedrich MG, Sechtem U, Schulz-Menger J, Holmvang G, Alakija P, Cooper LT, et al. Cardiovascular Magnetic Resonance in Myocarditis: A JACC White Paper. J Am Coll Cardiol. 2009;53(17):1475-1487. doi:10.1016/j.jacc.2009.02.007.</w:t>
      </w:r>
    </w:p>
    <w:p w14:paraId="45B19E3E" w14:textId="77777777" w:rsidR="002E41AC" w:rsidRDefault="00C61E51">
      <w:pPr>
        <w:spacing w:after="40" w:line="240" w:lineRule="auto"/>
        <w:ind w:left="360" w:hanging="360"/>
      </w:pPr>
      <w:r>
        <w:rPr>
          <w:sz w:val="19"/>
        </w:rPr>
        <w:t>14. Ferreira VM, Schulz-Menger J, Holmvang G, Kramer CM, Carbone I, Sechtem U, et al. Cardiovascular Magnetic Resonance in Nonischemic Myocardial Inflammation: Expert Recommendations. J Am Coll Cardiol. 2018;72(24):3158-3176. doi:10.1016/j.jacc.2018.09.072.</w:t>
      </w:r>
    </w:p>
    <w:p w14:paraId="4A10808C" w14:textId="77777777" w:rsidR="002E41AC" w:rsidRDefault="00C61E51">
      <w:pPr>
        <w:spacing w:after="40" w:line="240" w:lineRule="auto"/>
        <w:ind w:left="360" w:hanging="360"/>
      </w:pPr>
      <w:r>
        <w:rPr>
          <w:sz w:val="19"/>
        </w:rPr>
        <w:t>15. Luetkens JA, Faron A, Isaak A, Dabir D, Kuetting D, Feisst A, et al. Comparison of Original and 2018 Lake Louise Criteria for Diagnosis of Acute Myocarditis: Results of a Validation Cohort. Radiol Cardiothorac Imaging. 2019;1(3):e190010. doi:10.1148/ryct.2019190010.</w:t>
      </w:r>
    </w:p>
    <w:p w14:paraId="76205465" w14:textId="77777777" w:rsidR="002E41AC" w:rsidRDefault="00C61E51">
      <w:pPr>
        <w:spacing w:after="40" w:line="240" w:lineRule="auto"/>
        <w:ind w:left="360" w:hanging="360"/>
      </w:pPr>
      <w:r>
        <w:rPr>
          <w:sz w:val="19"/>
        </w:rPr>
        <w:t>16. Gräni C, Eichhorn C, Bière L, Murthy VL, Agarwal V, Kaneko K, et al. Prognostic Value of Cardiac Magnetic Resonance Tissue Characterization in Risk Stratifying Patients With Suspected Myocarditis. J Am Coll Cardiol. 2017;70(16):1964-1976. doi:10.1016/j.jacc.2017.08.050.</w:t>
      </w:r>
    </w:p>
    <w:p w14:paraId="5152A937" w14:textId="77777777" w:rsidR="002E41AC" w:rsidRDefault="00C61E51">
      <w:pPr>
        <w:spacing w:after="40" w:line="240" w:lineRule="auto"/>
        <w:ind w:left="360" w:hanging="360"/>
      </w:pPr>
      <w:r>
        <w:rPr>
          <w:sz w:val="19"/>
        </w:rPr>
        <w:lastRenderedPageBreak/>
        <w:t>17. Georgiopoulos G, Figliozzi S, Sanguineti F, Aquaro GD, di Bella G, Stamatelopoulos K, et al. Prognostic Impact of Late Gadolinium Enhancement by Cardiovascular Magnetic Resonance in Myocarditis: A Systematic Review and Meta-Analysis. Circ Cardiovasc Imaging. 2021;14(1):e011492. doi:10.1161/CIRCIMAGING.120.011492.</w:t>
      </w:r>
    </w:p>
    <w:p w14:paraId="6B328D00" w14:textId="77777777" w:rsidR="002E41AC" w:rsidRDefault="00C61E51">
      <w:pPr>
        <w:spacing w:after="40" w:line="240" w:lineRule="auto"/>
        <w:ind w:left="360" w:hanging="360"/>
      </w:pPr>
      <w:r>
        <w:rPr>
          <w:sz w:val="19"/>
        </w:rPr>
        <w:t>18. Aquaro GD, Perfetti M, Camastra G, Monti L, Dellegrottaglie S, Moro C, et al. Prognostic Value of Repeating Cardiac Magnetic Resonance in Patients With Acute Myocarditis. J Am Coll Cardiol. 2019;74(20):2439-2448. doi:10.1016/j.jacc.2019.08.1061.</w:t>
      </w:r>
    </w:p>
    <w:p w14:paraId="0D583A08" w14:textId="77777777" w:rsidR="002E41AC" w:rsidRDefault="00C61E51">
      <w:pPr>
        <w:spacing w:after="40" w:line="240" w:lineRule="auto"/>
        <w:ind w:left="360" w:hanging="360"/>
        <w:rPr>
          <w:lang w:val="fr-FR"/>
        </w:rPr>
      </w:pPr>
      <w:r>
        <w:rPr>
          <w:sz w:val="19"/>
        </w:rPr>
        <w:t xml:space="preserve">19. Eichhorn C, Bière L, Schnell F, Schmied C, Wilhelm M, Kwong RY, et al. Multiparametric Cardiovascular Magnetic Resonance Approach in Diagnosing, Monitoring, and Prognostication of Myocarditis. </w:t>
      </w:r>
      <w:r>
        <w:rPr>
          <w:sz w:val="19"/>
          <w:lang w:val="fr-FR"/>
        </w:rPr>
        <w:t>JACC Cardiovasc Imaging. 2022;15(7):1325-1338. doi:10.1016/j.jcmg.2021.11.017.</w:t>
      </w:r>
    </w:p>
    <w:p w14:paraId="0CB6F04B" w14:textId="77777777" w:rsidR="002E41AC" w:rsidRDefault="00C61E51">
      <w:pPr>
        <w:spacing w:after="40" w:line="240" w:lineRule="auto"/>
        <w:ind w:left="360" w:hanging="360"/>
      </w:pPr>
      <w:r>
        <w:rPr>
          <w:sz w:val="19"/>
          <w:lang w:val="fr-FR"/>
        </w:rPr>
        <w:t xml:space="preserve">20. Ammirati E, Cipriani M, Moro C, Raineri C, Pini D, Sormani P, et al. </w:t>
      </w:r>
      <w:r>
        <w:rPr>
          <w:sz w:val="19"/>
        </w:rPr>
        <w:t>Clinical Presentation and Outcome in a Contemporary Cohort of Patients With Acute Myocarditis: Multicenter Lombardy Registry. Circulation. 2018;138(11):1088-1099. doi:10.1161/CIRCULATIONAHA.118.035319.</w:t>
      </w:r>
    </w:p>
    <w:p w14:paraId="612D273D" w14:textId="77777777" w:rsidR="002E41AC" w:rsidRDefault="00C61E51">
      <w:pPr>
        <w:spacing w:after="40" w:line="240" w:lineRule="auto"/>
        <w:ind w:left="360" w:hanging="360"/>
      </w:pPr>
      <w:r>
        <w:rPr>
          <w:sz w:val="19"/>
        </w:rPr>
        <w:t>21. Grün S, Schumm J, Greulich S, Wagner A, Schneider S, Bruder O, et al. Long-term follow-up of biopsy-proven viral myocarditis: predictors of mortality and incomplete recovery. J Am Coll Cardiol. 2012;59(18):1604-1615. doi:10.1016/j.jacc.2012.01.007.</w:t>
      </w:r>
    </w:p>
    <w:p w14:paraId="1C473FA1" w14:textId="77777777" w:rsidR="002E41AC" w:rsidRDefault="00C61E51">
      <w:pPr>
        <w:spacing w:after="40" w:line="240" w:lineRule="auto"/>
        <w:ind w:left="360" w:hanging="360"/>
      </w:pPr>
      <w:r>
        <w:rPr>
          <w:sz w:val="19"/>
        </w:rPr>
        <w:t>22. Ammirati E, Varrenti M, Sormani P, Bernasconi D, Moro C, Grosu A, et al. Long-term prognostic performance of cardiac magnetic resonance imaging markers versus complicated clinical presentation after an acute myocarditis. Int J Cardiol. 2024;417:132567. doi:10.1016/j.ijcard.2024.132567.</w:t>
      </w:r>
    </w:p>
    <w:p w14:paraId="7460CF9D" w14:textId="77777777" w:rsidR="002E41AC" w:rsidRDefault="00C61E51">
      <w:pPr>
        <w:spacing w:after="40" w:line="240" w:lineRule="auto"/>
        <w:ind w:left="360" w:hanging="360"/>
      </w:pPr>
      <w:r>
        <w:t>23. Isaak A, Wirtz J, Kravchenko D, Mesropyan N, Bischoff LM, Bienert S, et al. Cardiac MRI in infarct-like myocarditis: transmural extension of late gadolinium enhancement is associated with worse outcomes. Insights Imaging. 2024;15(1):246. doi:10.1186/s13244-024-01832-3.</w:t>
      </w:r>
    </w:p>
    <w:p w14:paraId="4109A8DB" w14:textId="77777777" w:rsidR="002E41AC" w:rsidRDefault="00C61E51">
      <w:pPr>
        <w:spacing w:after="40" w:line="240" w:lineRule="auto"/>
        <w:ind w:left="360" w:hanging="360"/>
      </w:pPr>
      <w:r>
        <w:rPr>
          <w:sz w:val="19"/>
        </w:rPr>
        <w:t>24. Schelldorfer A, Gregoriano C, Hauser S, Fuchs TA, Mueller B, Schuetz P, et al. Rate of cardiovascular events up to 8 years after uncomplicated myocarditis: a nationwide cohort study. Eur Heart J Acute Cardiovasc Care. 2024;13(5):401-410. doi:10.1093/ehjacc/zuae021.</w:t>
      </w:r>
    </w:p>
    <w:p w14:paraId="2A9FA5EA" w14:textId="77777777" w:rsidR="002E41AC" w:rsidRDefault="00C61E51">
      <w:pPr>
        <w:spacing w:after="40" w:line="240" w:lineRule="auto"/>
        <w:ind w:left="360" w:hanging="360"/>
      </w:pPr>
      <w:r>
        <w:rPr>
          <w:sz w:val="19"/>
        </w:rPr>
        <w:t>25. Yamagata K, Malhotra A. Return-to-Play Post-Myocarditis for Athletes: To Play or Not to Play? Diagnostics (Basel). 2024;14(19):2236. doi:10.3390/diagnostics14192236.</w:t>
      </w:r>
    </w:p>
    <w:p w14:paraId="49ACB901" w14:textId="77777777" w:rsidR="002E41AC" w:rsidRDefault="00C61E51">
      <w:pPr>
        <w:spacing w:after="40" w:line="240" w:lineRule="auto"/>
        <w:ind w:left="360" w:hanging="360"/>
      </w:pPr>
      <w:r>
        <w:rPr>
          <w:sz w:val="19"/>
        </w:rPr>
        <w:t>26. Hurwitz B, Issa O. Management and Treatment of Myocarditis in Athletes. Curr Treat Options Cardiovasc Med. 2020;22(12):65. doi:10.1007/s11936-020-00875-1.</w:t>
      </w:r>
    </w:p>
    <w:p w14:paraId="024241A5" w14:textId="77777777" w:rsidR="002E41AC" w:rsidRDefault="00C61E51">
      <w:pPr>
        <w:spacing w:after="40" w:line="240" w:lineRule="auto"/>
        <w:ind w:left="360" w:hanging="360"/>
      </w:pPr>
      <w:r>
        <w:rPr>
          <w:sz w:val="19"/>
        </w:rPr>
        <w:t>27. Terry KJ, Narducci ML, Moran B, Chang P, Orlando D, Bindas B, et al. Myocarditis in Athletes: Risk Factors and Relationship with Strenuous Exercise. Sports Med. 2024;54(3):607-621. doi:10.1007/s40279-023-01969-z.</w:t>
      </w:r>
    </w:p>
    <w:p w14:paraId="42DD0818" w14:textId="77777777" w:rsidR="002E41AC" w:rsidRDefault="00C61E51">
      <w:pPr>
        <w:spacing w:after="40" w:line="240" w:lineRule="auto"/>
        <w:ind w:left="360" w:hanging="360"/>
      </w:pPr>
      <w:r>
        <w:rPr>
          <w:sz w:val="19"/>
        </w:rPr>
        <w:t>28. Pelliccia A, Sharma S, Gati S, Bäck M, Börjesson M, Caselli S, et al. 2020 ESC Guidelines on sports cardiology and exercise in patients with cardiovascular disease. Eur Heart J. 2021;42(1):17-96. doi:10.1093/eurheartj/ehaa605.</w:t>
      </w:r>
    </w:p>
    <w:p w14:paraId="348C608E" w14:textId="77777777" w:rsidR="002E41AC" w:rsidRDefault="00C61E51">
      <w:pPr>
        <w:spacing w:after="40" w:line="240" w:lineRule="auto"/>
        <w:ind w:left="360" w:hanging="360"/>
      </w:pPr>
      <w:r>
        <w:rPr>
          <w:sz w:val="19"/>
        </w:rPr>
        <w:t>29. Mody KP, Takayama H, Landes E, Yuzefpolskaya M, Colombo PC, Naka Y, et al. Acute mechanical circulatory support for fulminant myocarditis complicated by cardiogenic shock. J Cardiovasc Transl Res. 2014;7(2):156-164. doi:10.1007/s12265-013-9521-9.</w:t>
      </w:r>
    </w:p>
    <w:p w14:paraId="0860FE48" w14:textId="77777777" w:rsidR="002E41AC" w:rsidRDefault="00C61E51">
      <w:pPr>
        <w:spacing w:after="40" w:line="240" w:lineRule="auto"/>
        <w:ind w:left="360" w:hanging="360"/>
      </w:pPr>
      <w:r>
        <w:t>30. Truong DT, Dionne A, Muniz JC, McHugh KE, Portman MA, Lambert LM, et al. Clinically Suspected Myocarditis Temporally Related to COVID-19 Vaccination in Adolescents and Young Adults: Suspected Myocarditis After COVID-19 Vaccination. Circulation. 2022;145(5):345-356. doi:10.1161/CIRCULATIONAHA.121.056583.</w:t>
      </w:r>
    </w:p>
    <w:p w14:paraId="0C07C9B4" w14:textId="77777777" w:rsidR="002E41AC" w:rsidRDefault="00C61E51">
      <w:pPr>
        <w:spacing w:after="40" w:line="240" w:lineRule="auto"/>
        <w:ind w:left="360" w:hanging="360"/>
      </w:pPr>
      <w:r>
        <w:rPr>
          <w:sz w:val="19"/>
        </w:rPr>
        <w:t>31. Kracalik I, Oster ME, Broder KR, Cortese MM, Glover M, Shields K, et al. Outcomes at least 90 days since onset of myocarditis after mRNA COVID-19 vaccination in adolescents and young adults in the USA: a follow-up surveillance study. Lancet Child Adolesc Health. 2022;6(11):788-798. doi:10.1016/S2352-4642(22)00244-9.</w:t>
      </w:r>
    </w:p>
    <w:p w14:paraId="21D1C50D" w14:textId="77777777" w:rsidR="002E41AC" w:rsidRDefault="00C61E51">
      <w:pPr>
        <w:spacing w:after="40" w:line="240" w:lineRule="auto"/>
        <w:ind w:left="360" w:hanging="360"/>
        <w:rPr>
          <w:lang w:val="fr-FR"/>
        </w:rPr>
      </w:pPr>
      <w:r>
        <w:rPr>
          <w:sz w:val="19"/>
        </w:rPr>
        <w:t xml:space="preserve">32. Shenton P, Schrader S, Smith J, Alafaci A, Cox N, Taylor A, et al. Long term follow up and outcomes of Covid-19 vaccine associated myocarditis in Victoria, Australia: A clinical surveillance study. </w:t>
      </w:r>
      <w:r>
        <w:rPr>
          <w:sz w:val="19"/>
          <w:lang w:val="fr-FR"/>
        </w:rPr>
        <w:t>Vaccine. 2024;42(3):522-528. doi:10.1016/j.vaccine.2023.12.070.</w:t>
      </w:r>
    </w:p>
    <w:p w14:paraId="07814237" w14:textId="77777777" w:rsidR="002E41AC" w:rsidRDefault="00C61E51">
      <w:pPr>
        <w:spacing w:after="40" w:line="240" w:lineRule="auto"/>
        <w:ind w:left="360" w:hanging="360"/>
      </w:pPr>
      <w:r>
        <w:rPr>
          <w:sz w:val="19"/>
          <w:lang w:val="fr-FR"/>
        </w:rPr>
        <w:t xml:space="preserve">33. Semenzato L, Le Vu S, Botton J, Bertrand M, Jabagi MJ, Drouin J, et al. </w:t>
      </w:r>
      <w:r>
        <w:rPr>
          <w:sz w:val="19"/>
        </w:rPr>
        <w:t>Long-Term Prognosis of Patients With Myocarditis Attributed to COVID-19 mRNA Vaccination, SARS-CoV-2 Infection, or Conventional Etiologies. JAMA. 2024;332(16):1367-1377. doi:10.1001/jama.2024.16380.</w:t>
      </w:r>
    </w:p>
    <w:p w14:paraId="04D5FE31" w14:textId="77777777" w:rsidR="002E41AC" w:rsidRDefault="00C61E51">
      <w:pPr>
        <w:spacing w:after="40" w:line="240" w:lineRule="auto"/>
        <w:ind w:left="360" w:hanging="360"/>
      </w:pPr>
      <w:r>
        <w:rPr>
          <w:sz w:val="19"/>
        </w:rPr>
        <w:t>34. Jain SS, Anderson SA, Steele JM, Wilson HC, Muniz JC, Soslow JH, et al. Cardiac manifestations and outcomes of COVID-19 vaccine-associated myocarditis in the young in the USA: longitudinal results from the Myocarditis After COVID Vaccination (MACiV) multicenter study. EClinicalMedicine. 2024;76:102809. doi:10.1016/j.eclinm.2024.102809.</w:t>
      </w:r>
    </w:p>
    <w:p w14:paraId="208558D9" w14:textId="77777777" w:rsidR="002E41AC" w:rsidRDefault="00C61E51">
      <w:pPr>
        <w:spacing w:after="40" w:line="240" w:lineRule="auto"/>
        <w:ind w:left="360" w:hanging="360"/>
      </w:pPr>
      <w:r>
        <w:rPr>
          <w:sz w:val="19"/>
        </w:rPr>
        <w:t>35. Atluri P, Ullery BW, MacArthur JW, Goldstone AB, Fairman AS, Hiesinger W, et al. Rapid onset of fulminant myocarditis portends a favourable prognosis and the ability to bridge mechanical circulatory support to recovery. Eur J Cardiothorac Surg. 2013;43(2):379-382. doi:10.1093/ejcts/ezs242.</w:t>
      </w:r>
    </w:p>
    <w:p w14:paraId="36AE3567" w14:textId="77777777" w:rsidR="002E41AC" w:rsidRDefault="00C61E51">
      <w:pPr>
        <w:spacing w:after="40" w:line="240" w:lineRule="auto"/>
        <w:ind w:left="360" w:hanging="360"/>
      </w:pPr>
      <w:r>
        <w:rPr>
          <w:sz w:val="19"/>
        </w:rPr>
        <w:t>36. Lenz M, Krychtiuk KA, Zilberszac R, Heinz G, Riebandt J, Speidl WS. Mechanical Circulatory Support Systems in Fulminant Myocarditis: Recent Advances and Outlook. J Clin Med. 2024;13(5):1197. doi:10.3390/jcm13051197.</w:t>
      </w:r>
    </w:p>
    <w:p w14:paraId="54438F93" w14:textId="77777777" w:rsidR="002E41AC" w:rsidRDefault="00C61E51">
      <w:pPr>
        <w:spacing w:after="40" w:line="240" w:lineRule="auto"/>
        <w:ind w:left="360" w:hanging="360"/>
      </w:pPr>
      <w:r>
        <w:rPr>
          <w:sz w:val="19"/>
        </w:rPr>
        <w:t>37. Xu J, Brooks EG. Giant Cell Myocarditis: A Brief Review. Arch Pathol Lab Med. 2016;140(12):1429-1434. doi:10.5858/arpa.2016-0068-RS.</w:t>
      </w:r>
    </w:p>
    <w:p w14:paraId="3EE7EE77" w14:textId="77777777" w:rsidR="002E41AC" w:rsidRDefault="00C61E51">
      <w:pPr>
        <w:spacing w:after="40" w:line="240" w:lineRule="auto"/>
        <w:ind w:left="360" w:hanging="360"/>
      </w:pPr>
      <w:r>
        <w:rPr>
          <w:sz w:val="19"/>
        </w:rPr>
        <w:t>38. Howell E, Paivanas N, Stern J, Vidula H. Treatment of Acute Necrotizing Eosinophilic Myocarditis With Immunosuppression and Mechanical Circulatory Support. Circ Heart Fail. 2016;9(12):e003665. doi:10.1161/CIRCHEARTFAILURE.116.003665.</w:t>
      </w:r>
    </w:p>
    <w:p w14:paraId="62B432EE" w14:textId="77777777" w:rsidR="002E41AC" w:rsidRDefault="00C61E51">
      <w:pPr>
        <w:spacing w:after="40" w:line="240" w:lineRule="auto"/>
        <w:ind w:left="360" w:hanging="360"/>
      </w:pPr>
      <w:r>
        <w:t>39. Bryde RE, Cooper LT Jr, Fairweather D, Di Florio DN, Martinez MW. Exercise After Acute Myocarditis: When and How to Return to Sports. Cardiol Clin. 2023;41(1):107-115. doi:10.1016/j.ccl.2022.08.009.</w:t>
      </w:r>
    </w:p>
    <w:p w14:paraId="3612BD49" w14:textId="77777777" w:rsidR="002E41AC" w:rsidRDefault="00C61E51">
      <w:pPr>
        <w:spacing w:after="40" w:line="240" w:lineRule="auto"/>
        <w:ind w:left="360" w:hanging="360"/>
      </w:pPr>
      <w:r>
        <w:rPr>
          <w:sz w:val="19"/>
        </w:rPr>
        <w:lastRenderedPageBreak/>
        <w:t>40. Małek ŁA, Kamińska H, Barczuk-Falęcka M, Ferreira VM, Wójcicka J, Brzewski M, et al. Children with acute myocarditis often have persistent subclinical changes as revealed by cardiac magnetic resonance. J Magn Reson Imaging. 2020;52:488-496. doi:10.1002/jmri.27036.</w:t>
      </w:r>
    </w:p>
    <w:p w14:paraId="07F477C8" w14:textId="77777777" w:rsidR="002E41AC" w:rsidRDefault="00C61E51">
      <w:pPr>
        <w:spacing w:after="40" w:line="240" w:lineRule="auto"/>
        <w:ind w:left="360" w:hanging="360"/>
      </w:pPr>
      <w:r>
        <w:rPr>
          <w:sz w:val="19"/>
        </w:rPr>
        <w:t>41. Dubey S, Agarwal A, Nguyen S, Adebo D. Persistence of Late Gadolinium Enhancement on Follow-Up CMR Imaging in Children With Acute Myocarditis. Pediatr Cardiol. 2020;41:1777-1782. doi:10.1007/s00246-020-02445-5.</w:t>
      </w:r>
    </w:p>
    <w:p w14:paraId="48A3FA77" w14:textId="77777777" w:rsidR="002E41AC" w:rsidRDefault="00C61E51">
      <w:pPr>
        <w:spacing w:after="40" w:line="240" w:lineRule="auto"/>
        <w:ind w:left="360" w:hanging="360"/>
      </w:pPr>
      <w:r>
        <w:rPr>
          <w:sz w:val="19"/>
        </w:rPr>
        <w:t>42. Matsubara D, Chang J, Kauffman HL, Wang Y, Nadaraj S, Patel C, et al. Longitudinal Assessment of Cardiac Outcomes of Multisystem Inflammatory Syndrome in Children Associated With COVID-19 Infections. J Am Heart Assoc. 2022;11:e023251. doi:10.1161/JAHA.121.023251.</w:t>
      </w:r>
    </w:p>
    <w:p w14:paraId="55CC73A8" w14:textId="77777777" w:rsidR="002E41AC" w:rsidRDefault="00C61E51">
      <w:pPr>
        <w:spacing w:after="40" w:line="240" w:lineRule="auto"/>
        <w:ind w:left="360" w:hanging="360"/>
        <w:rPr>
          <w:lang w:val="fr-FR"/>
        </w:rPr>
      </w:pPr>
      <w:r>
        <w:rPr>
          <w:sz w:val="19"/>
        </w:rPr>
        <w:t xml:space="preserve">43. Lang SM, Truong DT, Powell AJ, Kazlova V, Newburger JW, Awerbach JD, et al. CMR Findings in the Long-Term Outcomes After Multisystem Inflammatory Syndrome in Children (MUSIC) Study. </w:t>
      </w:r>
      <w:r>
        <w:rPr>
          <w:sz w:val="19"/>
          <w:lang w:val="fr-FR"/>
        </w:rPr>
        <w:t>Circ Cardiovasc Imaging. 2025;18(9):e017420. doi:10.1161/CIRCIMAGING.124.017420.</w:t>
      </w:r>
    </w:p>
    <w:p w14:paraId="1F7DD85D" w14:textId="77777777" w:rsidR="002E41AC" w:rsidRDefault="00C61E51">
      <w:pPr>
        <w:spacing w:after="40" w:line="240" w:lineRule="auto"/>
        <w:ind w:left="360" w:hanging="360"/>
      </w:pPr>
      <w:r>
        <w:rPr>
          <w:sz w:val="19"/>
          <w:lang w:val="fr-FR"/>
        </w:rPr>
        <w:t xml:space="preserve">44. Di Lisi D, Madaudo C, Carmina MG, Clemenza F, Scelfo D, La Franca E, et al. </w:t>
      </w:r>
      <w:r>
        <w:rPr>
          <w:sz w:val="19"/>
        </w:rPr>
        <w:t>Prognosis of myocarditis stratified by initial clinical presentation: Does "intermediate" risk still play a role? Am Heart J Plus. 2024;46:100458. doi:10.1016/j.ahjo.2024.100458.</w:t>
      </w:r>
    </w:p>
    <w:p w14:paraId="39E22394" w14:textId="77777777" w:rsidR="002E41AC" w:rsidRDefault="00C61E51">
      <w:pPr>
        <w:spacing w:after="40" w:line="240" w:lineRule="auto"/>
        <w:ind w:left="360" w:hanging="360"/>
      </w:pPr>
      <w:r>
        <w:rPr>
          <w:sz w:val="19"/>
        </w:rPr>
        <w:t>45. Jain SS, Steele JM, Fonseca B, Huang S, Shah S, Maskatia SA, et al. COVID-19 Vaccination-Associated Myocarditis in Adolescents. Pediatrics. 2021;148(5):e2021053427. doi:10.1542/peds.2021-053427.</w:t>
      </w:r>
    </w:p>
    <w:sectPr w:rsidR="002E41AC">
      <w:headerReference w:type="even" r:id="rId10"/>
      <w:headerReference w:type="default" r:id="rId11"/>
      <w:footerReference w:type="even" r:id="rId12"/>
      <w:footerReference w:type="default" r:id="rId13"/>
      <w:headerReference w:type="first" r:id="rId14"/>
      <w:footerReference w:type="first" r:id="rId15"/>
      <w:pgSz w:w="12240" w:h="15840"/>
      <w:pgMar w:top="1080" w:right="1224" w:bottom="100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DDB1A" w14:textId="77777777" w:rsidR="00487D12" w:rsidRDefault="00487D12" w:rsidP="00B913FE">
      <w:pPr>
        <w:spacing w:after="0" w:line="240" w:lineRule="auto"/>
      </w:pPr>
      <w:r>
        <w:separator/>
      </w:r>
    </w:p>
  </w:endnote>
  <w:endnote w:type="continuationSeparator" w:id="0">
    <w:p w14:paraId="0A04A426" w14:textId="77777777" w:rsidR="00487D12" w:rsidRDefault="00487D12" w:rsidP="00B9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8C08A" w14:textId="77777777" w:rsidR="00B913FE" w:rsidRDefault="00B91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A498" w14:textId="77777777" w:rsidR="00B913FE" w:rsidRDefault="00B91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7B25A" w14:textId="77777777" w:rsidR="00B913FE" w:rsidRDefault="00B91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B77ED" w14:textId="77777777" w:rsidR="00487D12" w:rsidRDefault="00487D12" w:rsidP="00B913FE">
      <w:pPr>
        <w:spacing w:after="0" w:line="240" w:lineRule="auto"/>
      </w:pPr>
      <w:r>
        <w:separator/>
      </w:r>
    </w:p>
  </w:footnote>
  <w:footnote w:type="continuationSeparator" w:id="0">
    <w:p w14:paraId="6D80DCB8" w14:textId="77777777" w:rsidR="00487D12" w:rsidRDefault="00487D12" w:rsidP="00B91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F174" w14:textId="34253D64" w:rsidR="00B913FE" w:rsidRDefault="00487D12">
    <w:pPr>
      <w:pStyle w:val="Header"/>
    </w:pPr>
    <w:r>
      <w:rPr>
        <w:noProof/>
      </w:rPr>
      <w:pict w14:anchorId="76ABB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0657" o:spid="_x0000_s2050" type="#_x0000_t136" style="position:absolute;margin-left:0;margin-top:0;width:613.55pt;height:76.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426D" w14:textId="33070C03" w:rsidR="00B913FE" w:rsidRDefault="00487D12">
    <w:pPr>
      <w:pStyle w:val="Header"/>
    </w:pPr>
    <w:r>
      <w:rPr>
        <w:noProof/>
      </w:rPr>
      <w:pict w14:anchorId="01DA6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0658" o:spid="_x0000_s2051" type="#_x0000_t136" style="position:absolute;margin-left:0;margin-top:0;width:613.55pt;height:76.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D8D9" w14:textId="09B72706" w:rsidR="00B913FE" w:rsidRDefault="00487D12">
    <w:pPr>
      <w:pStyle w:val="Header"/>
    </w:pPr>
    <w:r>
      <w:rPr>
        <w:noProof/>
      </w:rPr>
      <w:pict w14:anchorId="06CD3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0656" o:spid="_x0000_s2049" type="#_x0000_t136" style="position:absolute;margin-left:0;margin-top:0;width:613.55pt;height:76.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732805AE"/>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1AC"/>
    <w:rsid w:val="000A6B28"/>
    <w:rsid w:val="000F77C9"/>
    <w:rsid w:val="002E41AC"/>
    <w:rsid w:val="0038187F"/>
    <w:rsid w:val="00487D12"/>
    <w:rsid w:val="005B7195"/>
    <w:rsid w:val="007E0AAA"/>
    <w:rsid w:val="008B7152"/>
    <w:rsid w:val="00B913FE"/>
    <w:rsid w:val="00BF66B7"/>
    <w:rsid w:val="00C14118"/>
    <w:rsid w:val="00C61E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3D11532"/>
  <w15:docId w15:val="{380F442D-1796-4674-9813-0A91B44D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pPr>
    <w:rPr>
      <w:sz w:val="21"/>
    </w:rPr>
  </w:style>
  <w:style w:type="paragraph" w:styleId="Heading1">
    <w:name w:val="heading 1"/>
    <w:basedOn w:val="Normal"/>
    <w:next w:val="Normal"/>
    <w:link w:val="Heading1Char"/>
    <w:uiPriority w:val="9"/>
    <w:qFormat/>
    <w:pPr>
      <w:keepNext/>
      <w:keepLines/>
      <w:spacing w:before="280" w:after="120"/>
      <w:outlineLvl w:val="0"/>
    </w:pPr>
    <w:rPr>
      <w:rFonts w:ascii="Calibri" w:eastAsia="MS Gothic" w:hAnsi="Calibri" w:cs="Times New Roman"/>
      <w:b/>
      <w:bCs/>
      <w:color w:val="184B52"/>
      <w:sz w:val="32"/>
      <w:szCs w:val="28"/>
    </w:rPr>
  </w:style>
  <w:style w:type="paragraph" w:styleId="Heading2">
    <w:name w:val="heading 2"/>
    <w:basedOn w:val="Normal"/>
    <w:next w:val="Normal"/>
    <w:link w:val="Heading2Char"/>
    <w:uiPriority w:val="9"/>
    <w:qFormat/>
    <w:pPr>
      <w:keepNext/>
      <w:keepLines/>
      <w:spacing w:before="240" w:after="60"/>
      <w:outlineLvl w:val="1"/>
    </w:pPr>
    <w:rPr>
      <w:rFonts w:ascii="Calibri" w:eastAsia="MS Gothic" w:hAnsi="Calibri" w:cs="Times New Roman"/>
      <w:b/>
      <w:bCs/>
      <w:color w:val="1F5E66"/>
      <w:sz w:val="25"/>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cs="Times New Roman"/>
      <w:b/>
      <w:bCs/>
      <w:color w:val="2A6B74"/>
      <w:sz w:val="22"/>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cs="Times New Roman"/>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s="Times New Roman"/>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cs="Times New Roman"/>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cs="Times New Roman"/>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s="Times New Roman"/>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Times New Roman"/>
      <w:b/>
      <w:bCs/>
      <w:color w:val="4F81BD"/>
    </w:rPr>
  </w:style>
  <w:style w:type="paragraph" w:styleId="Title">
    <w:name w:val="Title"/>
    <w:basedOn w:val="Normal"/>
    <w:next w:val="Normal"/>
    <w:link w:val="TitleChar"/>
    <w:uiPriority w:val="10"/>
    <w:qFormat/>
    <w:pPr>
      <w:pBdr>
        <w:bottom w:val="single" w:sz="8" w:space="4" w:color="4F81BD"/>
      </w:pBdr>
      <w:spacing w:line="240" w:lineRule="auto"/>
      <w:contextualSpacing/>
    </w:pPr>
    <w:rPr>
      <w:rFonts w:ascii="Calibri" w:eastAsia="MS Gothic" w:hAnsi="Calibri" w:cs="Times New Roman"/>
      <w:b/>
      <w:color w:val="184B52"/>
      <w:spacing w:val="5"/>
      <w:kern w:val="28"/>
      <w:sz w:val="44"/>
      <w:szCs w:val="52"/>
    </w:rPr>
  </w:style>
  <w:style w:type="character" w:customStyle="1" w:styleId="TitleChar">
    <w:name w:val="Title Char"/>
    <w:basedOn w:val="DefaultParagraphFont"/>
    <w:link w:val="Title"/>
    <w:uiPriority w:val="10"/>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pPr>
      <w:numPr>
        <w:ilvl w:val="1"/>
      </w:numPr>
      <w:spacing w:after="80"/>
    </w:pPr>
    <w:rPr>
      <w:rFonts w:ascii="Calibri" w:eastAsia="MS Gothic" w:hAnsi="Calibri" w:cs="Times New Roman"/>
      <w:i/>
      <w:iCs/>
      <w:color w:val="5F6B6D"/>
      <w:spacing w:val="15"/>
      <w:sz w:val="23"/>
      <w:szCs w:val="24"/>
    </w:rPr>
  </w:style>
  <w:style w:type="character" w:customStyle="1" w:styleId="SubtitleChar">
    <w:name w:val="Subtitle Char"/>
    <w:basedOn w:val="DefaultParagraphFont"/>
    <w:link w:val="Subtitle"/>
    <w:uiPriority w:val="11"/>
    <w:rPr>
      <w:rFonts w:ascii="Calibri" w:eastAsia="MS Gothic" w:hAnsi="Calibri" w:cs="Times New Roma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rPr>
      <w:rFonts w:ascii="Calibri" w:eastAsia="MS Gothic" w:hAnsi="Calibri" w:cs="Times New Roman"/>
      <w:color w:val="243F60"/>
    </w:rPr>
  </w:style>
  <w:style w:type="character" w:customStyle="1" w:styleId="Heading6Char">
    <w:name w:val="Heading 6 Char"/>
    <w:basedOn w:val="DefaultParagraphFont"/>
    <w:link w:val="Heading6"/>
    <w:uiPriority w:val="9"/>
    <w:rPr>
      <w:rFonts w:ascii="Calibri" w:eastAsia="MS Gothic" w:hAnsi="Calibri" w:cs="Times New Roman"/>
      <w:i/>
      <w:iCs/>
      <w:color w:val="243F60"/>
    </w:rPr>
  </w:style>
  <w:style w:type="character" w:customStyle="1" w:styleId="Heading7Char">
    <w:name w:val="Heading 7 Char"/>
    <w:basedOn w:val="DefaultParagraphFont"/>
    <w:link w:val="Heading7"/>
    <w:uiPriority w:val="9"/>
    <w:rPr>
      <w:rFonts w:ascii="Calibri" w:eastAsia="MS Gothic" w:hAnsi="Calibri" w:cs="Times New Roman"/>
      <w:i/>
      <w:iCs/>
      <w:color w:val="404040"/>
    </w:rPr>
  </w:style>
  <w:style w:type="character" w:customStyle="1" w:styleId="Heading8Char">
    <w:name w:val="Heading 8 Char"/>
    <w:basedOn w:val="DefaultParagraphFont"/>
    <w:link w:val="Heading8"/>
    <w:uiPriority w:val="9"/>
    <w:rPr>
      <w:rFonts w:ascii="Calibri" w:eastAsia="MS Gothic" w:hAnsi="Calibri" w:cs="Times New Roman"/>
      <w:color w:val="4F81BD"/>
      <w:sz w:val="20"/>
      <w:szCs w:val="20"/>
    </w:rPr>
  </w:style>
  <w:style w:type="character" w:customStyle="1" w:styleId="Heading9Char">
    <w:name w:val="Heading 9 Char"/>
    <w:basedOn w:val="DefaultParagraphFont"/>
    <w:link w:val="Heading9"/>
    <w:uiPriority w:val="9"/>
    <w:rPr>
      <w:rFonts w:ascii="Calibri" w:eastAsia="MS Gothic" w:hAnsi="Calibri" w:cs="Times New Roma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unhideWhenUsed/>
    <w:rsid w:val="00C61E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7960C-73B9-4C01-8613-D7FC0128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10496</Words>
  <Characters>59832</Characters>
  <Application>Microsoft Office Word</Application>
  <DocSecurity>0</DocSecurity>
  <Lines>498</Lines>
  <Paragraphs>140</Paragraphs>
  <ScaleCrop>false</ScaleCrop>
  <Company/>
  <LinksUpToDate>false</LinksUpToDate>
  <CharactersWithSpaces>70188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1067</cp:lastModifiedBy>
  <cp:revision>13</cp:revision>
  <dcterms:created xsi:type="dcterms:W3CDTF">2013-12-23T23:15:00Z</dcterms:created>
  <dcterms:modified xsi:type="dcterms:W3CDTF">2026-04-24T07:41:00Z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4bc2d5d4-7b35-4635-8cce-c0b49b71960b</vt:lpwstr>
  </property>
  <property fmtid="{D5CDD505-2E9C-101B-9397-08002B2CF9AE}" pid="3" name="ICV">
    <vt:lpwstr>3b944a252c1b472c853656e67a12fa30</vt:lpwstr>
  </property>
</Properties>
</file>