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37EFBD" w14:textId="0B157898" w:rsidR="00804E03" w:rsidRPr="0057167C" w:rsidRDefault="00804E03" w:rsidP="00676883">
      <w:pPr>
        <w:jc w:val="both"/>
        <w:rPr>
          <w:rFonts w:ascii="Times New Roman" w:hAnsi="Times New Roman" w:cs="Times New Roman"/>
          <w:b/>
          <w:bCs/>
          <w:sz w:val="28"/>
          <w:szCs w:val="28"/>
        </w:rPr>
      </w:pPr>
      <w:r w:rsidRPr="0057167C">
        <w:rPr>
          <w:rFonts w:ascii="Times New Roman" w:hAnsi="Times New Roman" w:cs="Times New Roman"/>
          <w:b/>
          <w:bCs/>
          <w:sz w:val="28"/>
          <w:szCs w:val="28"/>
        </w:rPr>
        <w:t>Recurrent Cutaneous Lupus Flare with Photosensitivity, Palmar</w:t>
      </w:r>
      <w:r w:rsidR="00DC5499">
        <w:rPr>
          <w:rFonts w:ascii="Times New Roman" w:hAnsi="Times New Roman" w:cs="Times New Roman"/>
          <w:b/>
          <w:bCs/>
          <w:sz w:val="28"/>
          <w:szCs w:val="28"/>
        </w:rPr>
        <w:t xml:space="preserve"> </w:t>
      </w:r>
      <w:r w:rsidRPr="0057167C">
        <w:rPr>
          <w:rFonts w:ascii="Times New Roman" w:hAnsi="Times New Roman" w:cs="Times New Roman"/>
          <w:b/>
          <w:bCs/>
          <w:sz w:val="28"/>
          <w:szCs w:val="28"/>
        </w:rPr>
        <w:t>Plantar Hyperpigmented Papules, and Mild Proteinuria Following Abrupt Medication Cessation in a 10</w:t>
      </w:r>
      <w:r w:rsidR="00DC5499">
        <w:rPr>
          <w:rFonts w:ascii="Times New Roman" w:hAnsi="Times New Roman" w:cs="Times New Roman"/>
          <w:b/>
          <w:bCs/>
          <w:sz w:val="28"/>
          <w:szCs w:val="28"/>
        </w:rPr>
        <w:t xml:space="preserve"> </w:t>
      </w:r>
      <w:r w:rsidRPr="0057167C">
        <w:rPr>
          <w:rFonts w:ascii="Times New Roman" w:hAnsi="Times New Roman" w:cs="Times New Roman"/>
          <w:b/>
          <w:bCs/>
          <w:sz w:val="28"/>
          <w:szCs w:val="28"/>
        </w:rPr>
        <w:t>Year</w:t>
      </w:r>
      <w:r w:rsidR="00DC5499">
        <w:rPr>
          <w:rFonts w:ascii="Times New Roman" w:hAnsi="Times New Roman" w:cs="Times New Roman"/>
          <w:b/>
          <w:bCs/>
          <w:sz w:val="28"/>
          <w:szCs w:val="28"/>
        </w:rPr>
        <w:t xml:space="preserve">s </w:t>
      </w:r>
      <w:r w:rsidRPr="0057167C">
        <w:rPr>
          <w:rFonts w:ascii="Times New Roman" w:hAnsi="Times New Roman" w:cs="Times New Roman"/>
          <w:b/>
          <w:bCs/>
          <w:sz w:val="28"/>
          <w:szCs w:val="28"/>
        </w:rPr>
        <w:t>Old Boy: A Case of Juvenile Systemic Lupus Erythematosus</w:t>
      </w:r>
    </w:p>
    <w:p w14:paraId="51F50D49" w14:textId="77777777" w:rsidR="00804E03" w:rsidRPr="001D40CB" w:rsidRDefault="00804E03" w:rsidP="00676883">
      <w:pPr>
        <w:spacing w:before="240" w:after="0"/>
        <w:jc w:val="both"/>
        <w:rPr>
          <w:rFonts w:ascii="Times New Roman" w:hAnsi="Times New Roman" w:cs="Times New Roman"/>
          <w:sz w:val="28"/>
          <w:szCs w:val="28"/>
        </w:rPr>
      </w:pPr>
      <w:r w:rsidRPr="0057167C">
        <w:rPr>
          <w:rFonts w:ascii="Times New Roman" w:hAnsi="Times New Roman" w:cs="Times New Roman"/>
          <w:b/>
          <w:bCs/>
          <w:sz w:val="28"/>
          <w:szCs w:val="28"/>
        </w:rPr>
        <w:t>Abstract</w:t>
      </w:r>
      <w:r w:rsidRPr="0057167C">
        <w:rPr>
          <w:rFonts w:ascii="Times New Roman" w:hAnsi="Times New Roman" w:cs="Times New Roman"/>
          <w:sz w:val="28"/>
          <w:szCs w:val="28"/>
        </w:rPr>
        <w:t xml:space="preserve"> </w:t>
      </w:r>
    </w:p>
    <w:p w14:paraId="410B8B60" w14:textId="77777777" w:rsidR="00804E03" w:rsidRPr="0057167C" w:rsidRDefault="00804E03" w:rsidP="00676883">
      <w:pPr>
        <w:jc w:val="both"/>
        <w:rPr>
          <w:rFonts w:ascii="Times New Roman" w:hAnsi="Times New Roman" w:cs="Times New Roman"/>
        </w:rPr>
      </w:pPr>
      <w:r w:rsidRPr="0057167C">
        <w:rPr>
          <w:rFonts w:ascii="Times New Roman" w:hAnsi="Times New Roman" w:cs="Times New Roman"/>
        </w:rPr>
        <w:t>Juvenile systemic lupus erythematosus (JSLE) is a rare but aggressive autoimmune disease in children, with boys comprising only 10–20% of cases. Cutaneous manifestations are often the initial or predominant feature, yet atypical palmar-plantar lesions and flares triggered by medication non-adherence remain under-emphasised in the literature. We describe a 10-year-old Indian boy who presented with an 18-day history of multiple erythematous plaques over the face, upper limbs and trunk, hyperpigmented papules on bilateral palms and soles, facial puffiness, photosensitivity, and low-grade fever. He had discontinued prednisolone and hydroxychloroquine four days earlier after completing treatment for a similar episode six months previously that included seizures. Laboratory findings showed elevated spot urine protein-creatinine ratio (0.8), proteinuria (++), thrombocytosis, neutrophilia, and raised liver enzymes. Abdominal ultrasonography was normal. A provisional diagnosis of JSLE flare with predominant cutaneous and mild renal involvement was made. Re-initiation of oral prednisolone and hydroxychloroquine, along with sun protection and topical care, led to rapid clinical improvement within two weeks. This case underscores the critical role of medication adherence in preventing JSLE flares and highlights hyperpigmented palmar-plantar papules as a valuable cutaneous clue in paediatric lupus. Early recognition and prompt re-treatment in resource-limited settings can avert organ damage.</w:t>
      </w:r>
    </w:p>
    <w:p w14:paraId="72EEC441" w14:textId="21DBC1C9" w:rsidR="00804E03" w:rsidRPr="0057167C" w:rsidRDefault="00804E03" w:rsidP="00676883">
      <w:pPr>
        <w:jc w:val="both"/>
        <w:rPr>
          <w:rFonts w:ascii="Times New Roman" w:hAnsi="Times New Roman" w:cs="Times New Roman"/>
        </w:rPr>
      </w:pPr>
      <w:r w:rsidRPr="0057167C">
        <w:rPr>
          <w:rFonts w:ascii="Times New Roman" w:hAnsi="Times New Roman" w:cs="Times New Roman"/>
          <w:b/>
          <w:bCs/>
        </w:rPr>
        <w:t>Keywords:</w:t>
      </w:r>
      <w:r w:rsidRPr="0057167C">
        <w:rPr>
          <w:rFonts w:ascii="Times New Roman" w:hAnsi="Times New Roman" w:cs="Times New Roman"/>
        </w:rPr>
        <w:t xml:space="preserve"> Juvenile systemic lupus erythematosus, cutaneous lupus, photosensitivity, palmar-plantar hyperpigmented papules, paediatric case report</w:t>
      </w:r>
    </w:p>
    <w:p w14:paraId="4CEBDE69" w14:textId="77777777" w:rsidR="00804E03" w:rsidRPr="001D40CB" w:rsidRDefault="00804E03" w:rsidP="00676883">
      <w:pPr>
        <w:spacing w:before="240" w:after="0"/>
        <w:jc w:val="both"/>
        <w:rPr>
          <w:rFonts w:ascii="Times New Roman" w:hAnsi="Times New Roman" w:cs="Times New Roman"/>
          <w:sz w:val="28"/>
          <w:szCs w:val="28"/>
        </w:rPr>
      </w:pPr>
      <w:r w:rsidRPr="0057167C">
        <w:rPr>
          <w:rFonts w:ascii="Times New Roman" w:hAnsi="Times New Roman" w:cs="Times New Roman"/>
          <w:b/>
          <w:bCs/>
          <w:sz w:val="28"/>
          <w:szCs w:val="28"/>
        </w:rPr>
        <w:t>Introduction</w:t>
      </w:r>
    </w:p>
    <w:p w14:paraId="0FC03219" w14:textId="24E8D1A3" w:rsidR="00804E03" w:rsidRPr="0057167C" w:rsidRDefault="00804E03" w:rsidP="00676883">
      <w:pPr>
        <w:jc w:val="both"/>
        <w:rPr>
          <w:rFonts w:ascii="Times New Roman" w:hAnsi="Times New Roman" w:cs="Times New Roman"/>
        </w:rPr>
      </w:pPr>
      <w:r w:rsidRPr="0057167C">
        <w:rPr>
          <w:rFonts w:ascii="Times New Roman" w:hAnsi="Times New Roman" w:cs="Times New Roman"/>
        </w:rPr>
        <w:t>Juvenile-onset systemic lupus erythematosus (JSLE) is a chronic, multisystem autoimmune disorder that differs from adult-onset disease by its more aggressive course, higher frequency of renal and neurological involvement, and greater cumulative organ damage. The worldwide prevalence of JSLE ranges between 1.89 and 25.7 per 100,000 children, with only 10–20% of cases occurring in boys. In resource-limited settings, diagnostic delays are common due to overlapping infectious and nutritional conditions, limited access to paediatric rheumatologists, and low awareness among primary-care providers</w:t>
      </w:r>
      <w:r w:rsidR="00676883">
        <w:rPr>
          <w:rFonts w:ascii="Times New Roman" w:hAnsi="Times New Roman" w:cs="Times New Roman"/>
        </w:rPr>
        <w:t xml:space="preserve"> (</w:t>
      </w:r>
      <w:proofErr w:type="spellStart"/>
      <w:r w:rsidR="00676883">
        <w:rPr>
          <w:rFonts w:ascii="Arial" w:hAnsi="Arial" w:cs="Arial"/>
          <w:color w:val="222222"/>
          <w:sz w:val="20"/>
          <w:szCs w:val="20"/>
          <w:shd w:val="clear" w:color="auto" w:fill="FFFFFF"/>
        </w:rPr>
        <w:t>Fijałkowska</w:t>
      </w:r>
      <w:proofErr w:type="spellEnd"/>
      <w:r w:rsidR="00676883">
        <w:rPr>
          <w:rFonts w:ascii="Arial" w:hAnsi="Arial" w:cs="Arial"/>
          <w:color w:val="222222"/>
          <w:sz w:val="20"/>
          <w:szCs w:val="20"/>
          <w:shd w:val="clear" w:color="auto" w:fill="FFFFFF"/>
        </w:rPr>
        <w:t xml:space="preserve"> et al., 2024; Zahran et al., 2025; Abdel-Naser et al., 2005</w:t>
      </w:r>
      <w:bookmarkStart w:id="0" w:name="_GoBack"/>
      <w:bookmarkEnd w:id="0"/>
      <w:r w:rsidR="00676883">
        <w:rPr>
          <w:rFonts w:ascii="Times New Roman" w:hAnsi="Times New Roman" w:cs="Times New Roman"/>
        </w:rPr>
        <w:t>)</w:t>
      </w:r>
      <w:r w:rsidRPr="0057167C">
        <w:rPr>
          <w:rFonts w:ascii="Times New Roman" w:hAnsi="Times New Roman" w:cs="Times New Roman"/>
        </w:rPr>
        <w:t>.</w:t>
      </w:r>
    </w:p>
    <w:p w14:paraId="5B4E954A" w14:textId="77777777" w:rsidR="00804E03" w:rsidRPr="0057167C" w:rsidRDefault="00804E03" w:rsidP="00676883">
      <w:pPr>
        <w:jc w:val="both"/>
        <w:rPr>
          <w:rFonts w:ascii="Times New Roman" w:hAnsi="Times New Roman" w:cs="Times New Roman"/>
        </w:rPr>
      </w:pPr>
      <w:r w:rsidRPr="0057167C">
        <w:rPr>
          <w:rFonts w:ascii="Times New Roman" w:hAnsi="Times New Roman" w:cs="Times New Roman"/>
        </w:rPr>
        <w:t>Cutaneous involvement is reported in up to 80% of JSLE patients and frequently precedes systemic features. Classic signs include malar rash, photosensitivity, and discoid lesions, yet less common manifestations such as hyperpigmented papules on palms and soles are infrequently documented (do Vale et al., 2023). Flares following abrupt discontinuation of corticosteroids or hydroxychloroquine are well recognised and can precipitate rapid deterioration, including renal and neurological complications (Renson et al., 2025).</w:t>
      </w:r>
    </w:p>
    <w:p w14:paraId="70C2182A" w14:textId="77777777" w:rsidR="00804E03" w:rsidRPr="0057167C" w:rsidRDefault="00804E03" w:rsidP="00676883">
      <w:pPr>
        <w:jc w:val="both"/>
        <w:rPr>
          <w:rFonts w:ascii="Times New Roman" w:hAnsi="Times New Roman" w:cs="Times New Roman"/>
        </w:rPr>
      </w:pPr>
      <w:r w:rsidRPr="0057167C">
        <w:rPr>
          <w:rFonts w:ascii="Times New Roman" w:hAnsi="Times New Roman" w:cs="Times New Roman"/>
        </w:rPr>
        <w:t>Several case reports have illustrated diagnostic challenges and unusual presentations of JSLE. Traore et al. (2025) described a 17-year-old boy in Côte d’Ivoire with 12 years of misdiagnosis before confirmation of JSLE, emphasising barriers in semi-rural African settings. Petrea et al. (2024) reported a new paediatric case triggered after SARS-CoV-2 and Epstein-Barr virus exposure, highlighting potential environmental precipitants. Chen et al. (2022) documented an 11-year-old girl presenting with fulminant myocarditis, pulmonary hypertension, and massive pericardial effusion, illustrating life-threatening cardiac involvement. Beshir et al. (2022) reported Guillain-Barré syndrome as the inaugural manifestation of SLE in a teenage girl, demonstrating that neurological features may precede classic lupus signs.</w:t>
      </w:r>
    </w:p>
    <w:p w14:paraId="6125ECC1" w14:textId="77777777" w:rsidR="00804E03" w:rsidRPr="0057167C" w:rsidRDefault="00804E03" w:rsidP="00676883">
      <w:pPr>
        <w:jc w:val="both"/>
        <w:rPr>
          <w:rFonts w:ascii="Times New Roman" w:hAnsi="Times New Roman" w:cs="Times New Roman"/>
        </w:rPr>
      </w:pPr>
      <w:r w:rsidRPr="0057167C">
        <w:rPr>
          <w:rFonts w:ascii="Times New Roman" w:hAnsi="Times New Roman" w:cs="Times New Roman"/>
        </w:rPr>
        <w:t>This report adds to the literature by describing a medication-withdrawal-triggered flare in a young boy with distinctive palmar-plantar hyperpigmented papules and mild proteinuria, reinforcing the educational value of recognising such cutaneous markers in paediatric practice.</w:t>
      </w:r>
    </w:p>
    <w:p w14:paraId="06F89EBB" w14:textId="77777777" w:rsidR="00804E03" w:rsidRPr="001D40CB" w:rsidRDefault="00804E03" w:rsidP="00676883">
      <w:pPr>
        <w:spacing w:before="240" w:after="0"/>
        <w:jc w:val="both"/>
        <w:rPr>
          <w:rFonts w:ascii="Times New Roman" w:hAnsi="Times New Roman" w:cs="Times New Roman"/>
          <w:sz w:val="28"/>
          <w:szCs w:val="28"/>
        </w:rPr>
      </w:pPr>
      <w:r w:rsidRPr="0057167C">
        <w:rPr>
          <w:rFonts w:ascii="Times New Roman" w:hAnsi="Times New Roman" w:cs="Times New Roman"/>
          <w:b/>
          <w:bCs/>
          <w:sz w:val="28"/>
          <w:szCs w:val="28"/>
        </w:rPr>
        <w:t>Case Presentation</w:t>
      </w:r>
    </w:p>
    <w:p w14:paraId="0AEE0DA8" w14:textId="77777777" w:rsidR="00804E03" w:rsidRPr="0057167C" w:rsidRDefault="00804E03" w:rsidP="00676883">
      <w:pPr>
        <w:jc w:val="both"/>
        <w:rPr>
          <w:rFonts w:ascii="Times New Roman" w:hAnsi="Times New Roman" w:cs="Times New Roman"/>
        </w:rPr>
      </w:pPr>
      <w:r w:rsidRPr="0057167C">
        <w:rPr>
          <w:rFonts w:ascii="Times New Roman" w:hAnsi="Times New Roman" w:cs="Times New Roman"/>
        </w:rPr>
        <w:t xml:space="preserve">A 10-year-old male patient from a non-consanguineous family in Karimnagar, Telangana, India, presented to the combined Paediatrics and Dermatology outpatient services of Chalmeda Anand Rao Institute of Medical Sciences on 20 March 2026. He reported an 18-day history of skin lesions over the face and body, facial swelling for 18 days, and low-grade fever for three days. He had self-discontinued oral prednisolone (10 mg daily) and hydroxychloroquine (200 mg daily) four days earlier after completing a tapering course prescribed for a similar episode six months previously. That prior illness had </w:t>
      </w:r>
      <w:r w:rsidRPr="0057167C">
        <w:rPr>
          <w:rFonts w:ascii="Times New Roman" w:hAnsi="Times New Roman" w:cs="Times New Roman"/>
        </w:rPr>
        <w:lastRenderedPageBreak/>
        <w:t>featured fever, four episodes of seizures, and an erythematous rash; it was diagnosed and treated as SLE with prednisolone, hydroxychloroquine, and levetiracetam.</w:t>
      </w:r>
    </w:p>
    <w:p w14:paraId="698E8F77" w14:textId="77777777" w:rsidR="00804E03" w:rsidRPr="0057167C" w:rsidRDefault="00804E03" w:rsidP="00676883">
      <w:pPr>
        <w:jc w:val="both"/>
        <w:rPr>
          <w:rFonts w:ascii="Times New Roman" w:hAnsi="Times New Roman" w:cs="Times New Roman"/>
        </w:rPr>
      </w:pPr>
      <w:r w:rsidRPr="0057167C">
        <w:rPr>
          <w:rFonts w:ascii="Times New Roman" w:hAnsi="Times New Roman" w:cs="Times New Roman"/>
        </w:rPr>
        <w:t>On examination, the child was conscious, oriented, and afebrile but appeared mildly ill. Multiple erythematous plaques were noted over the face, upper limbs, and trunk, with hyperpigmented papules prominently distributed over bilateral palms and soles. Photosensitivity was evident on history and examination. Mild facial puffiness was present without periorbital oedema or jaundice. Systemic examination revealed no pallor, icterus, lymphadenopathy, or organomegaly. Neurological examination was entirely normal. Growth parameters were within normal limits for age and sex.</w:t>
      </w:r>
    </w:p>
    <w:p w14:paraId="1D22B33B" w14:textId="77777777" w:rsidR="00804E03" w:rsidRPr="0057167C" w:rsidRDefault="00804E03" w:rsidP="00676883">
      <w:pPr>
        <w:jc w:val="both"/>
        <w:rPr>
          <w:rFonts w:ascii="Times New Roman" w:hAnsi="Times New Roman" w:cs="Times New Roman"/>
        </w:rPr>
      </w:pPr>
      <w:r w:rsidRPr="0057167C">
        <w:rPr>
          <w:rFonts w:ascii="Times New Roman" w:hAnsi="Times New Roman" w:cs="Times New Roman"/>
        </w:rPr>
        <w:t>Laboratory investigations are summarised in Table 1. Abdominal ultrasonography was normal.</w:t>
      </w:r>
    </w:p>
    <w:p w14:paraId="5742A098" w14:textId="77777777" w:rsidR="00804E03" w:rsidRPr="0057167C" w:rsidRDefault="00804E03" w:rsidP="00676883">
      <w:pPr>
        <w:spacing w:before="240" w:after="0"/>
        <w:jc w:val="both"/>
        <w:rPr>
          <w:rFonts w:ascii="Times New Roman" w:hAnsi="Times New Roman" w:cs="Times New Roman"/>
        </w:rPr>
      </w:pPr>
      <w:r w:rsidRPr="0057167C">
        <w:rPr>
          <w:rFonts w:ascii="Times New Roman" w:hAnsi="Times New Roman" w:cs="Times New Roman"/>
          <w:b/>
          <w:bCs/>
        </w:rPr>
        <w:t>Table 1: Laboratory Investigations at Presentation</w:t>
      </w:r>
    </w:p>
    <w:tbl>
      <w:tblPr>
        <w:tblW w:w="10626" w:type="dxa"/>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5011"/>
        <w:gridCol w:w="2574"/>
        <w:gridCol w:w="3041"/>
      </w:tblGrid>
      <w:tr w:rsidR="00804E03" w:rsidRPr="0057167C" w14:paraId="4327113E" w14:textId="77777777" w:rsidTr="004D63A9">
        <w:trPr>
          <w:trHeight w:val="430"/>
          <w:tblHeader/>
          <w:tblCellSpacing w:w="15" w:type="dxa"/>
        </w:trPr>
        <w:tc>
          <w:tcPr>
            <w:tcW w:w="0" w:type="auto"/>
            <w:vAlign w:val="center"/>
            <w:hideMark/>
          </w:tcPr>
          <w:p w14:paraId="3217CFF8" w14:textId="77777777" w:rsidR="00804E03" w:rsidRPr="0057167C" w:rsidRDefault="00804E03" w:rsidP="00676883">
            <w:pPr>
              <w:jc w:val="both"/>
              <w:rPr>
                <w:rFonts w:ascii="Times New Roman" w:hAnsi="Times New Roman" w:cs="Times New Roman"/>
                <w:b/>
                <w:bCs/>
              </w:rPr>
            </w:pPr>
            <w:r w:rsidRPr="0057167C">
              <w:rPr>
                <w:rFonts w:ascii="Times New Roman" w:hAnsi="Times New Roman" w:cs="Times New Roman"/>
                <w:b/>
                <w:bCs/>
              </w:rPr>
              <w:t>Parameter</w:t>
            </w:r>
          </w:p>
        </w:tc>
        <w:tc>
          <w:tcPr>
            <w:tcW w:w="0" w:type="auto"/>
            <w:vAlign w:val="center"/>
            <w:hideMark/>
          </w:tcPr>
          <w:p w14:paraId="56923462" w14:textId="77777777" w:rsidR="00804E03" w:rsidRPr="0057167C" w:rsidRDefault="00804E03" w:rsidP="00676883">
            <w:pPr>
              <w:jc w:val="both"/>
              <w:rPr>
                <w:rFonts w:ascii="Times New Roman" w:hAnsi="Times New Roman" w:cs="Times New Roman"/>
                <w:b/>
                <w:bCs/>
              </w:rPr>
            </w:pPr>
            <w:r w:rsidRPr="0057167C">
              <w:rPr>
                <w:rFonts w:ascii="Times New Roman" w:hAnsi="Times New Roman" w:cs="Times New Roman"/>
                <w:b/>
                <w:bCs/>
              </w:rPr>
              <w:t>Value</w:t>
            </w:r>
          </w:p>
        </w:tc>
        <w:tc>
          <w:tcPr>
            <w:tcW w:w="0" w:type="auto"/>
            <w:vAlign w:val="center"/>
            <w:hideMark/>
          </w:tcPr>
          <w:p w14:paraId="41F084E5" w14:textId="77777777" w:rsidR="00804E03" w:rsidRPr="0057167C" w:rsidRDefault="00804E03" w:rsidP="00676883">
            <w:pPr>
              <w:jc w:val="both"/>
              <w:rPr>
                <w:rFonts w:ascii="Times New Roman" w:hAnsi="Times New Roman" w:cs="Times New Roman"/>
                <w:b/>
                <w:bCs/>
              </w:rPr>
            </w:pPr>
            <w:r w:rsidRPr="0057167C">
              <w:rPr>
                <w:rFonts w:ascii="Times New Roman" w:hAnsi="Times New Roman" w:cs="Times New Roman"/>
                <w:b/>
                <w:bCs/>
              </w:rPr>
              <w:t>Reference Range</w:t>
            </w:r>
          </w:p>
        </w:tc>
      </w:tr>
      <w:tr w:rsidR="00804E03" w:rsidRPr="0057167C" w14:paraId="12261056" w14:textId="77777777" w:rsidTr="004D63A9">
        <w:trPr>
          <w:trHeight w:val="430"/>
          <w:tblCellSpacing w:w="15" w:type="dxa"/>
        </w:trPr>
        <w:tc>
          <w:tcPr>
            <w:tcW w:w="0" w:type="auto"/>
            <w:vAlign w:val="center"/>
            <w:hideMark/>
          </w:tcPr>
          <w:p w14:paraId="4CCD5F60" w14:textId="77777777" w:rsidR="00804E03" w:rsidRPr="0057167C" w:rsidRDefault="00804E03" w:rsidP="00676883">
            <w:pPr>
              <w:jc w:val="both"/>
              <w:rPr>
                <w:rFonts w:ascii="Times New Roman" w:hAnsi="Times New Roman" w:cs="Times New Roman"/>
              </w:rPr>
            </w:pPr>
            <w:r w:rsidRPr="0057167C">
              <w:rPr>
                <w:rFonts w:ascii="Times New Roman" w:hAnsi="Times New Roman" w:cs="Times New Roman"/>
              </w:rPr>
              <w:t>Spot urine protein-creatinine ratio</w:t>
            </w:r>
          </w:p>
        </w:tc>
        <w:tc>
          <w:tcPr>
            <w:tcW w:w="0" w:type="auto"/>
            <w:vAlign w:val="center"/>
            <w:hideMark/>
          </w:tcPr>
          <w:p w14:paraId="7DD0B645" w14:textId="77777777" w:rsidR="00804E03" w:rsidRPr="0057167C" w:rsidRDefault="00804E03" w:rsidP="00676883">
            <w:pPr>
              <w:jc w:val="both"/>
              <w:rPr>
                <w:rFonts w:ascii="Times New Roman" w:hAnsi="Times New Roman" w:cs="Times New Roman"/>
              </w:rPr>
            </w:pPr>
            <w:r w:rsidRPr="0057167C">
              <w:rPr>
                <w:rFonts w:ascii="Times New Roman" w:hAnsi="Times New Roman" w:cs="Times New Roman"/>
              </w:rPr>
              <w:t>0.8</w:t>
            </w:r>
          </w:p>
        </w:tc>
        <w:tc>
          <w:tcPr>
            <w:tcW w:w="0" w:type="auto"/>
            <w:vAlign w:val="center"/>
            <w:hideMark/>
          </w:tcPr>
          <w:p w14:paraId="4AED7172" w14:textId="77777777" w:rsidR="00804E03" w:rsidRPr="0057167C" w:rsidRDefault="00804E03" w:rsidP="00676883">
            <w:pPr>
              <w:jc w:val="both"/>
              <w:rPr>
                <w:rFonts w:ascii="Times New Roman" w:hAnsi="Times New Roman" w:cs="Times New Roman"/>
              </w:rPr>
            </w:pPr>
            <w:r w:rsidRPr="0057167C">
              <w:rPr>
                <w:rFonts w:ascii="Times New Roman" w:hAnsi="Times New Roman" w:cs="Times New Roman"/>
              </w:rPr>
              <w:t>&lt;0.2</w:t>
            </w:r>
          </w:p>
        </w:tc>
      </w:tr>
      <w:tr w:rsidR="00804E03" w:rsidRPr="0057167C" w14:paraId="6AD6DDA7" w14:textId="77777777" w:rsidTr="004D63A9">
        <w:trPr>
          <w:trHeight w:val="430"/>
          <w:tblCellSpacing w:w="15" w:type="dxa"/>
        </w:trPr>
        <w:tc>
          <w:tcPr>
            <w:tcW w:w="0" w:type="auto"/>
            <w:vAlign w:val="center"/>
            <w:hideMark/>
          </w:tcPr>
          <w:p w14:paraId="594D78A0" w14:textId="77777777" w:rsidR="00804E03" w:rsidRPr="0057167C" w:rsidRDefault="00804E03" w:rsidP="00676883">
            <w:pPr>
              <w:jc w:val="both"/>
              <w:rPr>
                <w:rFonts w:ascii="Times New Roman" w:hAnsi="Times New Roman" w:cs="Times New Roman"/>
              </w:rPr>
            </w:pPr>
            <w:r w:rsidRPr="0057167C">
              <w:rPr>
                <w:rFonts w:ascii="Times New Roman" w:hAnsi="Times New Roman" w:cs="Times New Roman"/>
              </w:rPr>
              <w:t>Urine proteins</w:t>
            </w:r>
          </w:p>
        </w:tc>
        <w:tc>
          <w:tcPr>
            <w:tcW w:w="0" w:type="auto"/>
            <w:vAlign w:val="center"/>
            <w:hideMark/>
          </w:tcPr>
          <w:p w14:paraId="0C19739C" w14:textId="77777777" w:rsidR="00804E03" w:rsidRPr="0057167C" w:rsidRDefault="00804E03" w:rsidP="00676883">
            <w:pPr>
              <w:jc w:val="both"/>
              <w:rPr>
                <w:rFonts w:ascii="Times New Roman" w:hAnsi="Times New Roman" w:cs="Times New Roman"/>
              </w:rPr>
            </w:pPr>
            <w:r w:rsidRPr="0057167C">
              <w:rPr>
                <w:rFonts w:ascii="Times New Roman" w:hAnsi="Times New Roman" w:cs="Times New Roman"/>
              </w:rPr>
              <w:t>++</w:t>
            </w:r>
          </w:p>
        </w:tc>
        <w:tc>
          <w:tcPr>
            <w:tcW w:w="0" w:type="auto"/>
            <w:vAlign w:val="center"/>
            <w:hideMark/>
          </w:tcPr>
          <w:p w14:paraId="4774E736" w14:textId="77777777" w:rsidR="00804E03" w:rsidRPr="0057167C" w:rsidRDefault="00804E03" w:rsidP="00676883">
            <w:pPr>
              <w:jc w:val="both"/>
              <w:rPr>
                <w:rFonts w:ascii="Times New Roman" w:hAnsi="Times New Roman" w:cs="Times New Roman"/>
              </w:rPr>
            </w:pPr>
            <w:r w:rsidRPr="0057167C">
              <w:rPr>
                <w:rFonts w:ascii="Times New Roman" w:hAnsi="Times New Roman" w:cs="Times New Roman"/>
              </w:rPr>
              <w:t>Negative</w:t>
            </w:r>
          </w:p>
        </w:tc>
      </w:tr>
      <w:tr w:rsidR="00804E03" w:rsidRPr="0057167C" w14:paraId="542BA6E7" w14:textId="77777777" w:rsidTr="004D63A9">
        <w:trPr>
          <w:trHeight w:val="440"/>
          <w:tblCellSpacing w:w="15" w:type="dxa"/>
        </w:trPr>
        <w:tc>
          <w:tcPr>
            <w:tcW w:w="0" w:type="auto"/>
            <w:vAlign w:val="center"/>
            <w:hideMark/>
          </w:tcPr>
          <w:p w14:paraId="5002441B" w14:textId="77777777" w:rsidR="00804E03" w:rsidRPr="0057167C" w:rsidRDefault="00804E03" w:rsidP="00676883">
            <w:pPr>
              <w:jc w:val="both"/>
              <w:rPr>
                <w:rFonts w:ascii="Times New Roman" w:hAnsi="Times New Roman" w:cs="Times New Roman"/>
              </w:rPr>
            </w:pPr>
            <w:r w:rsidRPr="0057167C">
              <w:rPr>
                <w:rFonts w:ascii="Times New Roman" w:hAnsi="Times New Roman" w:cs="Times New Roman"/>
              </w:rPr>
              <w:t>Haemoglobin</w:t>
            </w:r>
          </w:p>
        </w:tc>
        <w:tc>
          <w:tcPr>
            <w:tcW w:w="0" w:type="auto"/>
            <w:vAlign w:val="center"/>
            <w:hideMark/>
          </w:tcPr>
          <w:p w14:paraId="01FBA424" w14:textId="77777777" w:rsidR="00804E03" w:rsidRPr="0057167C" w:rsidRDefault="00804E03" w:rsidP="00676883">
            <w:pPr>
              <w:jc w:val="both"/>
              <w:rPr>
                <w:rFonts w:ascii="Times New Roman" w:hAnsi="Times New Roman" w:cs="Times New Roman"/>
              </w:rPr>
            </w:pPr>
            <w:r w:rsidRPr="0057167C">
              <w:rPr>
                <w:rFonts w:ascii="Times New Roman" w:hAnsi="Times New Roman" w:cs="Times New Roman"/>
              </w:rPr>
              <w:t>14.3 g/dL</w:t>
            </w:r>
          </w:p>
        </w:tc>
        <w:tc>
          <w:tcPr>
            <w:tcW w:w="0" w:type="auto"/>
            <w:vAlign w:val="center"/>
            <w:hideMark/>
          </w:tcPr>
          <w:p w14:paraId="2DD4B4DF" w14:textId="77777777" w:rsidR="00804E03" w:rsidRPr="0057167C" w:rsidRDefault="00804E03" w:rsidP="00676883">
            <w:pPr>
              <w:jc w:val="both"/>
              <w:rPr>
                <w:rFonts w:ascii="Times New Roman" w:hAnsi="Times New Roman" w:cs="Times New Roman"/>
              </w:rPr>
            </w:pPr>
            <w:r w:rsidRPr="0057167C">
              <w:rPr>
                <w:rFonts w:ascii="Times New Roman" w:hAnsi="Times New Roman" w:cs="Times New Roman"/>
              </w:rPr>
              <w:t>11.5–15.5 g/dL</w:t>
            </w:r>
          </w:p>
        </w:tc>
      </w:tr>
      <w:tr w:rsidR="00804E03" w:rsidRPr="0057167C" w14:paraId="29572D55" w14:textId="77777777" w:rsidTr="004D63A9">
        <w:trPr>
          <w:trHeight w:val="430"/>
          <w:tblCellSpacing w:w="15" w:type="dxa"/>
        </w:trPr>
        <w:tc>
          <w:tcPr>
            <w:tcW w:w="0" w:type="auto"/>
            <w:vAlign w:val="center"/>
            <w:hideMark/>
          </w:tcPr>
          <w:p w14:paraId="29AEDF3C" w14:textId="77777777" w:rsidR="00804E03" w:rsidRPr="0057167C" w:rsidRDefault="00804E03" w:rsidP="00676883">
            <w:pPr>
              <w:jc w:val="both"/>
              <w:rPr>
                <w:rFonts w:ascii="Times New Roman" w:hAnsi="Times New Roman" w:cs="Times New Roman"/>
              </w:rPr>
            </w:pPr>
            <w:r w:rsidRPr="0057167C">
              <w:rPr>
                <w:rFonts w:ascii="Times New Roman" w:hAnsi="Times New Roman" w:cs="Times New Roman"/>
              </w:rPr>
              <w:t>Platelets</w:t>
            </w:r>
          </w:p>
        </w:tc>
        <w:tc>
          <w:tcPr>
            <w:tcW w:w="0" w:type="auto"/>
            <w:vAlign w:val="center"/>
            <w:hideMark/>
          </w:tcPr>
          <w:p w14:paraId="34B6C92E" w14:textId="77777777" w:rsidR="00804E03" w:rsidRPr="0057167C" w:rsidRDefault="00804E03" w:rsidP="00676883">
            <w:pPr>
              <w:jc w:val="both"/>
              <w:rPr>
                <w:rFonts w:ascii="Times New Roman" w:hAnsi="Times New Roman" w:cs="Times New Roman"/>
              </w:rPr>
            </w:pPr>
            <w:r w:rsidRPr="0057167C">
              <w:rPr>
                <w:rFonts w:ascii="Times New Roman" w:hAnsi="Times New Roman" w:cs="Times New Roman"/>
              </w:rPr>
              <w:t>4.62 lakhs/</w:t>
            </w:r>
            <w:proofErr w:type="spellStart"/>
            <w:r w:rsidRPr="0057167C">
              <w:rPr>
                <w:rFonts w:ascii="Times New Roman" w:hAnsi="Times New Roman" w:cs="Times New Roman"/>
              </w:rPr>
              <w:t>cumm</w:t>
            </w:r>
            <w:proofErr w:type="spellEnd"/>
          </w:p>
        </w:tc>
        <w:tc>
          <w:tcPr>
            <w:tcW w:w="0" w:type="auto"/>
            <w:vAlign w:val="center"/>
            <w:hideMark/>
          </w:tcPr>
          <w:p w14:paraId="6350AF05" w14:textId="77777777" w:rsidR="00804E03" w:rsidRPr="0057167C" w:rsidRDefault="00804E03" w:rsidP="00676883">
            <w:pPr>
              <w:jc w:val="both"/>
              <w:rPr>
                <w:rFonts w:ascii="Times New Roman" w:hAnsi="Times New Roman" w:cs="Times New Roman"/>
              </w:rPr>
            </w:pPr>
            <w:r w:rsidRPr="0057167C">
              <w:rPr>
                <w:rFonts w:ascii="Times New Roman" w:hAnsi="Times New Roman" w:cs="Times New Roman"/>
              </w:rPr>
              <w:t>1.5–4.0 lakhs/</w:t>
            </w:r>
            <w:proofErr w:type="spellStart"/>
            <w:r w:rsidRPr="0057167C">
              <w:rPr>
                <w:rFonts w:ascii="Times New Roman" w:hAnsi="Times New Roman" w:cs="Times New Roman"/>
              </w:rPr>
              <w:t>cumm</w:t>
            </w:r>
            <w:proofErr w:type="spellEnd"/>
          </w:p>
        </w:tc>
      </w:tr>
      <w:tr w:rsidR="00804E03" w:rsidRPr="0057167C" w14:paraId="581EEE2D" w14:textId="77777777" w:rsidTr="004D63A9">
        <w:trPr>
          <w:trHeight w:val="430"/>
          <w:tblCellSpacing w:w="15" w:type="dxa"/>
        </w:trPr>
        <w:tc>
          <w:tcPr>
            <w:tcW w:w="0" w:type="auto"/>
            <w:vAlign w:val="center"/>
            <w:hideMark/>
          </w:tcPr>
          <w:p w14:paraId="1072D98B" w14:textId="77777777" w:rsidR="00804E03" w:rsidRPr="0057167C" w:rsidRDefault="00804E03" w:rsidP="00676883">
            <w:pPr>
              <w:jc w:val="both"/>
              <w:rPr>
                <w:rFonts w:ascii="Times New Roman" w:hAnsi="Times New Roman" w:cs="Times New Roman"/>
              </w:rPr>
            </w:pPr>
            <w:r w:rsidRPr="0057167C">
              <w:rPr>
                <w:rFonts w:ascii="Times New Roman" w:hAnsi="Times New Roman" w:cs="Times New Roman"/>
              </w:rPr>
              <w:t>Neutrophils</w:t>
            </w:r>
          </w:p>
        </w:tc>
        <w:tc>
          <w:tcPr>
            <w:tcW w:w="0" w:type="auto"/>
            <w:vAlign w:val="center"/>
            <w:hideMark/>
          </w:tcPr>
          <w:p w14:paraId="21105DCC" w14:textId="77777777" w:rsidR="00804E03" w:rsidRPr="0057167C" w:rsidRDefault="00804E03" w:rsidP="00676883">
            <w:pPr>
              <w:jc w:val="both"/>
              <w:rPr>
                <w:rFonts w:ascii="Times New Roman" w:hAnsi="Times New Roman" w:cs="Times New Roman"/>
              </w:rPr>
            </w:pPr>
            <w:r w:rsidRPr="0057167C">
              <w:rPr>
                <w:rFonts w:ascii="Times New Roman" w:hAnsi="Times New Roman" w:cs="Times New Roman"/>
              </w:rPr>
              <w:t>72%</w:t>
            </w:r>
          </w:p>
        </w:tc>
        <w:tc>
          <w:tcPr>
            <w:tcW w:w="0" w:type="auto"/>
            <w:vAlign w:val="center"/>
            <w:hideMark/>
          </w:tcPr>
          <w:p w14:paraId="0BEB2CB6" w14:textId="77777777" w:rsidR="00804E03" w:rsidRPr="0057167C" w:rsidRDefault="00804E03" w:rsidP="00676883">
            <w:pPr>
              <w:jc w:val="both"/>
              <w:rPr>
                <w:rFonts w:ascii="Times New Roman" w:hAnsi="Times New Roman" w:cs="Times New Roman"/>
              </w:rPr>
            </w:pPr>
            <w:r w:rsidRPr="0057167C">
              <w:rPr>
                <w:rFonts w:ascii="Times New Roman" w:hAnsi="Times New Roman" w:cs="Times New Roman"/>
              </w:rPr>
              <w:t>40–60%</w:t>
            </w:r>
          </w:p>
        </w:tc>
      </w:tr>
      <w:tr w:rsidR="00804E03" w:rsidRPr="0057167C" w14:paraId="3537AE56" w14:textId="77777777" w:rsidTr="004D63A9">
        <w:trPr>
          <w:trHeight w:val="440"/>
          <w:tblCellSpacing w:w="15" w:type="dxa"/>
        </w:trPr>
        <w:tc>
          <w:tcPr>
            <w:tcW w:w="0" w:type="auto"/>
            <w:vAlign w:val="center"/>
            <w:hideMark/>
          </w:tcPr>
          <w:p w14:paraId="35A406B2" w14:textId="77777777" w:rsidR="00804E03" w:rsidRPr="0057167C" w:rsidRDefault="00804E03" w:rsidP="00676883">
            <w:pPr>
              <w:jc w:val="both"/>
              <w:rPr>
                <w:rFonts w:ascii="Times New Roman" w:hAnsi="Times New Roman" w:cs="Times New Roman"/>
              </w:rPr>
            </w:pPr>
            <w:r w:rsidRPr="0057167C">
              <w:rPr>
                <w:rFonts w:ascii="Times New Roman" w:hAnsi="Times New Roman" w:cs="Times New Roman"/>
              </w:rPr>
              <w:t>SGPT</w:t>
            </w:r>
          </w:p>
        </w:tc>
        <w:tc>
          <w:tcPr>
            <w:tcW w:w="0" w:type="auto"/>
            <w:vAlign w:val="center"/>
            <w:hideMark/>
          </w:tcPr>
          <w:p w14:paraId="70A1A60A" w14:textId="77777777" w:rsidR="00804E03" w:rsidRPr="0057167C" w:rsidRDefault="00804E03" w:rsidP="00676883">
            <w:pPr>
              <w:jc w:val="both"/>
              <w:rPr>
                <w:rFonts w:ascii="Times New Roman" w:hAnsi="Times New Roman" w:cs="Times New Roman"/>
              </w:rPr>
            </w:pPr>
            <w:r w:rsidRPr="0057167C">
              <w:rPr>
                <w:rFonts w:ascii="Times New Roman" w:hAnsi="Times New Roman" w:cs="Times New Roman"/>
              </w:rPr>
              <w:t>78 U/L</w:t>
            </w:r>
          </w:p>
        </w:tc>
        <w:tc>
          <w:tcPr>
            <w:tcW w:w="0" w:type="auto"/>
            <w:vAlign w:val="center"/>
            <w:hideMark/>
          </w:tcPr>
          <w:p w14:paraId="046BC380" w14:textId="77777777" w:rsidR="00804E03" w:rsidRPr="0057167C" w:rsidRDefault="00804E03" w:rsidP="00676883">
            <w:pPr>
              <w:jc w:val="both"/>
              <w:rPr>
                <w:rFonts w:ascii="Times New Roman" w:hAnsi="Times New Roman" w:cs="Times New Roman"/>
              </w:rPr>
            </w:pPr>
            <w:r w:rsidRPr="0057167C">
              <w:rPr>
                <w:rFonts w:ascii="Times New Roman" w:hAnsi="Times New Roman" w:cs="Times New Roman"/>
              </w:rPr>
              <w:t>&lt;40 U/L</w:t>
            </w:r>
          </w:p>
        </w:tc>
      </w:tr>
      <w:tr w:rsidR="00804E03" w:rsidRPr="0057167C" w14:paraId="5D47728D" w14:textId="77777777" w:rsidTr="004D63A9">
        <w:trPr>
          <w:trHeight w:val="430"/>
          <w:tblCellSpacing w:w="15" w:type="dxa"/>
        </w:trPr>
        <w:tc>
          <w:tcPr>
            <w:tcW w:w="0" w:type="auto"/>
            <w:vAlign w:val="center"/>
            <w:hideMark/>
          </w:tcPr>
          <w:p w14:paraId="3427F2DC" w14:textId="77777777" w:rsidR="00804E03" w:rsidRPr="0057167C" w:rsidRDefault="00804E03" w:rsidP="00676883">
            <w:pPr>
              <w:jc w:val="both"/>
              <w:rPr>
                <w:rFonts w:ascii="Times New Roman" w:hAnsi="Times New Roman" w:cs="Times New Roman"/>
              </w:rPr>
            </w:pPr>
            <w:r w:rsidRPr="0057167C">
              <w:rPr>
                <w:rFonts w:ascii="Times New Roman" w:hAnsi="Times New Roman" w:cs="Times New Roman"/>
              </w:rPr>
              <w:t>Gamma GT</w:t>
            </w:r>
          </w:p>
        </w:tc>
        <w:tc>
          <w:tcPr>
            <w:tcW w:w="0" w:type="auto"/>
            <w:vAlign w:val="center"/>
            <w:hideMark/>
          </w:tcPr>
          <w:p w14:paraId="7B9C9EAF" w14:textId="77777777" w:rsidR="00804E03" w:rsidRPr="0057167C" w:rsidRDefault="00804E03" w:rsidP="00676883">
            <w:pPr>
              <w:jc w:val="both"/>
              <w:rPr>
                <w:rFonts w:ascii="Times New Roman" w:hAnsi="Times New Roman" w:cs="Times New Roman"/>
              </w:rPr>
            </w:pPr>
            <w:r w:rsidRPr="0057167C">
              <w:rPr>
                <w:rFonts w:ascii="Times New Roman" w:hAnsi="Times New Roman" w:cs="Times New Roman"/>
              </w:rPr>
              <w:t>206 U/L</w:t>
            </w:r>
          </w:p>
        </w:tc>
        <w:tc>
          <w:tcPr>
            <w:tcW w:w="0" w:type="auto"/>
            <w:vAlign w:val="center"/>
            <w:hideMark/>
          </w:tcPr>
          <w:p w14:paraId="4280ABB1" w14:textId="77777777" w:rsidR="00804E03" w:rsidRPr="0057167C" w:rsidRDefault="00804E03" w:rsidP="00676883">
            <w:pPr>
              <w:jc w:val="both"/>
              <w:rPr>
                <w:rFonts w:ascii="Times New Roman" w:hAnsi="Times New Roman" w:cs="Times New Roman"/>
              </w:rPr>
            </w:pPr>
            <w:r w:rsidRPr="0057167C">
              <w:rPr>
                <w:rFonts w:ascii="Times New Roman" w:hAnsi="Times New Roman" w:cs="Times New Roman"/>
              </w:rPr>
              <w:t>&lt;50 U/L</w:t>
            </w:r>
          </w:p>
        </w:tc>
      </w:tr>
      <w:tr w:rsidR="00804E03" w:rsidRPr="0057167C" w14:paraId="08CD411A" w14:textId="77777777" w:rsidTr="004D63A9">
        <w:trPr>
          <w:trHeight w:val="430"/>
          <w:tblCellSpacing w:w="15" w:type="dxa"/>
        </w:trPr>
        <w:tc>
          <w:tcPr>
            <w:tcW w:w="0" w:type="auto"/>
            <w:vAlign w:val="center"/>
            <w:hideMark/>
          </w:tcPr>
          <w:p w14:paraId="19026F7B" w14:textId="77777777" w:rsidR="00804E03" w:rsidRPr="0057167C" w:rsidRDefault="00804E03" w:rsidP="00676883">
            <w:pPr>
              <w:jc w:val="both"/>
              <w:rPr>
                <w:rFonts w:ascii="Times New Roman" w:hAnsi="Times New Roman" w:cs="Times New Roman"/>
              </w:rPr>
            </w:pPr>
            <w:r w:rsidRPr="0057167C">
              <w:rPr>
                <w:rFonts w:ascii="Times New Roman" w:hAnsi="Times New Roman" w:cs="Times New Roman"/>
              </w:rPr>
              <w:t>Serum creatinine</w:t>
            </w:r>
          </w:p>
        </w:tc>
        <w:tc>
          <w:tcPr>
            <w:tcW w:w="0" w:type="auto"/>
            <w:vAlign w:val="center"/>
            <w:hideMark/>
          </w:tcPr>
          <w:p w14:paraId="0D7B7683" w14:textId="77777777" w:rsidR="00804E03" w:rsidRPr="0057167C" w:rsidRDefault="00804E03" w:rsidP="00676883">
            <w:pPr>
              <w:jc w:val="both"/>
              <w:rPr>
                <w:rFonts w:ascii="Times New Roman" w:hAnsi="Times New Roman" w:cs="Times New Roman"/>
              </w:rPr>
            </w:pPr>
            <w:r w:rsidRPr="0057167C">
              <w:rPr>
                <w:rFonts w:ascii="Times New Roman" w:hAnsi="Times New Roman" w:cs="Times New Roman"/>
              </w:rPr>
              <w:t>0.6 mg/dL</w:t>
            </w:r>
          </w:p>
        </w:tc>
        <w:tc>
          <w:tcPr>
            <w:tcW w:w="0" w:type="auto"/>
            <w:vAlign w:val="center"/>
            <w:hideMark/>
          </w:tcPr>
          <w:p w14:paraId="547E353D" w14:textId="77777777" w:rsidR="00804E03" w:rsidRPr="0057167C" w:rsidRDefault="00804E03" w:rsidP="00676883">
            <w:pPr>
              <w:jc w:val="both"/>
              <w:rPr>
                <w:rFonts w:ascii="Times New Roman" w:hAnsi="Times New Roman" w:cs="Times New Roman"/>
              </w:rPr>
            </w:pPr>
            <w:r w:rsidRPr="0057167C">
              <w:rPr>
                <w:rFonts w:ascii="Times New Roman" w:hAnsi="Times New Roman" w:cs="Times New Roman"/>
              </w:rPr>
              <w:t>0.5–1.0 mg/dL</w:t>
            </w:r>
          </w:p>
        </w:tc>
      </w:tr>
    </w:tbl>
    <w:p w14:paraId="4547310D" w14:textId="77777777" w:rsidR="00804E03" w:rsidRPr="0057167C" w:rsidRDefault="00804E03" w:rsidP="00676883">
      <w:pPr>
        <w:spacing w:before="240"/>
        <w:jc w:val="both"/>
        <w:rPr>
          <w:rFonts w:ascii="Times New Roman" w:hAnsi="Times New Roman" w:cs="Times New Roman"/>
        </w:rPr>
      </w:pPr>
      <w:r w:rsidRPr="0057167C">
        <w:rPr>
          <w:rFonts w:ascii="Times New Roman" w:hAnsi="Times New Roman" w:cs="Times New Roman"/>
        </w:rPr>
        <w:t>The provisional diagnosis was Juvenile Systemic Lupus Erythematosus (JSLE) flare with predominant cutaneous involvement and mild renal involvement (proteinuria). The patient was restarted on oral prednisolone (10 mg twice daily) and hydroxychloroquine (200 mg once daily), along with topical emollients, sunscreen, and strict sun-protection advice. He showed marked improvement within two weeks, with resolution of fever, fading of erythematous plaques, and reduction in facial puffiness. He was discharged with detailed counselling on lifelong medication adherence and scheduled for regular follow-up in the paediatric rheumatology clinic.</w:t>
      </w:r>
    </w:p>
    <w:p w14:paraId="573198D0" w14:textId="77777777" w:rsidR="00804E03" w:rsidRPr="001D40CB" w:rsidRDefault="00804E03" w:rsidP="00676883">
      <w:pPr>
        <w:spacing w:before="240" w:after="0"/>
        <w:jc w:val="both"/>
        <w:rPr>
          <w:rFonts w:ascii="Times New Roman" w:hAnsi="Times New Roman" w:cs="Times New Roman"/>
          <w:sz w:val="28"/>
          <w:szCs w:val="28"/>
        </w:rPr>
      </w:pPr>
      <w:r w:rsidRPr="0057167C">
        <w:rPr>
          <w:rFonts w:ascii="Times New Roman" w:hAnsi="Times New Roman" w:cs="Times New Roman"/>
          <w:b/>
          <w:bCs/>
          <w:sz w:val="28"/>
          <w:szCs w:val="28"/>
        </w:rPr>
        <w:t>Discussion</w:t>
      </w:r>
    </w:p>
    <w:p w14:paraId="24C03C48" w14:textId="77777777" w:rsidR="00804E03" w:rsidRPr="0057167C" w:rsidRDefault="00804E03" w:rsidP="00676883">
      <w:pPr>
        <w:jc w:val="both"/>
        <w:rPr>
          <w:rFonts w:ascii="Times New Roman" w:hAnsi="Times New Roman" w:cs="Times New Roman"/>
        </w:rPr>
      </w:pPr>
      <w:r w:rsidRPr="0057167C">
        <w:rPr>
          <w:rFonts w:ascii="Times New Roman" w:hAnsi="Times New Roman" w:cs="Times New Roman"/>
        </w:rPr>
        <w:t>This case illustrates a classic yet under-recognised scenario in paediatric rheumatology: a medication-withdrawal-triggered flare of JSLE in a young boy presenting with prominent cutaneous features and mild renal involvement. The temporal association between abrupt cessation of prednisolone and hydroxychloroquine and symptom recurrence four days later highlights the critical importance of patient and caregiver education regarding adherence in chronic autoimmune diseases (Renson et al., 2025). Steroid withdrawal can rapidly unmask underlying immune dysregulation, while hydroxychloroquine discontinuation is known to increase flare risk and disease activity scores in lupus.</w:t>
      </w:r>
    </w:p>
    <w:p w14:paraId="7DD54C07" w14:textId="77777777" w:rsidR="00804E03" w:rsidRPr="0057167C" w:rsidRDefault="00804E03" w:rsidP="00676883">
      <w:pPr>
        <w:jc w:val="both"/>
        <w:rPr>
          <w:rFonts w:ascii="Times New Roman" w:hAnsi="Times New Roman" w:cs="Times New Roman"/>
        </w:rPr>
      </w:pPr>
      <w:r w:rsidRPr="0057167C">
        <w:rPr>
          <w:rFonts w:ascii="Times New Roman" w:hAnsi="Times New Roman" w:cs="Times New Roman"/>
        </w:rPr>
        <w:t>The cutaneous presentation — multiple erythematous plaques with photosensitivity and hyperpigmented papules on palms and soles — is particularly noteworthy. While malar rash and discoid lesions are textbook features, palmar-plantar hyperpigmented papules are less commonly emphasised in JSLE literature yet serve as a valuable diagnostic clue, especially in darker skin types prevalent in the Indian subcontinent (do Vale et al., 2023). These lesions, combined with facial puffiness and low-grade fever, prompted early suspicion of lupus flare despite the patient’s male sex and young age.</w:t>
      </w:r>
    </w:p>
    <w:p w14:paraId="7AD29962" w14:textId="77777777" w:rsidR="00804E03" w:rsidRPr="0057167C" w:rsidRDefault="00804E03" w:rsidP="00676883">
      <w:pPr>
        <w:jc w:val="both"/>
        <w:rPr>
          <w:rFonts w:ascii="Times New Roman" w:hAnsi="Times New Roman" w:cs="Times New Roman"/>
        </w:rPr>
      </w:pPr>
      <w:r w:rsidRPr="0057167C">
        <w:rPr>
          <w:rFonts w:ascii="Times New Roman" w:hAnsi="Times New Roman" w:cs="Times New Roman"/>
        </w:rPr>
        <w:t xml:space="preserve">Comparison with previously published cases underscores both similarities and unique aspects of our report. Traore et al. (2025) described a 17-year-old boy in Côte d’Ivoire with a 12-year diagnostic delay before JSLE confirmation, illustrating the challenges of limited paediatric rheumatology services in semi-rural African settings. In contrast to their advanced renal and haematological damage at diagnosis, our patient presented earlier with milder proteinuria (PCR 0.8) and preserved organ function, likely due to prior partial treatment. Petrea et al. (2024) reported a 14-year-old patient who developed SLE </w:t>
      </w:r>
      <w:r w:rsidRPr="0057167C">
        <w:rPr>
          <w:rFonts w:ascii="Times New Roman" w:hAnsi="Times New Roman" w:cs="Times New Roman"/>
        </w:rPr>
        <w:lastRenderedPageBreak/>
        <w:t>three and a half months after asymptomatic SARS-CoV-2 infection, with subsequent Epstein-Barr virus exposure. Chen et al. (2022) presented an 11-year-old girl with fulminant myocarditis, pulmonary hypertension, and massive pericardial effusion at JSLE onset. Beshir et al. (2022) described Guillain-Barré syndrome as the inaugural manifestation of SLE in a teenage girl.</w:t>
      </w:r>
    </w:p>
    <w:p w14:paraId="7C5333B8" w14:textId="77777777" w:rsidR="00804E03" w:rsidRPr="0057167C" w:rsidRDefault="00804E03" w:rsidP="00676883">
      <w:pPr>
        <w:jc w:val="both"/>
        <w:rPr>
          <w:rFonts w:ascii="Times New Roman" w:hAnsi="Times New Roman" w:cs="Times New Roman"/>
        </w:rPr>
      </w:pPr>
      <w:r w:rsidRPr="0057167C">
        <w:rPr>
          <w:rFonts w:ascii="Times New Roman" w:hAnsi="Times New Roman" w:cs="Times New Roman"/>
        </w:rPr>
        <w:t>From a pathophysiological perspective, JSLE flares after medication cessation likely result from rebound immune activation following withdrawal of corticosteroid-mediated suppression of pro-inflammatory cytokines and hydroxychloroquine’s interference with Toll-like receptor signalling and antigen presentation. The mild renal involvement (proteinuria without significant azotaemia) in our case aligns with early class II or III lupus nephritis, which is common in paediatric cohorts and responds well to prompt immunosuppression.</w:t>
      </w:r>
    </w:p>
    <w:p w14:paraId="1EF40212" w14:textId="77777777" w:rsidR="00804E03" w:rsidRPr="001D40CB" w:rsidRDefault="00804E03" w:rsidP="00676883">
      <w:pPr>
        <w:spacing w:before="240" w:after="0"/>
        <w:jc w:val="both"/>
        <w:rPr>
          <w:rFonts w:ascii="Times New Roman" w:hAnsi="Times New Roman" w:cs="Times New Roman"/>
          <w:sz w:val="28"/>
          <w:szCs w:val="28"/>
        </w:rPr>
      </w:pPr>
      <w:r w:rsidRPr="0057167C">
        <w:rPr>
          <w:rFonts w:ascii="Times New Roman" w:hAnsi="Times New Roman" w:cs="Times New Roman"/>
          <w:b/>
          <w:bCs/>
          <w:sz w:val="28"/>
          <w:szCs w:val="28"/>
        </w:rPr>
        <w:t>Limitations and Recommendations</w:t>
      </w:r>
    </w:p>
    <w:p w14:paraId="1200397E" w14:textId="77777777" w:rsidR="00804E03" w:rsidRPr="0057167C" w:rsidRDefault="00804E03" w:rsidP="00676883">
      <w:pPr>
        <w:jc w:val="both"/>
        <w:rPr>
          <w:rFonts w:ascii="Times New Roman" w:hAnsi="Times New Roman" w:cs="Times New Roman"/>
        </w:rPr>
      </w:pPr>
      <w:r w:rsidRPr="0057167C">
        <w:rPr>
          <w:rFonts w:ascii="Times New Roman" w:hAnsi="Times New Roman" w:cs="Times New Roman"/>
        </w:rPr>
        <w:t>Limitations of this study include the absence of immunological parameters such as ANA, anti-dsDNA titres, and complement levels (not performed or unavailable in the records), lack of renal biopsy, single-case design, and absence of long-term follow-up data. Nevertheless, the detailed clinical notes, laboratory results, imaging, and rapid response to re-instituted therapy provide sufficient evidence for a robust case report. We recommend that future JSLE case reports routinely include immunological testing to strengthen diagnostic confirmation, that clinicians provide structured adherence counselling (especially in resource-limited settings), and that photographs of cutaneous lesions be documented for educational purposes.</w:t>
      </w:r>
    </w:p>
    <w:p w14:paraId="2DAA5F28" w14:textId="77777777" w:rsidR="00804E03" w:rsidRPr="001D40CB" w:rsidRDefault="00804E03" w:rsidP="00676883">
      <w:pPr>
        <w:spacing w:before="240" w:after="0"/>
        <w:jc w:val="both"/>
        <w:rPr>
          <w:rFonts w:ascii="Times New Roman" w:hAnsi="Times New Roman" w:cs="Times New Roman"/>
          <w:sz w:val="28"/>
          <w:szCs w:val="28"/>
        </w:rPr>
      </w:pPr>
      <w:r w:rsidRPr="0057167C">
        <w:rPr>
          <w:rFonts w:ascii="Times New Roman" w:hAnsi="Times New Roman" w:cs="Times New Roman"/>
          <w:b/>
          <w:bCs/>
          <w:sz w:val="28"/>
          <w:szCs w:val="28"/>
        </w:rPr>
        <w:t>Conclusion</w:t>
      </w:r>
    </w:p>
    <w:p w14:paraId="7C1146D6" w14:textId="1BF5F42A" w:rsidR="00804E03" w:rsidRDefault="00804E03" w:rsidP="00676883">
      <w:pPr>
        <w:jc w:val="both"/>
        <w:rPr>
          <w:rFonts w:ascii="Times New Roman" w:hAnsi="Times New Roman" w:cs="Times New Roman"/>
        </w:rPr>
      </w:pPr>
      <w:r w:rsidRPr="0057167C">
        <w:rPr>
          <w:rFonts w:ascii="Times New Roman" w:hAnsi="Times New Roman" w:cs="Times New Roman"/>
        </w:rPr>
        <w:t>In conclusion, this report adds to the sparse literature on medication-withdrawal flares in male JSLE and emphasises that even in boys, cutaneous features can be the dominant presentation. Heightened clinician awareness, combined with patient education on adherence, can significantly improve outcomes in paediatric lupus.</w:t>
      </w:r>
    </w:p>
    <w:p w14:paraId="57519FFC" w14:textId="77777777" w:rsidR="00C85379" w:rsidRPr="008E7B85" w:rsidRDefault="00C85379" w:rsidP="00676883">
      <w:pPr>
        <w:jc w:val="both"/>
        <w:rPr>
          <w:b/>
          <w:sz w:val="28"/>
        </w:rPr>
      </w:pPr>
      <w:r w:rsidRPr="008E7B85">
        <w:rPr>
          <w:b/>
          <w:sz w:val="28"/>
        </w:rPr>
        <w:t>Ethical Approval:</w:t>
      </w:r>
    </w:p>
    <w:p w14:paraId="71737942" w14:textId="77777777" w:rsidR="00C85379" w:rsidRPr="008E7B85" w:rsidRDefault="00C85379" w:rsidP="00676883">
      <w:pPr>
        <w:jc w:val="both"/>
      </w:pPr>
    </w:p>
    <w:p w14:paraId="75FFDCB3" w14:textId="77777777" w:rsidR="00C85379" w:rsidRPr="008E7B85" w:rsidRDefault="00C85379" w:rsidP="00676883">
      <w:pPr>
        <w:jc w:val="both"/>
      </w:pPr>
      <w:r w:rsidRPr="008E7B85">
        <w:t>As per international standard</w:t>
      </w:r>
      <w:r>
        <w:t>s</w:t>
      </w:r>
      <w:r w:rsidRPr="008E7B85">
        <w:t xml:space="preserve"> or university standard</w:t>
      </w:r>
      <w:r>
        <w:t>s</w:t>
      </w:r>
      <w:r w:rsidRPr="008E7B85">
        <w:t xml:space="preserve"> written ethical approval has been collected and preserved by the author(s).</w:t>
      </w:r>
    </w:p>
    <w:p w14:paraId="45A49E17" w14:textId="77777777" w:rsidR="00C85379" w:rsidRDefault="00C85379" w:rsidP="00676883">
      <w:pPr>
        <w:jc w:val="both"/>
        <w:rPr>
          <w:rFonts w:ascii="Times New Roman" w:hAnsi="Times New Roman" w:cs="Times New Roman"/>
        </w:rPr>
      </w:pPr>
    </w:p>
    <w:p w14:paraId="63D75882" w14:textId="77777777" w:rsidR="00C85379" w:rsidRPr="008E7B85" w:rsidRDefault="00C85379" w:rsidP="00676883">
      <w:pPr>
        <w:jc w:val="both"/>
        <w:rPr>
          <w:rFonts w:ascii="Calibri" w:eastAsia="Calibri" w:hAnsi="Calibri" w:cs="Times New Roman"/>
          <w:b/>
        </w:rPr>
      </w:pPr>
      <w:r w:rsidRPr="008E7B85">
        <w:rPr>
          <w:rFonts w:ascii="Calibri" w:eastAsia="Calibri" w:hAnsi="Calibri" w:cs="Times New Roman"/>
          <w:b/>
        </w:rPr>
        <w:t xml:space="preserve">Consent </w:t>
      </w:r>
    </w:p>
    <w:p w14:paraId="576B4D97" w14:textId="77777777" w:rsidR="00C85379" w:rsidRPr="008E7B85" w:rsidRDefault="00C85379" w:rsidP="00676883">
      <w:pPr>
        <w:jc w:val="both"/>
        <w:rPr>
          <w:rFonts w:ascii="Calibri" w:eastAsia="Calibri" w:hAnsi="Calibri" w:cs="Times New Roman"/>
        </w:rPr>
      </w:pPr>
      <w:r w:rsidRPr="008E7B85">
        <w:rPr>
          <w:rFonts w:ascii="Calibri" w:eastAsia="Calibri" w:hAnsi="Calibri" w:cs="Times New Roman"/>
        </w:rPr>
        <w:t>As per international standard</w:t>
      </w:r>
      <w:r>
        <w:rPr>
          <w:rFonts w:ascii="Calibri" w:eastAsia="Calibri" w:hAnsi="Calibri" w:cs="Times New Roman"/>
        </w:rPr>
        <w:t>s</w:t>
      </w:r>
      <w:r w:rsidRPr="008E7B85">
        <w:rPr>
          <w:rFonts w:ascii="Calibri" w:eastAsia="Calibri" w:hAnsi="Calibri" w:cs="Times New Roman"/>
        </w:rPr>
        <w:t xml:space="preserve">, </w:t>
      </w:r>
      <w:r w:rsidRPr="008E7B85">
        <w:rPr>
          <w:rFonts w:ascii="Calibri" w:eastAsia="Calibri" w:hAnsi="Calibri" w:cs="Times New Roman"/>
          <w:highlight w:val="yellow"/>
        </w:rPr>
        <w:t>parental w</w:t>
      </w:r>
      <w:r w:rsidRPr="008E7B85">
        <w:rPr>
          <w:rFonts w:ascii="Calibri" w:eastAsia="Calibri" w:hAnsi="Calibri" w:cs="Times New Roman"/>
        </w:rPr>
        <w:t>ritten consent has been collected and preserved by the author</w:t>
      </w:r>
      <w:r w:rsidRPr="008E7B85">
        <w:rPr>
          <w:rFonts w:ascii="Calibri" w:eastAsia="Calibri" w:hAnsi="Calibri" w:cs="Times New Roman"/>
          <w:highlight w:val="yellow"/>
        </w:rPr>
        <w:t>(s).</w:t>
      </w:r>
    </w:p>
    <w:p w14:paraId="1A9981C0" w14:textId="51B57B14" w:rsidR="00C85379" w:rsidRDefault="00C85379" w:rsidP="00676883">
      <w:pPr>
        <w:jc w:val="both"/>
        <w:rPr>
          <w:rFonts w:ascii="Times New Roman" w:hAnsi="Times New Roman" w:cs="Times New Roman"/>
        </w:rPr>
      </w:pPr>
    </w:p>
    <w:p w14:paraId="3A3F8D6D" w14:textId="77777777" w:rsidR="00C85379" w:rsidRPr="0057167C" w:rsidRDefault="00C85379" w:rsidP="00676883">
      <w:pPr>
        <w:jc w:val="both"/>
        <w:rPr>
          <w:rFonts w:ascii="Times New Roman" w:hAnsi="Times New Roman" w:cs="Times New Roman"/>
        </w:rPr>
      </w:pPr>
    </w:p>
    <w:p w14:paraId="3DD7809F" w14:textId="63B7CC4D" w:rsidR="00804E03" w:rsidRPr="001D40CB" w:rsidRDefault="00804E03" w:rsidP="00676883">
      <w:pPr>
        <w:spacing w:before="240" w:after="0"/>
        <w:jc w:val="both"/>
        <w:rPr>
          <w:rFonts w:ascii="Times New Roman" w:hAnsi="Times New Roman" w:cs="Times New Roman"/>
          <w:b/>
          <w:bCs/>
          <w:sz w:val="28"/>
          <w:szCs w:val="28"/>
        </w:rPr>
      </w:pPr>
      <w:r w:rsidRPr="0057167C">
        <w:rPr>
          <w:rFonts w:ascii="Times New Roman" w:hAnsi="Times New Roman" w:cs="Times New Roman"/>
          <w:b/>
          <w:bCs/>
          <w:sz w:val="28"/>
          <w:szCs w:val="28"/>
        </w:rPr>
        <w:t>C</w:t>
      </w:r>
      <w:r w:rsidR="001D40CB" w:rsidRPr="001D40CB">
        <w:rPr>
          <w:rFonts w:ascii="Times New Roman" w:hAnsi="Times New Roman" w:cs="Times New Roman"/>
          <w:b/>
          <w:bCs/>
          <w:sz w:val="28"/>
          <w:szCs w:val="28"/>
        </w:rPr>
        <w:t>ompeting</w:t>
      </w:r>
      <w:r w:rsidRPr="0057167C">
        <w:rPr>
          <w:rFonts w:ascii="Times New Roman" w:hAnsi="Times New Roman" w:cs="Times New Roman"/>
          <w:b/>
          <w:bCs/>
          <w:sz w:val="28"/>
          <w:szCs w:val="28"/>
        </w:rPr>
        <w:t xml:space="preserve"> I</w:t>
      </w:r>
      <w:r w:rsidR="001D40CB" w:rsidRPr="001D40CB">
        <w:rPr>
          <w:rFonts w:ascii="Times New Roman" w:hAnsi="Times New Roman" w:cs="Times New Roman"/>
          <w:b/>
          <w:bCs/>
          <w:sz w:val="28"/>
          <w:szCs w:val="28"/>
        </w:rPr>
        <w:t>nterests</w:t>
      </w:r>
      <w:r w:rsidRPr="0057167C">
        <w:rPr>
          <w:rFonts w:ascii="Times New Roman" w:hAnsi="Times New Roman" w:cs="Times New Roman"/>
          <w:b/>
          <w:bCs/>
          <w:sz w:val="28"/>
          <w:szCs w:val="28"/>
        </w:rPr>
        <w:t xml:space="preserve"> D</w:t>
      </w:r>
      <w:r w:rsidR="001D40CB" w:rsidRPr="001D40CB">
        <w:rPr>
          <w:rFonts w:ascii="Times New Roman" w:hAnsi="Times New Roman" w:cs="Times New Roman"/>
          <w:b/>
          <w:bCs/>
          <w:sz w:val="28"/>
          <w:szCs w:val="28"/>
        </w:rPr>
        <w:t>isclaimer</w:t>
      </w:r>
    </w:p>
    <w:p w14:paraId="0F6E176D" w14:textId="77777777" w:rsidR="00804E03" w:rsidRPr="0057167C" w:rsidRDefault="00804E03" w:rsidP="00676883">
      <w:pPr>
        <w:spacing w:after="0"/>
        <w:jc w:val="both"/>
        <w:rPr>
          <w:rFonts w:ascii="Times New Roman" w:hAnsi="Times New Roman" w:cs="Times New Roman"/>
        </w:rPr>
      </w:pPr>
      <w:r w:rsidRPr="0057167C">
        <w:rPr>
          <w:rFonts w:ascii="Times New Roman" w:hAnsi="Times New Roman" w:cs="Times New Roman"/>
        </w:rPr>
        <w:t>Authors have declared that they have no known competing financial interests OR non-financial interests OR personal relationships that could have appeared to influence the work reported in this paper.</w:t>
      </w:r>
    </w:p>
    <w:p w14:paraId="0D8564E7" w14:textId="77777777" w:rsidR="00804E03" w:rsidRPr="001D40CB" w:rsidRDefault="00804E03" w:rsidP="00676883">
      <w:pPr>
        <w:spacing w:before="240" w:after="0"/>
        <w:jc w:val="both"/>
        <w:rPr>
          <w:rFonts w:ascii="Times New Roman" w:hAnsi="Times New Roman" w:cs="Times New Roman"/>
          <w:sz w:val="28"/>
          <w:szCs w:val="28"/>
        </w:rPr>
      </w:pPr>
      <w:r w:rsidRPr="0057167C">
        <w:rPr>
          <w:rFonts w:ascii="Times New Roman" w:hAnsi="Times New Roman" w:cs="Times New Roman"/>
          <w:b/>
          <w:bCs/>
          <w:sz w:val="28"/>
          <w:szCs w:val="28"/>
        </w:rPr>
        <w:t>Disclaimer (Artificial intelligence)</w:t>
      </w:r>
    </w:p>
    <w:p w14:paraId="517C9D27" w14:textId="77777777" w:rsidR="00804E03" w:rsidRPr="0057167C" w:rsidRDefault="00804E03" w:rsidP="00676883">
      <w:pPr>
        <w:jc w:val="both"/>
        <w:rPr>
          <w:rFonts w:ascii="Times New Roman" w:hAnsi="Times New Roman" w:cs="Times New Roman"/>
        </w:rPr>
      </w:pPr>
      <w:r w:rsidRPr="0057167C">
        <w:rPr>
          <w:rFonts w:ascii="Times New Roman" w:hAnsi="Times New Roman" w:cs="Times New Roman"/>
        </w:rPr>
        <w:t>Author(s) hereby declare that NO generative AI technologies such as Large Language Models (ChatGPT, COPILOT, etc.) and text-to-image generators have been used during the writing or editing of this manuscript.</w:t>
      </w:r>
    </w:p>
    <w:p w14:paraId="34A5B397" w14:textId="77777777" w:rsidR="00804E03" w:rsidRPr="001D40CB" w:rsidRDefault="00804E03" w:rsidP="00676883">
      <w:pPr>
        <w:spacing w:before="240" w:after="0"/>
        <w:jc w:val="both"/>
        <w:rPr>
          <w:rFonts w:ascii="Times New Roman" w:hAnsi="Times New Roman" w:cs="Times New Roman"/>
          <w:sz w:val="28"/>
          <w:szCs w:val="28"/>
        </w:rPr>
      </w:pPr>
      <w:r w:rsidRPr="0057167C">
        <w:rPr>
          <w:rFonts w:ascii="Times New Roman" w:hAnsi="Times New Roman" w:cs="Times New Roman"/>
          <w:b/>
          <w:bCs/>
          <w:sz w:val="28"/>
          <w:szCs w:val="28"/>
        </w:rPr>
        <w:t>References</w:t>
      </w:r>
    </w:p>
    <w:p w14:paraId="53E77A33" w14:textId="77777777" w:rsidR="00804E03" w:rsidRDefault="00804E03" w:rsidP="00676883">
      <w:pPr>
        <w:pStyle w:val="ListParagraph"/>
        <w:numPr>
          <w:ilvl w:val="0"/>
          <w:numId w:val="4"/>
        </w:numPr>
        <w:jc w:val="both"/>
        <w:rPr>
          <w:rFonts w:ascii="Times New Roman" w:hAnsi="Times New Roman" w:cs="Times New Roman"/>
        </w:rPr>
      </w:pPr>
      <w:r w:rsidRPr="0057167C">
        <w:rPr>
          <w:rFonts w:ascii="Times New Roman" w:hAnsi="Times New Roman" w:cs="Times New Roman"/>
        </w:rPr>
        <w:t xml:space="preserve">Beshir, E., Belt, E., Chenchen, N., Saqib, A., </w:t>
      </w:r>
      <w:proofErr w:type="spellStart"/>
      <w:r w:rsidRPr="0057167C">
        <w:rPr>
          <w:rFonts w:ascii="Times New Roman" w:hAnsi="Times New Roman" w:cs="Times New Roman"/>
        </w:rPr>
        <w:t>Pallavidino</w:t>
      </w:r>
      <w:proofErr w:type="spellEnd"/>
      <w:r w:rsidRPr="0057167C">
        <w:rPr>
          <w:rFonts w:ascii="Times New Roman" w:hAnsi="Times New Roman" w:cs="Times New Roman"/>
        </w:rPr>
        <w:t xml:space="preserve">, M., Terheggen, U., et al. (2022). Case report: Guillain-Barré syndrome as primary presentation of systemic lupus erythematosus (SLE-GBS) in a teenage girl. </w:t>
      </w:r>
      <w:r w:rsidRPr="0057167C">
        <w:rPr>
          <w:rFonts w:ascii="Times New Roman" w:hAnsi="Times New Roman" w:cs="Times New Roman"/>
          <w:i/>
          <w:iCs/>
        </w:rPr>
        <w:t xml:space="preserve">Frontiers in </w:t>
      </w:r>
      <w:proofErr w:type="spellStart"/>
      <w:r w:rsidRPr="0057167C">
        <w:rPr>
          <w:rFonts w:ascii="Times New Roman" w:hAnsi="Times New Roman" w:cs="Times New Roman"/>
          <w:i/>
          <w:iCs/>
        </w:rPr>
        <w:t>Pediatrics</w:t>
      </w:r>
      <w:proofErr w:type="spellEnd"/>
      <w:r w:rsidRPr="0057167C">
        <w:rPr>
          <w:rFonts w:ascii="Times New Roman" w:hAnsi="Times New Roman" w:cs="Times New Roman"/>
          <w:i/>
          <w:iCs/>
        </w:rPr>
        <w:t>, 10</w:t>
      </w:r>
      <w:r w:rsidRPr="0057167C">
        <w:rPr>
          <w:rFonts w:ascii="Times New Roman" w:hAnsi="Times New Roman" w:cs="Times New Roman"/>
        </w:rPr>
        <w:t>, Article 838927.</w:t>
      </w:r>
    </w:p>
    <w:p w14:paraId="7247E844" w14:textId="77777777" w:rsidR="00804E03" w:rsidRDefault="00804E03" w:rsidP="00676883">
      <w:pPr>
        <w:pStyle w:val="ListParagraph"/>
        <w:numPr>
          <w:ilvl w:val="0"/>
          <w:numId w:val="4"/>
        </w:numPr>
        <w:jc w:val="both"/>
        <w:rPr>
          <w:rFonts w:ascii="Times New Roman" w:hAnsi="Times New Roman" w:cs="Times New Roman"/>
        </w:rPr>
      </w:pPr>
      <w:r w:rsidRPr="0057167C">
        <w:rPr>
          <w:rFonts w:ascii="Times New Roman" w:hAnsi="Times New Roman" w:cs="Times New Roman"/>
        </w:rPr>
        <w:lastRenderedPageBreak/>
        <w:t xml:space="preserve">Chen, Y. J., Lin, Y. J., &amp; Guo, M. M. H. (2022). </w:t>
      </w:r>
      <w:proofErr w:type="spellStart"/>
      <w:r w:rsidRPr="0057167C">
        <w:rPr>
          <w:rFonts w:ascii="Times New Roman" w:hAnsi="Times New Roman" w:cs="Times New Roman"/>
        </w:rPr>
        <w:t>Pediatric</w:t>
      </w:r>
      <w:proofErr w:type="spellEnd"/>
      <w:r w:rsidRPr="0057167C">
        <w:rPr>
          <w:rFonts w:ascii="Times New Roman" w:hAnsi="Times New Roman" w:cs="Times New Roman"/>
        </w:rPr>
        <w:t xml:space="preserve"> lupus presenting as pulmonary hypertension, myocarditis, and massive pericardial effusion in an 11-year-old girl: A case report and literature review. </w:t>
      </w:r>
      <w:r w:rsidRPr="0057167C">
        <w:rPr>
          <w:rFonts w:ascii="Times New Roman" w:hAnsi="Times New Roman" w:cs="Times New Roman"/>
          <w:i/>
          <w:iCs/>
        </w:rPr>
        <w:t xml:space="preserve">Frontiers in </w:t>
      </w:r>
      <w:proofErr w:type="spellStart"/>
      <w:r w:rsidRPr="0057167C">
        <w:rPr>
          <w:rFonts w:ascii="Times New Roman" w:hAnsi="Times New Roman" w:cs="Times New Roman"/>
          <w:i/>
          <w:iCs/>
        </w:rPr>
        <w:t>Pediatrics</w:t>
      </w:r>
      <w:proofErr w:type="spellEnd"/>
      <w:r w:rsidRPr="0057167C">
        <w:rPr>
          <w:rFonts w:ascii="Times New Roman" w:hAnsi="Times New Roman" w:cs="Times New Roman"/>
          <w:i/>
          <w:iCs/>
        </w:rPr>
        <w:t>, 10</w:t>
      </w:r>
      <w:r w:rsidRPr="0057167C">
        <w:rPr>
          <w:rFonts w:ascii="Times New Roman" w:hAnsi="Times New Roman" w:cs="Times New Roman"/>
        </w:rPr>
        <w:t>, Article 772422.</w:t>
      </w:r>
    </w:p>
    <w:p w14:paraId="4BA66E91" w14:textId="77777777" w:rsidR="00804E03" w:rsidRDefault="00804E03" w:rsidP="00676883">
      <w:pPr>
        <w:pStyle w:val="ListParagraph"/>
        <w:numPr>
          <w:ilvl w:val="0"/>
          <w:numId w:val="4"/>
        </w:numPr>
        <w:jc w:val="both"/>
        <w:rPr>
          <w:rFonts w:ascii="Times New Roman" w:hAnsi="Times New Roman" w:cs="Times New Roman"/>
        </w:rPr>
      </w:pPr>
      <w:r w:rsidRPr="0057167C">
        <w:rPr>
          <w:rFonts w:ascii="Times New Roman" w:hAnsi="Times New Roman" w:cs="Times New Roman"/>
        </w:rPr>
        <w:t xml:space="preserve">do Vale, E. C. S., et al. (2023). Cutaneous lupus erythematosus: a review of </w:t>
      </w:r>
      <w:proofErr w:type="spellStart"/>
      <w:r w:rsidRPr="0057167C">
        <w:rPr>
          <w:rFonts w:ascii="Times New Roman" w:hAnsi="Times New Roman" w:cs="Times New Roman"/>
        </w:rPr>
        <w:t>etiopathogenic</w:t>
      </w:r>
      <w:proofErr w:type="spellEnd"/>
      <w:r w:rsidRPr="0057167C">
        <w:rPr>
          <w:rFonts w:ascii="Times New Roman" w:hAnsi="Times New Roman" w:cs="Times New Roman"/>
        </w:rPr>
        <w:t xml:space="preserve">, clinical, diagnostic and therapeutic aspects. </w:t>
      </w:r>
      <w:r w:rsidRPr="0057167C">
        <w:rPr>
          <w:rFonts w:ascii="Times New Roman" w:hAnsi="Times New Roman" w:cs="Times New Roman"/>
          <w:i/>
          <w:iCs/>
        </w:rPr>
        <w:t xml:space="preserve">Anais </w:t>
      </w:r>
      <w:proofErr w:type="spellStart"/>
      <w:r w:rsidRPr="0057167C">
        <w:rPr>
          <w:rFonts w:ascii="Times New Roman" w:hAnsi="Times New Roman" w:cs="Times New Roman"/>
          <w:i/>
          <w:iCs/>
        </w:rPr>
        <w:t>Brasileiros</w:t>
      </w:r>
      <w:proofErr w:type="spellEnd"/>
      <w:r w:rsidRPr="0057167C">
        <w:rPr>
          <w:rFonts w:ascii="Times New Roman" w:hAnsi="Times New Roman" w:cs="Times New Roman"/>
          <w:i/>
          <w:iCs/>
        </w:rPr>
        <w:t xml:space="preserve"> de </w:t>
      </w:r>
      <w:proofErr w:type="spellStart"/>
      <w:r w:rsidRPr="0057167C">
        <w:rPr>
          <w:rFonts w:ascii="Times New Roman" w:hAnsi="Times New Roman" w:cs="Times New Roman"/>
          <w:i/>
          <w:iCs/>
        </w:rPr>
        <w:t>Dermatologia</w:t>
      </w:r>
      <w:proofErr w:type="spellEnd"/>
      <w:r w:rsidRPr="0057167C">
        <w:rPr>
          <w:rFonts w:ascii="Times New Roman" w:hAnsi="Times New Roman" w:cs="Times New Roman"/>
        </w:rPr>
        <w:t>.</w:t>
      </w:r>
    </w:p>
    <w:p w14:paraId="4AEC7FE0" w14:textId="77777777" w:rsidR="00804E03" w:rsidRDefault="00804E03" w:rsidP="00676883">
      <w:pPr>
        <w:pStyle w:val="ListParagraph"/>
        <w:numPr>
          <w:ilvl w:val="0"/>
          <w:numId w:val="4"/>
        </w:numPr>
        <w:jc w:val="both"/>
        <w:rPr>
          <w:rFonts w:ascii="Times New Roman" w:hAnsi="Times New Roman" w:cs="Times New Roman"/>
        </w:rPr>
      </w:pPr>
      <w:r w:rsidRPr="0057167C">
        <w:rPr>
          <w:rFonts w:ascii="Times New Roman" w:hAnsi="Times New Roman" w:cs="Times New Roman"/>
        </w:rPr>
        <w:t xml:space="preserve">Petrea, C. L., </w:t>
      </w:r>
      <w:proofErr w:type="spellStart"/>
      <w:r w:rsidRPr="0057167C">
        <w:rPr>
          <w:rFonts w:ascii="Times New Roman" w:hAnsi="Times New Roman" w:cs="Times New Roman"/>
        </w:rPr>
        <w:t>Ciortea</w:t>
      </w:r>
      <w:proofErr w:type="spellEnd"/>
      <w:r w:rsidRPr="0057167C">
        <w:rPr>
          <w:rFonts w:ascii="Times New Roman" w:hAnsi="Times New Roman" w:cs="Times New Roman"/>
        </w:rPr>
        <w:t xml:space="preserve">, D. A., Miulescu, M., </w:t>
      </w:r>
      <w:proofErr w:type="spellStart"/>
      <w:r w:rsidRPr="0057167C">
        <w:rPr>
          <w:rFonts w:ascii="Times New Roman" w:hAnsi="Times New Roman" w:cs="Times New Roman"/>
        </w:rPr>
        <w:t>Candussi</w:t>
      </w:r>
      <w:proofErr w:type="spellEnd"/>
      <w:r w:rsidRPr="0057167C">
        <w:rPr>
          <w:rFonts w:ascii="Times New Roman" w:hAnsi="Times New Roman" w:cs="Times New Roman"/>
        </w:rPr>
        <w:t xml:space="preserve">, I. L., Chirila, S. I., Verga, G. I., et al. (2024). A new case of paediatric systemic lupus erythematosus with onset after SARS-CoV-2 and Epstein-Barr infection—A case report and literature review. </w:t>
      </w:r>
      <w:r w:rsidRPr="0057167C">
        <w:rPr>
          <w:rFonts w:ascii="Times New Roman" w:hAnsi="Times New Roman" w:cs="Times New Roman"/>
          <w:i/>
          <w:iCs/>
        </w:rPr>
        <w:t>Current Issues in Molecular Biology, 46</w:t>
      </w:r>
      <w:r w:rsidRPr="0057167C">
        <w:rPr>
          <w:rFonts w:ascii="Times New Roman" w:hAnsi="Times New Roman" w:cs="Times New Roman"/>
        </w:rPr>
        <w:t>, 8642-8657.</w:t>
      </w:r>
    </w:p>
    <w:p w14:paraId="6DF28DFD" w14:textId="77777777" w:rsidR="00804E03" w:rsidRDefault="00804E03" w:rsidP="00676883">
      <w:pPr>
        <w:pStyle w:val="ListParagraph"/>
        <w:numPr>
          <w:ilvl w:val="0"/>
          <w:numId w:val="4"/>
        </w:numPr>
        <w:jc w:val="both"/>
        <w:rPr>
          <w:rFonts w:ascii="Times New Roman" w:hAnsi="Times New Roman" w:cs="Times New Roman"/>
        </w:rPr>
      </w:pPr>
      <w:r w:rsidRPr="0057167C">
        <w:rPr>
          <w:rFonts w:ascii="Times New Roman" w:hAnsi="Times New Roman" w:cs="Times New Roman"/>
        </w:rPr>
        <w:t>Renson, T., et al. (2025). The unique challenges of childhood-onset systemic lupus erythematosus.</w:t>
      </w:r>
    </w:p>
    <w:p w14:paraId="0F7C6793" w14:textId="157DCEE1" w:rsidR="00B24EDB" w:rsidRDefault="00804E03" w:rsidP="00676883">
      <w:pPr>
        <w:pStyle w:val="ListParagraph"/>
        <w:numPr>
          <w:ilvl w:val="0"/>
          <w:numId w:val="4"/>
        </w:numPr>
        <w:jc w:val="both"/>
        <w:rPr>
          <w:rFonts w:ascii="Times New Roman" w:hAnsi="Times New Roman" w:cs="Times New Roman"/>
        </w:rPr>
      </w:pPr>
      <w:r w:rsidRPr="0057167C">
        <w:rPr>
          <w:rFonts w:ascii="Times New Roman" w:hAnsi="Times New Roman" w:cs="Times New Roman"/>
        </w:rPr>
        <w:t xml:space="preserve">Traore, A. D., Koffi, J. K. E., Koffi, C. Z. R. M., Yao, K. J. C., Goua, J. J., Kouakou, E. S. C., et al. (2025). Case report: Diagnostic itinerary of a male case of juvenile-onset systemic lupus erythematosus in </w:t>
      </w:r>
      <w:proofErr w:type="spellStart"/>
      <w:r w:rsidRPr="0057167C">
        <w:rPr>
          <w:rFonts w:ascii="Times New Roman" w:hAnsi="Times New Roman" w:cs="Times New Roman"/>
        </w:rPr>
        <w:t>Bouaké</w:t>
      </w:r>
      <w:proofErr w:type="spellEnd"/>
      <w:r w:rsidRPr="0057167C">
        <w:rPr>
          <w:rFonts w:ascii="Times New Roman" w:hAnsi="Times New Roman" w:cs="Times New Roman"/>
        </w:rPr>
        <w:t xml:space="preserve">. </w:t>
      </w:r>
      <w:r w:rsidRPr="0057167C">
        <w:rPr>
          <w:rFonts w:ascii="Times New Roman" w:hAnsi="Times New Roman" w:cs="Times New Roman"/>
          <w:i/>
          <w:iCs/>
        </w:rPr>
        <w:t xml:space="preserve">Frontiers in </w:t>
      </w:r>
      <w:proofErr w:type="spellStart"/>
      <w:r w:rsidRPr="0057167C">
        <w:rPr>
          <w:rFonts w:ascii="Times New Roman" w:hAnsi="Times New Roman" w:cs="Times New Roman"/>
          <w:i/>
          <w:iCs/>
        </w:rPr>
        <w:t>Pediatrics</w:t>
      </w:r>
      <w:proofErr w:type="spellEnd"/>
      <w:r w:rsidRPr="0057167C">
        <w:rPr>
          <w:rFonts w:ascii="Times New Roman" w:hAnsi="Times New Roman" w:cs="Times New Roman"/>
          <w:i/>
          <w:iCs/>
        </w:rPr>
        <w:t>, 12</w:t>
      </w:r>
      <w:r w:rsidRPr="0057167C">
        <w:rPr>
          <w:rFonts w:ascii="Times New Roman" w:hAnsi="Times New Roman" w:cs="Times New Roman"/>
        </w:rPr>
        <w:t>, Article 1426246.</w:t>
      </w:r>
    </w:p>
    <w:p w14:paraId="1676403E" w14:textId="6DD784A4" w:rsidR="00676883" w:rsidRPr="00676883" w:rsidRDefault="00676883" w:rsidP="00676883">
      <w:pPr>
        <w:pStyle w:val="ListParagraph"/>
        <w:numPr>
          <w:ilvl w:val="0"/>
          <w:numId w:val="4"/>
        </w:numPr>
        <w:jc w:val="both"/>
        <w:rPr>
          <w:rFonts w:ascii="Times New Roman" w:hAnsi="Times New Roman" w:cs="Times New Roman"/>
        </w:rPr>
      </w:pPr>
      <w:proofErr w:type="spellStart"/>
      <w:r>
        <w:rPr>
          <w:rFonts w:ascii="Arial" w:hAnsi="Arial" w:cs="Arial"/>
          <w:color w:val="222222"/>
          <w:sz w:val="20"/>
          <w:szCs w:val="20"/>
          <w:shd w:val="clear" w:color="auto" w:fill="FFFFFF"/>
        </w:rPr>
        <w:t>Fijałkowska</w:t>
      </w:r>
      <w:proofErr w:type="spellEnd"/>
      <w:r>
        <w:rPr>
          <w:rFonts w:ascii="Arial" w:hAnsi="Arial" w:cs="Arial"/>
          <w:color w:val="222222"/>
          <w:sz w:val="20"/>
          <w:szCs w:val="20"/>
          <w:shd w:val="clear" w:color="auto" w:fill="FFFFFF"/>
        </w:rPr>
        <w:t xml:space="preserve">, A., </w:t>
      </w:r>
      <w:proofErr w:type="spellStart"/>
      <w:r>
        <w:rPr>
          <w:rFonts w:ascii="Arial" w:hAnsi="Arial" w:cs="Arial"/>
          <w:color w:val="222222"/>
          <w:sz w:val="20"/>
          <w:szCs w:val="20"/>
          <w:shd w:val="clear" w:color="auto" w:fill="FFFFFF"/>
        </w:rPr>
        <w:t>Kądziela</w:t>
      </w:r>
      <w:proofErr w:type="spellEnd"/>
      <w:r>
        <w:rPr>
          <w:rFonts w:ascii="Arial" w:hAnsi="Arial" w:cs="Arial"/>
          <w:color w:val="222222"/>
          <w:sz w:val="20"/>
          <w:szCs w:val="20"/>
          <w:shd w:val="clear" w:color="auto" w:fill="FFFFFF"/>
        </w:rPr>
        <w:t xml:space="preserve">, M., &amp; </w:t>
      </w:r>
      <w:proofErr w:type="spellStart"/>
      <w:r>
        <w:rPr>
          <w:rFonts w:ascii="Arial" w:hAnsi="Arial" w:cs="Arial"/>
          <w:color w:val="222222"/>
          <w:sz w:val="20"/>
          <w:szCs w:val="20"/>
          <w:shd w:val="clear" w:color="auto" w:fill="FFFFFF"/>
        </w:rPr>
        <w:t>Żebrowska</w:t>
      </w:r>
      <w:proofErr w:type="spellEnd"/>
      <w:r>
        <w:rPr>
          <w:rFonts w:ascii="Arial" w:hAnsi="Arial" w:cs="Arial"/>
          <w:color w:val="222222"/>
          <w:sz w:val="20"/>
          <w:szCs w:val="20"/>
          <w:shd w:val="clear" w:color="auto" w:fill="FFFFFF"/>
        </w:rPr>
        <w:t>, A. (2024). The spectrum of cutaneous manifestations in lupus erythematosus: a comprehensive review. </w:t>
      </w:r>
      <w:r>
        <w:rPr>
          <w:rFonts w:ascii="Arial" w:hAnsi="Arial" w:cs="Arial"/>
          <w:i/>
          <w:iCs/>
          <w:color w:val="222222"/>
          <w:sz w:val="20"/>
          <w:szCs w:val="20"/>
          <w:shd w:val="clear" w:color="auto" w:fill="FFFFFF"/>
        </w:rPr>
        <w:t>Journal of Clinical Medicine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13</w:t>
      </w:r>
      <w:r>
        <w:rPr>
          <w:rFonts w:ascii="Arial" w:hAnsi="Arial" w:cs="Arial"/>
          <w:color w:val="222222"/>
          <w:sz w:val="20"/>
          <w:szCs w:val="20"/>
          <w:shd w:val="clear" w:color="auto" w:fill="FFFFFF"/>
        </w:rPr>
        <w:t>(8), 2419.</w:t>
      </w:r>
    </w:p>
    <w:p w14:paraId="0008725B" w14:textId="6D142ABA" w:rsidR="00676883" w:rsidRPr="00676883" w:rsidRDefault="00676883" w:rsidP="00676883">
      <w:pPr>
        <w:pStyle w:val="ListParagraph"/>
        <w:numPr>
          <w:ilvl w:val="0"/>
          <w:numId w:val="4"/>
        </w:numPr>
        <w:jc w:val="both"/>
        <w:rPr>
          <w:rFonts w:ascii="Times New Roman" w:hAnsi="Times New Roman" w:cs="Times New Roman"/>
        </w:rPr>
      </w:pPr>
      <w:r>
        <w:rPr>
          <w:rFonts w:ascii="Arial" w:hAnsi="Arial" w:cs="Arial"/>
          <w:color w:val="222222"/>
          <w:sz w:val="20"/>
          <w:szCs w:val="20"/>
          <w:shd w:val="clear" w:color="auto" w:fill="FFFFFF"/>
        </w:rPr>
        <w:t xml:space="preserve">Zahran, E. S., </w:t>
      </w:r>
      <w:proofErr w:type="spellStart"/>
      <w:r>
        <w:rPr>
          <w:rFonts w:ascii="Arial" w:hAnsi="Arial" w:cs="Arial"/>
          <w:color w:val="222222"/>
          <w:sz w:val="20"/>
          <w:szCs w:val="20"/>
          <w:shd w:val="clear" w:color="auto" w:fill="FFFFFF"/>
        </w:rPr>
        <w:t>Aleraqy</w:t>
      </w:r>
      <w:proofErr w:type="spellEnd"/>
      <w:r>
        <w:rPr>
          <w:rFonts w:ascii="Arial" w:hAnsi="Arial" w:cs="Arial"/>
          <w:color w:val="222222"/>
          <w:sz w:val="20"/>
          <w:szCs w:val="20"/>
          <w:shd w:val="clear" w:color="auto" w:fill="FFFFFF"/>
        </w:rPr>
        <w:t>, W., El-</w:t>
      </w:r>
      <w:proofErr w:type="spellStart"/>
      <w:r>
        <w:rPr>
          <w:rFonts w:ascii="Arial" w:hAnsi="Arial" w:cs="Arial"/>
          <w:color w:val="222222"/>
          <w:sz w:val="20"/>
          <w:szCs w:val="20"/>
          <w:shd w:val="clear" w:color="auto" w:fill="FFFFFF"/>
        </w:rPr>
        <w:t>Shebiny</w:t>
      </w:r>
      <w:proofErr w:type="spellEnd"/>
      <w:r>
        <w:rPr>
          <w:rFonts w:ascii="Arial" w:hAnsi="Arial" w:cs="Arial"/>
          <w:color w:val="222222"/>
          <w:sz w:val="20"/>
          <w:szCs w:val="20"/>
          <w:shd w:val="clear" w:color="auto" w:fill="FFFFFF"/>
        </w:rPr>
        <w:t xml:space="preserve">, E. M., </w:t>
      </w:r>
      <w:proofErr w:type="spellStart"/>
      <w:r>
        <w:rPr>
          <w:rFonts w:ascii="Arial" w:hAnsi="Arial" w:cs="Arial"/>
          <w:color w:val="222222"/>
          <w:sz w:val="20"/>
          <w:szCs w:val="20"/>
          <w:shd w:val="clear" w:color="auto" w:fill="FFFFFF"/>
        </w:rPr>
        <w:t>Sweed</w:t>
      </w:r>
      <w:proofErr w:type="spellEnd"/>
      <w:r>
        <w:rPr>
          <w:rFonts w:ascii="Arial" w:hAnsi="Arial" w:cs="Arial"/>
          <w:color w:val="222222"/>
          <w:sz w:val="20"/>
          <w:szCs w:val="20"/>
          <w:shd w:val="clear" w:color="auto" w:fill="FFFFFF"/>
        </w:rPr>
        <w:t xml:space="preserve">, E. M., </w:t>
      </w:r>
      <w:proofErr w:type="spellStart"/>
      <w:r>
        <w:rPr>
          <w:rFonts w:ascii="Arial" w:hAnsi="Arial" w:cs="Arial"/>
          <w:color w:val="222222"/>
          <w:sz w:val="20"/>
          <w:szCs w:val="20"/>
          <w:shd w:val="clear" w:color="auto" w:fill="FFFFFF"/>
        </w:rPr>
        <w:t>Foud</w:t>
      </w:r>
      <w:proofErr w:type="spellEnd"/>
      <w:r>
        <w:rPr>
          <w:rFonts w:ascii="Arial" w:hAnsi="Arial" w:cs="Arial"/>
          <w:color w:val="222222"/>
          <w:sz w:val="20"/>
          <w:szCs w:val="20"/>
          <w:shd w:val="clear" w:color="auto" w:fill="FFFFFF"/>
        </w:rPr>
        <w:t xml:space="preserve">, T. M., &amp; </w:t>
      </w:r>
      <w:proofErr w:type="spellStart"/>
      <w:r>
        <w:rPr>
          <w:rFonts w:ascii="Arial" w:hAnsi="Arial" w:cs="Arial"/>
          <w:color w:val="222222"/>
          <w:sz w:val="20"/>
          <w:szCs w:val="20"/>
          <w:shd w:val="clear" w:color="auto" w:fill="FFFFFF"/>
        </w:rPr>
        <w:t>Daif</w:t>
      </w:r>
      <w:proofErr w:type="spellEnd"/>
      <w:r>
        <w:rPr>
          <w:rFonts w:ascii="Arial" w:hAnsi="Arial" w:cs="Arial"/>
          <w:color w:val="222222"/>
          <w:sz w:val="20"/>
          <w:szCs w:val="20"/>
          <w:shd w:val="clear" w:color="auto" w:fill="FFFFFF"/>
        </w:rPr>
        <w:t>, S. M. (2025). Photosensitizing Medications Use in Lupus Patients and Relation to Flare and Outcome. </w:t>
      </w:r>
      <w:r>
        <w:rPr>
          <w:rFonts w:ascii="Arial" w:hAnsi="Arial" w:cs="Arial"/>
          <w:i/>
          <w:iCs/>
          <w:color w:val="222222"/>
          <w:sz w:val="20"/>
          <w:szCs w:val="20"/>
          <w:shd w:val="clear" w:color="auto" w:fill="FFFFFF"/>
        </w:rPr>
        <w:t>The Egyptian Journal of Hospital Medicine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101</w:t>
      </w:r>
      <w:r>
        <w:rPr>
          <w:rFonts w:ascii="Arial" w:hAnsi="Arial" w:cs="Arial"/>
          <w:color w:val="222222"/>
          <w:sz w:val="20"/>
          <w:szCs w:val="20"/>
          <w:shd w:val="clear" w:color="auto" w:fill="FFFFFF"/>
        </w:rPr>
        <w:t>(1), 5570-5574.</w:t>
      </w:r>
    </w:p>
    <w:p w14:paraId="39B8224C" w14:textId="3AD2C548" w:rsidR="00676883" w:rsidRDefault="00676883" w:rsidP="00676883">
      <w:pPr>
        <w:pStyle w:val="ListParagraph"/>
        <w:numPr>
          <w:ilvl w:val="0"/>
          <w:numId w:val="4"/>
        </w:numPr>
        <w:jc w:val="both"/>
        <w:rPr>
          <w:rFonts w:ascii="Times New Roman" w:hAnsi="Times New Roman" w:cs="Times New Roman"/>
        </w:rPr>
      </w:pPr>
      <w:r>
        <w:rPr>
          <w:rFonts w:ascii="Arial" w:hAnsi="Arial" w:cs="Arial"/>
          <w:color w:val="222222"/>
          <w:sz w:val="20"/>
          <w:szCs w:val="20"/>
          <w:shd w:val="clear" w:color="auto" w:fill="FFFFFF"/>
        </w:rPr>
        <w:t>Abdel-Naser, M. B., Verma, S. B., &amp; Abdallah, M. A. R. (2005). Common dermatoses in moderately pigmented skin: uncommon presentations. </w:t>
      </w:r>
      <w:r>
        <w:rPr>
          <w:rFonts w:ascii="Arial" w:hAnsi="Arial" w:cs="Arial"/>
          <w:i/>
          <w:iCs/>
          <w:color w:val="222222"/>
          <w:sz w:val="20"/>
          <w:szCs w:val="20"/>
          <w:shd w:val="clear" w:color="auto" w:fill="FFFFFF"/>
        </w:rPr>
        <w:t>Clinics in dermatology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23</w:t>
      </w:r>
      <w:r>
        <w:rPr>
          <w:rFonts w:ascii="Arial" w:hAnsi="Arial" w:cs="Arial"/>
          <w:color w:val="222222"/>
          <w:sz w:val="20"/>
          <w:szCs w:val="20"/>
          <w:shd w:val="clear" w:color="auto" w:fill="FFFFFF"/>
        </w:rPr>
        <w:t>(5), 446-456.</w:t>
      </w:r>
    </w:p>
    <w:p w14:paraId="42E71F0B" w14:textId="379EB234" w:rsidR="00676883" w:rsidRDefault="00676883" w:rsidP="00676883"/>
    <w:p w14:paraId="5E273A1F" w14:textId="7428EE68" w:rsidR="00676883" w:rsidRPr="00676883" w:rsidRDefault="00676883" w:rsidP="00676883">
      <w:pPr>
        <w:tabs>
          <w:tab w:val="left" w:pos="1070"/>
        </w:tabs>
      </w:pPr>
      <w:r>
        <w:tab/>
      </w:r>
    </w:p>
    <w:sectPr w:rsidR="00676883" w:rsidRPr="00676883" w:rsidSect="00B87D2C">
      <w:headerReference w:type="even" r:id="rId7"/>
      <w:headerReference w:type="default" r:id="rId8"/>
      <w:footerReference w:type="even" r:id="rId9"/>
      <w:footerReference w:type="default" r:id="rId10"/>
      <w:headerReference w:type="first" r:id="rId11"/>
      <w:footerReference w:type="first" r:id="rId12"/>
      <w:pgSz w:w="11906" w:h="16838"/>
      <w:pgMar w:top="567" w:right="567" w:bottom="56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D6A6FA" w14:textId="77777777" w:rsidR="009442B3" w:rsidRDefault="009442B3" w:rsidP="00DC0287">
      <w:pPr>
        <w:spacing w:after="0" w:line="240" w:lineRule="auto"/>
      </w:pPr>
      <w:r>
        <w:separator/>
      </w:r>
    </w:p>
  </w:endnote>
  <w:endnote w:type="continuationSeparator" w:id="0">
    <w:p w14:paraId="76E1D9DD" w14:textId="77777777" w:rsidR="009442B3" w:rsidRDefault="009442B3" w:rsidP="00DC0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F1F77" w14:textId="77777777" w:rsidR="00DC0287" w:rsidRDefault="00DC02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4D6C5" w14:textId="77777777" w:rsidR="00DC0287" w:rsidRDefault="00DC02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6EE67" w14:textId="77777777" w:rsidR="00DC0287" w:rsidRDefault="00DC02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038A25" w14:textId="77777777" w:rsidR="009442B3" w:rsidRDefault="009442B3" w:rsidP="00DC0287">
      <w:pPr>
        <w:spacing w:after="0" w:line="240" w:lineRule="auto"/>
      </w:pPr>
      <w:r>
        <w:separator/>
      </w:r>
    </w:p>
  </w:footnote>
  <w:footnote w:type="continuationSeparator" w:id="0">
    <w:p w14:paraId="36B1734E" w14:textId="77777777" w:rsidR="009442B3" w:rsidRDefault="009442B3" w:rsidP="00DC02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D89E4" w14:textId="2590DCFE" w:rsidR="00DC0287" w:rsidRDefault="00676883">
    <w:pPr>
      <w:pStyle w:val="Header"/>
    </w:pPr>
    <w:r>
      <w:rPr>
        <w:noProof/>
      </w:rPr>
      <w:pict w14:anchorId="6E8955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2865485" o:spid="_x0000_s2050" type="#_x0000_t136" style="position:absolute;margin-left:0;margin-top:0;width:638.85pt;height:12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623DB" w14:textId="254361C1" w:rsidR="00DC0287" w:rsidRDefault="00676883">
    <w:pPr>
      <w:pStyle w:val="Header"/>
    </w:pPr>
    <w:r>
      <w:rPr>
        <w:noProof/>
      </w:rPr>
      <w:pict w14:anchorId="06206E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2865486" o:spid="_x0000_s2051" type="#_x0000_t136" style="position:absolute;margin-left:0;margin-top:0;width:638.85pt;height:12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ABC7F" w14:textId="113E9913" w:rsidR="00DC0287" w:rsidRDefault="00676883">
    <w:pPr>
      <w:pStyle w:val="Header"/>
    </w:pPr>
    <w:r>
      <w:rPr>
        <w:noProof/>
      </w:rPr>
      <w:pict w14:anchorId="123188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2865484" o:spid="_x0000_s2049" type="#_x0000_t136" style="position:absolute;margin-left:0;margin-top:0;width:638.85pt;height:12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114A46"/>
    <w:multiLevelType w:val="hybridMultilevel"/>
    <w:tmpl w:val="4768BCC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1CB22EF"/>
    <w:multiLevelType w:val="multilevel"/>
    <w:tmpl w:val="CFFEE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573B90"/>
    <w:multiLevelType w:val="hybridMultilevel"/>
    <w:tmpl w:val="655844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73973A98"/>
    <w:multiLevelType w:val="multilevel"/>
    <w:tmpl w:val="449C8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14A"/>
    <w:rsid w:val="00005FBD"/>
    <w:rsid w:val="00015402"/>
    <w:rsid w:val="0001676D"/>
    <w:rsid w:val="00055F14"/>
    <w:rsid w:val="0006673F"/>
    <w:rsid w:val="00081562"/>
    <w:rsid w:val="0008734D"/>
    <w:rsid w:val="000C3CF1"/>
    <w:rsid w:val="000D038C"/>
    <w:rsid w:val="000E4C73"/>
    <w:rsid w:val="001075BA"/>
    <w:rsid w:val="00111871"/>
    <w:rsid w:val="001125A7"/>
    <w:rsid w:val="00172DE1"/>
    <w:rsid w:val="00175E41"/>
    <w:rsid w:val="00182AF7"/>
    <w:rsid w:val="00194646"/>
    <w:rsid w:val="00196758"/>
    <w:rsid w:val="00197D55"/>
    <w:rsid w:val="001D40CB"/>
    <w:rsid w:val="001D5E83"/>
    <w:rsid w:val="00221D25"/>
    <w:rsid w:val="002631EF"/>
    <w:rsid w:val="00265A9D"/>
    <w:rsid w:val="003C06B5"/>
    <w:rsid w:val="003D7C4A"/>
    <w:rsid w:val="004117E5"/>
    <w:rsid w:val="00414FF2"/>
    <w:rsid w:val="004853BF"/>
    <w:rsid w:val="00486404"/>
    <w:rsid w:val="004A2F0D"/>
    <w:rsid w:val="004E328D"/>
    <w:rsid w:val="004E3F4C"/>
    <w:rsid w:val="0050719D"/>
    <w:rsid w:val="005213ED"/>
    <w:rsid w:val="0055323D"/>
    <w:rsid w:val="00567BA7"/>
    <w:rsid w:val="00571288"/>
    <w:rsid w:val="005802E8"/>
    <w:rsid w:val="00586856"/>
    <w:rsid w:val="005956E1"/>
    <w:rsid w:val="00596E51"/>
    <w:rsid w:val="00596F9A"/>
    <w:rsid w:val="005972EF"/>
    <w:rsid w:val="005D491A"/>
    <w:rsid w:val="005E514A"/>
    <w:rsid w:val="006053EA"/>
    <w:rsid w:val="00631C82"/>
    <w:rsid w:val="00676883"/>
    <w:rsid w:val="00680874"/>
    <w:rsid w:val="006A5324"/>
    <w:rsid w:val="006C42D4"/>
    <w:rsid w:val="006F20D3"/>
    <w:rsid w:val="00713584"/>
    <w:rsid w:val="00725AC4"/>
    <w:rsid w:val="00760A5D"/>
    <w:rsid w:val="007761A9"/>
    <w:rsid w:val="00794A10"/>
    <w:rsid w:val="007A4AE5"/>
    <w:rsid w:val="007A618B"/>
    <w:rsid w:val="007C69B8"/>
    <w:rsid w:val="007E7DD7"/>
    <w:rsid w:val="00804E03"/>
    <w:rsid w:val="0083115D"/>
    <w:rsid w:val="0084171D"/>
    <w:rsid w:val="0085115B"/>
    <w:rsid w:val="008540C2"/>
    <w:rsid w:val="0087628E"/>
    <w:rsid w:val="00925E23"/>
    <w:rsid w:val="009442B3"/>
    <w:rsid w:val="00956F05"/>
    <w:rsid w:val="009A5C18"/>
    <w:rsid w:val="009B32D2"/>
    <w:rsid w:val="009B5299"/>
    <w:rsid w:val="009C1E25"/>
    <w:rsid w:val="009F7E7B"/>
    <w:rsid w:val="00A47C36"/>
    <w:rsid w:val="00AC5373"/>
    <w:rsid w:val="00AE6A63"/>
    <w:rsid w:val="00AF432D"/>
    <w:rsid w:val="00B057B1"/>
    <w:rsid w:val="00B245A0"/>
    <w:rsid w:val="00B24EDB"/>
    <w:rsid w:val="00B31F32"/>
    <w:rsid w:val="00B32DCB"/>
    <w:rsid w:val="00B55A76"/>
    <w:rsid w:val="00B56389"/>
    <w:rsid w:val="00B75A78"/>
    <w:rsid w:val="00B87D2C"/>
    <w:rsid w:val="00B93EF8"/>
    <w:rsid w:val="00BA1E96"/>
    <w:rsid w:val="00BB5D6F"/>
    <w:rsid w:val="00BC702B"/>
    <w:rsid w:val="00C104EC"/>
    <w:rsid w:val="00C337FE"/>
    <w:rsid w:val="00C85379"/>
    <w:rsid w:val="00C94BAE"/>
    <w:rsid w:val="00CC042B"/>
    <w:rsid w:val="00CD216C"/>
    <w:rsid w:val="00CE70CB"/>
    <w:rsid w:val="00D236CC"/>
    <w:rsid w:val="00D35CAC"/>
    <w:rsid w:val="00D550F3"/>
    <w:rsid w:val="00D55492"/>
    <w:rsid w:val="00D55BA3"/>
    <w:rsid w:val="00D71B12"/>
    <w:rsid w:val="00D85861"/>
    <w:rsid w:val="00DB61F5"/>
    <w:rsid w:val="00DC0287"/>
    <w:rsid w:val="00DC5499"/>
    <w:rsid w:val="00DD63B2"/>
    <w:rsid w:val="00E050E8"/>
    <w:rsid w:val="00E124A8"/>
    <w:rsid w:val="00E202C6"/>
    <w:rsid w:val="00E552DF"/>
    <w:rsid w:val="00EA0623"/>
    <w:rsid w:val="00EB7672"/>
    <w:rsid w:val="00EC596D"/>
    <w:rsid w:val="00ED5EDA"/>
    <w:rsid w:val="00F0669A"/>
    <w:rsid w:val="00F2064E"/>
    <w:rsid w:val="00F20AA8"/>
    <w:rsid w:val="00F322F8"/>
    <w:rsid w:val="00F33130"/>
    <w:rsid w:val="00F4444B"/>
    <w:rsid w:val="00F55BE9"/>
    <w:rsid w:val="00F6685E"/>
    <w:rsid w:val="00F825FD"/>
    <w:rsid w:val="00F83295"/>
    <w:rsid w:val="00F85807"/>
    <w:rsid w:val="00F936E7"/>
    <w:rsid w:val="00FB63AF"/>
    <w:rsid w:val="00FC63D9"/>
    <w:rsid w:val="00FD6B26"/>
    <w:rsid w:val="013400DD"/>
    <w:rsid w:val="028231C0"/>
    <w:rsid w:val="0294AE58"/>
    <w:rsid w:val="047951D1"/>
    <w:rsid w:val="0621C853"/>
    <w:rsid w:val="0B709A4A"/>
    <w:rsid w:val="0CFDAD3A"/>
    <w:rsid w:val="0E3B0FF5"/>
    <w:rsid w:val="0EEBB615"/>
    <w:rsid w:val="1067ED91"/>
    <w:rsid w:val="11295006"/>
    <w:rsid w:val="1359C47A"/>
    <w:rsid w:val="138D43E3"/>
    <w:rsid w:val="15FCA847"/>
    <w:rsid w:val="168C0F4A"/>
    <w:rsid w:val="173778C4"/>
    <w:rsid w:val="1BD7FDFA"/>
    <w:rsid w:val="1D544C2A"/>
    <w:rsid w:val="1F50A908"/>
    <w:rsid w:val="21DC6943"/>
    <w:rsid w:val="222571CC"/>
    <w:rsid w:val="240F73B8"/>
    <w:rsid w:val="278E2EBC"/>
    <w:rsid w:val="2E9E28EF"/>
    <w:rsid w:val="3023210B"/>
    <w:rsid w:val="3127911C"/>
    <w:rsid w:val="33C58FFE"/>
    <w:rsid w:val="34574CF0"/>
    <w:rsid w:val="35E82B5D"/>
    <w:rsid w:val="366B29DA"/>
    <w:rsid w:val="36D1F83B"/>
    <w:rsid w:val="3BCB9C29"/>
    <w:rsid w:val="407B3F37"/>
    <w:rsid w:val="420E1A7E"/>
    <w:rsid w:val="42AAFEF8"/>
    <w:rsid w:val="44E0A814"/>
    <w:rsid w:val="4776FED3"/>
    <w:rsid w:val="47AC2983"/>
    <w:rsid w:val="493BC3BB"/>
    <w:rsid w:val="4A88D5F3"/>
    <w:rsid w:val="4E2B6DBD"/>
    <w:rsid w:val="505220DD"/>
    <w:rsid w:val="50640D7D"/>
    <w:rsid w:val="5520A8F0"/>
    <w:rsid w:val="575C7663"/>
    <w:rsid w:val="57CD0E1D"/>
    <w:rsid w:val="58585154"/>
    <w:rsid w:val="598D64CD"/>
    <w:rsid w:val="5B7D4674"/>
    <w:rsid w:val="5E0104E7"/>
    <w:rsid w:val="619511D4"/>
    <w:rsid w:val="61AD94C6"/>
    <w:rsid w:val="61F25B7F"/>
    <w:rsid w:val="62655C1C"/>
    <w:rsid w:val="63F52458"/>
    <w:rsid w:val="640A2F06"/>
    <w:rsid w:val="6443E30D"/>
    <w:rsid w:val="65D6C985"/>
    <w:rsid w:val="67D0E388"/>
    <w:rsid w:val="68AC22F7"/>
    <w:rsid w:val="690877F8"/>
    <w:rsid w:val="69D81EBA"/>
    <w:rsid w:val="6B18615E"/>
    <w:rsid w:val="6E506C4C"/>
    <w:rsid w:val="71804722"/>
    <w:rsid w:val="71B490A0"/>
    <w:rsid w:val="72CBABCB"/>
    <w:rsid w:val="78BA6D1F"/>
    <w:rsid w:val="78EB18C0"/>
    <w:rsid w:val="7A0499D9"/>
    <w:rsid w:val="7AA61D64"/>
    <w:rsid w:val="7BEFE36B"/>
    <w:rsid w:val="7C3EC662"/>
    <w:rsid w:val="7CCE2587"/>
    <w:rsid w:val="7D313603"/>
    <w:rsid w:val="7E99C4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A2DD970"/>
  <w15:chartTrackingRefBased/>
  <w15:docId w15:val="{6E988B1C-44F0-4B3F-A407-86FE7B8A9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4E03"/>
  </w:style>
  <w:style w:type="paragraph" w:styleId="Heading1">
    <w:name w:val="heading 1"/>
    <w:basedOn w:val="Normal"/>
    <w:next w:val="Normal"/>
    <w:link w:val="Heading1Char"/>
    <w:uiPriority w:val="9"/>
    <w:qFormat/>
    <w:rsid w:val="005E51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E51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E514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E514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E514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E51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51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51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51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514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E514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E514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E514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E514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E51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51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51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514A"/>
    <w:rPr>
      <w:rFonts w:eastAsiaTheme="majorEastAsia" w:cstheme="majorBidi"/>
      <w:color w:val="272727" w:themeColor="text1" w:themeTint="D8"/>
    </w:rPr>
  </w:style>
  <w:style w:type="paragraph" w:styleId="Title">
    <w:name w:val="Title"/>
    <w:basedOn w:val="Normal"/>
    <w:next w:val="Normal"/>
    <w:link w:val="TitleChar"/>
    <w:uiPriority w:val="10"/>
    <w:qFormat/>
    <w:rsid w:val="005E51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51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51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51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514A"/>
    <w:pPr>
      <w:spacing w:before="160"/>
      <w:jc w:val="center"/>
    </w:pPr>
    <w:rPr>
      <w:i/>
      <w:iCs/>
      <w:color w:val="404040" w:themeColor="text1" w:themeTint="BF"/>
    </w:rPr>
  </w:style>
  <w:style w:type="character" w:customStyle="1" w:styleId="QuoteChar">
    <w:name w:val="Quote Char"/>
    <w:basedOn w:val="DefaultParagraphFont"/>
    <w:link w:val="Quote"/>
    <w:uiPriority w:val="29"/>
    <w:rsid w:val="005E514A"/>
    <w:rPr>
      <w:i/>
      <w:iCs/>
      <w:color w:val="404040" w:themeColor="text1" w:themeTint="BF"/>
    </w:rPr>
  </w:style>
  <w:style w:type="paragraph" w:styleId="ListParagraph">
    <w:name w:val="List Paragraph"/>
    <w:basedOn w:val="Normal"/>
    <w:uiPriority w:val="34"/>
    <w:qFormat/>
    <w:rsid w:val="005E514A"/>
    <w:pPr>
      <w:ind w:left="720"/>
      <w:contextualSpacing/>
    </w:pPr>
  </w:style>
  <w:style w:type="character" w:styleId="IntenseEmphasis">
    <w:name w:val="Intense Emphasis"/>
    <w:basedOn w:val="DefaultParagraphFont"/>
    <w:uiPriority w:val="21"/>
    <w:qFormat/>
    <w:rsid w:val="005E514A"/>
    <w:rPr>
      <w:i/>
      <w:iCs/>
      <w:color w:val="2F5496" w:themeColor="accent1" w:themeShade="BF"/>
    </w:rPr>
  </w:style>
  <w:style w:type="paragraph" w:styleId="IntenseQuote">
    <w:name w:val="Intense Quote"/>
    <w:basedOn w:val="Normal"/>
    <w:next w:val="Normal"/>
    <w:link w:val="IntenseQuoteChar"/>
    <w:uiPriority w:val="30"/>
    <w:qFormat/>
    <w:rsid w:val="005E51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E514A"/>
    <w:rPr>
      <w:i/>
      <w:iCs/>
      <w:color w:val="2F5496" w:themeColor="accent1" w:themeShade="BF"/>
    </w:rPr>
  </w:style>
  <w:style w:type="character" w:styleId="IntenseReference">
    <w:name w:val="Intense Reference"/>
    <w:basedOn w:val="DefaultParagraphFont"/>
    <w:uiPriority w:val="32"/>
    <w:qFormat/>
    <w:rsid w:val="005E514A"/>
    <w:rPr>
      <w:b/>
      <w:bCs/>
      <w:smallCaps/>
      <w:color w:val="2F5496" w:themeColor="accent1" w:themeShade="BF"/>
      <w:spacing w:val="5"/>
    </w:rPr>
  </w:style>
  <w:style w:type="table" w:styleId="TableGrid">
    <w:name w:val="Table Grid"/>
    <w:basedOn w:val="TableNormal"/>
    <w:uiPriority w:val="39"/>
    <w:rsid w:val="00015402"/>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C02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0287"/>
  </w:style>
  <w:style w:type="paragraph" w:styleId="Footer">
    <w:name w:val="footer"/>
    <w:basedOn w:val="Normal"/>
    <w:link w:val="FooterChar"/>
    <w:uiPriority w:val="99"/>
    <w:unhideWhenUsed/>
    <w:rsid w:val="00DC02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0287"/>
  </w:style>
  <w:style w:type="paragraph" w:styleId="NoSpacing">
    <w:name w:val="No Spacing"/>
    <w:uiPriority w:val="1"/>
    <w:qFormat/>
    <w:rsid w:val="00172DE1"/>
    <w:pPr>
      <w:spacing w:after="0" w:line="240" w:lineRule="auto"/>
    </w:pPr>
    <w:rPr>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1978</Words>
  <Characters>11277</Characters>
  <Application>Microsoft Office Word</Application>
  <DocSecurity>0</DocSecurity>
  <Lines>93</Lines>
  <Paragraphs>26</Paragraphs>
  <ScaleCrop>false</ScaleCrop>
  <Company/>
  <LinksUpToDate>false</LinksUpToDate>
  <CharactersWithSpaces>13229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Luqman Bin Fahad</dc:creator>
  <cp:keywords/>
  <dc:description/>
  <cp:lastModifiedBy>SDI PC New 16</cp:lastModifiedBy>
  <cp:revision>23</cp:revision>
  <dcterms:created xsi:type="dcterms:W3CDTF">2026-04-08T11:32:00Z</dcterms:created>
  <dcterms:modified xsi:type="dcterms:W3CDTF">2026-04-27T11:05:00Z</dcterms:modified>
</cp:coreProperties>
</file>