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42215" w14:textId="2F0BCC26" w:rsidR="00E601B2" w:rsidRPr="00E601B2" w:rsidRDefault="00E601B2" w:rsidP="00E601B2">
      <w:pPr>
        <w:spacing w:after="240"/>
        <w:rPr>
          <w:b/>
          <w:bCs/>
          <w:sz w:val="36"/>
          <w:szCs w:val="36"/>
          <w:u w:val="single"/>
        </w:rPr>
      </w:pPr>
      <w:r w:rsidRPr="00E601B2">
        <w:rPr>
          <w:b/>
          <w:bCs/>
          <w:sz w:val="36"/>
          <w:szCs w:val="36"/>
          <w:u w:val="single"/>
        </w:rPr>
        <w:t>Review Article</w:t>
      </w:r>
    </w:p>
    <w:p w14:paraId="1279F271" w14:textId="71D4BA18" w:rsidR="00AA6DC3" w:rsidRDefault="006D4502">
      <w:pPr>
        <w:spacing w:after="240"/>
        <w:jc w:val="center"/>
      </w:pPr>
      <w:proofErr w:type="spellStart"/>
      <w:r>
        <w:rPr>
          <w:b/>
          <w:bCs/>
          <w:sz w:val="36"/>
          <w:szCs w:val="36"/>
        </w:rPr>
        <w:t>Optimising</w:t>
      </w:r>
      <w:proofErr w:type="spellEnd"/>
      <w:r>
        <w:rPr>
          <w:b/>
          <w:bCs/>
          <w:sz w:val="36"/>
          <w:szCs w:val="36"/>
        </w:rPr>
        <w:t xml:space="preserve"> Electrocautery Use in General Surgery: Comparative Performance of Monopolar and Bipolar Systems with Emphasis on Smoke Safety</w:t>
      </w:r>
    </w:p>
    <w:p w14:paraId="6B568FD2" w14:textId="77777777" w:rsidR="00AA6DC3" w:rsidRDefault="00AA6DC3"/>
    <w:p w14:paraId="72D86306" w14:textId="77777777" w:rsidR="00AA6DC3" w:rsidRDefault="006D4502">
      <w:pPr>
        <w:spacing w:after="120"/>
        <w:jc w:val="center"/>
      </w:pPr>
      <w:r>
        <w:rPr>
          <w:b/>
          <w:bCs/>
          <w:sz w:val="26"/>
          <w:szCs w:val="26"/>
        </w:rPr>
        <w:t>Abstract</w:t>
      </w:r>
    </w:p>
    <w:p w14:paraId="725BC135" w14:textId="77777777" w:rsidR="00AA6DC3" w:rsidRDefault="006D4502">
      <w:pPr>
        <w:spacing w:after="120" w:line="360" w:lineRule="auto"/>
        <w:jc w:val="both"/>
      </w:pPr>
      <w:r>
        <w:t xml:space="preserve">Electrocautery remains one of the most ubiquitous and indispensable instruments in the contemporary operating theatre, enabling surgeons to achieve precise tissue dissection and reliable </w:t>
      </w:r>
      <w:proofErr w:type="spellStart"/>
      <w:r>
        <w:t>haemostasis</w:t>
      </w:r>
      <w:proofErr w:type="spellEnd"/>
      <w:r>
        <w:t xml:space="preserve"> across virtually every subspeciality of general surgery. The two principal modalities — monopolar and bipolar electrocautery — operate on fundamentally distinct electrophysical principles and confer different clinical profiles with respect to cutting efficiency, </w:t>
      </w:r>
      <w:proofErr w:type="spellStart"/>
      <w:r>
        <w:t>haemostatic</w:t>
      </w:r>
      <w:proofErr w:type="spellEnd"/>
      <w:r>
        <w:t xml:space="preserve"> capacity, lateral thermal spread, and safety. Despite their widespread adoption, a significant proportion of surgical practitioners retain incomplete knowledge of the underlying biophysical mechanisms and the associated complication profiles of these devices. Simultaneously, the combustion by-products generated during electrocautery — collectively termed surgical smoke — represent an underappreciated occupational health hazard for surgeons, theatre nurses, </w:t>
      </w:r>
      <w:proofErr w:type="spellStart"/>
      <w:r>
        <w:t>anaesthetists</w:t>
      </w:r>
      <w:proofErr w:type="spellEnd"/>
      <w:r>
        <w:t xml:space="preserve">, and other perioperative personnel. Surgical smoke contains ultrafine particulate matter, volatile organic compounds, polycyclic aromatic hydrocarbons, and viable biological material including bacterial and viral fragments, all of which carry carcinogenic, mutagenic, and infective potential. This narrative review </w:t>
      </w:r>
      <w:proofErr w:type="spellStart"/>
      <w:r>
        <w:t>synthesises</w:t>
      </w:r>
      <w:proofErr w:type="spellEnd"/>
      <w:r>
        <w:t xml:space="preserve"> the current published evidence on the biophysical principles and comparative clinical performance of monopolar and bipolar electrocautery systems in general surgical practice, and critically evaluates the chemical composition, health implications, and mitigation strategies associated with surgical smoke. The review identifies that monopolar devices offer superior cutting versatility but produce greater lateral thermal spread and substantially higher volumes of surgical smoke than bipolar counterparts. Advanced bipolar vessel-sealing platforms provide safer </w:t>
      </w:r>
      <w:proofErr w:type="spellStart"/>
      <w:r>
        <w:t>haemostasis</w:t>
      </w:r>
      <w:proofErr w:type="spellEnd"/>
      <w:r>
        <w:t xml:space="preserve"> in proximity-sensitive anatomical regions. Smoke evacuation using high-efficiency local exhaust ventilation represents the primary recommended protective strategy, yet compliance remains globally suboptimal. Formal training </w:t>
      </w:r>
      <w:proofErr w:type="spellStart"/>
      <w:r>
        <w:t>programmes</w:t>
      </w:r>
      <w:proofErr w:type="spellEnd"/>
      <w:r>
        <w:t xml:space="preserve"> in surgical energy safety are essential but inconsistently implemented. This review underscores the urgent need for </w:t>
      </w:r>
      <w:proofErr w:type="spellStart"/>
      <w:r>
        <w:t>standardised</w:t>
      </w:r>
      <w:proofErr w:type="spellEnd"/>
      <w:r>
        <w:t xml:space="preserve"> institutional protocols, </w:t>
      </w:r>
      <w:r>
        <w:lastRenderedPageBreak/>
        <w:t>enhanced educational curricula, and updated regulatory frameworks to protect both patients and operating theatre personnel.</w:t>
      </w:r>
    </w:p>
    <w:p w14:paraId="450FFAFA" w14:textId="77777777" w:rsidR="00AA6DC3" w:rsidRDefault="00AA6DC3"/>
    <w:p w14:paraId="111C11E1" w14:textId="77777777" w:rsidR="00AA6DC3" w:rsidRDefault="006D4502">
      <w:pPr>
        <w:spacing w:after="60"/>
      </w:pPr>
      <w:r>
        <w:rPr>
          <w:b/>
          <w:bCs/>
        </w:rPr>
        <w:t xml:space="preserve">Keywords: </w:t>
      </w:r>
      <w:r>
        <w:t>electrocautery; monopolar electrosurgery; bipolar electrosurgery; surgical smoke; thermal spread; operating theatre safety; smoke evacuation; electrosurgical complications</w:t>
      </w:r>
    </w:p>
    <w:p w14:paraId="7CE69C08" w14:textId="77777777" w:rsidR="00AA6DC3" w:rsidRDefault="00AA6DC3"/>
    <w:p w14:paraId="35FCE10F" w14:textId="77777777" w:rsidR="00AA6DC3" w:rsidRDefault="006D4502">
      <w:pPr>
        <w:pStyle w:val="Heading1"/>
        <w:spacing w:before="300" w:after="120"/>
      </w:pPr>
      <w:r>
        <w:t>1.  Introduction</w:t>
      </w:r>
    </w:p>
    <w:p w14:paraId="4152C38E" w14:textId="3597F064" w:rsidR="00AA6DC3" w:rsidRDefault="00A17B21">
      <w:pPr>
        <w:spacing w:after="120" w:line="360" w:lineRule="auto"/>
        <w:jc w:val="both"/>
      </w:pPr>
      <w:r w:rsidRPr="00FF4A2F">
        <w:rPr>
          <w:color w:val="222222"/>
          <w:sz w:val="27"/>
          <w:szCs w:val="27"/>
          <w:highlight w:val="yellow"/>
          <w:shd w:val="clear" w:color="auto" w:fill="FFFFFF"/>
        </w:rPr>
        <w:t>Electrosurgery is a general term used to encompass all methods in which electricity is used during the performance of surgery. Clinical applications of the appropriate output can result in selective incision, excision, ablation, or coagulation of tissue. This chapter provides a detailed explanation of the basic principles of electrosurgery, such as procedure techniques, adverse effects, and its complications, which include burns, risk of explosion, interference with pacemakers, and production of surgical smoke</w:t>
      </w:r>
      <w:r w:rsidR="00720773">
        <w:rPr>
          <w:color w:val="222222"/>
          <w:sz w:val="27"/>
          <w:szCs w:val="27"/>
          <w:highlight w:val="yellow"/>
          <w:shd w:val="clear" w:color="auto" w:fill="FFFFFF"/>
        </w:rPr>
        <w:t xml:space="preserve"> (</w:t>
      </w:r>
      <w:proofErr w:type="spellStart"/>
      <w:r w:rsidR="00720773" w:rsidRPr="007B4A9C">
        <w:rPr>
          <w:rFonts w:ascii="Arial" w:hAnsi="Arial" w:cs="Arial"/>
          <w:color w:val="222222"/>
          <w:sz w:val="20"/>
          <w:szCs w:val="20"/>
          <w:highlight w:val="yellow"/>
          <w:shd w:val="clear" w:color="auto" w:fill="FFFFFF"/>
        </w:rPr>
        <w:t>Akoglu</w:t>
      </w:r>
      <w:proofErr w:type="spellEnd"/>
      <w:r w:rsidR="00720773">
        <w:rPr>
          <w:rFonts w:ascii="Arial" w:hAnsi="Arial" w:cs="Arial"/>
          <w:color w:val="222222"/>
          <w:sz w:val="20"/>
          <w:szCs w:val="20"/>
          <w:highlight w:val="yellow"/>
          <w:shd w:val="clear" w:color="auto" w:fill="FFFFFF"/>
        </w:rPr>
        <w:t xml:space="preserve"> </w:t>
      </w:r>
      <w:r w:rsidR="00720773" w:rsidRPr="007B4A9C">
        <w:rPr>
          <w:rFonts w:ascii="Arial" w:hAnsi="Arial" w:cs="Arial"/>
          <w:color w:val="222222"/>
          <w:sz w:val="20"/>
          <w:szCs w:val="20"/>
          <w:highlight w:val="yellow"/>
          <w:shd w:val="clear" w:color="auto" w:fill="FFFFFF"/>
        </w:rPr>
        <w:t xml:space="preserve">&amp; </w:t>
      </w:r>
      <w:proofErr w:type="spellStart"/>
      <w:r w:rsidR="00720773" w:rsidRPr="007B4A9C">
        <w:rPr>
          <w:rFonts w:ascii="Arial" w:hAnsi="Arial" w:cs="Arial"/>
          <w:color w:val="222222"/>
          <w:sz w:val="20"/>
          <w:szCs w:val="20"/>
          <w:highlight w:val="yellow"/>
          <w:shd w:val="clear" w:color="auto" w:fill="FFFFFF"/>
        </w:rPr>
        <w:t>Tecik</w:t>
      </w:r>
      <w:proofErr w:type="spellEnd"/>
      <w:r w:rsidR="00720773" w:rsidRPr="007B4A9C">
        <w:rPr>
          <w:rFonts w:ascii="Arial" w:hAnsi="Arial" w:cs="Arial"/>
          <w:color w:val="222222"/>
          <w:sz w:val="20"/>
          <w:szCs w:val="20"/>
          <w:highlight w:val="yellow"/>
          <w:shd w:val="clear" w:color="auto" w:fill="FFFFFF"/>
        </w:rPr>
        <w:t>, 2026).</w:t>
      </w:r>
      <w:r w:rsidR="00720773">
        <w:rPr>
          <w:color w:val="222222"/>
          <w:sz w:val="27"/>
          <w:szCs w:val="27"/>
          <w:highlight w:val="yellow"/>
          <w:shd w:val="clear" w:color="auto" w:fill="FFFFFF"/>
        </w:rPr>
        <w:t>)</w:t>
      </w:r>
      <w:r w:rsidRPr="00FF4A2F">
        <w:rPr>
          <w:color w:val="222222"/>
          <w:sz w:val="27"/>
          <w:szCs w:val="27"/>
          <w:highlight w:val="yellow"/>
          <w:shd w:val="clear" w:color="auto" w:fill="FFFFFF"/>
        </w:rPr>
        <w:t>.</w:t>
      </w:r>
      <w:r>
        <w:t xml:space="preserve"> T</w:t>
      </w:r>
      <w:r w:rsidR="006D4502">
        <w:t xml:space="preserve">he application of high-frequency alternating electrical current to human tissue for the purposes of cutting, coagulating, desiccating, and fulgurating, constitutes one of the most transformative innovations </w:t>
      </w:r>
      <w:bookmarkStart w:id="0" w:name="_GoBack"/>
      <w:bookmarkEnd w:id="0"/>
      <w:r w:rsidR="006D4502">
        <w:t xml:space="preserve">in the history of modern surgery. Its roots extend to the pioneering work of William T. Bovie, a biophysicist and inventor at Harvard University, and Harvey Cushing, the renowned neurosurgeon, whose landmark collaboration culminated in the first clinical use of a practical electrosurgical generator on 1 October 1926 at the Peter Bent Brigham Hospital in Boston, Massachusetts. In the nearly century since that historic operation, electrosurgical technology has evolved from rudimentary spark-gap generators to sophisticated </w:t>
      </w:r>
      <w:proofErr w:type="spellStart"/>
      <w:r w:rsidR="006D4502">
        <w:t>computerised</w:t>
      </w:r>
      <w:proofErr w:type="spellEnd"/>
      <w:r w:rsidR="006D4502">
        <w:t xml:space="preserve"> platforms with real-time impedance feedback, adaptive waveform modulation, and precision vessel-sealing capabilities. Today, electrosurgical instruments are deployed in virtually every operative specialty worldwide, underpinning the routine practice of general, colorectal, hepatobiliary, upper gastrointestinal, breast, thyroid, and minimally invasive surgery (</w:t>
      </w:r>
      <w:proofErr w:type="spellStart"/>
      <w:r w:rsidR="006D4502">
        <w:t>Massarweh</w:t>
      </w:r>
      <w:proofErr w:type="spellEnd"/>
      <w:r w:rsidR="006D4502">
        <w:t xml:space="preserve"> et al., 2006).</w:t>
      </w:r>
    </w:p>
    <w:p w14:paraId="1F2506E3" w14:textId="4C0EFF61" w:rsidR="00AA6DC3" w:rsidRDefault="00720773">
      <w:pPr>
        <w:spacing w:after="120" w:line="360" w:lineRule="auto"/>
        <w:jc w:val="both"/>
      </w:pPr>
      <w:r w:rsidRPr="00FF4A2F">
        <w:rPr>
          <w:rFonts w:ascii="Arial" w:hAnsi="Arial" w:cs="Arial"/>
          <w:color w:val="4A5155"/>
          <w:sz w:val="22"/>
          <w:szCs w:val="20"/>
          <w:highlight w:val="yellow"/>
          <w:shd w:val="clear" w:color="auto" w:fill="FFFFFF"/>
        </w:rPr>
        <w:t xml:space="preserve">Traditional electrosurgical devices are used for cutting tissue and controlling bleeding in millions of procedures each year. In simplest terms, electrosurgery is the cutting and coagulation of tissue using high-frequency electrical current. While the use of radio frequency (RF) energy produces thermal necrosis to the applied tissue, this is outweighed by the benefits of the cutting </w:t>
      </w:r>
      <w:r w:rsidRPr="00FF4A2F">
        <w:rPr>
          <w:rFonts w:ascii="Arial" w:hAnsi="Arial" w:cs="Arial"/>
          <w:color w:val="4A5155"/>
          <w:sz w:val="22"/>
          <w:szCs w:val="20"/>
          <w:highlight w:val="yellow"/>
          <w:shd w:val="clear" w:color="auto" w:fill="FFFFFF"/>
        </w:rPr>
        <w:lastRenderedPageBreak/>
        <w:t>speed and the control of bleeding as compared to the use of a traditional scalpel</w:t>
      </w:r>
      <w:r>
        <w:rPr>
          <w:rFonts w:ascii="Arial" w:hAnsi="Arial" w:cs="Arial"/>
          <w:color w:val="4A5155"/>
          <w:sz w:val="22"/>
          <w:szCs w:val="20"/>
          <w:highlight w:val="yellow"/>
          <w:shd w:val="clear" w:color="auto" w:fill="FFFFFF"/>
        </w:rPr>
        <w:t xml:space="preserve"> (</w:t>
      </w:r>
      <w:r w:rsidRPr="007B4A9C">
        <w:rPr>
          <w:rFonts w:ascii="Arial" w:hAnsi="Arial" w:cs="Arial"/>
          <w:color w:val="222222"/>
          <w:sz w:val="20"/>
          <w:szCs w:val="20"/>
          <w:highlight w:val="yellow"/>
          <w:shd w:val="clear" w:color="auto" w:fill="FFFFFF"/>
        </w:rPr>
        <w:t>Copland</w:t>
      </w:r>
      <w:r>
        <w:rPr>
          <w:rFonts w:ascii="Arial" w:hAnsi="Arial" w:cs="Arial"/>
          <w:color w:val="222222"/>
          <w:sz w:val="20"/>
          <w:szCs w:val="20"/>
          <w:highlight w:val="yellow"/>
          <w:shd w:val="clear" w:color="auto" w:fill="FFFFFF"/>
        </w:rPr>
        <w:t xml:space="preserve"> et al., 2025</w:t>
      </w:r>
      <w:r>
        <w:rPr>
          <w:rFonts w:ascii="Arial" w:hAnsi="Arial" w:cs="Arial"/>
          <w:color w:val="4A5155"/>
          <w:sz w:val="22"/>
          <w:szCs w:val="20"/>
          <w:highlight w:val="yellow"/>
          <w:shd w:val="clear" w:color="auto" w:fill="FFFFFF"/>
        </w:rPr>
        <w:t>)</w:t>
      </w:r>
      <w:r w:rsidRPr="00FF4A2F">
        <w:rPr>
          <w:rFonts w:ascii="Arial" w:hAnsi="Arial" w:cs="Arial"/>
          <w:color w:val="4A5155"/>
          <w:sz w:val="22"/>
          <w:szCs w:val="20"/>
          <w:highlight w:val="yellow"/>
          <w:shd w:val="clear" w:color="auto" w:fill="FFFFFF"/>
        </w:rPr>
        <w:t>.</w:t>
      </w:r>
      <w:r w:rsidRPr="00FF4A2F">
        <w:rPr>
          <w:rFonts w:ascii="Arial" w:hAnsi="Arial" w:cs="Arial"/>
          <w:color w:val="4A5155"/>
          <w:sz w:val="22"/>
          <w:szCs w:val="20"/>
          <w:shd w:val="clear" w:color="auto" w:fill="FFFFFF"/>
        </w:rPr>
        <w:t xml:space="preserve"> </w:t>
      </w:r>
      <w:r w:rsidR="006D4502">
        <w:t xml:space="preserve">The two principal configurations of electrosurgery — monopolar and bipolar — differ fundamentally in their circuit architecture, tissue interaction mechanisms, and clinical performance characteristics. Monopolar electrocautery, in which alternating current passes from a single active electrode through the patient's body to a remote dispersive pad, offers unparalleled versatility for open and laparoscopic procedures, providing both rapid cutting and </w:t>
      </w:r>
      <w:proofErr w:type="spellStart"/>
      <w:r w:rsidR="006D4502">
        <w:t>haemostasis</w:t>
      </w:r>
      <w:proofErr w:type="spellEnd"/>
      <w:r w:rsidR="006D4502">
        <w:t xml:space="preserve"> over a broad range of tissue types. Bipolar electrocautery, conversely, confines the electrical circuit to a small span of tissue between the two limbs of </w:t>
      </w:r>
      <w:proofErr w:type="spellStart"/>
      <w:r w:rsidR="006D4502">
        <w:t>specialised</w:t>
      </w:r>
      <w:proofErr w:type="spellEnd"/>
      <w:r w:rsidR="006D4502">
        <w:t xml:space="preserve"> forceps, limiting the distribution of thermal energy and reducing the risk of collateral thermal injury. Each modality carries a distinct profile of capabilities, limitations, and complication risks, the thorough understanding of which is a prerequisite for safe and effective surgical practice (</w:t>
      </w:r>
      <w:proofErr w:type="spellStart"/>
      <w:r w:rsidR="006D4502">
        <w:t>Alkatout</w:t>
      </w:r>
      <w:proofErr w:type="spellEnd"/>
      <w:r w:rsidR="006D4502">
        <w:t xml:space="preserve"> et al., 2012).</w:t>
      </w:r>
    </w:p>
    <w:p w14:paraId="6A86064F" w14:textId="77777777" w:rsidR="00AA6DC3" w:rsidRDefault="006D4502">
      <w:pPr>
        <w:spacing w:after="120" w:line="360" w:lineRule="auto"/>
        <w:jc w:val="both"/>
      </w:pPr>
      <w:r>
        <w:t xml:space="preserve">Despite the central importance of these devices to surgical workflow, a substantial body of evidence has revealed that many </w:t>
      </w:r>
      <w:proofErr w:type="spellStart"/>
      <w:r>
        <w:t>practising</w:t>
      </w:r>
      <w:proofErr w:type="spellEnd"/>
      <w:r>
        <w:t xml:space="preserve"> surgeons and surgical trainees possess an insufficient understanding of the fundamental physics of electrosurgery, the mechanisms by which complications arise, and the preventive strategies available to mitigate risk. Landmark studies conducted under the auspices of the Fundamental Use of Surgical Energy (FUSE) </w:t>
      </w:r>
      <w:proofErr w:type="spellStart"/>
      <w:r>
        <w:t>programme</w:t>
      </w:r>
      <w:proofErr w:type="spellEnd"/>
      <w:r>
        <w:t xml:space="preserve"> have documented systemic knowledge gaps across multiple specialties and training levels (Feldman et al., 2012; Watanabe et al., 2016). This educational deficit has direct patient safety implications: electrosurgical complications, including unintended thermal injuries, delayed bowel perforations, </w:t>
      </w:r>
      <w:proofErr w:type="spellStart"/>
      <w:r>
        <w:t>anaesthetic</w:t>
      </w:r>
      <w:proofErr w:type="spellEnd"/>
      <w:r>
        <w:t xml:space="preserve"> circuit fires, and interference with implantable electronic devices, collectively account for a non-trivial proportion of preventable intraoperative and perioperative adverse events.</w:t>
      </w:r>
    </w:p>
    <w:p w14:paraId="32ACE85B" w14:textId="77777777" w:rsidR="00AA6DC3" w:rsidRDefault="006D4502">
      <w:pPr>
        <w:spacing w:after="120" w:line="360" w:lineRule="auto"/>
        <w:jc w:val="both"/>
      </w:pPr>
      <w:r>
        <w:t xml:space="preserve">Concurrent with the patient safety dimensions of electrocautery use, an entirely separate and long-neglected hazard pertains to the occupational health of operating theatre personnel. The </w:t>
      </w:r>
      <w:proofErr w:type="spellStart"/>
      <w:r>
        <w:t>vaporisation</w:t>
      </w:r>
      <w:proofErr w:type="spellEnd"/>
      <w:r>
        <w:t xml:space="preserve"> of tissue by electrosurgical devices generates a gaseous aerosol known as surgical smoke or electrosurgical plume, the chemical and biological composition of which has been the subject of progressive scientific investigation over the past four decades. Surgical smoke contains over 150 identified chemical compounds, including known carcinogens such as benzene, formaldehyde, hydrogen cyanide, and polycyclic aromatic hydrocarbons, as well as ultrafine particulates capable of deep pulmonary penetration, and fragments of viable cellular </w:t>
      </w:r>
      <w:r>
        <w:lastRenderedPageBreak/>
        <w:t xml:space="preserve">and microbial material (Barrett &amp; Garber, 2003; Ulmer, 2008). It has been estimated that up to 500,000 healthcare workers in the United States alone are exposed to surgical smoke annually (Steege et al., 2016), yet rates of smoke evacuation remain alarmingly low in many </w:t>
      </w:r>
      <w:proofErr w:type="spellStart"/>
      <w:r>
        <w:t>centres</w:t>
      </w:r>
      <w:proofErr w:type="spellEnd"/>
      <w:r>
        <w:t xml:space="preserve"> worldwide.</w:t>
      </w:r>
    </w:p>
    <w:p w14:paraId="2E5AB4DD" w14:textId="77777777" w:rsidR="00AA6DC3" w:rsidRDefault="006D4502">
      <w:pPr>
        <w:spacing w:after="120" w:line="360" w:lineRule="auto"/>
        <w:jc w:val="both"/>
      </w:pPr>
      <w:r>
        <w:t xml:space="preserve">This review is situated at the intersection of surgical technology, patient safety, and occupational health, </w:t>
      </w:r>
      <w:proofErr w:type="spellStart"/>
      <w:r>
        <w:t>synthesising</w:t>
      </w:r>
      <w:proofErr w:type="spellEnd"/>
      <w:r>
        <w:t xml:space="preserve"> the available evidence on the comparative performance of monopolar and bipolar electrocautery systems and the management of surgical smoke-related hazards in the context of general surgical practice.</w:t>
      </w:r>
    </w:p>
    <w:p w14:paraId="68D958E6" w14:textId="77777777" w:rsidR="00AA6DC3" w:rsidRDefault="006D4502">
      <w:pPr>
        <w:pStyle w:val="Heading2"/>
        <w:spacing w:before="300"/>
      </w:pPr>
      <w:proofErr w:type="gramStart"/>
      <w:r>
        <w:t>1.1  Scope</w:t>
      </w:r>
      <w:proofErr w:type="gramEnd"/>
      <w:r>
        <w:t xml:space="preserve"> and Objectives</w:t>
      </w:r>
    </w:p>
    <w:p w14:paraId="75346EDB" w14:textId="77777777" w:rsidR="00AA6DC3" w:rsidRDefault="006D4502">
      <w:pPr>
        <w:spacing w:after="120" w:line="360" w:lineRule="auto"/>
        <w:jc w:val="both"/>
      </w:pPr>
      <w:r>
        <w:t xml:space="preserve">This review aims to provide a comprehensive and up-to-date synthesis of the literature on the use of electrocautery in general surgery, with a specific focus on three core domains. First, the review evaluates and compares the technical performance, </w:t>
      </w:r>
      <w:proofErr w:type="spellStart"/>
      <w:r>
        <w:t>haemostatic</w:t>
      </w:r>
      <w:proofErr w:type="spellEnd"/>
      <w:r>
        <w:t xml:space="preserve"> efficacy, lateral thermal spread, and clinical applications of monopolar and bipolar electrosurgical systems. Second, it </w:t>
      </w:r>
      <w:proofErr w:type="spellStart"/>
      <w:r>
        <w:t>characterises</w:t>
      </w:r>
      <w:proofErr w:type="spellEnd"/>
      <w:r>
        <w:t xml:space="preserve"> the chemical and biological composition of surgical smoke generated by these devices, and critically assesses the associated health risks for operating theatre personnel. Third, it examines the evidence base for current smoke safety strategies, including mechanical evacuation systems, personal protective equipment, and institutional guidelines, and identifies gaps in practice and education that require urgent attention. The review does not include systematic meta-analytic methods and does not address energy modalities such as ultrasonic devices, argon beam coagulators, or laser instruments except where relevant for comparative context. This scope intentionally focuses on the monopolar-bipolar comparison as the clinically dominant and most extensively studied paradigm in general surgery.</w:t>
      </w:r>
    </w:p>
    <w:p w14:paraId="778DB8B2" w14:textId="77777777" w:rsidR="00AA6DC3" w:rsidRDefault="00AA6DC3"/>
    <w:p w14:paraId="12F38FA9" w14:textId="77777777" w:rsidR="00AA6DC3" w:rsidRDefault="006D4502">
      <w:pPr>
        <w:pStyle w:val="Heading1"/>
        <w:spacing w:before="300" w:after="120"/>
      </w:pPr>
      <w:r>
        <w:t>2.  Methods for Literature Selection</w:t>
      </w:r>
    </w:p>
    <w:p w14:paraId="24DAF7C6" w14:textId="77777777" w:rsidR="00AA6DC3" w:rsidRDefault="006D4502">
      <w:pPr>
        <w:spacing w:after="120" w:line="360" w:lineRule="auto"/>
        <w:jc w:val="both"/>
      </w:pPr>
      <w:r>
        <w:t xml:space="preserve">This article is presented as a narrative review rather than a systematic review with meta-analysis. This methodological choice reflects the breadth of the topic — spanning surgical physics, device performance, chemical toxicology, occupational medicine, and clinical practice guidelines — which does not lend itself to the homogeneous quantitative synthesis characteristic of formal systematic reviews. Furthermore, the heterogeneity of study designs in the electrosurgery </w:t>
      </w:r>
      <w:r>
        <w:lastRenderedPageBreak/>
        <w:t xml:space="preserve">literature (ranging from laboratory ex vivo experiments and </w:t>
      </w:r>
      <w:proofErr w:type="spellStart"/>
      <w:r>
        <w:t>randomised</w:t>
      </w:r>
      <w:proofErr w:type="spellEnd"/>
      <w:r>
        <w:t xml:space="preserve"> controlled trials to cross-sectional surveys and occupational cohort studies) precludes meaningful pooled analysis. The narrative format permits a </w:t>
      </w:r>
      <w:proofErr w:type="spellStart"/>
      <w:r>
        <w:t>contextualised</w:t>
      </w:r>
      <w:proofErr w:type="spellEnd"/>
      <w:r>
        <w:t xml:space="preserve"> and integrative discussion of evidence across these disparate domains.</w:t>
      </w:r>
    </w:p>
    <w:p w14:paraId="7F60354D" w14:textId="77777777" w:rsidR="00AA6DC3" w:rsidRDefault="006D4502">
      <w:pPr>
        <w:spacing w:after="120" w:line="360" w:lineRule="auto"/>
        <w:jc w:val="both"/>
      </w:pPr>
      <w:r>
        <w:t>The literature search was conducted using the academic databases PubMed, Scopus, Web of Science, and Google Scholar. The primary search period encompassed publications from January 2005 through April 2026, consistent with the requirement for recent references from reputable academic journals. Classic foundational references published prior to 2005 were additionally identified through citation searching and included where their contribution to the field was judged to be seminal and irreplaceable. Search strings employed combinations of the following Medical Subject Headings and free-text terms: "electrocautery", "electrosurgery", "monopolar diathermy", "bipolar diathermy", "surgical smoke", "surgical plume", "electrosurgical safety", "thermal spread", "smoke evacuation", "operating room air quality", "polycyclic aromatic hydrocarbons surgery", and "FUSE curriculum". Inclusion criteria stipulated that sources must be published in peer-reviewed academic journals, report original data or provide substantive reviews of an identified topic domain, and be available in the English language. Grey literature, conference abstracts, book chapters, and non-peer</w:t>
      </w:r>
      <w:r w:rsidR="0035168F">
        <w:t>-reviewed sources were excluded</w:t>
      </w:r>
      <w:r>
        <w:t>.</w:t>
      </w:r>
    </w:p>
    <w:p w14:paraId="28E9CB07" w14:textId="77777777" w:rsidR="00AA6DC3" w:rsidRDefault="00AA6DC3"/>
    <w:p w14:paraId="2C1E8F5B" w14:textId="77777777" w:rsidR="00AA6DC3" w:rsidRDefault="006D4502">
      <w:pPr>
        <w:pStyle w:val="Heading1"/>
        <w:spacing w:before="300" w:after="120"/>
      </w:pPr>
      <w:r>
        <w:t>3.  Historical Context of Electrocautery in Surgery</w:t>
      </w:r>
    </w:p>
    <w:p w14:paraId="2B6E584C" w14:textId="77777777" w:rsidR="00AA6DC3" w:rsidRDefault="006D4502">
      <w:pPr>
        <w:spacing w:after="120" w:line="360" w:lineRule="auto"/>
        <w:jc w:val="both"/>
      </w:pPr>
      <w:r>
        <w:t xml:space="preserve">The use of heat for surgical </w:t>
      </w:r>
      <w:proofErr w:type="spellStart"/>
      <w:r>
        <w:t>haemostasis</w:t>
      </w:r>
      <w:proofErr w:type="spellEnd"/>
      <w:r>
        <w:t xml:space="preserve"> and tissue destruction dates to antiquity. Ancient Egyptian, Greek, and Indian medical traditions all described the application of heated irons and </w:t>
      </w:r>
      <w:proofErr w:type="spellStart"/>
      <w:r>
        <w:t>cauterising</w:t>
      </w:r>
      <w:proofErr w:type="spellEnd"/>
      <w:r>
        <w:t xml:space="preserve"> agents to wounds for the purposes of controlling </w:t>
      </w:r>
      <w:proofErr w:type="spellStart"/>
      <w:r>
        <w:t>haemorrhage</w:t>
      </w:r>
      <w:proofErr w:type="spellEnd"/>
      <w:r>
        <w:t xml:space="preserve">, treating infection, and removing pathological tissue. The transition from direct thermal cautery to the use of electrical current as a surgical tool began in earnest during the nineteenth century, coinciding with the broader scientific exploration of electricity and electromagnetic phenomena. Early experimenters demonstrated that galvanic current passed through metallic probes could cut and seal tissue, and by the latter decades of the 1800s, rudimentary electrosurgical instruments had found limited clinical use in dermatological and </w:t>
      </w:r>
      <w:proofErr w:type="spellStart"/>
      <w:r>
        <w:t>gynaecological</w:t>
      </w:r>
      <w:proofErr w:type="spellEnd"/>
      <w:r>
        <w:t xml:space="preserve"> procedures.</w:t>
      </w:r>
    </w:p>
    <w:p w14:paraId="433E24F7" w14:textId="77777777" w:rsidR="00AA6DC3" w:rsidRDefault="006D4502">
      <w:pPr>
        <w:spacing w:after="120" w:line="360" w:lineRule="auto"/>
        <w:jc w:val="both"/>
      </w:pPr>
      <w:r>
        <w:t xml:space="preserve">The modern era of electrosurgery is conventionally dated from the collaboration between William T. Bovie, a biophysicist and inventor who held a doctoral degree from Harvard </w:t>
      </w:r>
      <w:r>
        <w:lastRenderedPageBreak/>
        <w:t>University, and Harvey Cushing, the founding figure of modern neurosurgery, which reached its clinical fulfilment in the 1920s. Bovie developed an innovative high-frequency generator during the early 1920s capable of delivering controlled alternating current at radiofrequencies sufficient to produce selective tissue effects — cutting in the continuous sinusoidal mode and coagulation in the interrupted, high-voltage mode — while avoiding the ventricular fibrillation associated with lower-frequency currents. Cushing first employed this device in a surgical operation at the Peter Bent Brigham Hospital in Boston on 1 October 1926, successfully removing a highly vascular intracranial mass that had resisted prior attempts at resection, and the formal academic report of their pioneering application of electrosurgery was published in 1928 (</w:t>
      </w:r>
      <w:proofErr w:type="spellStart"/>
      <w:r>
        <w:t>Massarweh</w:t>
      </w:r>
      <w:proofErr w:type="spellEnd"/>
      <w:r>
        <w:t xml:space="preserve"> et al., 2006). The instrument was subsequently </w:t>
      </w:r>
      <w:proofErr w:type="spellStart"/>
      <w:r>
        <w:t>commercialised</w:t>
      </w:r>
      <w:proofErr w:type="spellEnd"/>
      <w:r>
        <w:t xml:space="preserve"> by the </w:t>
      </w:r>
      <w:proofErr w:type="spellStart"/>
      <w:r>
        <w:t>Liebel-Flarsheim</w:t>
      </w:r>
      <w:proofErr w:type="spellEnd"/>
      <w:r>
        <w:t xml:space="preserve"> Company and became widely known as the "Bovie", a term that persists colloquially to the present day.</w:t>
      </w:r>
    </w:p>
    <w:p w14:paraId="421CEAE7" w14:textId="77777777" w:rsidR="00AA6DC3" w:rsidRDefault="006D4502">
      <w:pPr>
        <w:spacing w:after="120" w:line="360" w:lineRule="auto"/>
        <w:jc w:val="both"/>
      </w:pPr>
      <w:r>
        <w:t>Subsequent decades witnessed progressive refinement of generator technology, electrode design, and safety mechanisms. The introduction of isolated-circuit generators in the 1970s and 1980s substantially reduced the incidence of patient plate burns by providing a floating output unconnected to earth ground. Contact quality monitoring systems, introduced in 1981, added a further layer of protection by deactivating the generator when the dispersive electrode contact quality fell below a predetermined threshold. The parallel development of bipolar electrosurgery — in which the electrical circuit is completed within a compact forceps rather than through the entire patient body — provided surgeons with a safer modality for use in regions where lateral thermal spread could not be tolerated, including neurosurgery, ophthalmic surgery, and procedures in proximity to vital vascular and neural structures (</w:t>
      </w:r>
      <w:proofErr w:type="spellStart"/>
      <w:r>
        <w:t>Alkatout</w:t>
      </w:r>
      <w:proofErr w:type="spellEnd"/>
      <w:r>
        <w:t xml:space="preserve"> et al., 2012). The late twentieth and early twenty-first centuries have seen the emergence of advanced bipolar vessel-sealing platforms such as the </w:t>
      </w:r>
      <w:proofErr w:type="spellStart"/>
      <w:r>
        <w:t>LigaSure</w:t>
      </w:r>
      <w:proofErr w:type="spellEnd"/>
      <w:r>
        <w:t xml:space="preserve"> and the </w:t>
      </w:r>
      <w:proofErr w:type="spellStart"/>
      <w:r>
        <w:t>PlasmaKinetic</w:t>
      </w:r>
      <w:proofErr w:type="spellEnd"/>
      <w:r>
        <w:t xml:space="preserve"> system, which incorporate continuous impedance feedback and thermal end-point detection to deliver reproducible, controlled tissue fusion without the limitations of conventional bipolar forceps.</w:t>
      </w:r>
    </w:p>
    <w:p w14:paraId="6A6C6B38" w14:textId="77777777" w:rsidR="00AA6DC3" w:rsidRDefault="00AA6DC3"/>
    <w:p w14:paraId="5C5A323C" w14:textId="77777777" w:rsidR="00AA6DC3" w:rsidRDefault="006D4502">
      <w:pPr>
        <w:pStyle w:val="Heading1"/>
        <w:spacing w:before="300" w:after="120"/>
      </w:pPr>
      <w:r>
        <w:t>4.  Fundamental Principles of Electrosurgery</w:t>
      </w:r>
    </w:p>
    <w:p w14:paraId="0B462169" w14:textId="77777777" w:rsidR="00AA6DC3" w:rsidRDefault="006D4502">
      <w:pPr>
        <w:pStyle w:val="Heading2"/>
        <w:spacing w:before="300"/>
      </w:pPr>
      <w:proofErr w:type="gramStart"/>
      <w:r>
        <w:t>4.1  Biophysical</w:t>
      </w:r>
      <w:proofErr w:type="gramEnd"/>
      <w:r>
        <w:t xml:space="preserve"> Basis of Tissue Effects</w:t>
      </w:r>
    </w:p>
    <w:p w14:paraId="1C7C650E" w14:textId="77777777" w:rsidR="00AA6DC3" w:rsidRDefault="006D4502">
      <w:pPr>
        <w:spacing w:after="120" w:line="360" w:lineRule="auto"/>
        <w:jc w:val="both"/>
      </w:pPr>
      <w:r>
        <w:t xml:space="preserve">Electrosurgery operates through the conversion of electrical energy into heat within living tissue. When high-frequency alternating current is applied to tissue via an electrode, the rapid </w:t>
      </w:r>
      <w:r>
        <w:lastRenderedPageBreak/>
        <w:t>oscillation of ions within cellular fluid generates frictional heat proportional to the current density — the concentration of current per unit cross-sectional area of tissue. Because current density is inversely proportional to the square of the electrode contact area, small, pointed, or narrow electrodes concentrate energy at the tip and produce intense local heating, whereas large, flat dispersive electrodes distribute current over a broad area sufficient to avoid thermal injury. This fundamental relationship between current density and heat generation underpins the differential tissue effects observed at the active electrode compared with the dispersive return electrode (</w:t>
      </w:r>
      <w:proofErr w:type="spellStart"/>
      <w:r>
        <w:t>Massarweh</w:t>
      </w:r>
      <w:proofErr w:type="spellEnd"/>
      <w:r>
        <w:t xml:space="preserve"> et al., 2006).</w:t>
      </w:r>
    </w:p>
    <w:p w14:paraId="6B3D8E7E" w14:textId="77777777" w:rsidR="00AA6DC3" w:rsidRDefault="006D4502">
      <w:pPr>
        <w:spacing w:after="120" w:line="360" w:lineRule="auto"/>
        <w:jc w:val="both"/>
      </w:pPr>
      <w:r>
        <w:t xml:space="preserve">The tissue effects produced by electrosurgery are a function of both the intensity of heating and its duration. When tissue temperature rises above approximately 45°C, protein denaturation and cell death begin to occur. Temperatures in the range of 70–100°C cause protein coagulation and irreversible cell death, producing the white, blanched appearance characteristic of electrosurgical coagulation. As temperatures approach 100°C, intracellular and extracellular water begins to </w:t>
      </w:r>
      <w:proofErr w:type="spellStart"/>
      <w:r>
        <w:t>vaporise</w:t>
      </w:r>
      <w:proofErr w:type="spellEnd"/>
      <w:r>
        <w:t xml:space="preserve">, producing a zone of desiccation in which the tissue becomes progressively dehydrated and its electrical impedance increases. At temperatures exceeding 200°C, the rapid </w:t>
      </w:r>
      <w:proofErr w:type="spellStart"/>
      <w:r>
        <w:t>vaporisation</w:t>
      </w:r>
      <w:proofErr w:type="spellEnd"/>
      <w:r>
        <w:t xml:space="preserve"> of intracellular water results in explosive cell disruption — </w:t>
      </w:r>
      <w:proofErr w:type="spellStart"/>
      <w:r>
        <w:t>vaporisation</w:t>
      </w:r>
      <w:proofErr w:type="spellEnd"/>
      <w:r>
        <w:t xml:space="preserve"> or "cutting" — in which the electrode mechanically separates tissue through steam-mediated pressure. Temperatures approaching 400°C are associated with pyrolysis and </w:t>
      </w:r>
      <w:proofErr w:type="spellStart"/>
      <w:r>
        <w:t>carbonisation</w:t>
      </w:r>
      <w:proofErr w:type="spellEnd"/>
      <w:r>
        <w:t xml:space="preserve">, producing the black char characteristic of excessive </w:t>
      </w:r>
      <w:proofErr w:type="spellStart"/>
      <w:r>
        <w:t>cauterisation</w:t>
      </w:r>
      <w:proofErr w:type="spellEnd"/>
      <w:r>
        <w:t xml:space="preserve"> and the release of surgical smoke (</w:t>
      </w:r>
      <w:proofErr w:type="spellStart"/>
      <w:r>
        <w:t>Alkatout</w:t>
      </w:r>
      <w:proofErr w:type="spellEnd"/>
      <w:r>
        <w:t xml:space="preserve"> et al., 2012).</w:t>
      </w:r>
    </w:p>
    <w:p w14:paraId="339071C2" w14:textId="77777777" w:rsidR="00AA6DC3" w:rsidRDefault="006D4502">
      <w:pPr>
        <w:pStyle w:val="Heading2"/>
        <w:spacing w:before="300"/>
      </w:pPr>
      <w:proofErr w:type="gramStart"/>
      <w:r>
        <w:t>4.2  Waveforms</w:t>
      </w:r>
      <w:proofErr w:type="gramEnd"/>
      <w:r>
        <w:t xml:space="preserve"> and Generator Outputs</w:t>
      </w:r>
    </w:p>
    <w:p w14:paraId="4768EE3A" w14:textId="77777777" w:rsidR="00AA6DC3" w:rsidRDefault="006D4502">
      <w:pPr>
        <w:spacing w:after="120" w:line="360" w:lineRule="auto"/>
        <w:jc w:val="both"/>
      </w:pPr>
      <w:r>
        <w:t xml:space="preserve">Modern electrosurgical generators produce output waveforms that can be tailored to produce specific tissue effects. The pure sinusoidal (continuous) waveform, in which the radiofrequency current is delivered without interruption, generates relatively moderate peak voltages and is primarily used for cutting. The interrupted, high-voltage waveform — in which current pulses are separated by silent intervals — delivers proportionally higher peak voltages relative to average power output, producing the sparking and fulgurating arc associated with coagulation mode. Between these two extremes, blended waveforms allow the surgeon to modulate the ratio of cutting to coagulation by adjusting the duty cycle — the proportion of time during which current is actively delivered. Importantly, because coagulation mode waveforms employ higher peak voltages, they produce greater lateral thermal spread in tissue than cut mode waveforms at </w:t>
      </w:r>
      <w:r>
        <w:lastRenderedPageBreak/>
        <w:t>equivalent power settings, a counterintuitive relationship that is frequently misunderstood by practitioners (</w:t>
      </w:r>
      <w:proofErr w:type="spellStart"/>
      <w:r>
        <w:t>Massarweh</w:t>
      </w:r>
      <w:proofErr w:type="spellEnd"/>
      <w:r>
        <w:t xml:space="preserve"> et al., 2006; Feldman et al., 2012).</w:t>
      </w:r>
    </w:p>
    <w:p w14:paraId="1F87FD3D" w14:textId="77777777" w:rsidR="00AA6DC3" w:rsidRDefault="00AA6DC3"/>
    <w:p w14:paraId="3F0AE2A7" w14:textId="77777777" w:rsidR="00AA6DC3" w:rsidRDefault="006D4502">
      <w:pPr>
        <w:pStyle w:val="Heading1"/>
        <w:spacing w:before="300" w:after="120"/>
      </w:pPr>
      <w:r>
        <w:t>5.  Monopolar Electrocautery: Technical Configuration and Clinical Performance</w:t>
      </w:r>
    </w:p>
    <w:p w14:paraId="1FA6042D" w14:textId="77777777" w:rsidR="00AA6DC3" w:rsidRDefault="006D4502">
      <w:pPr>
        <w:pStyle w:val="Heading2"/>
        <w:spacing w:before="300"/>
      </w:pPr>
      <w:proofErr w:type="gramStart"/>
      <w:r>
        <w:t>5.1  Circuit</w:t>
      </w:r>
      <w:proofErr w:type="gramEnd"/>
      <w:r>
        <w:t xml:space="preserve"> Architecture and Electrode Design</w:t>
      </w:r>
    </w:p>
    <w:p w14:paraId="3EFAEE37" w14:textId="77777777" w:rsidR="00AA6DC3" w:rsidRDefault="006D4502">
      <w:pPr>
        <w:spacing w:after="120" w:line="360" w:lineRule="auto"/>
        <w:jc w:val="both"/>
      </w:pPr>
      <w:r>
        <w:t>The monopolar electrosurgical circuit consists of four essential components: the generator, which produces the radiofrequency output; the active electrode (the hand-held instrument), at which the surgical effect is produced; the patient's body, through which current is conducted; and the dispersive (return or grounding) electrode, which collects and safely returns current to the generator. Current flows from the generator to the active electrode, traverses the patient's body along the path of least resistance, and returns via the dispersive pad affixed to a large skin surface area, typically on the thigh or buttock. Because the patient's body forms an integral part of the circuit, the positioning, integrity, and contact quality of the dispersive electrode are critical safety considerations. Inadequate dispersive electrode contact can result in current concentration at the electrode edge, producing burns at the return site — a complication that was more prevalent with older earth-referenced generators but remains a risk even with modern isolated-circuit systems if the electrode is improperly placed (</w:t>
      </w:r>
      <w:proofErr w:type="spellStart"/>
      <w:r>
        <w:t>Alkatout</w:t>
      </w:r>
      <w:proofErr w:type="spellEnd"/>
      <w:r>
        <w:t xml:space="preserve"> et al., 2012).</w:t>
      </w:r>
    </w:p>
    <w:p w14:paraId="3B9192D7" w14:textId="77777777" w:rsidR="00AA6DC3" w:rsidRDefault="006D4502">
      <w:pPr>
        <w:spacing w:after="120" w:line="360" w:lineRule="auto"/>
        <w:jc w:val="both"/>
      </w:pPr>
      <w:r>
        <w:t xml:space="preserve">Active monopolar electrodes are available in a wide variety of configurations tailored to specific surgical tasks: needle electrodes for fine dissection and </w:t>
      </w:r>
      <w:proofErr w:type="spellStart"/>
      <w:r>
        <w:t>haemostasis</w:t>
      </w:r>
      <w:proofErr w:type="spellEnd"/>
      <w:r>
        <w:t xml:space="preserve">, blade electrodes for broad tissue cutting, ball and button electrodes for surface coagulation and fulguration, and loop electrodes for </w:t>
      </w:r>
      <w:proofErr w:type="spellStart"/>
      <w:r>
        <w:t>resectoscopic</w:t>
      </w:r>
      <w:proofErr w:type="spellEnd"/>
      <w:r>
        <w:t xml:space="preserve"> procedures. In laparoscopic surgery, monopolar instruments include hook electrodes, spatula electrodes, and scissors, all insulated along the shaft with only the distal working tip exposed. The passage of radiofrequency current through a long insulated laparoscopic instrument creates additional risks not present in open surgery, including insulation failure — in which defects in the insulating sheath allow current to escape and cause unintended injury to adjacent structures — and capacitive coupling, in which alternating current induces a secondary current in adjacent conductive materials such as metal trocars, even in the absence of direct contact (</w:t>
      </w:r>
      <w:proofErr w:type="spellStart"/>
      <w:r>
        <w:t>Alkatout</w:t>
      </w:r>
      <w:proofErr w:type="spellEnd"/>
      <w:r>
        <w:t xml:space="preserve"> et al., 2012).</w:t>
      </w:r>
    </w:p>
    <w:p w14:paraId="5ABB1A4B" w14:textId="77777777" w:rsidR="00AA6DC3" w:rsidRDefault="006D4502">
      <w:pPr>
        <w:pStyle w:val="Heading2"/>
        <w:spacing w:before="300"/>
      </w:pPr>
      <w:proofErr w:type="gramStart"/>
      <w:r>
        <w:lastRenderedPageBreak/>
        <w:t xml:space="preserve">5.2  </w:t>
      </w:r>
      <w:proofErr w:type="spellStart"/>
      <w:r>
        <w:t>Haemostatic</w:t>
      </w:r>
      <w:proofErr w:type="spellEnd"/>
      <w:proofErr w:type="gramEnd"/>
      <w:r>
        <w:t xml:space="preserve"> Efficacy and Cutting Performance</w:t>
      </w:r>
    </w:p>
    <w:p w14:paraId="56ECA76E" w14:textId="77777777" w:rsidR="00AA6DC3" w:rsidRDefault="006D4502">
      <w:pPr>
        <w:spacing w:after="120" w:line="360" w:lineRule="auto"/>
        <w:jc w:val="both"/>
      </w:pPr>
      <w:r>
        <w:t xml:space="preserve">Monopolar electrocautery offers the broadest functional versatility of any electrosurgical modality, enabling surgeons to transition between precise tissue cutting and broad </w:t>
      </w:r>
      <w:proofErr w:type="spellStart"/>
      <w:r>
        <w:t>haemostatic</w:t>
      </w:r>
      <w:proofErr w:type="spellEnd"/>
      <w:r>
        <w:t xml:space="preserve"> coagulation within a single instrument by changing generator mode, power setting, or electrode type. In the cut mode, the continuous waveform produces a controlled </w:t>
      </w:r>
      <w:proofErr w:type="spellStart"/>
      <w:r>
        <w:t>vaporisation</w:t>
      </w:r>
      <w:proofErr w:type="spellEnd"/>
      <w:r>
        <w:t xml:space="preserve"> front that advances smoothly through tissue with minimal char and lateral thermal damage at lower power settings. In the coagulation mode, the high-voltage interrupted waveform generates a spray of sparks that fulgurate the tissue surface or, in direct contact with tissue, produces widespread desiccation and </w:t>
      </w:r>
      <w:proofErr w:type="spellStart"/>
      <w:r>
        <w:t>haemostasis</w:t>
      </w:r>
      <w:proofErr w:type="spellEnd"/>
      <w:r>
        <w:t xml:space="preserve"> across a broader area than the cut mode at equivalent power settings. The versatility of monopolar instruments makes them the predominant choice for the majority of elective general surgical procedures including cholecystectomy, appendicectomy, colectomy, and herniorrhaphy, where rapid tissue division and broad </w:t>
      </w:r>
      <w:proofErr w:type="spellStart"/>
      <w:r>
        <w:t>haemostasis</w:t>
      </w:r>
      <w:proofErr w:type="spellEnd"/>
      <w:r>
        <w:t xml:space="preserve"> are routinely required.</w:t>
      </w:r>
    </w:p>
    <w:p w14:paraId="4FE00E49" w14:textId="77777777" w:rsidR="00AA6DC3" w:rsidRDefault="006D4502">
      <w:pPr>
        <w:spacing w:after="120" w:line="360" w:lineRule="auto"/>
        <w:jc w:val="both"/>
      </w:pPr>
      <w:r>
        <w:t xml:space="preserve">Despite their versatility, monopolar instruments are associated with a significant propensity for lateral thermal spread — the lateral extension of tissue injury beyond the intended surgical site, mediated by conduction of heat through tissue in contact with the </w:t>
      </w:r>
      <w:proofErr w:type="spellStart"/>
      <w:r>
        <w:t>energised</w:t>
      </w:r>
      <w:proofErr w:type="spellEnd"/>
      <w:r>
        <w:t xml:space="preserve"> electrode. Sutton et al. (2010) demonstrated in a rigorous ex vivo comparative study using </w:t>
      </w:r>
      <w:proofErr w:type="spellStart"/>
      <w:r>
        <w:t>standardised</w:t>
      </w:r>
      <w:proofErr w:type="spellEnd"/>
      <w:r>
        <w:t xml:space="preserve"> porcine muscle preparations that monopolar diathermy at 40 W (the highest tested power setting) generated tip temperatures of 78.9°C after a 5-second application — substantially greater than the 41.9°C recorded for bipolar diathermy, the 47.6°C for the Harmonic Scalpel, or the 44.2°C for the </w:t>
      </w:r>
      <w:proofErr w:type="spellStart"/>
      <w:r>
        <w:t>LigaSure</w:t>
      </w:r>
      <w:proofErr w:type="spellEnd"/>
      <w:r>
        <w:t xml:space="preserve"> vessel-sealing device under the same conditions. The same study documented that applying monopolar diathermy for 10 seconds at 40 W produced measurable tissue temperatures of 59.2°C at 1 cm from the electrode tip — a degree of thermal spread considerably greater than that observed with the other three instruments. Following a 15-second application at the highest power setting, monopolar instrument tips remained above the cell-death threshold of 42°C for 55 seconds after power was discontinued — more than twice as long as bipolar diathermy (25 seconds), and considerably longer than the Harmonic Scalpel and </w:t>
      </w:r>
      <w:proofErr w:type="spellStart"/>
      <w:r>
        <w:t>LigaSure</w:t>
      </w:r>
      <w:proofErr w:type="spellEnd"/>
      <w:r>
        <w:t xml:space="preserve"> (both 15 seconds). These quantitative differences in residual heat retention have practical implications for the temporal spacing of repeated activations and the proximity of instrument tips to sensitive structures during surgery.</w:t>
      </w:r>
    </w:p>
    <w:p w14:paraId="6190F2DD" w14:textId="77777777" w:rsidR="00AA6DC3" w:rsidRDefault="006D4502">
      <w:pPr>
        <w:pStyle w:val="Heading2"/>
        <w:spacing w:before="300"/>
      </w:pPr>
      <w:proofErr w:type="gramStart"/>
      <w:r>
        <w:lastRenderedPageBreak/>
        <w:t>5.3  Monopolar</w:t>
      </w:r>
      <w:proofErr w:type="gramEnd"/>
      <w:r>
        <w:t>-Specific Complications</w:t>
      </w:r>
    </w:p>
    <w:p w14:paraId="10C1FB27" w14:textId="77777777" w:rsidR="00AA6DC3" w:rsidRDefault="006D4502">
      <w:pPr>
        <w:spacing w:after="120" w:line="360" w:lineRule="auto"/>
        <w:jc w:val="both"/>
      </w:pPr>
      <w:r>
        <w:t>The complications uniquely attributable to monopolar electrosurgery arise from the extra-corporeal current pathway, which renders structures remote from the surgical site potentially susceptible to unintended electrical injury. Insulation failure in laparoscopic monopolar instruments is a particularly insidious hazard because the resulting arc can injure bowel or other hollow viscera at points not within the surgeon's visual field, and the immediate tissue damage may be insufficient to cause immediate symptoms, producing a delayed perforation that presents days after the procedure (</w:t>
      </w:r>
      <w:proofErr w:type="spellStart"/>
      <w:r>
        <w:t>Alkatout</w:t>
      </w:r>
      <w:proofErr w:type="spellEnd"/>
      <w:r>
        <w:t xml:space="preserve"> et al., 2012). Capacitive coupling in laparoscopic monopolar surgery occurs when the insulated shaft of the instrument acts as one plate of a capacitor with adjacent metal structures as the other plate; the induced current can return to the generator via an unintended pathway, producing burns at points of high current density such as the trocar-abdominal wall interface. The use of hybrid trocars — with plastic anchoring components and metal shafts — may paradoxically increase the risk of capacitive coupling burns by concentrating the induced current at a small contact area rather than dissipating it safely over a large conductive surface.</w:t>
      </w:r>
    </w:p>
    <w:p w14:paraId="7CCCCC19" w14:textId="77777777" w:rsidR="00AA6DC3" w:rsidRDefault="006D4502">
      <w:pPr>
        <w:spacing w:after="120" w:line="360" w:lineRule="auto"/>
        <w:jc w:val="both"/>
      </w:pPr>
      <w:r>
        <w:t>Direct coupling, in which the active monopolar electrode inadvertently makes contact with another metallic instrument in the operative field, represents a further mechanism of unintended thermal injury, particularly in laparoscopic procedures where instrument proximity within the confined peritoneal space is inevitable. Radiofrequency interference with cardiac implantable electronic devices, including pacemakers and implantable cardioverter-defibrillators, is an additional concern specific to monopolar electrosurgery, as the current pathway through the thorax may cause device inhibition, inappropriate therapy delivery, or device damage — risks that require preoperative device assessment and intraoperative precautions when monopolar energy is used in patients with such implants.</w:t>
      </w:r>
    </w:p>
    <w:p w14:paraId="57BEDF7B" w14:textId="77777777" w:rsidR="00AA6DC3" w:rsidRDefault="00AA6DC3"/>
    <w:p w14:paraId="50904A06" w14:textId="77777777" w:rsidR="00AA6DC3" w:rsidRDefault="006D4502">
      <w:pPr>
        <w:pStyle w:val="Heading1"/>
        <w:spacing w:before="300" w:after="120"/>
      </w:pPr>
      <w:r>
        <w:t>6.  Bipolar Electrocautery: Technical Configuration and Clinical Performance</w:t>
      </w:r>
    </w:p>
    <w:p w14:paraId="4A74A7F0" w14:textId="77777777" w:rsidR="00AA6DC3" w:rsidRDefault="006D4502">
      <w:pPr>
        <w:pStyle w:val="Heading2"/>
        <w:spacing w:before="300"/>
      </w:pPr>
      <w:proofErr w:type="gramStart"/>
      <w:r>
        <w:t>6.1  Circuit</w:t>
      </w:r>
      <w:proofErr w:type="gramEnd"/>
      <w:r>
        <w:t xml:space="preserve"> Architecture and Operating Principles</w:t>
      </w:r>
    </w:p>
    <w:p w14:paraId="785B8145" w14:textId="77777777" w:rsidR="00AA6DC3" w:rsidRDefault="006D4502">
      <w:pPr>
        <w:spacing w:after="120" w:line="360" w:lineRule="auto"/>
        <w:jc w:val="both"/>
      </w:pPr>
      <w:r>
        <w:t xml:space="preserve">Bipolar electrosurgery fundamentally differs from its monopolar counterpart in that the complete electrical circuit — from the active electrode to the return electrode — is contained within the </w:t>
      </w:r>
      <w:r>
        <w:lastRenderedPageBreak/>
        <w:t>instrument itself. In the classical bipolar configuration, the two limbs of a forceps serve as the active and return electrodes, with current flowing only through the tissue grasped between the tips. This confined circuit architecture offers two principal safety advantages over monopolar electrosurgery: first, the body of the patient is not part of the current pathway, eliminating the risk of dispersive electrode burns and substantially reducing the potential for remote electrical injury; and second, because current density is concentrated exclusively in the tissue between the forceps tips, lateral thermal spread is inherently more limited, making bipolar instruments appropriate for use in precision-demanding anatomical contexts (</w:t>
      </w:r>
      <w:proofErr w:type="spellStart"/>
      <w:r>
        <w:t>Alkatout</w:t>
      </w:r>
      <w:proofErr w:type="spellEnd"/>
      <w:r>
        <w:t xml:space="preserve"> et al., 2012).</w:t>
      </w:r>
    </w:p>
    <w:p w14:paraId="697B2129" w14:textId="77777777" w:rsidR="00AA6DC3" w:rsidRDefault="006D4502">
      <w:pPr>
        <w:spacing w:after="120" w:line="360" w:lineRule="auto"/>
        <w:jc w:val="both"/>
      </w:pPr>
      <w:r>
        <w:t xml:space="preserve">Conventional bipolar forceps operate at lower voltages than monopolar coagulation mode, typically employing an unmodulated or low-voltage modulated waveform that produces reliable tissue desiccation and </w:t>
      </w:r>
      <w:proofErr w:type="spellStart"/>
      <w:r>
        <w:t>haemostasis</w:t>
      </w:r>
      <w:proofErr w:type="spellEnd"/>
      <w:r>
        <w:t xml:space="preserve"> without the extensive sparking and fulguration characteristic of monopolar coagulation. The tissue between the forceps tips is progressively desiccated as heating proceeds, and the endpoint of effective coagulation is </w:t>
      </w:r>
      <w:proofErr w:type="spellStart"/>
      <w:r>
        <w:t>signalled</w:t>
      </w:r>
      <w:proofErr w:type="spellEnd"/>
      <w:r>
        <w:t xml:space="preserve"> by an increase in tissue impedance as the desiccated tissue loses its ionic conductivity. Standard bipolar forceps are routinely used for the coagulation of small vessels and for </w:t>
      </w:r>
      <w:proofErr w:type="spellStart"/>
      <w:r>
        <w:t>haemostasis</w:t>
      </w:r>
      <w:proofErr w:type="spellEnd"/>
      <w:r>
        <w:t xml:space="preserve"> in fine dissection fields across neurosurgery, ophthalmic surgery, thyroid surgery, and laparoscopic procedures in which the risk of collateral thermal injury precludes the use of monopolar instruments (</w:t>
      </w:r>
      <w:proofErr w:type="spellStart"/>
      <w:r>
        <w:t>Alkatout</w:t>
      </w:r>
      <w:proofErr w:type="spellEnd"/>
      <w:r>
        <w:t xml:space="preserve"> et al., 2012).</w:t>
      </w:r>
    </w:p>
    <w:p w14:paraId="33B40DB8" w14:textId="77777777" w:rsidR="00AA6DC3" w:rsidRDefault="006D4502">
      <w:pPr>
        <w:pStyle w:val="Heading2"/>
        <w:spacing w:before="300"/>
      </w:pPr>
      <w:proofErr w:type="gramStart"/>
      <w:r>
        <w:t>6.2  Advanced</w:t>
      </w:r>
      <w:proofErr w:type="gramEnd"/>
      <w:r>
        <w:t xml:space="preserve"> Bipolar Vessel-Sealing Systems</w:t>
      </w:r>
    </w:p>
    <w:p w14:paraId="1D7F0DEF" w14:textId="77777777" w:rsidR="00AA6DC3" w:rsidRDefault="006D4502">
      <w:pPr>
        <w:spacing w:after="120" w:line="360" w:lineRule="auto"/>
        <w:jc w:val="both"/>
      </w:pPr>
      <w:r>
        <w:t xml:space="preserve">The limitations of conventional bipolar forceps in terms of vessel diameter, jaw design, and operator-dependent technique have been substantially addressed by the development of a new generation of advanced bipolar vessel-sealing systems, the most widely studied of which are the </w:t>
      </w:r>
      <w:proofErr w:type="spellStart"/>
      <w:r>
        <w:t>LigaSure</w:t>
      </w:r>
      <w:proofErr w:type="spellEnd"/>
      <w:r>
        <w:t xml:space="preserve"> vessel-sealing system (Medtronic) and the </w:t>
      </w:r>
      <w:proofErr w:type="spellStart"/>
      <w:r>
        <w:t>PlasmaKinetic</w:t>
      </w:r>
      <w:proofErr w:type="spellEnd"/>
      <w:r>
        <w:t xml:space="preserve"> (PK) system (Gyrus Medical). These systems employ continuous real-time impedance monitoring to deliver a precisely titrated combination of radiofrequency energy and mechanical compression, producing a dense collagen and elastin seal that can withstand burst pressures exceeding three times the physiological range for vessels up to 7 mm in diameter.</w:t>
      </w:r>
    </w:p>
    <w:p w14:paraId="2E46453E" w14:textId="77777777" w:rsidR="00AA6DC3" w:rsidRDefault="006D4502">
      <w:pPr>
        <w:spacing w:after="120" w:line="360" w:lineRule="auto"/>
        <w:jc w:val="both"/>
      </w:pPr>
      <w:r>
        <w:t xml:space="preserve">The </w:t>
      </w:r>
      <w:proofErr w:type="spellStart"/>
      <w:r>
        <w:t>LigaSure</w:t>
      </w:r>
      <w:proofErr w:type="spellEnd"/>
      <w:r>
        <w:t xml:space="preserve"> system achieves </w:t>
      </w:r>
      <w:proofErr w:type="spellStart"/>
      <w:r>
        <w:t>haemostasis</w:t>
      </w:r>
      <w:proofErr w:type="spellEnd"/>
      <w:r>
        <w:t xml:space="preserve"> through the denaturation of proteins rather than through the formation of a thermal thrombus, creating a translucent fused band of collagen across the sealed lumen that is mechanically robust and thermally stable. Comparative studies </w:t>
      </w:r>
      <w:r>
        <w:lastRenderedPageBreak/>
        <w:t xml:space="preserve">have confirmed that the lateral thermal spread of advanced bipolar vessel-sealing systems is substantially more limited than that of monopolar electrocautery. In the study by Sutton et al. (2010), the </w:t>
      </w:r>
      <w:proofErr w:type="spellStart"/>
      <w:r>
        <w:t>LigaSure</w:t>
      </w:r>
      <w:proofErr w:type="spellEnd"/>
      <w:r>
        <w:t xml:space="preserve"> recorded the lowest tip temperature (44.2°C) after a 5-second activation at maximum power setting, with residual heating time above 42°C of only 15 seconds — markedly less than the 55 seconds observed for monopolar diathermy. Advanced bipolar platforms have found extensive clinical application in thyroidectomy, colectomy, splenectomy, hepatectomy, hysterectomy, and laparoscopic appendicectomy, where their capacity to seal and divide tissue in a single step reduces operative time and the number of instrument exchanges required.</w:t>
      </w:r>
    </w:p>
    <w:p w14:paraId="58DB36EF" w14:textId="77777777" w:rsidR="00AA6DC3" w:rsidRDefault="006D4502">
      <w:pPr>
        <w:pStyle w:val="Heading2"/>
        <w:spacing w:before="300"/>
      </w:pPr>
      <w:proofErr w:type="gramStart"/>
      <w:r>
        <w:t>6.3  Clinical</w:t>
      </w:r>
      <w:proofErr w:type="gramEnd"/>
      <w:r>
        <w:t xml:space="preserve"> Applications and Special Considerations</w:t>
      </w:r>
    </w:p>
    <w:p w14:paraId="6CD75FBD" w14:textId="77777777" w:rsidR="00AA6DC3" w:rsidRDefault="006D4502">
      <w:pPr>
        <w:spacing w:after="120" w:line="360" w:lineRule="auto"/>
        <w:jc w:val="both"/>
      </w:pPr>
      <w:r>
        <w:t xml:space="preserve">The inherent precision and safety profile of bipolar electrosurgery has made it the preferred modality in several clinical scenarios. In thyroid surgery, the proximity of the recurrent laryngeal nerve and the superior laryngeal nerve to the surgical dissection plane makes the minimal thermal spread of bipolar instruments a critical advantage; advanced bipolar vessel-sealing systems have been shown to facilitate safe vessel division with nerve preservation in the hands of experienced surgeons. In laparoscopic procedures within the pelvis, including radical prostatectomy, hysterectomy, and total </w:t>
      </w:r>
      <w:proofErr w:type="spellStart"/>
      <w:r>
        <w:t>mesorectal</w:t>
      </w:r>
      <w:proofErr w:type="spellEnd"/>
      <w:r>
        <w:t xml:space="preserve"> excision, bipolar devices enable </w:t>
      </w:r>
      <w:proofErr w:type="spellStart"/>
      <w:r>
        <w:t>haemostasis</w:t>
      </w:r>
      <w:proofErr w:type="spellEnd"/>
      <w:r>
        <w:t xml:space="preserve"> in proximity to the pelvic autonomic nerves without the risk of lateral thermal injury that monopolar instruments would entail. In neurosurgery, conventional bipolar forceps remain the standard instrument for </w:t>
      </w:r>
      <w:proofErr w:type="spellStart"/>
      <w:r>
        <w:t>tumour</w:t>
      </w:r>
      <w:proofErr w:type="spellEnd"/>
      <w:r>
        <w:t xml:space="preserve"> debulking, arteriovenous malformation coagulation, and </w:t>
      </w:r>
      <w:proofErr w:type="spellStart"/>
      <w:r>
        <w:t>haemostasis</w:t>
      </w:r>
      <w:proofErr w:type="spellEnd"/>
      <w:r>
        <w:t xml:space="preserve"> within the cranial and spinal compartments, where any collateral thermal injury is potentially catastrophic (</w:t>
      </w:r>
      <w:proofErr w:type="spellStart"/>
      <w:r>
        <w:t>Alkatout</w:t>
      </w:r>
      <w:proofErr w:type="spellEnd"/>
      <w:r>
        <w:t xml:space="preserve"> et al., 2012).</w:t>
      </w:r>
    </w:p>
    <w:p w14:paraId="1D80CB9A" w14:textId="77777777" w:rsidR="00AA6DC3" w:rsidRDefault="006D4502">
      <w:pPr>
        <w:spacing w:after="120" w:line="360" w:lineRule="auto"/>
        <w:jc w:val="both"/>
      </w:pPr>
      <w:r>
        <w:t xml:space="preserve">The principal limitations of bipolar electrosurgery pertain to its reduced versatility relative to monopolar systems. Conventional bipolar instruments cannot cut tissue and are limited to coagulation; tissue division must be accomplished with separate scissors or a blade, adding additional steps to the operative workflow. Advanced bipolar vessel-sealing systems do incorporate an integrated cutting mechanism but are restricted to the sealed tissue between the jaws. Furthermore, bipolar instruments do not produce the same broad </w:t>
      </w:r>
      <w:proofErr w:type="spellStart"/>
      <w:r>
        <w:t>haemostatic</w:t>
      </w:r>
      <w:proofErr w:type="spellEnd"/>
      <w:r>
        <w:t xml:space="preserve"> effect across raw tissue surfaces and bleeding </w:t>
      </w:r>
      <w:proofErr w:type="spellStart"/>
      <w:r>
        <w:t>tumour</w:t>
      </w:r>
      <w:proofErr w:type="spellEnd"/>
      <w:r>
        <w:t xml:space="preserve"> beds as monopolar coagulation, limiting their utility for surface </w:t>
      </w:r>
      <w:proofErr w:type="spellStart"/>
      <w:r>
        <w:t>haemostasis</w:t>
      </w:r>
      <w:proofErr w:type="spellEnd"/>
      <w:r>
        <w:t xml:space="preserve"> in highly vascular operative fields such as hepatic parenchymal transection or </w:t>
      </w:r>
      <w:proofErr w:type="spellStart"/>
      <w:r>
        <w:t>tumour</w:t>
      </w:r>
      <w:proofErr w:type="spellEnd"/>
      <w:r>
        <w:t xml:space="preserve"> resection.</w:t>
      </w:r>
    </w:p>
    <w:p w14:paraId="710F82D2" w14:textId="77777777" w:rsidR="00AA6DC3" w:rsidRDefault="00AA6DC3"/>
    <w:p w14:paraId="7B1AB51C" w14:textId="77777777" w:rsidR="00AA6DC3" w:rsidRDefault="006D4502">
      <w:pPr>
        <w:pStyle w:val="Heading1"/>
        <w:spacing w:before="300" w:after="120"/>
      </w:pPr>
      <w:r>
        <w:t>7.  Comparative Performance of Monopolar and Bipolar Systems in General Surgery</w:t>
      </w:r>
    </w:p>
    <w:p w14:paraId="4AA2F912" w14:textId="77777777" w:rsidR="00AA6DC3" w:rsidRDefault="006D4502">
      <w:pPr>
        <w:pStyle w:val="Heading2"/>
        <w:spacing w:before="300"/>
      </w:pPr>
      <w:proofErr w:type="gramStart"/>
      <w:r>
        <w:t>7.1  Thermal</w:t>
      </w:r>
      <w:proofErr w:type="gramEnd"/>
      <w:r>
        <w:t xml:space="preserve"> Spread and Collateral Tissue Injury</w:t>
      </w:r>
    </w:p>
    <w:p w14:paraId="6939F1CA" w14:textId="77777777" w:rsidR="00AA6DC3" w:rsidRDefault="006D4502">
      <w:pPr>
        <w:spacing w:after="120" w:line="360" w:lineRule="auto"/>
        <w:jc w:val="both"/>
      </w:pPr>
      <w:r>
        <w:t xml:space="preserve">The comparative assessment of lateral thermal spread between monopolar and bipolar electrocautery represents one of the most extensively studied domains in the experimental electrosurgery literature, and the evidence consistently demonstrates the superiority of bipolar and advanced bipolar systems with respect to </w:t>
      </w:r>
      <w:proofErr w:type="spellStart"/>
      <w:r>
        <w:t>minimising</w:t>
      </w:r>
      <w:proofErr w:type="spellEnd"/>
      <w:r>
        <w:t xml:space="preserve"> collateral tissue injury. The landmark study by Sutton et al. (2010), using </w:t>
      </w:r>
      <w:proofErr w:type="spellStart"/>
      <w:r>
        <w:t>standardised</w:t>
      </w:r>
      <w:proofErr w:type="spellEnd"/>
      <w:r>
        <w:t xml:space="preserve"> porcine muscle preparations and thermographic measurement at defined distances from the electrode tip, quantified that monopolar diathermy at 40 W generated a tissue temperature of 59.2°C at 1 cm from the tip after 10 seconds of activation, whereas bipolar diathermy produced temperatures below the cell-death threshold at the same distance under comparable conditions. The residual heat retention data — with monopolar tips remaining above 42°C for 55 seconds post-activation, compared with 25 seconds for bipolar diathermy and 15 seconds each for the </w:t>
      </w:r>
      <w:proofErr w:type="spellStart"/>
      <w:r>
        <w:t>LigaSure</w:t>
      </w:r>
      <w:proofErr w:type="spellEnd"/>
      <w:r>
        <w:t xml:space="preserve"> and Harmonic Scalpel — illustrate the temporal as well as spatial extent of the monopolar thermal hazard. These quantitative differences have direct implications for surgical practice in anatomically sensitive regions where adjacent nerves, vessels, ureters, or bowel may be at risk of unintended thermal injury.</w:t>
      </w:r>
    </w:p>
    <w:p w14:paraId="6EFDD2CF" w14:textId="77777777" w:rsidR="00AA6DC3" w:rsidRDefault="006D4502">
      <w:pPr>
        <w:spacing w:after="120" w:line="360" w:lineRule="auto"/>
        <w:jc w:val="both"/>
      </w:pPr>
      <w:proofErr w:type="spellStart"/>
      <w:r>
        <w:t>Randomised</w:t>
      </w:r>
      <w:proofErr w:type="spellEnd"/>
      <w:r>
        <w:t xml:space="preserve"> controlled trial evidence from laparoscopic procedures further supports the superior thermal safety profile of non-monopolar energy modalities. Choi et al. (2018), in the ULMOST (Ultrasonic versus Monopolar Energy-based Surgical Devices in Terms of Surgical Smoke and Lateral Thermal Damage) trial, </w:t>
      </w:r>
      <w:proofErr w:type="spellStart"/>
      <w:r>
        <w:t>randomised</w:t>
      </w:r>
      <w:proofErr w:type="spellEnd"/>
      <w:r>
        <w:t xml:space="preserve"> patients undergoing total laparoscopic hysterectomy to colpotomy with either an ultrasonic energy device or a monopolar energy device and demonstrated statistically significant reductions in both the degree of visual obstruction from surgical smoke and the width of lateral thermal damage histologically measured from the instrument application point. The monopolar group recorded a median lateral thermal damage of 1500 </w:t>
      </w:r>
      <w:proofErr w:type="spellStart"/>
      <w:r>
        <w:t>μm</w:t>
      </w:r>
      <w:proofErr w:type="spellEnd"/>
      <w:r>
        <w:t xml:space="preserve"> (interquartile range 1200–2500 </w:t>
      </w:r>
      <w:proofErr w:type="spellStart"/>
      <w:r>
        <w:t>μm</w:t>
      </w:r>
      <w:proofErr w:type="spellEnd"/>
      <w:r>
        <w:t xml:space="preserve">) compared with 950 </w:t>
      </w:r>
      <w:proofErr w:type="spellStart"/>
      <w:r>
        <w:t>μm</w:t>
      </w:r>
      <w:proofErr w:type="spellEnd"/>
      <w:r>
        <w:t xml:space="preserve"> (interquartile range 650–1725 </w:t>
      </w:r>
      <w:proofErr w:type="spellStart"/>
      <w:r>
        <w:t>μm</w:t>
      </w:r>
      <w:proofErr w:type="spellEnd"/>
      <w:r>
        <w:t xml:space="preserve">) in the ultrasonic group (p = 0.037), and a smoke obstruction score of 3.9 ± 0.7 out of 5 compared with 1.2 ± 0.8 in the ultrasonic group (p &lt; 0.001) — findings that directly illustrate the </w:t>
      </w:r>
      <w:r>
        <w:lastRenderedPageBreak/>
        <w:t>dual disadvantage of monopolar devices with respect to both smoke production and collateral thermal injury.</w:t>
      </w:r>
    </w:p>
    <w:p w14:paraId="1A8D35C7" w14:textId="77777777" w:rsidR="00AA6DC3" w:rsidRDefault="006D4502">
      <w:pPr>
        <w:pStyle w:val="Heading2"/>
        <w:spacing w:before="300"/>
      </w:pPr>
      <w:proofErr w:type="gramStart"/>
      <w:r>
        <w:t xml:space="preserve">7.2  </w:t>
      </w:r>
      <w:proofErr w:type="spellStart"/>
      <w:r>
        <w:t>Haemostatic</w:t>
      </w:r>
      <w:proofErr w:type="spellEnd"/>
      <w:proofErr w:type="gramEnd"/>
      <w:r>
        <w:t xml:space="preserve"> Efficacy and Operative Outcomes</w:t>
      </w:r>
    </w:p>
    <w:p w14:paraId="3654E065" w14:textId="77777777" w:rsidR="00AA6DC3" w:rsidRDefault="006D4502">
      <w:pPr>
        <w:spacing w:after="120" w:line="360" w:lineRule="auto"/>
        <w:jc w:val="both"/>
      </w:pPr>
      <w:r>
        <w:t xml:space="preserve">While the thermal safety advantages of bipolar and advanced bipolar systems are well established, the comparative </w:t>
      </w:r>
      <w:proofErr w:type="spellStart"/>
      <w:r>
        <w:t>haemostatic</w:t>
      </w:r>
      <w:proofErr w:type="spellEnd"/>
      <w:r>
        <w:t xml:space="preserve"> efficacy and effect on operative outcomes between monopolar and bipolar systems are more nuanced and context-dependent. For small vessel </w:t>
      </w:r>
      <w:proofErr w:type="spellStart"/>
      <w:r>
        <w:t>haemostasis</w:t>
      </w:r>
      <w:proofErr w:type="spellEnd"/>
      <w:r>
        <w:t xml:space="preserve"> in routine general surgical procedures, both monopolar and bipolar electrocautery provide reliable and clinically equivalent </w:t>
      </w:r>
      <w:proofErr w:type="spellStart"/>
      <w:r>
        <w:t>haemostasis</w:t>
      </w:r>
      <w:proofErr w:type="spellEnd"/>
      <w:r>
        <w:t>, with the choice of modality typically dictated by the anatomical context and surgeon preference rather than differential efficacy. The major comparative advantage of monopolar electrocautery lies in its ability to achieve simultaneous cutting and coagulation in a single instrument — a feature that provides significant workflow efficiency advantages in high-volume resections and dissections.</w:t>
      </w:r>
    </w:p>
    <w:p w14:paraId="71315902" w14:textId="77777777" w:rsidR="00AA6DC3" w:rsidRDefault="006D4502">
      <w:pPr>
        <w:spacing w:after="120" w:line="360" w:lineRule="auto"/>
        <w:jc w:val="both"/>
      </w:pPr>
      <w:r>
        <w:t xml:space="preserve">For larger vessels requiring sealing, advanced bipolar vessel-sealing systems have demonstrated superiority over conventional monopolar coagulation in terms of burst pressure reliability and the adequacy of </w:t>
      </w:r>
      <w:proofErr w:type="spellStart"/>
      <w:r>
        <w:t>haemostatic</w:t>
      </w:r>
      <w:proofErr w:type="spellEnd"/>
      <w:r>
        <w:t xml:space="preserve"> seal, particularly for vessels in the 3–7 mm diameter range. In thyroid, colonic, and </w:t>
      </w:r>
      <w:proofErr w:type="spellStart"/>
      <w:r>
        <w:t>gynaecological</w:t>
      </w:r>
      <w:proofErr w:type="spellEnd"/>
      <w:r>
        <w:t xml:space="preserve"> surgery, the use of advanced bipolar vessel-sealing devices has been associated in several comparative studies with reduced intraoperative blood loss, shorter operative times, and reduced postoperative drainage output compared with monopolar electrocautery and conventional clip-and-tie techniques, though the magnitude of these advantages varies across studies and surgical contexts.</w:t>
      </w:r>
    </w:p>
    <w:p w14:paraId="0D308529" w14:textId="77777777" w:rsidR="00AA6DC3" w:rsidRDefault="006D4502">
      <w:pPr>
        <w:pStyle w:val="Heading2"/>
        <w:spacing w:before="300"/>
      </w:pPr>
      <w:proofErr w:type="gramStart"/>
      <w:r>
        <w:t>7.3  Laparoscopic</w:t>
      </w:r>
      <w:proofErr w:type="gramEnd"/>
      <w:r>
        <w:t xml:space="preserve"> Surgery: Special Comparative Considerations</w:t>
      </w:r>
    </w:p>
    <w:p w14:paraId="19712ADF" w14:textId="77777777" w:rsidR="00AA6DC3" w:rsidRDefault="006D4502">
      <w:pPr>
        <w:spacing w:after="120" w:line="360" w:lineRule="auto"/>
        <w:jc w:val="both"/>
      </w:pPr>
      <w:r>
        <w:t xml:space="preserve">The comparative performance of monopolar and bipolar electrocautery assumes particular clinical significance in the context of laparoscopic surgery, where the confined anatomical space, the extended reach of instruments, and the reliance on two-dimensional visual monitoring collectively amplify the risks of electrosurgical complications. Within the closed peritoneal cavity, the smoke and </w:t>
      </w:r>
      <w:proofErr w:type="spellStart"/>
      <w:r>
        <w:t>vapour</w:t>
      </w:r>
      <w:proofErr w:type="spellEnd"/>
      <w:r>
        <w:t xml:space="preserve"> generated by monopolar electrocautery accumulates rapidly and can substantially impair laparoscopic </w:t>
      </w:r>
      <w:proofErr w:type="spellStart"/>
      <w:r>
        <w:t>visualisation</w:t>
      </w:r>
      <w:proofErr w:type="spellEnd"/>
      <w:r>
        <w:t xml:space="preserve"> — a problem well documented in comparative studies — whereas bipolar and advanced bipolar instruments generate considerably less smoke per unit of tissue dissected (Choi et al., 2018).</w:t>
      </w:r>
    </w:p>
    <w:p w14:paraId="25867099" w14:textId="77777777" w:rsidR="00AA6DC3" w:rsidRDefault="006D4502">
      <w:pPr>
        <w:spacing w:after="120" w:line="360" w:lineRule="auto"/>
        <w:jc w:val="both"/>
      </w:pPr>
      <w:r>
        <w:lastRenderedPageBreak/>
        <w:t xml:space="preserve">The hazard of surgical smoke in laparoscopic surgery is not limited to visual impairment. Choi et al. (2014) investigated the biohazard potential of laparoscopic surgical smoke and documented that the peritoneal absorption of smoke constituents by the pneumoperitoneum may expose patients directly to toxic volatile organic compounds and particulate matter generated intra-abdominally — a route of exposure that has no equivalent in open surgery. The study detected benzene, toluene, and other volatile compounds in blood samples drawn during procedures involving monopolar electrocautery, raising concerns about systemic toxic exposure for patients in addition to the well-established hazards for theatre personnel. These findings reinforce the case for </w:t>
      </w:r>
      <w:proofErr w:type="spellStart"/>
      <w:r>
        <w:t>minimising</w:t>
      </w:r>
      <w:proofErr w:type="spellEnd"/>
      <w:r>
        <w:t xml:space="preserve"> monopolar electrocautery use in laparoscopic procedures where alternative modalities with lower smoke generation are available and clinically appropriate.</w:t>
      </w:r>
    </w:p>
    <w:p w14:paraId="319A7147" w14:textId="77777777" w:rsidR="00AA6DC3" w:rsidRDefault="00AA6DC3"/>
    <w:p w14:paraId="0CF88684" w14:textId="77777777" w:rsidR="00AA6DC3" w:rsidRDefault="006D4502">
      <w:pPr>
        <w:pStyle w:val="Heading1"/>
        <w:spacing w:before="300" w:after="120"/>
      </w:pPr>
      <w:r>
        <w:t xml:space="preserve">8.  Surgical Smoke: Composition and </w:t>
      </w:r>
      <w:proofErr w:type="spellStart"/>
      <w:r>
        <w:t>Characterisation</w:t>
      </w:r>
      <w:proofErr w:type="spellEnd"/>
    </w:p>
    <w:p w14:paraId="354D21A3" w14:textId="77777777" w:rsidR="00AA6DC3" w:rsidRDefault="006D4502">
      <w:pPr>
        <w:pStyle w:val="Heading2"/>
        <w:spacing w:before="300"/>
      </w:pPr>
      <w:proofErr w:type="gramStart"/>
      <w:r>
        <w:t>8.1  Physical</w:t>
      </w:r>
      <w:proofErr w:type="gramEnd"/>
      <w:r>
        <w:t xml:space="preserve"> and Chemical Properties</w:t>
      </w:r>
    </w:p>
    <w:p w14:paraId="6B104015" w14:textId="77777777" w:rsidR="00AA6DC3" w:rsidRDefault="006D4502">
      <w:pPr>
        <w:spacing w:after="120" w:line="360" w:lineRule="auto"/>
        <w:jc w:val="both"/>
      </w:pPr>
      <w:r>
        <w:t xml:space="preserve">Surgical smoke is a complex, heterogeneous aerosol generated by the thermal degradation of biological tissue under the influence of electrosurgical, ultrasonic, or laser energy. Its composition varies with the type of energy device employed, the power setting used, the tissue type being acted upon, the duration of activation, and the characteristics of the operative environment. As a broad </w:t>
      </w:r>
      <w:proofErr w:type="spellStart"/>
      <w:r>
        <w:t>generalisation</w:t>
      </w:r>
      <w:proofErr w:type="spellEnd"/>
      <w:r>
        <w:t xml:space="preserve">, surgical smoke consists of approximately 95% water </w:t>
      </w:r>
      <w:proofErr w:type="spellStart"/>
      <w:r>
        <w:t>vapour</w:t>
      </w:r>
      <w:proofErr w:type="spellEnd"/>
      <w:r>
        <w:t xml:space="preserve"> and 5% particulate and gaseous toxic by-products, though the clinical hazard resides almost exclusively within this minority fraction (</w:t>
      </w:r>
      <w:proofErr w:type="spellStart"/>
      <w:r>
        <w:t>Okoshi</w:t>
      </w:r>
      <w:proofErr w:type="spellEnd"/>
      <w:r>
        <w:t xml:space="preserve"> et al., 2015).</w:t>
      </w:r>
    </w:p>
    <w:p w14:paraId="6977459C" w14:textId="77777777" w:rsidR="00AA6DC3" w:rsidRDefault="006D4502">
      <w:pPr>
        <w:spacing w:after="120" w:line="360" w:lineRule="auto"/>
        <w:jc w:val="both"/>
      </w:pPr>
      <w:r>
        <w:t xml:space="preserve">The particulate component of surgical smoke encompasses a broad range of particle sizes, from ultrafine particles with diameters below 100 nm to accumulation-mode particles with diameters up to 1 </w:t>
      </w:r>
      <w:proofErr w:type="spellStart"/>
      <w:r>
        <w:t>μm</w:t>
      </w:r>
      <w:proofErr w:type="spellEnd"/>
      <w:r>
        <w:t xml:space="preserve">. The particle size distribution is clinically important because particles below 2.5 </w:t>
      </w:r>
      <w:proofErr w:type="spellStart"/>
      <w:r>
        <w:t>μm</w:t>
      </w:r>
      <w:proofErr w:type="spellEnd"/>
      <w:r>
        <w:t xml:space="preserve"> in aerodynamic diameter are classified as respirable — they penetrate through the upper respiratory tract into the bronchial tree and alveolar spaces, where they may deposit and cause direct pulmonary injury or be absorbed into the systemic circulation. </w:t>
      </w:r>
      <w:proofErr w:type="spellStart"/>
      <w:r>
        <w:t>Brüske-Hohlfeld</w:t>
      </w:r>
      <w:proofErr w:type="spellEnd"/>
      <w:r>
        <w:t xml:space="preserve"> et al. (2008) performed direct measurements of particle number concentration in six general surgical operating theatres during procedures involving monopolar electrocautery and argon plasma coagulation, documenting peak concentrations exceeding 100,000 particles per cubic </w:t>
      </w:r>
      <w:proofErr w:type="spellStart"/>
      <w:r>
        <w:t>centimetre</w:t>
      </w:r>
      <w:proofErr w:type="spellEnd"/>
      <w:r>
        <w:t xml:space="preserve"> in the immediate vicinity of the surgical site — concentrations analogous to those associated </w:t>
      </w:r>
      <w:r>
        <w:lastRenderedPageBreak/>
        <w:t>with significant adverse cardiovascular and respiratory health effects in the epidemiological literature on urban air pollution. In the presence of efficient air conditioning, particle concentrations decayed to background within seconds at sites remote from the surgical field, but operating personnel working in close proximity to the smoke source — most critically the surgeon and scrub nurse — were exposed to sustained high-concentration bursts during activated periods.</w:t>
      </w:r>
    </w:p>
    <w:p w14:paraId="1FB665BD" w14:textId="77777777" w:rsidR="00AA6DC3" w:rsidRDefault="006D4502">
      <w:pPr>
        <w:spacing w:after="120" w:line="360" w:lineRule="auto"/>
        <w:jc w:val="both"/>
      </w:pPr>
      <w:r>
        <w:t>The gaseous and volatile chemical fraction of surgical smoke includes a roster of compounds with well-</w:t>
      </w:r>
      <w:proofErr w:type="spellStart"/>
      <w:r>
        <w:t>characterised</w:t>
      </w:r>
      <w:proofErr w:type="spellEnd"/>
      <w:r>
        <w:t xml:space="preserve"> toxicological profiles. Benzene, a Group 1 IARC carcinogen and haematotoxin, has been consistently detected in surgical smoke at concentrations that, depending on procedure duration and ventilation adequacy, may approach or exceed occupational exposure limits (Barrett &amp; Garber, 2003). Formaldehyde, also a Group 1 IARC carcinogen and respiratory irritant, is generated from the thermal degradation of amino acids and collagen. Hydrogen cyanide, a potent cellular toxin, is produced from the pyrolysis of nitrogen-containing organic compounds. Polycyclic aromatic hydrocarbons — a class of persistent organic pollutants including benzo[a]pyrene, naphthalene, phenanthrene, and fluoranthene — are produced by the incomplete combustion of organic material and are collectively </w:t>
      </w:r>
      <w:proofErr w:type="spellStart"/>
      <w:r>
        <w:t>recognised</w:t>
      </w:r>
      <w:proofErr w:type="spellEnd"/>
      <w:r>
        <w:t xml:space="preserve"> as potent carcinogens. Tseng et al. (2014) measured particle-phase and gaseous-phase polycyclic aromatic hydrocarbon concentrations at the breathing heights of surgeons and </w:t>
      </w:r>
      <w:proofErr w:type="spellStart"/>
      <w:r>
        <w:t>anaesthetic</w:t>
      </w:r>
      <w:proofErr w:type="spellEnd"/>
      <w:r>
        <w:t xml:space="preserve"> technologists during ten mastectomy procedures conducted with monopolar electrocautery, finding concentrations 20–30 times higher than those in regular outdoor environments, and calculating 70-year incremental lifetime cancer risks significantly exceeding the WHO recommended safety level of 1 × 10⁻⁶ — with estimated risks of 117 × 10⁻⁶ for surgeons and 270 × 10⁻⁶ for </w:t>
      </w:r>
      <w:proofErr w:type="spellStart"/>
      <w:r>
        <w:t>anaesthetic</w:t>
      </w:r>
      <w:proofErr w:type="spellEnd"/>
      <w:r>
        <w:t xml:space="preserve"> technologists, the latter reflecting the proportionally longer duration of operating room occupancy.</w:t>
      </w:r>
    </w:p>
    <w:p w14:paraId="3369C500" w14:textId="77777777" w:rsidR="00AA6DC3" w:rsidRDefault="006D4502">
      <w:pPr>
        <w:pStyle w:val="Heading2"/>
        <w:spacing w:before="300"/>
      </w:pPr>
      <w:proofErr w:type="gramStart"/>
      <w:r>
        <w:t>8.2  Biological</w:t>
      </w:r>
      <w:proofErr w:type="gramEnd"/>
      <w:r>
        <w:t xml:space="preserve"> Components and Infectious Hazards</w:t>
      </w:r>
    </w:p>
    <w:p w14:paraId="7BB75375" w14:textId="77777777" w:rsidR="00AA6DC3" w:rsidRDefault="006D4502">
      <w:pPr>
        <w:spacing w:after="120" w:line="360" w:lineRule="auto"/>
        <w:jc w:val="both"/>
      </w:pPr>
      <w:r>
        <w:t xml:space="preserve">The biological fraction of surgical smoke represents a distinct and clinically important category of hazard separate from its chemical constituents. Multiple studies have demonstrated the presence of intact cellular material, blood fragments, and viable microorganisms within surgical smoke aerosols, raising the possibility of infectious transmission from patient to theatre personnel. Of particular concern is the documented detection of intact human papillomavirus (HPV) DNA in smoke generated during laser and electrosurgical treatment of HPV-associated </w:t>
      </w:r>
      <w:r>
        <w:lastRenderedPageBreak/>
        <w:t>lesions including condyloma acuminata, cervical intraepithelial neoplasia, and laryngeal papillomata. Several case reports have documented HPV infection — including HPV genotypes associated with anogenital and oropharyngeal carcinoma — in surgeons and other theatre personnel with repeated exposure to electrosurgical plume from HPV-positive patients, providing biological plausibility for airborne infectious transmission through surgical smoke (Mowbray et al., 2013).</w:t>
      </w:r>
    </w:p>
    <w:p w14:paraId="4309B421" w14:textId="77777777" w:rsidR="00AA6DC3" w:rsidRDefault="006D4502">
      <w:pPr>
        <w:spacing w:after="120" w:line="360" w:lineRule="auto"/>
        <w:jc w:val="both"/>
      </w:pPr>
      <w:r>
        <w:t xml:space="preserve">The COVID-19 pandemic </w:t>
      </w:r>
      <w:proofErr w:type="spellStart"/>
      <w:r>
        <w:t>catalysed</w:t>
      </w:r>
      <w:proofErr w:type="spellEnd"/>
      <w:r>
        <w:t xml:space="preserve"> a renewed urgency in research on the biological hazards of surgical smoke, particularly in the context of laparoscopic surgery, where smoke accumulation within the pneumoperitoneum creates a concentrated reservoir of </w:t>
      </w:r>
      <w:proofErr w:type="spellStart"/>
      <w:r>
        <w:t>aerosolised</w:t>
      </w:r>
      <w:proofErr w:type="spellEnd"/>
      <w:r>
        <w:t xml:space="preserve"> tissue material that is released when trocars are removed or gas </w:t>
      </w:r>
      <w:proofErr w:type="spellStart"/>
      <w:r>
        <w:t>desufflation</w:t>
      </w:r>
      <w:proofErr w:type="spellEnd"/>
      <w:r>
        <w:t xml:space="preserve"> occurs. Mowbray et al. (2020) reviewed the evidence on SARS-CoV-2 transmission through surgical smoke during the pandemic and concluded that while direct evidence of viral transmission via this route remained limited at the time of publication, the theoretical risk was credible and warranted the universal adoption of smoke evacuation during laparoscopic procedures on patients with known or suspected COVID-19 infection. More broadly, the pandemic highlighted the inadequacy of existing smoke evacuation infrastructure and the need for systemic operational improvements in theatres worldwide.</w:t>
      </w:r>
    </w:p>
    <w:p w14:paraId="66501CF2" w14:textId="77777777" w:rsidR="00AA6DC3" w:rsidRDefault="00AA6DC3"/>
    <w:p w14:paraId="2A734A47" w14:textId="77777777" w:rsidR="00AA6DC3" w:rsidRDefault="006D4502">
      <w:pPr>
        <w:pStyle w:val="Heading1"/>
        <w:spacing w:before="300" w:after="120"/>
      </w:pPr>
      <w:r>
        <w:t>9.  Health Risks of Surgical Smoke Exposure for Operating Theatre Personnel</w:t>
      </w:r>
    </w:p>
    <w:p w14:paraId="23F561E2" w14:textId="77777777" w:rsidR="00AA6DC3" w:rsidRDefault="006D4502">
      <w:pPr>
        <w:pStyle w:val="Heading2"/>
        <w:spacing w:before="300"/>
      </w:pPr>
      <w:proofErr w:type="gramStart"/>
      <w:r>
        <w:t>9.1  Respiratory</w:t>
      </w:r>
      <w:proofErr w:type="gramEnd"/>
      <w:r>
        <w:t xml:space="preserve"> and Pulmonary Effects</w:t>
      </w:r>
    </w:p>
    <w:p w14:paraId="17B8D7A5" w14:textId="77777777" w:rsidR="00AA6DC3" w:rsidRDefault="006D4502">
      <w:pPr>
        <w:spacing w:after="120" w:line="360" w:lineRule="auto"/>
        <w:jc w:val="both"/>
      </w:pPr>
      <w:r>
        <w:t xml:space="preserve">The respiratory system represents the primary organ system at risk from surgical smoke inhalation, both because it is the direct route of particulate and gaseous entry and because the pulmonary tissue is uniquely sensitive to both chemical irritants and fine particulate deposition. Acute symptoms attributed to surgical smoke exposure — including coughing, throat irritation, </w:t>
      </w:r>
      <w:proofErr w:type="spellStart"/>
      <w:r>
        <w:t>rhinorrhoea</w:t>
      </w:r>
      <w:proofErr w:type="spellEnd"/>
      <w:r>
        <w:t xml:space="preserve">, eye watering, and headache — are reported with high frequency by theatre nurses, surgeons, and other perioperative personnel in survey studies (Steege et al., 2016). The high-velocity, finely </w:t>
      </w:r>
      <w:proofErr w:type="spellStart"/>
      <w:r>
        <w:t>aerosolised</w:t>
      </w:r>
      <w:proofErr w:type="spellEnd"/>
      <w:r>
        <w:t xml:space="preserve"> nature of surgical smoke particles, with their preponderance of ultrafine and submicron fractions, enables them to penetrate beyond the ciliary mucociliary clearance mechanisms of the upper respiratory tract into the respiratory bronchioles and alveoli, </w:t>
      </w:r>
      <w:r>
        <w:lastRenderedPageBreak/>
        <w:t xml:space="preserve">where their clearance is substantially slower and their potential for long-term pulmonary injury correspondingly greater. </w:t>
      </w:r>
      <w:proofErr w:type="spellStart"/>
      <w:r>
        <w:t>Okoshi</w:t>
      </w:r>
      <w:proofErr w:type="spellEnd"/>
      <w:r>
        <w:t xml:space="preserve"> et al. (2015) reviewed the epidemiological and toxicological evidence on surgical smoke health risks and identified an association between cumulative surgical smoke exposure and an increased risk of chronic pulmonary conditions, including asthma-like symptoms and occupational asthma, in heavily exposed theatre personnel such as perioperative nurses with long careers in high-volume operating theatres.</w:t>
      </w:r>
    </w:p>
    <w:p w14:paraId="2935A5CA" w14:textId="77777777" w:rsidR="00AA6DC3" w:rsidRDefault="006D4502">
      <w:pPr>
        <w:pStyle w:val="Heading2"/>
        <w:spacing w:before="300"/>
      </w:pPr>
      <w:proofErr w:type="gramStart"/>
      <w:r>
        <w:t>9.2  Carcinogenic</w:t>
      </w:r>
      <w:proofErr w:type="gramEnd"/>
      <w:r>
        <w:t xml:space="preserve"> Risk from Long-Term Exposure</w:t>
      </w:r>
    </w:p>
    <w:p w14:paraId="0A260FDA" w14:textId="77777777" w:rsidR="00AA6DC3" w:rsidRDefault="006D4502">
      <w:pPr>
        <w:spacing w:after="120" w:line="360" w:lineRule="auto"/>
        <w:jc w:val="both"/>
      </w:pPr>
      <w:r>
        <w:t xml:space="preserve">The carcinogenic potential of chronic surgical smoke exposure represents perhaps the most significant long-term health concern for operating theatre personnel. The combination of multiple established carcinogens — benzene, formaldehyde, polycyclic aromatic hydrocarbons, acrylonitrile, and others — within a single inhalable aerosol creates a complex carcinogenic exposure profile that is difficult to </w:t>
      </w:r>
      <w:proofErr w:type="spellStart"/>
      <w:r>
        <w:t>characterise</w:t>
      </w:r>
      <w:proofErr w:type="spellEnd"/>
      <w:r>
        <w:t xml:space="preserve"> with precision but clearly warrants precautionary action. Tseng et al. (2014) quantified the incremental lifetime cancer risk attributable to polycyclic aromatic hydrocarbon exposure from electrocautery smoke during mastectomy procedures, demonstrating that the calculated 70-year lifetime cancer risks for surgeons (117 × 10⁻⁶) and </w:t>
      </w:r>
      <w:proofErr w:type="spellStart"/>
      <w:r>
        <w:t>anaesthetic</w:t>
      </w:r>
      <w:proofErr w:type="spellEnd"/>
      <w:r>
        <w:t xml:space="preserve"> technologists (270 × 10⁻⁶) substantially exceeded the WHO recommended safety level of 1 × 10⁻⁶. Barrett and Garber (2003) noted in their foundational review that daily inhalation of surgical smoke without evacuation is toxicologically comparable in certain respects to smoking multiple cigarettes per day, an analogy that captures the magnitude of the cumulative exposure but should be understood as illustrative rather than strictly quantitative.</w:t>
      </w:r>
    </w:p>
    <w:p w14:paraId="713ACD06" w14:textId="77777777" w:rsidR="00AA6DC3" w:rsidRDefault="006D4502">
      <w:pPr>
        <w:spacing w:after="120" w:line="360" w:lineRule="auto"/>
        <w:jc w:val="both"/>
      </w:pPr>
      <w:r>
        <w:t xml:space="preserve">The available epidemiological literature on cancer outcomes in surgical personnel with occupational smoke exposure is constrained by small sample sizes, long latency periods, and the difficulty of controlling for confounding exposures. Nevertheless, the weight of the toxicological evidence — confirming the presence of International Agency for Research on Cancer Group 1 carcinogens in surgical smoke at measurable concentrations — is considered sufficient to justify a preventive approach based on the precautionary principle, as endorsed by multiple occupational health </w:t>
      </w:r>
      <w:proofErr w:type="spellStart"/>
      <w:r>
        <w:t>organisations</w:t>
      </w:r>
      <w:proofErr w:type="spellEnd"/>
      <w:r>
        <w:t xml:space="preserve"> and professional societies (Mowbray et al., 2013; Ulmer, 2008).</w:t>
      </w:r>
    </w:p>
    <w:p w14:paraId="77D84D2C" w14:textId="77777777" w:rsidR="00AA6DC3" w:rsidRDefault="006D4502">
      <w:pPr>
        <w:pStyle w:val="Heading2"/>
        <w:spacing w:before="300"/>
      </w:pPr>
      <w:proofErr w:type="gramStart"/>
      <w:r>
        <w:t>9.3  Occupational</w:t>
      </w:r>
      <w:proofErr w:type="gramEnd"/>
      <w:r>
        <w:t xml:space="preserve"> Exposure Surveys and the Scale of the Problem</w:t>
      </w:r>
    </w:p>
    <w:p w14:paraId="401583B3" w14:textId="77777777" w:rsidR="00AA6DC3" w:rsidRDefault="006D4502">
      <w:pPr>
        <w:spacing w:after="120" w:line="360" w:lineRule="auto"/>
        <w:jc w:val="both"/>
      </w:pPr>
      <w:r>
        <w:lastRenderedPageBreak/>
        <w:t xml:space="preserve">The scale of occupational exposure to surgical smoke among theatre personnel is substantial and globally underappreciated. Steege et al. (2016), reporting data from the National Institute for Occupational Safety and Health (NIOSH) Health and Safety Practices Survey of Healthcare Workers in the United States, documented that of 4,533 respondents who worked within five feet of a surgical smoke source, only 14% reported that local exhaust ventilation was always used during electrosurgery procedures, while 47% reported its use during laser surgery. This persistent disparity between the evidence-based recommendation for universal smoke evacuation and actual clinical practice represents a systemic failure across institutional, regulatory, and professional dimensions. The survey identified the absence of mandatory regulatory requirements, the perceived inconvenience and additional procedural complexity of smoke evacuation, insufficient awareness of the hazards, and the </w:t>
      </w:r>
      <w:proofErr w:type="spellStart"/>
      <w:r>
        <w:t>normalisation</w:t>
      </w:r>
      <w:proofErr w:type="spellEnd"/>
      <w:r>
        <w:t xml:space="preserve"> of smoke exposure as the principal barriers to adoption. These findings have been replicated in studies conducted in the United Kingdom, Germany, Japan, and Australia, indicating that suboptimal smoke evacuation practices are an international rather than country-specific phenomenon (</w:t>
      </w:r>
      <w:proofErr w:type="spellStart"/>
      <w:r>
        <w:t>Okoshi</w:t>
      </w:r>
      <w:proofErr w:type="spellEnd"/>
      <w:r>
        <w:t xml:space="preserve"> et al., 2015).</w:t>
      </w:r>
    </w:p>
    <w:p w14:paraId="146A4777" w14:textId="77777777" w:rsidR="00AA6DC3" w:rsidRDefault="00AA6DC3"/>
    <w:p w14:paraId="4C44671D" w14:textId="77777777" w:rsidR="00AA6DC3" w:rsidRDefault="006D4502">
      <w:pPr>
        <w:pStyle w:val="Heading1"/>
        <w:spacing w:before="300" w:after="120"/>
      </w:pPr>
      <w:r>
        <w:t>10.  Smoke Safety: Strategies for Management and Mitigation</w:t>
      </w:r>
    </w:p>
    <w:p w14:paraId="773496ED" w14:textId="77777777" w:rsidR="00AA6DC3" w:rsidRDefault="006D4502">
      <w:pPr>
        <w:pStyle w:val="Heading2"/>
        <w:spacing w:before="300"/>
      </w:pPr>
      <w:proofErr w:type="gramStart"/>
      <w:r>
        <w:t>10.1  Smoke</w:t>
      </w:r>
      <w:proofErr w:type="gramEnd"/>
      <w:r>
        <w:t xml:space="preserve"> Evacuation Systems</w:t>
      </w:r>
    </w:p>
    <w:p w14:paraId="378F08AB" w14:textId="77777777" w:rsidR="00AA6DC3" w:rsidRDefault="006D4502">
      <w:pPr>
        <w:spacing w:after="120" w:line="360" w:lineRule="auto"/>
        <w:jc w:val="both"/>
      </w:pPr>
      <w:r>
        <w:t xml:space="preserve">The most effective and most consistently recommended primary intervention for reducing surgical smoke exposure in the operating theatre is the deployment of local exhaust ventilation — specifically, smoke evacuators equipped with high-efficiency particulate air (HEPA) and activated charcoal filtration. Dedicated surgical smoke evacuation units are designed to capture </w:t>
      </w:r>
      <w:proofErr w:type="spellStart"/>
      <w:r>
        <w:t>aerosolised</w:t>
      </w:r>
      <w:proofErr w:type="spellEnd"/>
      <w:r>
        <w:t xml:space="preserve"> particles and gaseous compounds at or near the point of generation, before they disperse into the wider theatre environment. The Association of </w:t>
      </w:r>
      <w:proofErr w:type="spellStart"/>
      <w:r>
        <w:t>periOperative</w:t>
      </w:r>
      <w:proofErr w:type="spellEnd"/>
      <w:r>
        <w:t xml:space="preserve"> Registered Nurses (AORN) and NIOSH have long recommended that the intake of the smoke evacuator be positioned within five </w:t>
      </w:r>
      <w:proofErr w:type="spellStart"/>
      <w:r>
        <w:t>centimetres</w:t>
      </w:r>
      <w:proofErr w:type="spellEnd"/>
      <w:r>
        <w:t xml:space="preserve"> of the smoke source to achieve maximum capture efficiency (Ulmer, 2008). High-efficiency filtration systems combining HEPA filters — capable of capturing 99.97% of particles 0.3 </w:t>
      </w:r>
      <w:proofErr w:type="spellStart"/>
      <w:r>
        <w:t>μm</w:t>
      </w:r>
      <w:proofErr w:type="spellEnd"/>
      <w:r>
        <w:t xml:space="preserve"> in diameter or larger — with activated charcoal impregnated layers for the adsorption of gaseous organic compounds are necessary for effective </w:t>
      </w:r>
      <w:proofErr w:type="spellStart"/>
      <w:r>
        <w:t>neutralisation</w:t>
      </w:r>
      <w:proofErr w:type="spellEnd"/>
      <w:r>
        <w:t xml:space="preserve"> of both the particulate and chemical fractions of surgical smoke.</w:t>
      </w:r>
    </w:p>
    <w:p w14:paraId="054C6AA8" w14:textId="77777777" w:rsidR="00AA6DC3" w:rsidRDefault="006D4502">
      <w:pPr>
        <w:spacing w:after="120" w:line="360" w:lineRule="auto"/>
        <w:jc w:val="both"/>
      </w:pPr>
      <w:r>
        <w:lastRenderedPageBreak/>
        <w:t xml:space="preserve">In laparoscopic surgery, standard smoke evacuators used in open surgery are not directly applicable because the smoke is contained within the insufflated pneumoperitoneum. </w:t>
      </w:r>
      <w:proofErr w:type="spellStart"/>
      <w:r>
        <w:t>Specialised</w:t>
      </w:r>
      <w:proofErr w:type="spellEnd"/>
      <w:r>
        <w:t xml:space="preserve"> laparoscopic trocar and insufflator systems incorporating inline filtration and smoke evacuation have been developed for this context, and several commercial platforms now include integrated smoke evacuation capacity within the laparoscopic port system. The clinical implementation of these systems requires specific procedural protocols, including the maintenance of trocar seals and controlled </w:t>
      </w:r>
      <w:proofErr w:type="spellStart"/>
      <w:r>
        <w:t>desufflation</w:t>
      </w:r>
      <w:proofErr w:type="spellEnd"/>
      <w:r>
        <w:t xml:space="preserve"> with inline filtration rather than open venting. The COVID-19 pandemic accelerated the uptake of these technologies in many </w:t>
      </w:r>
      <w:proofErr w:type="spellStart"/>
      <w:r>
        <w:t>centres</w:t>
      </w:r>
      <w:proofErr w:type="spellEnd"/>
      <w:r>
        <w:t>, though variability in adoption remains high (Mowbray et al., 2020).</w:t>
      </w:r>
    </w:p>
    <w:p w14:paraId="5FA45D09" w14:textId="77777777" w:rsidR="00AA6DC3" w:rsidRDefault="006D4502">
      <w:pPr>
        <w:pStyle w:val="Heading2"/>
        <w:spacing w:before="300"/>
      </w:pPr>
      <w:proofErr w:type="gramStart"/>
      <w:r>
        <w:t>10.2  Personal</w:t>
      </w:r>
      <w:proofErr w:type="gramEnd"/>
      <w:r>
        <w:t xml:space="preserve"> Protective Equipment</w:t>
      </w:r>
    </w:p>
    <w:p w14:paraId="3F921057" w14:textId="77777777" w:rsidR="00AA6DC3" w:rsidRDefault="006D4502">
      <w:pPr>
        <w:spacing w:after="120" w:line="360" w:lineRule="auto"/>
        <w:jc w:val="both"/>
      </w:pPr>
      <w:r>
        <w:t xml:space="preserve">Standard surgical masks, which are designed primarily to protect the patient from microbial contamination from the surgical team rather than to protect the surgeon from inhaled hazards, offer inadequate filtration against submicron surgical smoke particles. The filtration efficiency of standard surgical masks against particles in the 0.1–0.3 </w:t>
      </w:r>
      <w:proofErr w:type="spellStart"/>
      <w:r>
        <w:t>μm</w:t>
      </w:r>
      <w:proofErr w:type="spellEnd"/>
      <w:r>
        <w:t xml:space="preserve"> range — a size category well represented in surgical smoke — is typically below 30%, and their fit characteristics provide little resistance to bypass leakage around the seal. While N95 and FFP2/FFP3 respirators provide substantially superior particle filtration (at least 95% for N95 against 0.3 </w:t>
      </w:r>
      <w:proofErr w:type="spellStart"/>
      <w:r>
        <w:t>μm</w:t>
      </w:r>
      <w:proofErr w:type="spellEnd"/>
      <w:r>
        <w:t xml:space="preserve"> particles), they represent a second-line complementary measure rather than a substitute for primary source control through smoke evacuation (Mowbray et al., 2013).</w:t>
      </w:r>
    </w:p>
    <w:p w14:paraId="6189ACED" w14:textId="77777777" w:rsidR="00AA6DC3" w:rsidRDefault="006D4502">
      <w:pPr>
        <w:spacing w:after="120" w:line="360" w:lineRule="auto"/>
        <w:jc w:val="both"/>
      </w:pPr>
      <w:r>
        <w:t xml:space="preserve">The position of the surgeon relative to the smoke source is an important modifiable determinant of personal exposure. Surgeons working in open surgery who hold the active electrode in direct contact with tissue are exposed to substantially higher concentrations of surgical smoke than colleagues positioned even a short distance from the operative field. Educational campaigns encouraging surgeons to </w:t>
      </w:r>
      <w:proofErr w:type="spellStart"/>
      <w:r>
        <w:t>maximise</w:t>
      </w:r>
      <w:proofErr w:type="spellEnd"/>
      <w:r>
        <w:t xml:space="preserve"> the distance between their face and the smoke plume during electrosurgery, to direct smoke away from their own breathing zone wherever anatomically feasible, and to </w:t>
      </w:r>
      <w:proofErr w:type="spellStart"/>
      <w:r>
        <w:t>minimise</w:t>
      </w:r>
      <w:proofErr w:type="spellEnd"/>
      <w:r>
        <w:t xml:space="preserve"> unnecessary prolonged activations of the electrosurgical instrument represent practical and low-cost </w:t>
      </w:r>
      <w:proofErr w:type="spellStart"/>
      <w:r>
        <w:t>behavioural</w:t>
      </w:r>
      <w:proofErr w:type="spellEnd"/>
      <w:r>
        <w:t xml:space="preserve"> interventions that can reduce personal exposure in the absence of formal evacuation systems.</w:t>
      </w:r>
    </w:p>
    <w:p w14:paraId="79BBD956" w14:textId="77777777" w:rsidR="00AA6DC3" w:rsidRDefault="006D4502">
      <w:pPr>
        <w:pStyle w:val="Heading2"/>
        <w:spacing w:before="300"/>
      </w:pPr>
      <w:proofErr w:type="gramStart"/>
      <w:r>
        <w:t>10.3  Institutional</w:t>
      </w:r>
      <w:proofErr w:type="gramEnd"/>
      <w:r>
        <w:t xml:space="preserve"> Guidelines and Regulatory Landscape</w:t>
      </w:r>
    </w:p>
    <w:p w14:paraId="368D9EE5" w14:textId="77777777" w:rsidR="00AA6DC3" w:rsidRDefault="006D4502">
      <w:pPr>
        <w:spacing w:after="120" w:line="360" w:lineRule="auto"/>
        <w:jc w:val="both"/>
      </w:pPr>
      <w:r>
        <w:lastRenderedPageBreak/>
        <w:t xml:space="preserve">The regulatory and professional society landscape governing surgical smoke safety has evolved substantially over the past two decades, though the absence of mandatory legislative requirements in most jurisdictions remains a significant obstacle to universal compliance. In the United States, NIOSH published its guidance document on the control of surgical smoke in 1996, and the Occupational Safety and Health Administration (OSHA) has acknowledged surgical smoke as a </w:t>
      </w:r>
      <w:proofErr w:type="spellStart"/>
      <w:r>
        <w:t>recognised</w:t>
      </w:r>
      <w:proofErr w:type="spellEnd"/>
      <w:r>
        <w:t xml:space="preserve"> occupational hazard subject to the General Duty Clause of the Occupational Safety and Health Act. However, as of the time of writing, no specific federal regulation mandates smoke evacuation in all US operating theatres, though a growing number of individual states have enacted smoke-free operating room legislation. In the United Kingdom, the NHS has issued guidance on managing the risks of surgical smoke, and professional bodies including the Association of </w:t>
      </w:r>
      <w:proofErr w:type="spellStart"/>
      <w:r>
        <w:t>Anaesthetists</w:t>
      </w:r>
      <w:proofErr w:type="spellEnd"/>
      <w:r>
        <w:t xml:space="preserve"> and the College of Operating Department Practitioners have incorporated smoke safety within their published guidelines for theatre safety. AORN has maintained its Guideline for Surgical Smoke Safety as a component of its Perioperative Standards and Recommended Practices since the 1990s, most recently updated in 2021 with strengthened recommendations for universal smoke evacuation across all energy-based procedures (Ulmer, 2008; Steege et al., 2016).</w:t>
      </w:r>
    </w:p>
    <w:p w14:paraId="72158B55" w14:textId="77777777" w:rsidR="00AA6DC3" w:rsidRDefault="00AA6DC3"/>
    <w:p w14:paraId="3F8F3B68" w14:textId="77777777" w:rsidR="00AA6DC3" w:rsidRDefault="006D4502">
      <w:pPr>
        <w:pStyle w:val="Heading1"/>
        <w:spacing w:before="300" w:after="120"/>
      </w:pPr>
      <w:r>
        <w:t>11.  Training and Education in Electrosurgical Safety</w:t>
      </w:r>
    </w:p>
    <w:p w14:paraId="74E6E49D" w14:textId="77777777" w:rsidR="00AA6DC3" w:rsidRDefault="006D4502">
      <w:pPr>
        <w:spacing w:after="120" w:line="360" w:lineRule="auto"/>
        <w:jc w:val="both"/>
      </w:pPr>
      <w:r>
        <w:t xml:space="preserve">The evidence base documenting knowledge deficits in surgical energy safety among </w:t>
      </w:r>
      <w:proofErr w:type="spellStart"/>
      <w:r>
        <w:t>practising</w:t>
      </w:r>
      <w:proofErr w:type="spellEnd"/>
      <w:r>
        <w:t xml:space="preserve"> surgeons and trainees is substantial and consistent. Feldman et al. (2012), in a pivotal study conducted as part of the development of the FUSE curriculum, administered an 11-item multiple-choice examination on critical electrosurgery knowledge to a cohort of 48 senior members of the Society of American Gastrointestinal and Endoscopic Surgeons — including board members, Quality, Outcomes and Safety Committee members, and FUSE Task Force members who might be expected to have above-average familiarity with these devices. The median score was only 59% correct (IQR 55–73%), revealing significant knowledge gaps in areas including the management of operating theatre fires, identification of devices least likely to interfere with cardiac pacemakers, and understanding of the extent of thermal injury associated with bipolar instruments. A large-scale </w:t>
      </w:r>
      <w:proofErr w:type="spellStart"/>
      <w:r>
        <w:t>multicentre</w:t>
      </w:r>
      <w:proofErr w:type="spellEnd"/>
      <w:r>
        <w:t xml:space="preserve"> cross-sectional study by Watanabe et al. (2016), conducted across multiple surgical training </w:t>
      </w:r>
      <w:proofErr w:type="spellStart"/>
      <w:r>
        <w:t>programmes</w:t>
      </w:r>
      <w:proofErr w:type="spellEnd"/>
      <w:r>
        <w:t xml:space="preserve"> in Japan, extended these findings to </w:t>
      </w:r>
      <w:r>
        <w:lastRenderedPageBreak/>
        <w:t>confirm that knowledge gaps persisted across varying levels of seniority and across general surgical, urological, and gastroenterological subspecialties.</w:t>
      </w:r>
    </w:p>
    <w:p w14:paraId="58DD4116" w14:textId="77777777" w:rsidR="00AA6DC3" w:rsidRDefault="006D4502">
      <w:pPr>
        <w:spacing w:after="120" w:line="360" w:lineRule="auto"/>
        <w:jc w:val="both"/>
      </w:pPr>
      <w:r>
        <w:t xml:space="preserve">The SAGES FUSE (Fundamental Use of Surgical Energy) </w:t>
      </w:r>
      <w:proofErr w:type="spellStart"/>
      <w:r>
        <w:t>programme</w:t>
      </w:r>
      <w:proofErr w:type="spellEnd"/>
      <w:r>
        <w:t xml:space="preserve">, launched formally in 2012, represents the most comprehensive structured educational initiative addressing surgical energy safety to date. The </w:t>
      </w:r>
      <w:proofErr w:type="spellStart"/>
      <w:r>
        <w:t>programme</w:t>
      </w:r>
      <w:proofErr w:type="spellEnd"/>
      <w:r>
        <w:t xml:space="preserve"> encompasses an online didactic curriculum, a simulation-based skills laboratory component, and a formal certification examination, covering principles of electrosurgery, mechanisms of adverse events, monopolar and bipolar device-specific hazards, radiofrequency interference with implantable devices, and operating room fire prevention. Controlled educational research has confirmed that completion of the FUSE curriculum is associated with statistically significant improvements in knowledge assessment scores, with the addition of a hands-on simulation component providing incremental benefit over didactic instruction alone (Feldman et al., 2012; Watanabe et al., 2016). Critically, FUSE certification has been associated with sustained knowledge retention at one-year follow-up, supporting the educational model of structured simulation-based learning over passive knowledge transmission.</w:t>
      </w:r>
    </w:p>
    <w:p w14:paraId="3B16D21E" w14:textId="77777777" w:rsidR="00AA6DC3" w:rsidRDefault="006D4502">
      <w:pPr>
        <w:spacing w:after="120" w:line="360" w:lineRule="auto"/>
        <w:jc w:val="both"/>
      </w:pPr>
      <w:r>
        <w:t xml:space="preserve">The integration of surgical smoke safety education within FUSE and analogous curricula has not historically been as prominent as device-specific electrical safety content, a gap that has been highlighted in several recent commentaries and calls to action. Given that the same electrosurgical instruments responsible for the electrical hazards addressed by FUSE are also the primary generators of surgical smoke, a logically integrated approach to surgical energy safety education should encompass both domains within a unified curriculum framework. The ongoing updating of the FUSE </w:t>
      </w:r>
      <w:proofErr w:type="spellStart"/>
      <w:r>
        <w:t>programme</w:t>
      </w:r>
      <w:proofErr w:type="spellEnd"/>
      <w:r>
        <w:t>, combined with the growing adoption of smoke safety modules within perioperative nursing education, offers a pathway toward a more comprehensive safety culture in the operating theatre.</w:t>
      </w:r>
    </w:p>
    <w:p w14:paraId="75879CAA" w14:textId="77777777" w:rsidR="00AA6DC3" w:rsidRDefault="00AA6DC3"/>
    <w:p w14:paraId="6E9228CE" w14:textId="77777777" w:rsidR="00AA6DC3" w:rsidRDefault="006D4502">
      <w:pPr>
        <w:pStyle w:val="Heading1"/>
        <w:spacing w:before="300" w:after="120"/>
      </w:pPr>
      <w:r>
        <w:t>12.  Future Directions</w:t>
      </w:r>
    </w:p>
    <w:p w14:paraId="78345B32" w14:textId="77777777" w:rsidR="00AA6DC3" w:rsidRDefault="006D4502">
      <w:pPr>
        <w:spacing w:after="120" w:line="360" w:lineRule="auto"/>
        <w:jc w:val="both"/>
      </w:pPr>
      <w:r>
        <w:t xml:space="preserve">The field of electrosurgical technology continues to advance rapidly, with several emerging developments likely to alter the comparative landscape between monopolar and bipolar modalities and to transform the management of surgical smoke. Next-generation intelligent electrosurgical generators incorporating real-time tissue impedance sensing, machine learning-based waveform </w:t>
      </w:r>
      <w:proofErr w:type="spellStart"/>
      <w:r>
        <w:t>optimisation</w:t>
      </w:r>
      <w:proofErr w:type="spellEnd"/>
      <w:r>
        <w:t xml:space="preserve">, and integrated thermal imaging are under development with the </w:t>
      </w:r>
      <w:r>
        <w:lastRenderedPageBreak/>
        <w:t>aim of producing the desired tissue effect with the minimum thermal energy input — a design philosophy that would simultaneously reduce lateral thermal spread and smoke generation. Preliminary experimental studies have demonstrated that novel electrode materials including PTFE-coated blades and dielectric-focused electrode geometries can achieve comparable cutting efficacy to conventional monopolar electrodes at substantially lower temperatures, potentially reducing both thermal injury depth and smoke production.</w:t>
      </w:r>
    </w:p>
    <w:p w14:paraId="0B9B90D1" w14:textId="77777777" w:rsidR="00AA6DC3" w:rsidRDefault="006D4502">
      <w:pPr>
        <w:spacing w:after="120" w:line="360" w:lineRule="auto"/>
        <w:jc w:val="both"/>
      </w:pPr>
      <w:r>
        <w:t xml:space="preserve">In the domain of surgical smoke, the development and evaluation of integrated laparoscopic smoke evacuation systems that function seamlessly within existing trocar platforms represents an active area of commercial and clinical research, driven in part by the regulatory momentum following the COVID-19 pandemic. </w:t>
      </w:r>
      <w:proofErr w:type="spellStart"/>
      <w:r>
        <w:t>Standardised</w:t>
      </w:r>
      <w:proofErr w:type="spellEnd"/>
      <w:r>
        <w:t xml:space="preserve"> quantification methods for surgical smoke exposure — including personal sampling protocols, real-time air quality monitoring using portable particle counters and volatile organic compound sensors, and biological exposure monitoring through urinary metabolite assays — are being refined with the aim of providing objective exposure data to support evidence-based regulatory decisions and institutional policies.</w:t>
      </w:r>
    </w:p>
    <w:p w14:paraId="6A0F5AF2" w14:textId="77777777" w:rsidR="00AA6DC3" w:rsidRDefault="006D4502">
      <w:pPr>
        <w:spacing w:after="120" w:line="360" w:lineRule="auto"/>
        <w:jc w:val="both"/>
      </w:pPr>
      <w:r>
        <w:t xml:space="preserve">From an educational perspective, the application of virtual and augmented reality simulation to electrosurgery training holds promise for providing surgeons with immersive, risk-free practice environments in which the consequences of insulation failure, capacitive coupling, and dispersive electrode malfunction can be safely experienced and </w:t>
      </w:r>
      <w:proofErr w:type="spellStart"/>
      <w:r>
        <w:t>internalised</w:t>
      </w:r>
      <w:proofErr w:type="spellEnd"/>
      <w:r>
        <w:t xml:space="preserve">. The longitudinal integration of surgical energy safety — encompassing both electrosurgical complication prevention and smoke hazard awareness — into surgical undergraduate and postgraduate curricula at a global scale represents a priority that professional surgical and nursing societies are increasingly </w:t>
      </w:r>
      <w:proofErr w:type="spellStart"/>
      <w:r>
        <w:t>recognising</w:t>
      </w:r>
      <w:proofErr w:type="spellEnd"/>
      <w:r>
        <w:t xml:space="preserve"> and working to address.</w:t>
      </w:r>
    </w:p>
    <w:p w14:paraId="6A20D884" w14:textId="77777777" w:rsidR="00AA6DC3" w:rsidRDefault="00AA6DC3"/>
    <w:p w14:paraId="091F41A8" w14:textId="77777777" w:rsidR="00AA6DC3" w:rsidRDefault="006D4502">
      <w:pPr>
        <w:pStyle w:val="Heading1"/>
        <w:spacing w:before="300" w:after="120"/>
      </w:pPr>
      <w:r>
        <w:t>13.  Conclusions</w:t>
      </w:r>
    </w:p>
    <w:p w14:paraId="0F268D9F" w14:textId="77777777" w:rsidR="00AA6DC3" w:rsidRDefault="006D4502">
      <w:pPr>
        <w:spacing w:after="120" w:line="360" w:lineRule="auto"/>
        <w:jc w:val="both"/>
      </w:pPr>
      <w:r>
        <w:t xml:space="preserve">Electrocautery, in its monopolar and bipolar configurations, remains central to the safe and efficient conduct of general surgery in the twenty-first century. Monopolar electrosurgery offers unparalleled versatility across cutting, coagulation, and fulguration functions but carries a significantly greater propensity for lateral thermal spread, remote electrical injury, and surgical smoke generation compared with bipolar and advanced bipolar systems. Bipolar electrosurgery, and particularly advanced bipolar vessel-sealing platforms, delivers superior thermal precision </w:t>
      </w:r>
      <w:r>
        <w:lastRenderedPageBreak/>
        <w:t xml:space="preserve">and </w:t>
      </w:r>
      <w:proofErr w:type="spellStart"/>
      <w:r>
        <w:t>haemostatic</w:t>
      </w:r>
      <w:proofErr w:type="spellEnd"/>
      <w:r>
        <w:t xml:space="preserve"> reliability for proximity-sensitive anatomical contexts and represents the preferred modality when collateral injury to adjacent vital structures cannot be tolerated. The optimal clinical strategy involves the thoughtful, context-dependent selection between modalities, guided by a thorough understanding of their respective biophysical principles and complication profiles.</w:t>
      </w:r>
    </w:p>
    <w:p w14:paraId="5513BA18" w14:textId="77777777" w:rsidR="00AA6DC3" w:rsidRDefault="006D4502">
      <w:pPr>
        <w:spacing w:after="120" w:line="360" w:lineRule="auto"/>
        <w:jc w:val="both"/>
      </w:pPr>
      <w:r>
        <w:t>Surgical smoke generated by electrocautery devices represents an underappreciated occupational health hazard of significant magnitude. Its chemical constituents include established Group 1 carcinogens and respiratory toxins; its particulate fraction encompasses ultrafine particles capable of deep pulmonary penetration; and its biological fraction carries the theoretical and documented potential for infectious transmission. Despite decades of published evidence on these hazards and consistent professional society guidance recommending universal smoke evacuation, compliance rates globally remain far below the levels necessary for adequate protection of theatre personnel. Closing this gap requires a multifaceted response encompassing mandatory institutional smoke evacuation protocols, enhanced perioperative education on smoke hazards, better infrastructure investment in evacuation technology, and — ultimately — regulatory mandates with enforcement mechanisms commensurate with the scale of the occupational risk.</w:t>
      </w:r>
    </w:p>
    <w:p w14:paraId="70D7006F" w14:textId="77777777" w:rsidR="00AA6DC3" w:rsidRDefault="006D4502">
      <w:pPr>
        <w:spacing w:after="120" w:line="360" w:lineRule="auto"/>
        <w:jc w:val="both"/>
      </w:pPr>
      <w:r>
        <w:t xml:space="preserve">The persistent knowledge gaps in electrosurgical safety identified across multiple international cohorts of </w:t>
      </w:r>
      <w:proofErr w:type="spellStart"/>
      <w:r>
        <w:t>practising</w:t>
      </w:r>
      <w:proofErr w:type="spellEnd"/>
      <w:r>
        <w:t xml:space="preserve"> surgeons underscore the need for structured, mandatory education in surgical energy principles, integrated within both undergraduate medical curricula and postgraduate surgical training </w:t>
      </w:r>
      <w:proofErr w:type="spellStart"/>
      <w:r>
        <w:t>programmes</w:t>
      </w:r>
      <w:proofErr w:type="spellEnd"/>
      <w:r>
        <w:t xml:space="preserve">. The FUSE curriculum provides a validated and effective framework for this education, and its broader adoption — alongside parallel initiatives in perioperative nursing and </w:t>
      </w:r>
      <w:proofErr w:type="spellStart"/>
      <w:r>
        <w:t>anaesthetic</w:t>
      </w:r>
      <w:proofErr w:type="spellEnd"/>
      <w:r>
        <w:t xml:space="preserve"> practice — offers the most promising near-term pathway to meaningful improvement in operating theatre safety culture.</w:t>
      </w:r>
    </w:p>
    <w:p w14:paraId="03389ABD" w14:textId="77777777" w:rsidR="00AA6DC3" w:rsidRDefault="00AA6DC3"/>
    <w:p w14:paraId="2D94F43E" w14:textId="77777777" w:rsidR="00AA6DC3" w:rsidRDefault="006D4502">
      <w:pPr>
        <w:pStyle w:val="Heading1"/>
        <w:spacing w:before="300" w:after="120"/>
      </w:pPr>
      <w:r>
        <w:t>14.  Limitations</w:t>
      </w:r>
    </w:p>
    <w:p w14:paraId="466AAF1D" w14:textId="77777777" w:rsidR="00AA6DC3" w:rsidRDefault="006D4502">
      <w:pPr>
        <w:spacing w:after="120" w:line="360" w:lineRule="auto"/>
        <w:jc w:val="both"/>
      </w:pPr>
      <w:r>
        <w:t xml:space="preserve">This review has several methodological limitations that should be acknowledged when interpreting its conclusions. As a narrative rather than systematic review, it does not employ a comprehensive, reproducible search protocol or formal quality appraisal of included studies, and the selection of literature — while conducted with the aim of comprehensiveness and </w:t>
      </w:r>
      <w:r>
        <w:lastRenderedPageBreak/>
        <w:t xml:space="preserve">representativeness — may reflect the authors' own judgements regarding relevance and methodological </w:t>
      </w:r>
      <w:proofErr w:type="spellStart"/>
      <w:r>
        <w:t>rigour</w:t>
      </w:r>
      <w:proofErr w:type="spellEnd"/>
      <w:r>
        <w:t>. The body of evidence on comparative electrocautery performance is itself heterogeneous, with many studies conducted in ex vivo animal tissue models or under controlled laboratory conditions that may not fully replicate the complexity of in vivo surgical procedures, the variability of human tissue characteristics, or the real-world influence of operator technique and device maintenance on clinical outcomes.</w:t>
      </w:r>
    </w:p>
    <w:p w14:paraId="05CCCC0C" w14:textId="77777777" w:rsidR="00AA6DC3" w:rsidRDefault="006D4502">
      <w:pPr>
        <w:spacing w:after="120" w:line="360" w:lineRule="auto"/>
        <w:jc w:val="both"/>
      </w:pPr>
      <w:r>
        <w:t xml:space="preserve">With respect to the surgical smoke evidence base, the long latency periods for carcinogenesis, the difficulty of isolating surgical smoke exposure from other occupational exposures in cohort studies, and the ethical constraints on controlled human exposure studies combine to limit the strength of causal inferences that can currently be drawn between occupational smoke exposure and specific adverse health outcomes. Much of the risk assessment in this domain therefore relies on extrapolation from toxicological </w:t>
      </w:r>
      <w:proofErr w:type="spellStart"/>
      <w:r>
        <w:t>characterisation</w:t>
      </w:r>
      <w:proofErr w:type="spellEnd"/>
      <w:r>
        <w:t xml:space="preserve"> of known constituents and comparison with occupational exposure limits established for individual chemical compounds in other industrial settings, an approach that may either over- or underestimate the actual integrated health risk of complex mixed aerosol inhalation in the surgical context. Finally, the pace of technological development in both electrosurgical device design and smoke evacuation systems means that some specific technical comparisons reported in the referenced literature may become partially outdated as new platforms enter clinical use.</w:t>
      </w:r>
    </w:p>
    <w:p w14:paraId="2B2FD374" w14:textId="77777777" w:rsidR="00891700" w:rsidRDefault="00891700">
      <w:pPr>
        <w:spacing w:after="120" w:line="360" w:lineRule="auto"/>
        <w:jc w:val="both"/>
      </w:pPr>
    </w:p>
    <w:p w14:paraId="14BC9A72" w14:textId="77777777" w:rsidR="00891700" w:rsidRDefault="00891700">
      <w:pPr>
        <w:spacing w:after="120" w:line="360" w:lineRule="auto"/>
        <w:jc w:val="both"/>
      </w:pPr>
    </w:p>
    <w:p w14:paraId="3629A7D7" w14:textId="77777777" w:rsidR="00891700" w:rsidRDefault="00891700" w:rsidP="00891700">
      <w:pPr>
        <w:spacing w:after="120" w:line="360" w:lineRule="auto"/>
        <w:jc w:val="both"/>
      </w:pPr>
      <w:r>
        <w:t>COMPETING INTERESTS DISCLAIMER:</w:t>
      </w:r>
    </w:p>
    <w:p w14:paraId="4FE726ED" w14:textId="7718B4C6" w:rsidR="00891700" w:rsidRDefault="00891700" w:rsidP="00891700">
      <w:pPr>
        <w:spacing w:after="120" w:line="360" w:lineRule="auto"/>
        <w:jc w:val="both"/>
      </w:pPr>
      <w:r>
        <w:t>Authors have declared that they have no known competing financial interests OR non-financial interests OR personal relationships that could have appeared to influence the work reported in this paper.</w:t>
      </w:r>
    </w:p>
    <w:p w14:paraId="70A1554B" w14:textId="77777777" w:rsidR="00D021C0" w:rsidRPr="00005ED1" w:rsidRDefault="00D021C0" w:rsidP="00D021C0">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78521DD9" w14:textId="77777777" w:rsidR="00D021C0" w:rsidRPr="00005ED1" w:rsidRDefault="00D021C0" w:rsidP="00D021C0">
      <w:pPr>
        <w:pStyle w:val="NoSpacing"/>
        <w:rPr>
          <w:rFonts w:ascii="Arial" w:hAnsi="Arial" w:cs="Arial"/>
          <w:highlight w:val="yellow"/>
        </w:rPr>
      </w:pPr>
    </w:p>
    <w:p w14:paraId="014FF490" w14:textId="77777777" w:rsidR="00D021C0" w:rsidRPr="00005ED1" w:rsidRDefault="00D021C0" w:rsidP="00D021C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7365ECFC" w14:textId="77777777" w:rsidR="00D021C0" w:rsidRDefault="00D021C0" w:rsidP="00D021C0">
      <w:pPr>
        <w:pStyle w:val="NoSpacing"/>
        <w:rPr>
          <w:rFonts w:ascii="Arial" w:hAnsi="Arial" w:cs="Arial"/>
        </w:rPr>
      </w:pPr>
    </w:p>
    <w:p w14:paraId="284173FD" w14:textId="77777777" w:rsidR="00D021C0" w:rsidRDefault="00D021C0" w:rsidP="00D021C0">
      <w:pPr>
        <w:pStyle w:val="NoSpacing"/>
        <w:rPr>
          <w:rFonts w:ascii="Arial" w:hAnsi="Arial" w:cs="Arial"/>
        </w:rPr>
      </w:pPr>
    </w:p>
    <w:p w14:paraId="720B7A43" w14:textId="77777777" w:rsidR="00D021C0" w:rsidRPr="00005ED1" w:rsidRDefault="00D021C0" w:rsidP="00D021C0">
      <w:pPr>
        <w:pStyle w:val="NoSpacing"/>
        <w:rPr>
          <w:rFonts w:ascii="Arial" w:hAnsi="Arial" w:cs="Arial"/>
        </w:rPr>
      </w:pPr>
    </w:p>
    <w:p w14:paraId="1CBC9A0A" w14:textId="77777777" w:rsidR="00AA6DC3" w:rsidRDefault="00AA6DC3"/>
    <w:p w14:paraId="0A6E3585" w14:textId="77777777" w:rsidR="00AA6DC3" w:rsidRDefault="006D4502">
      <w:pPr>
        <w:pStyle w:val="Heading1"/>
        <w:spacing w:before="300" w:after="120"/>
      </w:pPr>
      <w:r>
        <w:lastRenderedPageBreak/>
        <w:t>References</w:t>
      </w:r>
    </w:p>
    <w:p w14:paraId="4107F886" w14:textId="77777777" w:rsidR="00AA6DC3" w:rsidRDefault="006D4502" w:rsidP="0035168F">
      <w:pPr>
        <w:spacing w:after="60" w:line="360" w:lineRule="auto"/>
        <w:ind w:left="567" w:hanging="567"/>
        <w:jc w:val="both"/>
      </w:pPr>
      <w:r>
        <w:t xml:space="preserve">Barrett, W. L., &amp; Garber, S. M. (2003). Surgical smoke: a review of the literature. Is this just a lot of hot air? Surgical Endoscopy, 17(6), 979–987. </w:t>
      </w:r>
      <w:hyperlink r:id="rId7" w:history="1">
        <w:r w:rsidR="0035168F" w:rsidRPr="00351A30">
          <w:rPr>
            <w:rStyle w:val="Hyperlink"/>
          </w:rPr>
          <w:t>https://doi.org/10.1007/s00464-002-8584-5</w:t>
        </w:r>
      </w:hyperlink>
      <w:r w:rsidR="0035168F">
        <w:t xml:space="preserve"> </w:t>
      </w:r>
    </w:p>
    <w:p w14:paraId="69D5F1E9" w14:textId="77777777" w:rsidR="00AA6DC3" w:rsidRDefault="006D4502" w:rsidP="0035168F">
      <w:pPr>
        <w:spacing w:after="60" w:line="360" w:lineRule="auto"/>
        <w:ind w:left="567" w:hanging="567"/>
        <w:jc w:val="both"/>
      </w:pPr>
      <w:proofErr w:type="spellStart"/>
      <w:r>
        <w:t>Brüske-Hohlfeld</w:t>
      </w:r>
      <w:proofErr w:type="spellEnd"/>
      <w:r>
        <w:t xml:space="preserve">, I., Preissler, G., Jauch, K.-W., Pitz, M., Nowak, D., Peters, A., &amp; Wichmann, H.-E. (2008). Surgical smoke and ultrafine particles. Journal of Occupational Medicine and Toxicology, 3, 31. </w:t>
      </w:r>
      <w:hyperlink r:id="rId8" w:history="1">
        <w:r w:rsidR="0035168F" w:rsidRPr="00351A30">
          <w:rPr>
            <w:rStyle w:val="Hyperlink"/>
          </w:rPr>
          <w:t>https://doi.org/10.1186/1745-6673-3-31</w:t>
        </w:r>
      </w:hyperlink>
      <w:r w:rsidR="0035168F">
        <w:t xml:space="preserve"> </w:t>
      </w:r>
    </w:p>
    <w:p w14:paraId="4FAE718D" w14:textId="77777777" w:rsidR="00AA6DC3" w:rsidRDefault="006D4502" w:rsidP="0035168F">
      <w:pPr>
        <w:spacing w:after="60" w:line="360" w:lineRule="auto"/>
        <w:ind w:left="567" w:hanging="567"/>
        <w:jc w:val="both"/>
      </w:pPr>
      <w:proofErr w:type="spellStart"/>
      <w:r>
        <w:t>Alkatout</w:t>
      </w:r>
      <w:proofErr w:type="spellEnd"/>
      <w:r>
        <w:t xml:space="preserve">, I., Schollmeyer, T., </w:t>
      </w:r>
      <w:proofErr w:type="spellStart"/>
      <w:r>
        <w:t>Hawaldar</w:t>
      </w:r>
      <w:proofErr w:type="spellEnd"/>
      <w:r>
        <w:t xml:space="preserve">, N. A., Sharma, N., &amp; Mettler, L. (2012). Principles and safety measures of electrosurgery in laparoscopy. JSLS: Journal of the Society of </w:t>
      </w:r>
      <w:proofErr w:type="spellStart"/>
      <w:r>
        <w:t>Laparoendoscopic</w:t>
      </w:r>
      <w:proofErr w:type="spellEnd"/>
      <w:r>
        <w:t xml:space="preserve"> Surgeons, 16(1), 130–139. </w:t>
      </w:r>
      <w:hyperlink r:id="rId9" w:history="1">
        <w:r w:rsidR="0035168F" w:rsidRPr="00351A30">
          <w:rPr>
            <w:rStyle w:val="Hyperlink"/>
          </w:rPr>
          <w:t>https://doi.org/10.4293/108680812X13291597716348</w:t>
        </w:r>
      </w:hyperlink>
      <w:r w:rsidR="0035168F">
        <w:t xml:space="preserve"> </w:t>
      </w:r>
    </w:p>
    <w:p w14:paraId="72471C5D" w14:textId="77777777" w:rsidR="00AA6DC3" w:rsidRDefault="006D4502" w:rsidP="0035168F">
      <w:pPr>
        <w:spacing w:after="60" w:line="360" w:lineRule="auto"/>
        <w:ind w:left="567" w:hanging="567"/>
        <w:jc w:val="both"/>
      </w:pPr>
      <w:r>
        <w:t xml:space="preserve">Choi, C., Do, I.-G., &amp; Song, T. (2018). Ultrasonic versus monopolar energy-based surgical devices in terms of surgical smoke and lateral thermal damage (ULMOST): a randomized controlled trial. Surgical Endoscopy, 32(11), 4415–4421. </w:t>
      </w:r>
      <w:hyperlink r:id="rId10" w:history="1">
        <w:r w:rsidR="0035168F" w:rsidRPr="00351A30">
          <w:rPr>
            <w:rStyle w:val="Hyperlink"/>
          </w:rPr>
          <w:t>https://doi.org/10.1007/s00464-018-6183-3</w:t>
        </w:r>
      </w:hyperlink>
      <w:r w:rsidR="0035168F">
        <w:t xml:space="preserve"> </w:t>
      </w:r>
    </w:p>
    <w:p w14:paraId="2D181C70" w14:textId="77777777" w:rsidR="00AA6DC3" w:rsidRDefault="006D4502" w:rsidP="0035168F">
      <w:pPr>
        <w:spacing w:after="60" w:line="360" w:lineRule="auto"/>
        <w:ind w:left="567" w:hanging="567"/>
        <w:jc w:val="both"/>
      </w:pPr>
      <w:r>
        <w:t>Choi, S. H., Kwon, T. G., Chung, S. K., &amp; Kim, T.-H. (2014). Surgical smoke may be a biohazard to surgeons performing laparoscopic surgery. Surgical Endoscopy, 28(8), 2374–2380. https://doi.org/10.1007/s00464-014-3472-3</w:t>
      </w:r>
    </w:p>
    <w:p w14:paraId="1107C9E2" w14:textId="77777777" w:rsidR="00AA6DC3" w:rsidRDefault="006D4502" w:rsidP="0035168F">
      <w:pPr>
        <w:spacing w:after="60" w:line="360" w:lineRule="auto"/>
        <w:ind w:left="567" w:hanging="567"/>
        <w:jc w:val="both"/>
      </w:pPr>
      <w:r>
        <w:t xml:space="preserve">Feldman, L. S., </w:t>
      </w:r>
      <w:proofErr w:type="spellStart"/>
      <w:r>
        <w:t>Fuchshuber</w:t>
      </w:r>
      <w:proofErr w:type="spellEnd"/>
      <w:r>
        <w:t xml:space="preserve">, P., Jones, D. B., </w:t>
      </w:r>
      <w:proofErr w:type="spellStart"/>
      <w:r>
        <w:t>Mischna</w:t>
      </w:r>
      <w:proofErr w:type="spellEnd"/>
      <w:r>
        <w:t xml:space="preserve">, J., </w:t>
      </w:r>
      <w:proofErr w:type="spellStart"/>
      <w:r>
        <w:t>Schwaitzberg</w:t>
      </w:r>
      <w:proofErr w:type="spellEnd"/>
      <w:r>
        <w:t>, S. D., &amp; FUSE (Fundamental Use of Surgical Energy™) Task Force. (2012). Surgeons don't know what they don't know about the safe use of energy in surgery. Surgical Endoscopy, 26(10), 2735–2739. https://doi.org/10.1007/s00464-012-2263-y</w:t>
      </w:r>
    </w:p>
    <w:p w14:paraId="72D8AABB" w14:textId="77777777" w:rsidR="00AA6DC3" w:rsidRDefault="006D4502" w:rsidP="0035168F">
      <w:pPr>
        <w:spacing w:after="60" w:line="360" w:lineRule="auto"/>
        <w:ind w:left="567" w:hanging="567"/>
        <w:jc w:val="both"/>
      </w:pPr>
      <w:proofErr w:type="spellStart"/>
      <w:r>
        <w:t>Massarweh</w:t>
      </w:r>
      <w:proofErr w:type="spellEnd"/>
      <w:r>
        <w:t>, N. N., Cosgriff, N., &amp; Slakey, D. P. (2006). Electrosurgery: history, principles, and current and future uses. Journal of the American College of Surgeons, 202(3), 520–530. https://doi.org/10.1016/j.jamcollsurg.2005.11.017</w:t>
      </w:r>
    </w:p>
    <w:p w14:paraId="7D1ABAA5" w14:textId="77777777" w:rsidR="00AA6DC3" w:rsidRDefault="006D4502" w:rsidP="0035168F">
      <w:pPr>
        <w:spacing w:after="60" w:line="360" w:lineRule="auto"/>
        <w:ind w:left="567" w:hanging="567"/>
        <w:jc w:val="both"/>
      </w:pPr>
      <w:r>
        <w:t xml:space="preserve">Mowbray, N., Ansell, J., Warren, N., Wall, P., &amp; </w:t>
      </w:r>
      <w:proofErr w:type="spellStart"/>
      <w:r>
        <w:t>Torkington</w:t>
      </w:r>
      <w:proofErr w:type="spellEnd"/>
      <w:r>
        <w:t>, J. (2013). Is surgical smoke harmful to theater staff? A systematic review. Surgical Endoscopy, 27(9), 3100–3107. https://doi.org/10.1007/s00464-013-2940-5</w:t>
      </w:r>
    </w:p>
    <w:p w14:paraId="05774FBF" w14:textId="77777777" w:rsidR="00AA6DC3" w:rsidRDefault="006D4502" w:rsidP="0035168F">
      <w:pPr>
        <w:spacing w:after="60" w:line="360" w:lineRule="auto"/>
        <w:ind w:left="567" w:hanging="567"/>
        <w:jc w:val="both"/>
      </w:pPr>
      <w:r>
        <w:lastRenderedPageBreak/>
        <w:t xml:space="preserve">Mowbray, N. G., Ansell, J., Horwood, J., Cornish, J., Rizkallah, P., Parker, A., Wall, P., Spinelli, A., &amp; </w:t>
      </w:r>
      <w:proofErr w:type="spellStart"/>
      <w:r>
        <w:t>Torkington</w:t>
      </w:r>
      <w:proofErr w:type="spellEnd"/>
      <w:r>
        <w:t>, J. (2020). Safe management of surgical smoke in the age of COVID-19. British Journal of Surgery, 107(11), 1406–1413. https://doi.org/10.1002/bjs.11679</w:t>
      </w:r>
    </w:p>
    <w:p w14:paraId="4D3AF2FB" w14:textId="77777777" w:rsidR="00AA6DC3" w:rsidRDefault="006D4502" w:rsidP="0035168F">
      <w:pPr>
        <w:spacing w:after="60" w:line="360" w:lineRule="auto"/>
        <w:ind w:left="567" w:hanging="567"/>
        <w:jc w:val="both"/>
      </w:pPr>
      <w:r>
        <w:t>Okoshi, K., Kobayashi, K., Kinoshita, K., Tomizawa, Y., Hasegawa, S., &amp; Sakai, Y. (2015). Health risks associated with exposure to surgical smoke for surgeons and operation room personnel. Surgery Today, 45(8), 957–965. https://doi.org/10.1007/s00595-014-1085-z</w:t>
      </w:r>
    </w:p>
    <w:p w14:paraId="6988618B" w14:textId="77777777" w:rsidR="00AA6DC3" w:rsidRDefault="006D4502" w:rsidP="0035168F">
      <w:pPr>
        <w:spacing w:after="60" w:line="360" w:lineRule="auto"/>
        <w:ind w:left="567" w:hanging="567"/>
        <w:jc w:val="both"/>
      </w:pPr>
      <w:r>
        <w:t>Steege, A. L., Boiano, J. M., &amp; Sweeney, M. H. (2016). Secondhand smoke in the operating room? Precautionary practices lacking for surgical smoke. American Journal of Industrial Medicine, 59(11), 1020–1031. https://doi.org/10.1002/ajim.22614</w:t>
      </w:r>
    </w:p>
    <w:p w14:paraId="301313F3" w14:textId="77777777" w:rsidR="00AA6DC3" w:rsidRDefault="006D4502" w:rsidP="0035168F">
      <w:pPr>
        <w:spacing w:after="60" w:line="360" w:lineRule="auto"/>
        <w:ind w:left="567" w:hanging="567"/>
        <w:jc w:val="both"/>
      </w:pPr>
      <w:r>
        <w:t xml:space="preserve">Sutton, P. A., Awad, S., Perkins, A. C., &amp; Lobo, D. N. (2010). Comparison of lateral thermal spread using monopolar and bipolar diathermy, the Harmonic Scalpel and the </w:t>
      </w:r>
      <w:proofErr w:type="spellStart"/>
      <w:r>
        <w:t>Ligasure</w:t>
      </w:r>
      <w:proofErr w:type="spellEnd"/>
      <w:r>
        <w:t>. British Journal of Surgery, 97(3), 428–433. https://doi.org/10.1002/bjs.6901</w:t>
      </w:r>
    </w:p>
    <w:p w14:paraId="66F10DD1" w14:textId="77777777" w:rsidR="00AA6DC3" w:rsidRDefault="006D4502" w:rsidP="0035168F">
      <w:pPr>
        <w:spacing w:after="60" w:line="360" w:lineRule="auto"/>
        <w:ind w:left="567" w:hanging="567"/>
        <w:jc w:val="both"/>
      </w:pPr>
      <w:r>
        <w:t>Tseng, H.-S., Liu, S.-P., Uang, S.-N., Yang, L.-R., Lee, S.-C., Liu, Y.-J., &amp; Chen, D.-R. (2014). Cancer risk of incremental exposure to polycyclic aromatic hydrocarbons in electrocautery smoke for mastectomy personnel. World Journal of Surgical Oncology, 12, 31. https://doi.org/10.1186/1477-7819-12-31</w:t>
      </w:r>
    </w:p>
    <w:p w14:paraId="48AC0223" w14:textId="77777777" w:rsidR="00AA6DC3" w:rsidRDefault="006D4502" w:rsidP="0035168F">
      <w:pPr>
        <w:spacing w:after="60" w:line="360" w:lineRule="auto"/>
        <w:ind w:left="567" w:hanging="567"/>
        <w:jc w:val="both"/>
      </w:pPr>
      <w:r>
        <w:t>Ulmer, B. C. (2008). The hazards of surgical smoke. AORN Journal, 87(4), 721–734. https://doi.org/10.1016/j.aorn.2007.10.012</w:t>
      </w:r>
    </w:p>
    <w:p w14:paraId="09DAD22F" w14:textId="4B7A1F61" w:rsidR="00AA6DC3" w:rsidRDefault="006D4502" w:rsidP="0035168F">
      <w:pPr>
        <w:spacing w:after="60" w:line="360" w:lineRule="auto"/>
        <w:ind w:left="567" w:hanging="567"/>
        <w:jc w:val="both"/>
      </w:pPr>
      <w:r>
        <w:t xml:space="preserve">Watanabe, Y., Kurashima, Y., Madani, A., Feldman, L. S., Ishida, M., Oshita, A., </w:t>
      </w:r>
      <w:proofErr w:type="spellStart"/>
      <w:r>
        <w:t>Naitoh</w:t>
      </w:r>
      <w:proofErr w:type="spellEnd"/>
      <w:r>
        <w:t xml:space="preserve">, T., Noma, K., Yasumasa, K., Nagata, H., Nakamura, F., Ono, K., Suzuki, Y., Matsuhashi, N., </w:t>
      </w:r>
      <w:proofErr w:type="spellStart"/>
      <w:r>
        <w:t>Shichinohe</w:t>
      </w:r>
      <w:proofErr w:type="spellEnd"/>
      <w:r>
        <w:t xml:space="preserve">, T., &amp; Hirano, S. (2016). Surgeons have knowledge gaps in the safe use of energy devices: a multicenter cross-sectional study. Surgical Endoscopy, 30(2), 588–592. </w:t>
      </w:r>
      <w:hyperlink r:id="rId11" w:history="1">
        <w:r w:rsidR="00720773" w:rsidRPr="00DA22DE">
          <w:rPr>
            <w:rStyle w:val="Hyperlink"/>
          </w:rPr>
          <w:t>https://doi.org/10.1007/s00464-015-4243-5</w:t>
        </w:r>
      </w:hyperlink>
    </w:p>
    <w:p w14:paraId="39DDB7A2" w14:textId="0D73FD6C" w:rsidR="00720773" w:rsidRDefault="00720773" w:rsidP="0035168F">
      <w:pPr>
        <w:spacing w:after="60" w:line="360" w:lineRule="auto"/>
        <w:ind w:left="567" w:hanging="567"/>
        <w:jc w:val="both"/>
        <w:rPr>
          <w:rFonts w:ascii="Arial" w:hAnsi="Arial" w:cs="Arial"/>
          <w:color w:val="222222"/>
          <w:sz w:val="20"/>
          <w:szCs w:val="20"/>
          <w:highlight w:val="yellow"/>
          <w:shd w:val="clear" w:color="auto" w:fill="FFFFFF"/>
        </w:rPr>
      </w:pPr>
      <w:proofErr w:type="spellStart"/>
      <w:r w:rsidRPr="00FF4A2F">
        <w:rPr>
          <w:rFonts w:ascii="Arial" w:hAnsi="Arial" w:cs="Arial"/>
          <w:color w:val="222222"/>
          <w:sz w:val="20"/>
          <w:szCs w:val="20"/>
          <w:highlight w:val="yellow"/>
          <w:shd w:val="clear" w:color="auto" w:fill="FFFFFF"/>
        </w:rPr>
        <w:t>Akoglu</w:t>
      </w:r>
      <w:proofErr w:type="spellEnd"/>
      <w:r w:rsidRPr="00FF4A2F">
        <w:rPr>
          <w:rFonts w:ascii="Arial" w:hAnsi="Arial" w:cs="Arial"/>
          <w:color w:val="222222"/>
          <w:sz w:val="20"/>
          <w:szCs w:val="20"/>
          <w:highlight w:val="yellow"/>
          <w:shd w:val="clear" w:color="auto" w:fill="FFFFFF"/>
        </w:rPr>
        <w:t xml:space="preserve">, G., &amp; </w:t>
      </w:r>
      <w:proofErr w:type="spellStart"/>
      <w:r w:rsidRPr="00FF4A2F">
        <w:rPr>
          <w:rFonts w:ascii="Arial" w:hAnsi="Arial" w:cs="Arial"/>
          <w:color w:val="222222"/>
          <w:sz w:val="20"/>
          <w:szCs w:val="20"/>
          <w:highlight w:val="yellow"/>
          <w:shd w:val="clear" w:color="auto" w:fill="FFFFFF"/>
        </w:rPr>
        <w:t>Tecik</w:t>
      </w:r>
      <w:proofErr w:type="spellEnd"/>
      <w:r w:rsidRPr="00FF4A2F">
        <w:rPr>
          <w:rFonts w:ascii="Arial" w:hAnsi="Arial" w:cs="Arial"/>
          <w:color w:val="222222"/>
          <w:sz w:val="20"/>
          <w:szCs w:val="20"/>
          <w:highlight w:val="yellow"/>
          <w:shd w:val="clear" w:color="auto" w:fill="FFFFFF"/>
        </w:rPr>
        <w:t xml:space="preserve">, A. (2026). Outcomes of Electrosurgery Combined With 50% TCA Application in Patients </w:t>
      </w:r>
      <w:proofErr w:type="gramStart"/>
      <w:r w:rsidRPr="00FF4A2F">
        <w:rPr>
          <w:rFonts w:ascii="Arial" w:hAnsi="Arial" w:cs="Arial"/>
          <w:color w:val="222222"/>
          <w:sz w:val="20"/>
          <w:szCs w:val="20"/>
          <w:highlight w:val="yellow"/>
          <w:shd w:val="clear" w:color="auto" w:fill="FFFFFF"/>
        </w:rPr>
        <w:t>With</w:t>
      </w:r>
      <w:proofErr w:type="gramEnd"/>
      <w:r w:rsidRPr="00FF4A2F">
        <w:rPr>
          <w:rFonts w:ascii="Arial" w:hAnsi="Arial" w:cs="Arial"/>
          <w:color w:val="222222"/>
          <w:sz w:val="20"/>
          <w:szCs w:val="20"/>
          <w:highlight w:val="yellow"/>
          <w:shd w:val="clear" w:color="auto" w:fill="FFFFFF"/>
        </w:rPr>
        <w:t xml:space="preserve"> Rhinophyma. </w:t>
      </w:r>
      <w:r w:rsidRPr="00FF4A2F">
        <w:rPr>
          <w:rFonts w:ascii="Arial" w:hAnsi="Arial" w:cs="Arial"/>
          <w:i/>
          <w:iCs/>
          <w:color w:val="222222"/>
          <w:sz w:val="20"/>
          <w:szCs w:val="20"/>
          <w:highlight w:val="yellow"/>
          <w:shd w:val="clear" w:color="auto" w:fill="FFFFFF"/>
        </w:rPr>
        <w:t>Dermatology Research and Practice</w:t>
      </w:r>
      <w:r w:rsidRPr="00FF4A2F">
        <w:rPr>
          <w:rFonts w:ascii="Arial" w:hAnsi="Arial" w:cs="Arial"/>
          <w:color w:val="222222"/>
          <w:sz w:val="20"/>
          <w:szCs w:val="20"/>
          <w:highlight w:val="yellow"/>
          <w:shd w:val="clear" w:color="auto" w:fill="FFFFFF"/>
        </w:rPr>
        <w:t>, </w:t>
      </w:r>
      <w:r w:rsidRPr="00FF4A2F">
        <w:rPr>
          <w:rFonts w:ascii="Arial" w:hAnsi="Arial" w:cs="Arial"/>
          <w:i/>
          <w:iCs/>
          <w:color w:val="222222"/>
          <w:sz w:val="20"/>
          <w:szCs w:val="20"/>
          <w:highlight w:val="yellow"/>
          <w:shd w:val="clear" w:color="auto" w:fill="FFFFFF"/>
        </w:rPr>
        <w:t>2026</w:t>
      </w:r>
      <w:r w:rsidRPr="00FF4A2F">
        <w:rPr>
          <w:rFonts w:ascii="Arial" w:hAnsi="Arial" w:cs="Arial"/>
          <w:color w:val="222222"/>
          <w:sz w:val="20"/>
          <w:szCs w:val="20"/>
          <w:highlight w:val="yellow"/>
          <w:shd w:val="clear" w:color="auto" w:fill="FFFFFF"/>
        </w:rPr>
        <w:t>(1), 4957519.</w:t>
      </w:r>
    </w:p>
    <w:p w14:paraId="35CDDFCB" w14:textId="021F0E73" w:rsidR="00720773" w:rsidRDefault="00720773" w:rsidP="0035168F">
      <w:pPr>
        <w:spacing w:after="60" w:line="360" w:lineRule="auto"/>
        <w:ind w:left="567" w:hanging="567"/>
        <w:jc w:val="both"/>
      </w:pPr>
      <w:r w:rsidRPr="00FF4A2F">
        <w:rPr>
          <w:rFonts w:ascii="Arial" w:hAnsi="Arial" w:cs="Arial"/>
          <w:color w:val="222222"/>
          <w:sz w:val="20"/>
          <w:szCs w:val="20"/>
          <w:highlight w:val="yellow"/>
          <w:shd w:val="clear" w:color="auto" w:fill="FFFFFF"/>
        </w:rPr>
        <w:t xml:space="preserve">Copland, A. P., </w:t>
      </w:r>
      <w:proofErr w:type="spellStart"/>
      <w:r w:rsidRPr="00FF4A2F">
        <w:rPr>
          <w:rFonts w:ascii="Arial" w:hAnsi="Arial" w:cs="Arial"/>
          <w:color w:val="222222"/>
          <w:sz w:val="20"/>
          <w:szCs w:val="20"/>
          <w:highlight w:val="yellow"/>
          <w:shd w:val="clear" w:color="auto" w:fill="FFFFFF"/>
        </w:rPr>
        <w:t>Sakaria</w:t>
      </w:r>
      <w:proofErr w:type="spellEnd"/>
      <w:r w:rsidRPr="00FF4A2F">
        <w:rPr>
          <w:rFonts w:ascii="Arial" w:hAnsi="Arial" w:cs="Arial"/>
          <w:color w:val="222222"/>
          <w:sz w:val="20"/>
          <w:szCs w:val="20"/>
          <w:highlight w:val="yellow"/>
          <w:shd w:val="clear" w:color="auto" w:fill="FFFFFF"/>
        </w:rPr>
        <w:t xml:space="preserve">, S. S., Abdi, M., </w:t>
      </w:r>
      <w:proofErr w:type="spellStart"/>
      <w:r w:rsidRPr="00FF4A2F">
        <w:rPr>
          <w:rFonts w:ascii="Arial" w:hAnsi="Arial" w:cs="Arial"/>
          <w:color w:val="222222"/>
          <w:sz w:val="20"/>
          <w:szCs w:val="20"/>
          <w:highlight w:val="yellow"/>
          <w:shd w:val="clear" w:color="auto" w:fill="FFFFFF"/>
        </w:rPr>
        <w:t>Akshintala</w:t>
      </w:r>
      <w:proofErr w:type="spellEnd"/>
      <w:r w:rsidRPr="00FF4A2F">
        <w:rPr>
          <w:rFonts w:ascii="Arial" w:hAnsi="Arial" w:cs="Arial"/>
          <w:color w:val="222222"/>
          <w:sz w:val="20"/>
          <w:szCs w:val="20"/>
          <w:highlight w:val="yellow"/>
          <w:shd w:val="clear" w:color="auto" w:fill="FFFFFF"/>
        </w:rPr>
        <w:t xml:space="preserve">, V. S., Bhatt, A., </w:t>
      </w:r>
      <w:proofErr w:type="spellStart"/>
      <w:r w:rsidRPr="00FF4A2F">
        <w:rPr>
          <w:rFonts w:ascii="Arial" w:hAnsi="Arial" w:cs="Arial"/>
          <w:color w:val="222222"/>
          <w:sz w:val="20"/>
          <w:szCs w:val="20"/>
          <w:highlight w:val="yellow"/>
          <w:shd w:val="clear" w:color="auto" w:fill="FFFFFF"/>
        </w:rPr>
        <w:t>Bucobo</w:t>
      </w:r>
      <w:proofErr w:type="spellEnd"/>
      <w:r w:rsidRPr="00FF4A2F">
        <w:rPr>
          <w:rFonts w:ascii="Arial" w:hAnsi="Arial" w:cs="Arial"/>
          <w:color w:val="222222"/>
          <w:sz w:val="20"/>
          <w:szCs w:val="20"/>
          <w:highlight w:val="yellow"/>
          <w:shd w:val="clear" w:color="auto" w:fill="FFFFFF"/>
        </w:rPr>
        <w:t>, J. C., ... &amp; Law, R. J. (2025). Electrosurgical generators. </w:t>
      </w:r>
      <w:r w:rsidRPr="00FF4A2F">
        <w:rPr>
          <w:rFonts w:ascii="Arial" w:hAnsi="Arial" w:cs="Arial"/>
          <w:i/>
          <w:iCs/>
          <w:color w:val="222222"/>
          <w:sz w:val="20"/>
          <w:szCs w:val="20"/>
          <w:highlight w:val="yellow"/>
          <w:shd w:val="clear" w:color="auto" w:fill="FFFFFF"/>
        </w:rPr>
        <w:t>Gastrointestinal endoscopy</w:t>
      </w:r>
      <w:r w:rsidRPr="00FF4A2F">
        <w:rPr>
          <w:rFonts w:ascii="Arial" w:hAnsi="Arial" w:cs="Arial"/>
          <w:color w:val="222222"/>
          <w:sz w:val="20"/>
          <w:szCs w:val="20"/>
          <w:highlight w:val="yellow"/>
          <w:shd w:val="clear" w:color="auto" w:fill="FFFFFF"/>
        </w:rPr>
        <w:t>, </w:t>
      </w:r>
      <w:r w:rsidRPr="00FF4A2F">
        <w:rPr>
          <w:rFonts w:ascii="Arial" w:hAnsi="Arial" w:cs="Arial"/>
          <w:i/>
          <w:iCs/>
          <w:color w:val="222222"/>
          <w:sz w:val="20"/>
          <w:szCs w:val="20"/>
          <w:highlight w:val="yellow"/>
          <w:shd w:val="clear" w:color="auto" w:fill="FFFFFF"/>
        </w:rPr>
        <w:t>102</w:t>
      </w:r>
      <w:r w:rsidRPr="00FF4A2F">
        <w:rPr>
          <w:rFonts w:ascii="Arial" w:hAnsi="Arial" w:cs="Arial"/>
          <w:color w:val="222222"/>
          <w:sz w:val="20"/>
          <w:szCs w:val="20"/>
          <w:highlight w:val="yellow"/>
          <w:shd w:val="clear" w:color="auto" w:fill="FFFFFF"/>
        </w:rPr>
        <w:t>(3), 314-325.</w:t>
      </w:r>
    </w:p>
    <w:sectPr w:rsidR="00720773" w:rsidSect="00AA6DC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77B69" w14:textId="77777777" w:rsidR="00D36C19" w:rsidRDefault="00D36C19" w:rsidP="00AA6DC3">
      <w:r>
        <w:separator/>
      </w:r>
    </w:p>
  </w:endnote>
  <w:endnote w:type="continuationSeparator" w:id="0">
    <w:p w14:paraId="3CEE1EA1" w14:textId="77777777" w:rsidR="00D36C19" w:rsidRDefault="00D36C19" w:rsidP="00AA6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1C00A" w14:textId="77777777" w:rsidR="00D0687C" w:rsidRDefault="00D068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CDB9E" w14:textId="77777777" w:rsidR="00AA6DC3" w:rsidRDefault="006D4502">
    <w:pPr>
      <w:jc w:val="center"/>
    </w:pPr>
    <w:r>
      <w:rPr>
        <w:sz w:val="20"/>
        <w:szCs w:val="20"/>
      </w:rPr>
      <w:t xml:space="preserve">Page </w:t>
    </w:r>
    <w:r w:rsidR="00AA6DC3">
      <w:rPr>
        <w:sz w:val="20"/>
        <w:szCs w:val="20"/>
      </w:rPr>
      <w:fldChar w:fldCharType="begin"/>
    </w:r>
    <w:r>
      <w:rPr>
        <w:sz w:val="20"/>
        <w:szCs w:val="20"/>
      </w:rPr>
      <w:instrText>PAGE</w:instrText>
    </w:r>
    <w:r w:rsidR="00AA6DC3">
      <w:rPr>
        <w:sz w:val="20"/>
        <w:szCs w:val="20"/>
      </w:rPr>
      <w:fldChar w:fldCharType="separate"/>
    </w:r>
    <w:r w:rsidR="0035168F">
      <w:rPr>
        <w:noProof/>
        <w:sz w:val="20"/>
        <w:szCs w:val="20"/>
      </w:rPr>
      <w:t>25</w:t>
    </w:r>
    <w:r w:rsidR="00AA6DC3">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247CB" w14:textId="77777777" w:rsidR="00D0687C" w:rsidRDefault="00D06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189CB" w14:textId="77777777" w:rsidR="00D36C19" w:rsidRDefault="00D36C19" w:rsidP="00AA6DC3">
      <w:r>
        <w:separator/>
      </w:r>
    </w:p>
  </w:footnote>
  <w:footnote w:type="continuationSeparator" w:id="0">
    <w:p w14:paraId="7E9488A8" w14:textId="77777777" w:rsidR="00D36C19" w:rsidRDefault="00D36C19" w:rsidP="00AA6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A7FC7" w14:textId="3D321B12" w:rsidR="00D0687C" w:rsidRDefault="00D36C19">
    <w:pPr>
      <w:pStyle w:val="Header"/>
    </w:pPr>
    <w:r>
      <w:rPr>
        <w:noProof/>
      </w:rPr>
      <w:pict w14:anchorId="540E21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8745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6818D" w14:textId="2467E220" w:rsidR="00D0687C" w:rsidRDefault="00D36C19">
    <w:pPr>
      <w:pStyle w:val="Header"/>
    </w:pPr>
    <w:r>
      <w:rPr>
        <w:noProof/>
      </w:rPr>
      <w:pict w14:anchorId="1830D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8745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9D9F5" w14:textId="5EA555C1" w:rsidR="00D0687C" w:rsidRDefault="00D36C19">
    <w:pPr>
      <w:pStyle w:val="Header"/>
    </w:pPr>
    <w:r>
      <w:rPr>
        <w:noProof/>
      </w:rPr>
      <w:pict w14:anchorId="460C3D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8745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501D5"/>
    <w:multiLevelType w:val="hybridMultilevel"/>
    <w:tmpl w:val="DF206BDE"/>
    <w:lvl w:ilvl="0" w:tplc="7E48EFBC">
      <w:start w:val="1"/>
      <w:numFmt w:val="bullet"/>
      <w:lvlText w:val="●"/>
      <w:lvlJc w:val="left"/>
      <w:pPr>
        <w:ind w:left="720" w:hanging="360"/>
      </w:pPr>
    </w:lvl>
    <w:lvl w:ilvl="1" w:tplc="A2C4B998">
      <w:start w:val="1"/>
      <w:numFmt w:val="bullet"/>
      <w:lvlText w:val="○"/>
      <w:lvlJc w:val="left"/>
      <w:pPr>
        <w:ind w:left="1440" w:hanging="360"/>
      </w:pPr>
    </w:lvl>
    <w:lvl w:ilvl="2" w:tplc="7DC45888">
      <w:start w:val="1"/>
      <w:numFmt w:val="bullet"/>
      <w:lvlText w:val="■"/>
      <w:lvlJc w:val="left"/>
      <w:pPr>
        <w:ind w:left="2160" w:hanging="360"/>
      </w:pPr>
    </w:lvl>
    <w:lvl w:ilvl="3" w:tplc="DDDAB6B8">
      <w:start w:val="1"/>
      <w:numFmt w:val="bullet"/>
      <w:lvlText w:val="●"/>
      <w:lvlJc w:val="left"/>
      <w:pPr>
        <w:ind w:left="2880" w:hanging="360"/>
      </w:pPr>
    </w:lvl>
    <w:lvl w:ilvl="4" w:tplc="4A840CD0">
      <w:start w:val="1"/>
      <w:numFmt w:val="bullet"/>
      <w:lvlText w:val="○"/>
      <w:lvlJc w:val="left"/>
      <w:pPr>
        <w:ind w:left="3600" w:hanging="360"/>
      </w:pPr>
    </w:lvl>
    <w:lvl w:ilvl="5" w:tplc="E784749C">
      <w:start w:val="1"/>
      <w:numFmt w:val="bullet"/>
      <w:lvlText w:val="■"/>
      <w:lvlJc w:val="left"/>
      <w:pPr>
        <w:ind w:left="4320" w:hanging="360"/>
      </w:pPr>
    </w:lvl>
    <w:lvl w:ilvl="6" w:tplc="F968D0BA">
      <w:start w:val="1"/>
      <w:numFmt w:val="bullet"/>
      <w:lvlText w:val="●"/>
      <w:lvlJc w:val="left"/>
      <w:pPr>
        <w:ind w:left="5040" w:hanging="360"/>
      </w:pPr>
    </w:lvl>
    <w:lvl w:ilvl="7" w:tplc="F7F29D7C">
      <w:start w:val="1"/>
      <w:numFmt w:val="bullet"/>
      <w:lvlText w:val="●"/>
      <w:lvlJc w:val="left"/>
      <w:pPr>
        <w:ind w:left="5760" w:hanging="360"/>
      </w:pPr>
    </w:lvl>
    <w:lvl w:ilvl="8" w:tplc="3858E28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A2NzE0szAwN7c0MrJU0lEKTi0uzszPAykwrAUAVUYc5SwAAAA="/>
  </w:docVars>
  <w:rsids>
    <w:rsidRoot w:val="00AA6DC3"/>
    <w:rsid w:val="000970D9"/>
    <w:rsid w:val="00107991"/>
    <w:rsid w:val="00260CDC"/>
    <w:rsid w:val="0035168F"/>
    <w:rsid w:val="003C0F89"/>
    <w:rsid w:val="006D4502"/>
    <w:rsid w:val="00720773"/>
    <w:rsid w:val="00871F5D"/>
    <w:rsid w:val="00891700"/>
    <w:rsid w:val="00A17B21"/>
    <w:rsid w:val="00AA6DC3"/>
    <w:rsid w:val="00B11A26"/>
    <w:rsid w:val="00D021C0"/>
    <w:rsid w:val="00D0687C"/>
    <w:rsid w:val="00D36C19"/>
    <w:rsid w:val="00E0558E"/>
    <w:rsid w:val="00E601B2"/>
    <w:rsid w:val="00FF4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A03753"/>
  <w15:docId w15:val="{DFD75FDE-646F-4A8C-A151-9C799225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AA6DC3"/>
    <w:pPr>
      <w:spacing w:before="360" w:after="180"/>
      <w:outlineLvl w:val="0"/>
    </w:pPr>
    <w:rPr>
      <w:b/>
      <w:bCs/>
      <w:sz w:val="30"/>
      <w:szCs w:val="30"/>
    </w:rPr>
  </w:style>
  <w:style w:type="paragraph" w:styleId="Heading2">
    <w:name w:val="heading 2"/>
    <w:qFormat/>
    <w:rsid w:val="00AA6DC3"/>
    <w:pPr>
      <w:spacing w:before="240" w:after="120"/>
      <w:outlineLvl w:val="1"/>
    </w:pPr>
    <w:rPr>
      <w:b/>
      <w:bCs/>
      <w:sz w:val="26"/>
      <w:szCs w:val="26"/>
    </w:rPr>
  </w:style>
  <w:style w:type="paragraph" w:styleId="Heading3">
    <w:name w:val="heading 3"/>
    <w:qFormat/>
    <w:rsid w:val="00AA6DC3"/>
    <w:pPr>
      <w:spacing w:before="180" w:after="90"/>
      <w:outlineLvl w:val="2"/>
    </w:pPr>
    <w:rPr>
      <w:b/>
      <w:bCs/>
    </w:rPr>
  </w:style>
  <w:style w:type="paragraph" w:styleId="Heading4">
    <w:name w:val="heading 4"/>
    <w:qFormat/>
    <w:rsid w:val="00AA6DC3"/>
    <w:pPr>
      <w:outlineLvl w:val="3"/>
    </w:pPr>
    <w:rPr>
      <w:i/>
      <w:iCs/>
      <w:color w:val="2E74B5"/>
    </w:rPr>
  </w:style>
  <w:style w:type="paragraph" w:styleId="Heading5">
    <w:name w:val="heading 5"/>
    <w:qFormat/>
    <w:rsid w:val="00AA6DC3"/>
    <w:pPr>
      <w:outlineLvl w:val="4"/>
    </w:pPr>
    <w:rPr>
      <w:color w:val="2E74B5"/>
    </w:rPr>
  </w:style>
  <w:style w:type="paragraph" w:styleId="Heading6">
    <w:name w:val="heading 6"/>
    <w:qFormat/>
    <w:rsid w:val="00AA6DC3"/>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AA6DC3"/>
    <w:rPr>
      <w:sz w:val="56"/>
      <w:szCs w:val="56"/>
    </w:rPr>
  </w:style>
  <w:style w:type="paragraph" w:customStyle="1" w:styleId="Strong1">
    <w:name w:val="Strong1"/>
    <w:qFormat/>
    <w:rsid w:val="00AA6DC3"/>
    <w:rPr>
      <w:b/>
      <w:bCs/>
    </w:rPr>
  </w:style>
  <w:style w:type="paragraph" w:styleId="ListParagraph">
    <w:name w:val="List Paragraph"/>
    <w:qFormat/>
    <w:rsid w:val="00AA6DC3"/>
  </w:style>
  <w:style w:type="character" w:styleId="Hyperlink">
    <w:name w:val="Hyperlink"/>
    <w:uiPriority w:val="99"/>
    <w:unhideWhenUsed/>
    <w:rsid w:val="00AA6DC3"/>
    <w:rPr>
      <w:color w:val="0563C1"/>
      <w:u w:val="single"/>
    </w:rPr>
  </w:style>
  <w:style w:type="character" w:styleId="FootnoteReference">
    <w:name w:val="footnote reference"/>
    <w:uiPriority w:val="99"/>
    <w:semiHidden/>
    <w:unhideWhenUsed/>
    <w:rsid w:val="00AA6DC3"/>
    <w:rPr>
      <w:vertAlign w:val="superscript"/>
    </w:rPr>
  </w:style>
  <w:style w:type="paragraph" w:styleId="FootnoteText">
    <w:name w:val="footnote text"/>
    <w:link w:val="FootnoteTextChar"/>
    <w:uiPriority w:val="99"/>
    <w:semiHidden/>
    <w:unhideWhenUsed/>
    <w:rsid w:val="00AA6DC3"/>
    <w:rPr>
      <w:sz w:val="20"/>
      <w:szCs w:val="20"/>
    </w:rPr>
  </w:style>
  <w:style w:type="character" w:customStyle="1" w:styleId="FootnoteTextChar">
    <w:name w:val="Footnote Text Char"/>
    <w:link w:val="FootnoteText"/>
    <w:uiPriority w:val="99"/>
    <w:semiHidden/>
    <w:unhideWhenUsed/>
    <w:rsid w:val="00AA6DC3"/>
    <w:rPr>
      <w:sz w:val="20"/>
      <w:szCs w:val="20"/>
    </w:rPr>
  </w:style>
  <w:style w:type="character" w:styleId="EndnoteReference">
    <w:name w:val="endnote reference"/>
    <w:uiPriority w:val="99"/>
    <w:semiHidden/>
    <w:unhideWhenUsed/>
    <w:rsid w:val="00AA6DC3"/>
    <w:rPr>
      <w:vertAlign w:val="superscript"/>
    </w:rPr>
  </w:style>
  <w:style w:type="paragraph" w:styleId="EndnoteText">
    <w:name w:val="endnote text"/>
    <w:link w:val="EndnoteTextChar"/>
    <w:uiPriority w:val="99"/>
    <w:semiHidden/>
    <w:unhideWhenUsed/>
    <w:rsid w:val="00AA6DC3"/>
    <w:rPr>
      <w:sz w:val="20"/>
      <w:szCs w:val="20"/>
    </w:rPr>
  </w:style>
  <w:style w:type="character" w:customStyle="1" w:styleId="EndnoteTextChar">
    <w:name w:val="Endnote Text Char"/>
    <w:link w:val="EndnoteText"/>
    <w:uiPriority w:val="99"/>
    <w:semiHidden/>
    <w:unhideWhenUsed/>
    <w:rsid w:val="00AA6DC3"/>
    <w:rPr>
      <w:sz w:val="20"/>
      <w:szCs w:val="20"/>
    </w:rPr>
  </w:style>
  <w:style w:type="paragraph" w:styleId="Header">
    <w:name w:val="header"/>
    <w:basedOn w:val="Normal"/>
    <w:link w:val="HeaderChar"/>
    <w:uiPriority w:val="99"/>
    <w:unhideWhenUsed/>
    <w:rsid w:val="0035168F"/>
    <w:pPr>
      <w:tabs>
        <w:tab w:val="center" w:pos="4680"/>
        <w:tab w:val="right" w:pos="9360"/>
      </w:tabs>
    </w:pPr>
  </w:style>
  <w:style w:type="character" w:customStyle="1" w:styleId="HeaderChar">
    <w:name w:val="Header Char"/>
    <w:basedOn w:val="DefaultParagraphFont"/>
    <w:link w:val="Header"/>
    <w:uiPriority w:val="99"/>
    <w:rsid w:val="0035168F"/>
  </w:style>
  <w:style w:type="paragraph" w:styleId="Footer">
    <w:name w:val="footer"/>
    <w:basedOn w:val="Normal"/>
    <w:link w:val="FooterChar"/>
    <w:uiPriority w:val="99"/>
    <w:unhideWhenUsed/>
    <w:rsid w:val="0035168F"/>
    <w:pPr>
      <w:tabs>
        <w:tab w:val="center" w:pos="4680"/>
        <w:tab w:val="right" w:pos="9360"/>
      </w:tabs>
    </w:pPr>
  </w:style>
  <w:style w:type="character" w:customStyle="1" w:styleId="FooterChar">
    <w:name w:val="Footer Char"/>
    <w:basedOn w:val="DefaultParagraphFont"/>
    <w:link w:val="Footer"/>
    <w:uiPriority w:val="99"/>
    <w:rsid w:val="0035168F"/>
  </w:style>
  <w:style w:type="character" w:styleId="FollowedHyperlink">
    <w:name w:val="FollowedHyperlink"/>
    <w:basedOn w:val="DefaultParagraphFont"/>
    <w:uiPriority w:val="99"/>
    <w:semiHidden/>
    <w:unhideWhenUsed/>
    <w:rsid w:val="0035168F"/>
    <w:rPr>
      <w:color w:val="800080" w:themeColor="followedHyperlink"/>
      <w:u w:val="single"/>
    </w:rPr>
  </w:style>
  <w:style w:type="paragraph" w:styleId="NoSpacing">
    <w:name w:val="No Spacing"/>
    <w:uiPriority w:val="1"/>
    <w:qFormat/>
    <w:rsid w:val="00D021C0"/>
    <w:rPr>
      <w:rFonts w:asciiTheme="minorHAnsi" w:eastAsiaTheme="minorHAnsi" w:hAnsiTheme="minorHAnsi" w:cstheme="minorBidi"/>
      <w:kern w:val="2"/>
      <w:sz w:val="22"/>
      <w:szCs w:val="22"/>
    </w:rPr>
  </w:style>
  <w:style w:type="paragraph" w:styleId="BalloonText">
    <w:name w:val="Balloon Text"/>
    <w:basedOn w:val="Normal"/>
    <w:link w:val="BalloonTextChar"/>
    <w:uiPriority w:val="99"/>
    <w:semiHidden/>
    <w:unhideWhenUsed/>
    <w:rsid w:val="007207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773"/>
    <w:rPr>
      <w:rFonts w:ascii="Segoe UI" w:hAnsi="Segoe UI" w:cs="Segoe UI"/>
      <w:sz w:val="18"/>
      <w:szCs w:val="18"/>
    </w:rPr>
  </w:style>
  <w:style w:type="character" w:styleId="UnresolvedMention">
    <w:name w:val="Unresolved Mention"/>
    <w:basedOn w:val="DefaultParagraphFont"/>
    <w:uiPriority w:val="99"/>
    <w:semiHidden/>
    <w:unhideWhenUsed/>
    <w:rsid w:val="00720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186/1745-6673-3-3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7/s00464-002-8584-5"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00464-015-4243-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07/s00464-018-6183-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4293/108680812X1329159771634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27</Pages>
  <Words>10006</Words>
  <Characters>57035</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11</cp:revision>
  <dcterms:created xsi:type="dcterms:W3CDTF">2026-04-09T06:49:00Z</dcterms:created>
  <dcterms:modified xsi:type="dcterms:W3CDTF">2026-04-11T10:01:00Z</dcterms:modified>
</cp:coreProperties>
</file>