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76BD4" w14:textId="77777777" w:rsidR="00633588" w:rsidRDefault="00633588" w:rsidP="00A05783">
      <w:pPr>
        <w:pStyle w:val="Author"/>
        <w:spacing w:line="240" w:lineRule="auto"/>
      </w:pPr>
      <w:r>
        <w:t>Next-Generation Farming: The Role of Nanotechnology in Agricultural Sustainability</w:t>
      </w:r>
    </w:p>
    <w:p w14:paraId="7D4AE9AD" w14:textId="77777777" w:rsidR="00A05783" w:rsidRDefault="00A05783" w:rsidP="00A05783">
      <w:pPr>
        <w:pStyle w:val="Author"/>
        <w:spacing w:line="240" w:lineRule="auto"/>
      </w:pPr>
    </w:p>
    <w:p w14:paraId="263B8D5B" w14:textId="77777777" w:rsidR="008D4045" w:rsidRDefault="008D4045" w:rsidP="00DD0F76">
      <w:pPr>
        <w:pStyle w:val="AbstHead"/>
        <w:spacing w:after="0"/>
        <w:jc w:val="both"/>
        <w:rPr>
          <w:rFonts w:ascii="Arial" w:hAnsi="Arial" w:cs="Arial"/>
          <w:sz w:val="20"/>
        </w:rPr>
      </w:pPr>
    </w:p>
    <w:p w14:paraId="20063058" w14:textId="0428A481" w:rsidR="00B01FCD" w:rsidRPr="005F3FD2" w:rsidRDefault="00B01FCD" w:rsidP="00DD0F76">
      <w:pPr>
        <w:pStyle w:val="AbstHead"/>
        <w:spacing w:after="0"/>
        <w:jc w:val="both"/>
        <w:rPr>
          <w:rFonts w:ascii="Arial" w:hAnsi="Arial" w:cs="Arial"/>
          <w:sz w:val="20"/>
        </w:rPr>
      </w:pPr>
      <w:r w:rsidRPr="005F3FD2">
        <w:rPr>
          <w:rFonts w:ascii="Arial" w:hAnsi="Arial" w:cs="Arial"/>
          <w:sz w:val="20"/>
        </w:rPr>
        <w:t>ABSTRACT</w:t>
      </w:r>
      <w:r w:rsidR="0066510A" w:rsidRPr="005F3FD2">
        <w:rPr>
          <w:rFonts w:ascii="Arial" w:hAnsi="Arial" w:cs="Arial"/>
          <w:sz w:val="20"/>
        </w:rPr>
        <w:t xml:space="preserve"> </w:t>
      </w:r>
    </w:p>
    <w:p w14:paraId="28796F52" w14:textId="77777777" w:rsidR="00790ADA" w:rsidRPr="005F3FD2" w:rsidRDefault="00790ADA" w:rsidP="00DD0F76">
      <w:pPr>
        <w:pStyle w:val="AbstHead"/>
        <w:spacing w:after="0"/>
        <w:jc w:val="both"/>
        <w:rPr>
          <w:rFonts w:ascii="Arial" w:hAnsi="Arial" w:cs="Arial"/>
          <w:sz w:val="20"/>
        </w:rPr>
      </w:pPr>
      <w:bookmarkStart w:id="0" w:name="_GoBack"/>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00"/>
      </w:tblGrid>
      <w:tr w:rsidR="005F3FD2" w:rsidRPr="005F3FD2" w14:paraId="6224D010" w14:textId="77777777" w:rsidTr="001E44FE">
        <w:tc>
          <w:tcPr>
            <w:tcW w:w="9576" w:type="dxa"/>
            <w:shd w:val="clear" w:color="auto" w:fill="F2F2F2"/>
          </w:tcPr>
          <w:p w14:paraId="32BB9A8D" w14:textId="2CB36B1F" w:rsidR="00505F06" w:rsidRPr="005F3FD2" w:rsidRDefault="003818A4" w:rsidP="003818A4">
            <w:pPr>
              <w:pStyle w:val="BodyText"/>
              <w:ind w:right="88"/>
              <w:rPr>
                <w:rFonts w:ascii="Arial" w:eastAsia="Calibri" w:hAnsi="Arial" w:cs="Arial"/>
              </w:rPr>
            </w:pPr>
            <w:r w:rsidRPr="003818A4">
              <w:rPr>
                <w:rFonts w:ascii="Arial" w:eastAsia="Calibri" w:hAnsi="Arial" w:cs="Arial"/>
              </w:rPr>
              <w:t xml:space="preserve">Nanotechnology offers promising solutions for improving agricultural productivity and sustainability through precise nutrient delivery and crop protection. This review examines recent progress in agricultural nanotechnology, focusing on nano-fertilizers, nano-pesticides, soil and water management, and food packaging. We conducted a systematic literature survey using peer-reviewed research articles, reports, and reviews published in recent years. We compared nano-enabled agricultural inputs with conventional agrochemicals based on efficiency, environmental impact, and performance. The analysis shows that nano-fertilizers significantly improve nutrient use efficiency and crop yield through controlled release mechanisms. Nano-pesticides enhance pest management effectiveness at lower application rates, reducing environmental contamination. Additionally, nanomaterials improve soil moisture retention and extend food shelf life through active packaging technologies. Despite these benefits, concerns about environmental impact, toxicity, and regulations remain significant challenges. Overall, these findings suggest that agricultural nanotechnology has strong potential to support sustainable farming systems, as long as its development and use are guided by careful risk assessment and responsible management practices. </w:t>
            </w:r>
          </w:p>
        </w:tc>
      </w:tr>
    </w:tbl>
    <w:p w14:paraId="394EE289" w14:textId="77777777" w:rsidR="00636EB2" w:rsidRPr="005F3FD2" w:rsidRDefault="00636EB2" w:rsidP="00DD0F76">
      <w:pPr>
        <w:pStyle w:val="Body"/>
        <w:spacing w:after="0"/>
        <w:rPr>
          <w:rFonts w:ascii="Arial" w:hAnsi="Arial" w:cs="Arial"/>
          <w:i/>
        </w:rPr>
      </w:pPr>
    </w:p>
    <w:p w14:paraId="333EF494" w14:textId="701855C0" w:rsidR="00633588" w:rsidRPr="00633588" w:rsidRDefault="00A24E7E" w:rsidP="00633588">
      <w:pPr>
        <w:pStyle w:val="NormalWeb"/>
        <w:rPr>
          <w:rFonts w:ascii="Arial" w:hAnsi="Arial" w:cs="Arial"/>
          <w:sz w:val="20"/>
          <w:szCs w:val="20"/>
        </w:rPr>
      </w:pPr>
      <w:r w:rsidRPr="00633588">
        <w:rPr>
          <w:rFonts w:ascii="Arial" w:hAnsi="Arial" w:cs="Arial"/>
          <w:i/>
          <w:sz w:val="20"/>
          <w:szCs w:val="20"/>
        </w:rPr>
        <w:t>Keywords</w:t>
      </w:r>
      <w:r w:rsidR="00633588" w:rsidRPr="00633588">
        <w:rPr>
          <w:rStyle w:val="Strong"/>
          <w:rFonts w:ascii="Arial" w:hAnsi="Arial" w:cs="Arial"/>
          <w:sz w:val="20"/>
          <w:szCs w:val="20"/>
        </w:rPr>
        <w:t>:</w:t>
      </w:r>
      <w:r w:rsidR="00633588" w:rsidRPr="00633588">
        <w:rPr>
          <w:rFonts w:ascii="Arial" w:hAnsi="Arial" w:cs="Arial"/>
          <w:sz w:val="20"/>
          <w:szCs w:val="20"/>
        </w:rPr>
        <w:t xml:space="preserve"> Nanotechnology; Nano-fertilizers; Nano-pesticides; Sustainable agriculture; Precision farming</w:t>
      </w:r>
    </w:p>
    <w:p w14:paraId="5569F7BA" w14:textId="77777777" w:rsidR="00505F06" w:rsidRPr="005F3FD2" w:rsidRDefault="00505F06" w:rsidP="00DD0F76">
      <w:pPr>
        <w:pStyle w:val="Body"/>
        <w:spacing w:after="0"/>
        <w:rPr>
          <w:rFonts w:ascii="Arial" w:hAnsi="Arial" w:cs="Arial"/>
          <w:i/>
        </w:rPr>
      </w:pPr>
    </w:p>
    <w:p w14:paraId="5D517981" w14:textId="64F63B82" w:rsidR="007F7B32" w:rsidRDefault="00F83FB3" w:rsidP="00F83FB3">
      <w:pPr>
        <w:pStyle w:val="AbstHead"/>
        <w:spacing w:after="0"/>
        <w:jc w:val="both"/>
        <w:rPr>
          <w:rFonts w:ascii="Arial" w:hAnsi="Arial" w:cs="Arial"/>
          <w:sz w:val="20"/>
        </w:rPr>
      </w:pPr>
      <w:r>
        <w:rPr>
          <w:rFonts w:ascii="Arial" w:hAnsi="Arial" w:cs="Arial"/>
          <w:sz w:val="20"/>
        </w:rPr>
        <w:t>1.</w:t>
      </w:r>
      <w:r w:rsidR="00B01FCD" w:rsidRPr="005F3FD2">
        <w:rPr>
          <w:rFonts w:ascii="Arial" w:hAnsi="Arial" w:cs="Arial"/>
          <w:sz w:val="20"/>
        </w:rPr>
        <w:t>INTRODUCTION</w:t>
      </w:r>
      <w:r w:rsidR="007F7B32" w:rsidRPr="005F3FD2">
        <w:rPr>
          <w:rFonts w:ascii="Arial" w:hAnsi="Arial" w:cs="Arial"/>
          <w:sz w:val="20"/>
        </w:rPr>
        <w:t xml:space="preserve"> </w:t>
      </w:r>
    </w:p>
    <w:p w14:paraId="5555DE97" w14:textId="77777777" w:rsidR="00F83FB3" w:rsidRDefault="00F83FB3" w:rsidP="00F83FB3">
      <w:pPr>
        <w:pStyle w:val="AbstHead"/>
        <w:spacing w:after="0"/>
        <w:jc w:val="both"/>
        <w:rPr>
          <w:rFonts w:ascii="Arial" w:hAnsi="Arial" w:cs="Arial"/>
          <w:sz w:val="20"/>
        </w:rPr>
      </w:pPr>
    </w:p>
    <w:p w14:paraId="2D960011" w14:textId="5EB6B251" w:rsidR="002879B3" w:rsidRPr="00F83FB3" w:rsidRDefault="00F83FB3" w:rsidP="002879B3">
      <w:pPr>
        <w:pStyle w:val="AbstHead"/>
        <w:jc w:val="both"/>
        <w:rPr>
          <w:rFonts w:ascii="Arial" w:hAnsi="Arial" w:cs="Arial"/>
          <w:b w:val="0"/>
          <w:bCs/>
          <w:sz w:val="20"/>
        </w:rPr>
      </w:pPr>
      <w:r w:rsidRPr="00F83FB3">
        <w:rPr>
          <w:rFonts w:ascii="Arial" w:hAnsi="Arial" w:cs="Arial"/>
          <w:b w:val="0"/>
          <w:bCs/>
          <w:caps w:val="0"/>
          <w:sz w:val="20"/>
        </w:rPr>
        <w:t xml:space="preserve">Nanotechnology is a multidisciplinary field that combines principles from physics, chemistry, biology, materials science, and engineering to manipulate matter at the atomic and molecular scales. It focuses on designing and creating new materials, structures, and devices that work well at the nanometer level. At this scale, materials often show unique physical, chemical, and biological properties that are quite different from their larger counterparts. This allows for innovative uses in various sectors, such as medicine, manufacturing, energy, materials science, and </w:t>
      </w:r>
      <w:proofErr w:type="gramStart"/>
      <w:r w:rsidRPr="00F83FB3">
        <w:rPr>
          <w:rFonts w:ascii="Arial" w:hAnsi="Arial" w:cs="Arial"/>
          <w:b w:val="0"/>
          <w:bCs/>
          <w:caps w:val="0"/>
          <w:sz w:val="20"/>
        </w:rPr>
        <w:t xml:space="preserve">engineering </w:t>
      </w:r>
      <w:r>
        <w:rPr>
          <w:rFonts w:ascii="Arial" w:hAnsi="Arial" w:cs="Arial"/>
          <w:b w:val="0"/>
          <w:bCs/>
          <w:caps w:val="0"/>
          <w:sz w:val="20"/>
        </w:rPr>
        <w:t>.</w:t>
      </w:r>
      <w:proofErr w:type="gramEnd"/>
      <w:r>
        <w:rPr>
          <w:rFonts w:ascii="Arial" w:hAnsi="Arial" w:cs="Arial"/>
          <w:b w:val="0"/>
          <w:bCs/>
          <w:caps w:val="0"/>
          <w:sz w:val="20"/>
        </w:rPr>
        <w:t xml:space="preserve"> </w:t>
      </w:r>
      <w:r w:rsidRPr="00F83FB3">
        <w:rPr>
          <w:rFonts w:ascii="Arial" w:hAnsi="Arial" w:cs="Arial"/>
          <w:b w:val="0"/>
          <w:bCs/>
          <w:caps w:val="0"/>
          <w:sz w:val="20"/>
        </w:rPr>
        <w:t xml:space="preserve">A nanometer (nm) is a basic unit of length in the metric system, equivalent to one billionth of a meter. The word “nano” comes from the </w:t>
      </w:r>
      <w:proofErr w:type="spellStart"/>
      <w:r w:rsidRPr="00F83FB3">
        <w:rPr>
          <w:rFonts w:ascii="Arial" w:hAnsi="Arial" w:cs="Arial"/>
          <w:b w:val="0"/>
          <w:bCs/>
          <w:caps w:val="0"/>
          <w:sz w:val="20"/>
        </w:rPr>
        <w:t>greek</w:t>
      </w:r>
      <w:proofErr w:type="spellEnd"/>
      <w:r w:rsidRPr="00F83FB3">
        <w:rPr>
          <w:rFonts w:ascii="Arial" w:hAnsi="Arial" w:cs="Arial"/>
          <w:b w:val="0"/>
          <w:bCs/>
          <w:caps w:val="0"/>
          <w:sz w:val="20"/>
        </w:rPr>
        <w:t xml:space="preserve"> word </w:t>
      </w:r>
      <w:proofErr w:type="spellStart"/>
      <w:r w:rsidRPr="00F83FB3">
        <w:rPr>
          <w:rFonts w:ascii="Arial" w:hAnsi="Arial" w:cs="Arial"/>
          <w:b w:val="0"/>
          <w:bCs/>
          <w:caps w:val="0"/>
          <w:sz w:val="20"/>
        </w:rPr>
        <w:t>nanos</w:t>
      </w:r>
      <w:proofErr w:type="spellEnd"/>
      <w:r w:rsidRPr="00F83FB3">
        <w:rPr>
          <w:rFonts w:ascii="Arial" w:hAnsi="Arial" w:cs="Arial"/>
          <w:b w:val="0"/>
          <w:bCs/>
          <w:caps w:val="0"/>
          <w:sz w:val="20"/>
        </w:rPr>
        <w:t>, meaning “dwarf,” which reflects the tiny dimensions involved. For comparison, a centimeter represents one hundredth of a meter. Materials at the nanometer scale display properties that are not visible at larger sizes. Nanostructures usually range from 1 to 100 nm, where higher surface-to-volume ratios, increased reactivity, and quantum effects control material behavior. These unique features support the wide and rapidly growing applications of nanotechnology (</w:t>
      </w:r>
      <w:proofErr w:type="spellStart"/>
      <w:r w:rsidRPr="00F83FB3">
        <w:rPr>
          <w:rFonts w:ascii="Arial" w:hAnsi="Arial" w:cs="Arial"/>
          <w:b w:val="0"/>
          <w:bCs/>
          <w:caps w:val="0"/>
          <w:sz w:val="20"/>
        </w:rPr>
        <w:t>khalil</w:t>
      </w:r>
      <w:proofErr w:type="spellEnd"/>
      <w:r w:rsidRPr="00F83FB3">
        <w:rPr>
          <w:rFonts w:ascii="Arial" w:hAnsi="Arial" w:cs="Arial"/>
          <w:b w:val="0"/>
          <w:bCs/>
          <w:caps w:val="0"/>
          <w:sz w:val="20"/>
        </w:rPr>
        <w:t xml:space="preserve"> et al., 2025).</w:t>
      </w:r>
    </w:p>
    <w:p w14:paraId="3ED4F88D" w14:textId="36C2563D" w:rsidR="002879B3" w:rsidRPr="00F83FB3" w:rsidRDefault="00F83FB3" w:rsidP="002879B3">
      <w:pPr>
        <w:pStyle w:val="AbstHead"/>
        <w:jc w:val="both"/>
        <w:rPr>
          <w:rFonts w:ascii="Arial" w:hAnsi="Arial" w:cs="Arial"/>
          <w:b w:val="0"/>
          <w:bCs/>
          <w:sz w:val="20"/>
        </w:rPr>
      </w:pPr>
      <w:r w:rsidRPr="00F83FB3">
        <w:rPr>
          <w:rFonts w:ascii="Arial" w:hAnsi="Arial" w:cs="Arial"/>
          <w:b w:val="0"/>
          <w:bCs/>
          <w:caps w:val="0"/>
          <w:sz w:val="20"/>
        </w:rPr>
        <w:t>While nanotechnology is widely used in food technology and pharmaceuticals, its use in agriculture is relatively new but is growing quickly. Agricultural nanotechnology offers new tools to boost productivity while lowering the environmental impacts of conventional farming. Various nanomaterials are being developed for agricultural purposes, including nano-systems for soil and water cleanup, nano-fertilizers, and nano-pesticides. These innovations aim to reduce excessive chemical inputs, improve nutrient-use efficiency, and sustainably increase crop yield and quality, supporting environmentally friendly agricultural practices (</w:t>
      </w:r>
      <w:proofErr w:type="spellStart"/>
      <w:r w:rsidRPr="00F83FB3">
        <w:rPr>
          <w:rFonts w:ascii="Arial" w:hAnsi="Arial" w:cs="Arial"/>
          <w:b w:val="0"/>
          <w:bCs/>
          <w:caps w:val="0"/>
          <w:sz w:val="20"/>
        </w:rPr>
        <w:t>khalil</w:t>
      </w:r>
      <w:proofErr w:type="spellEnd"/>
      <w:r w:rsidRPr="00F83FB3">
        <w:rPr>
          <w:rFonts w:ascii="Arial" w:hAnsi="Arial" w:cs="Arial"/>
          <w:b w:val="0"/>
          <w:bCs/>
          <w:caps w:val="0"/>
          <w:sz w:val="20"/>
        </w:rPr>
        <w:t xml:space="preserve"> et al., 2025).</w:t>
      </w:r>
    </w:p>
    <w:p w14:paraId="0B5016A9" w14:textId="77777777" w:rsidR="002879B3" w:rsidRPr="00F83FB3" w:rsidRDefault="002879B3" w:rsidP="002879B3">
      <w:pPr>
        <w:pStyle w:val="AbstHead"/>
        <w:jc w:val="both"/>
        <w:rPr>
          <w:rFonts w:ascii="Arial" w:hAnsi="Arial" w:cs="Arial"/>
          <w:b w:val="0"/>
          <w:bCs/>
          <w:sz w:val="20"/>
        </w:rPr>
      </w:pPr>
    </w:p>
    <w:p w14:paraId="322124A6" w14:textId="150CB670" w:rsidR="002879B3" w:rsidRPr="00F83FB3" w:rsidRDefault="00F83FB3" w:rsidP="002879B3">
      <w:pPr>
        <w:pStyle w:val="AbstHead"/>
        <w:jc w:val="both"/>
        <w:rPr>
          <w:rFonts w:ascii="Arial" w:hAnsi="Arial" w:cs="Arial"/>
          <w:b w:val="0"/>
          <w:bCs/>
          <w:sz w:val="20"/>
        </w:rPr>
      </w:pPr>
      <w:r w:rsidRPr="00F83FB3">
        <w:rPr>
          <w:rFonts w:ascii="Arial" w:hAnsi="Arial" w:cs="Arial"/>
          <w:b w:val="0"/>
          <w:bCs/>
          <w:caps w:val="0"/>
          <w:sz w:val="20"/>
        </w:rPr>
        <w:t xml:space="preserve">Bibliometric analyses show a significant rise in scientific publications related to agricultural nanotechnology. Before 1999, there were about 1,100 publications. However, this has jumped to almost 13,900 publications over the last four years. Despite this increase, agricultural </w:t>
      </w:r>
      <w:r w:rsidRPr="00F83FB3">
        <w:rPr>
          <w:rFonts w:ascii="Arial" w:hAnsi="Arial" w:cs="Arial"/>
          <w:b w:val="0"/>
          <w:bCs/>
          <w:caps w:val="0"/>
          <w:sz w:val="20"/>
        </w:rPr>
        <w:lastRenderedPageBreak/>
        <w:t xml:space="preserve">nanotechnology still makes up less than 5% of total nanotechnology-related publications in major fields like energy, power, and materials science. It also remains much lower than publications in nanomedicine. However, this upward trend indicates growing global interest in nanotechnology's potential in agriculture. Recent studies on nanofabricated materials for crop protection, pathogen detection, and pesticide residue monitoring show that, with proper safety measures, nanotechnology can greatly reduce health risks and environmental impacts. These studies also highlight applications in plant, animal, and environmental systems, especially in pest management and agriculture-reliant economies in developing countries In </w:t>
      </w:r>
      <w:r>
        <w:rPr>
          <w:rFonts w:ascii="Arial" w:hAnsi="Arial" w:cs="Arial"/>
          <w:b w:val="0"/>
          <w:bCs/>
          <w:caps w:val="0"/>
          <w:sz w:val="20"/>
        </w:rPr>
        <w:t>I</w:t>
      </w:r>
      <w:r w:rsidRPr="00F83FB3">
        <w:rPr>
          <w:rFonts w:ascii="Arial" w:hAnsi="Arial" w:cs="Arial"/>
          <w:b w:val="0"/>
          <w:bCs/>
          <w:caps w:val="0"/>
          <w:sz w:val="20"/>
        </w:rPr>
        <w:t>ndia, nanotechnology is expected to grow in several agricultural areas, including nano-inputs, nano-food systems, nanobiotechnology, and nano-remediation. Over time, it is likely to affect nearly every part of agricultural production, from soil preparation and seed germination to post-harvest processing, food preparation, and even germplasm manipulation. This broad integration highlights the potential of nanotechnology to improve agricultural productivity and sustainability on both small and large scales (</w:t>
      </w:r>
      <w:proofErr w:type="spellStart"/>
      <w:r w:rsidRPr="00F83FB3">
        <w:rPr>
          <w:rFonts w:ascii="Arial" w:hAnsi="Arial" w:cs="Arial"/>
          <w:b w:val="0"/>
          <w:bCs/>
          <w:caps w:val="0"/>
          <w:sz w:val="20"/>
        </w:rPr>
        <w:t>khalil</w:t>
      </w:r>
      <w:proofErr w:type="spellEnd"/>
      <w:r w:rsidRPr="00F83FB3">
        <w:rPr>
          <w:rFonts w:ascii="Arial" w:hAnsi="Arial" w:cs="Arial"/>
          <w:b w:val="0"/>
          <w:bCs/>
          <w:caps w:val="0"/>
          <w:sz w:val="20"/>
        </w:rPr>
        <w:t xml:space="preserve"> et al., 2025).</w:t>
      </w:r>
    </w:p>
    <w:p w14:paraId="6DCB6856" w14:textId="0AEE5363" w:rsidR="002879B3" w:rsidRPr="00F83FB3" w:rsidRDefault="00F83FB3" w:rsidP="002879B3">
      <w:pPr>
        <w:pStyle w:val="AbstHead"/>
        <w:spacing w:after="0"/>
        <w:jc w:val="both"/>
        <w:rPr>
          <w:rFonts w:ascii="Arial" w:hAnsi="Arial" w:cs="Arial"/>
          <w:b w:val="0"/>
          <w:bCs/>
          <w:sz w:val="20"/>
        </w:rPr>
      </w:pPr>
      <w:r w:rsidRPr="00F83FB3">
        <w:rPr>
          <w:rFonts w:ascii="Arial" w:hAnsi="Arial" w:cs="Arial"/>
          <w:b w:val="0"/>
          <w:bCs/>
          <w:caps w:val="0"/>
          <w:sz w:val="20"/>
        </w:rPr>
        <w:t>Nanoparticles also play a crucial role in conserving water by increasing soil water-holding capacity, reducing how often irrigation is needed, and promoting better water use. For plant nutrition, nano-enabled fertilizers represent a significant advancement by boosting nutrient uptake, supporting healthier crop growth, and cutting nutrient losses in an eco-friendly way. Among these innovations, controlled-release nano-fertilizers are especially promising because they provide gradual and sustained nutrient delivery, enhance plant absorption efficiency, and minimize fertilizer waste. This approach reduces nutrient leaching and runoff, contributing to sustainable farming and environmental protection. However, high production costs may limit large-scale use. Advanced nanomaterials, such as mesoporous silica nanoparticles and functionalized carbon nanotubes, show great potential for developing effective controlled-release systems, leading to more resilient and resource-efficient agricultural practices (</w:t>
      </w:r>
      <w:proofErr w:type="spellStart"/>
      <w:r w:rsidRPr="00F83FB3">
        <w:rPr>
          <w:rFonts w:ascii="Arial" w:hAnsi="Arial" w:cs="Arial"/>
          <w:b w:val="0"/>
          <w:bCs/>
          <w:caps w:val="0"/>
          <w:sz w:val="20"/>
        </w:rPr>
        <w:t>khalil</w:t>
      </w:r>
      <w:proofErr w:type="spellEnd"/>
      <w:r w:rsidRPr="00F83FB3">
        <w:rPr>
          <w:rFonts w:ascii="Arial" w:hAnsi="Arial" w:cs="Arial"/>
          <w:b w:val="0"/>
          <w:bCs/>
          <w:caps w:val="0"/>
          <w:sz w:val="20"/>
        </w:rPr>
        <w:t xml:space="preserve"> et al., 2025).</w:t>
      </w:r>
    </w:p>
    <w:p w14:paraId="19AF2906" w14:textId="77777777" w:rsidR="00790ADA" w:rsidRPr="005F3FD2" w:rsidRDefault="00790ADA" w:rsidP="00DD0F76">
      <w:pPr>
        <w:pStyle w:val="AbstHead"/>
        <w:spacing w:after="0"/>
        <w:jc w:val="both"/>
        <w:rPr>
          <w:rFonts w:ascii="Arial" w:hAnsi="Arial" w:cs="Arial"/>
          <w:sz w:val="20"/>
        </w:rPr>
      </w:pPr>
    </w:p>
    <w:p w14:paraId="16C99BDA" w14:textId="17B24197" w:rsidR="00790ADA" w:rsidRPr="005F3FD2" w:rsidRDefault="00790ADA" w:rsidP="00DD0F76">
      <w:pPr>
        <w:pStyle w:val="Body"/>
        <w:rPr>
          <w:rFonts w:ascii="Arial" w:hAnsi="Arial" w:cs="Arial"/>
        </w:rPr>
      </w:pPr>
    </w:p>
    <w:p w14:paraId="04EC61EA" w14:textId="7383D12D" w:rsidR="00F83FB3" w:rsidRPr="00F31582" w:rsidRDefault="00F83FB3" w:rsidP="00F31582">
      <w:pPr>
        <w:pStyle w:val="AbstHead"/>
        <w:jc w:val="both"/>
        <w:rPr>
          <w:rFonts w:ascii="Arial" w:hAnsi="Arial" w:cs="Arial"/>
          <w:sz w:val="20"/>
        </w:rPr>
      </w:pPr>
      <w:r>
        <w:rPr>
          <w:rFonts w:ascii="Arial" w:hAnsi="Arial" w:cs="Arial"/>
          <w:b w:val="0"/>
          <w:bCs/>
          <w:sz w:val="20"/>
        </w:rPr>
        <w:t>2.</w:t>
      </w:r>
      <w:r w:rsidR="004F239C" w:rsidRPr="005F3FD2">
        <w:rPr>
          <w:rFonts w:ascii="Arial" w:hAnsi="Arial" w:cs="Arial"/>
          <w:b w:val="0"/>
          <w:bCs/>
          <w:sz w:val="20"/>
        </w:rPr>
        <w:t xml:space="preserve"> </w:t>
      </w:r>
      <w:r w:rsidR="004F239C" w:rsidRPr="005F3FD2">
        <w:rPr>
          <w:rFonts w:ascii="Arial" w:hAnsi="Arial" w:cs="Arial"/>
          <w:sz w:val="20"/>
        </w:rPr>
        <w:t>MATERIALS AND METHODS</w:t>
      </w:r>
    </w:p>
    <w:p w14:paraId="7B74FE42" w14:textId="701EC8AD" w:rsidR="00F83FB3" w:rsidRDefault="00F83FB3" w:rsidP="00F83FB3"/>
    <w:p w14:paraId="524B2947" w14:textId="77777777" w:rsidR="00F83FB3" w:rsidRPr="00F31582" w:rsidRDefault="00F83FB3" w:rsidP="00F31582">
      <w:pPr>
        <w:pStyle w:val="Heading3"/>
        <w:jc w:val="both"/>
        <w:rPr>
          <w:rFonts w:ascii="Arial" w:hAnsi="Arial" w:cs="Arial"/>
          <w:color w:val="auto"/>
          <w:sz w:val="20"/>
          <w:szCs w:val="20"/>
        </w:rPr>
      </w:pPr>
      <w:r w:rsidRPr="00F31582">
        <w:rPr>
          <w:rFonts w:ascii="Arial" w:hAnsi="Arial" w:cs="Arial"/>
          <w:color w:val="auto"/>
          <w:sz w:val="20"/>
          <w:szCs w:val="20"/>
        </w:rPr>
        <w:t>2.1 Enhancing Plant Growth, Productivity, and Protection</w:t>
      </w:r>
    </w:p>
    <w:p w14:paraId="287B7A03" w14:textId="77777777" w:rsidR="00F83FB3" w:rsidRPr="00F31582" w:rsidRDefault="00F83FB3" w:rsidP="00F31582">
      <w:pPr>
        <w:pStyle w:val="NormalWeb"/>
        <w:jc w:val="both"/>
        <w:rPr>
          <w:rFonts w:ascii="Arial" w:hAnsi="Arial" w:cs="Arial"/>
          <w:sz w:val="20"/>
          <w:szCs w:val="20"/>
        </w:rPr>
      </w:pPr>
      <w:r w:rsidRPr="00F31582">
        <w:rPr>
          <w:rFonts w:ascii="Arial" w:hAnsi="Arial" w:cs="Arial"/>
          <w:sz w:val="20"/>
          <w:szCs w:val="20"/>
        </w:rPr>
        <w:t xml:space="preserve">Nanotechnology-based strategies have been increasingly explored to improve plant growth, productivity, and protection through approaches such as nano-biofortification and nano-enabled crop management. Engineered nanoparticles, including </w:t>
      </w:r>
      <w:proofErr w:type="spellStart"/>
      <w:r w:rsidRPr="00F31582">
        <w:rPr>
          <w:rFonts w:ascii="Arial" w:hAnsi="Arial" w:cs="Arial"/>
          <w:sz w:val="20"/>
          <w:szCs w:val="20"/>
        </w:rPr>
        <w:t>fullerol</w:t>
      </w:r>
      <w:proofErr w:type="spellEnd"/>
      <w:r w:rsidRPr="00F31582">
        <w:rPr>
          <w:rFonts w:ascii="Arial" w:hAnsi="Arial" w:cs="Arial"/>
          <w:sz w:val="20"/>
          <w:szCs w:val="20"/>
        </w:rPr>
        <w:t>, zinc oxide, iron oxide, titanium dioxide, and silica nanoparticles, have been reported to enhance key physiological and biochemical processes in plants. These nanomaterials promote seed germination, root and shoot development, chlorophyll synthesis, and photosynthetic efficiency, ultimately resulting in increased biomass accumulation, higher fruit yield, and improved fruit quality (Khalil et al., 2025).</w:t>
      </w:r>
    </w:p>
    <w:p w14:paraId="24048A2D" w14:textId="77777777" w:rsidR="00F83FB3" w:rsidRPr="00F31582" w:rsidRDefault="00F83FB3" w:rsidP="00F31582">
      <w:pPr>
        <w:pStyle w:val="NormalWeb"/>
        <w:jc w:val="both"/>
        <w:rPr>
          <w:rFonts w:ascii="Arial" w:hAnsi="Arial" w:cs="Arial"/>
          <w:sz w:val="20"/>
          <w:szCs w:val="20"/>
        </w:rPr>
      </w:pPr>
      <w:r w:rsidRPr="00F31582">
        <w:rPr>
          <w:rFonts w:ascii="Arial" w:hAnsi="Arial" w:cs="Arial"/>
          <w:sz w:val="20"/>
          <w:szCs w:val="20"/>
        </w:rPr>
        <w:t xml:space="preserve">Nano-biofortification has also emerged as an effective strategy to address micronutrient deficiencies in crops by facilitating nutrient uptake, transport, and utilization at the cellular and subcellular levels. This approach improves the nutritional quality of agricultural produce and contributes to combating malnutrition. In addition, nanoparticles have been shown to strengthen plant </w:t>
      </w:r>
      <w:proofErr w:type="spellStart"/>
      <w:r w:rsidRPr="00F31582">
        <w:rPr>
          <w:rFonts w:ascii="Arial" w:hAnsi="Arial" w:cs="Arial"/>
          <w:sz w:val="20"/>
          <w:szCs w:val="20"/>
        </w:rPr>
        <w:t>defense</w:t>
      </w:r>
      <w:proofErr w:type="spellEnd"/>
      <w:r w:rsidRPr="00F31582">
        <w:rPr>
          <w:rFonts w:ascii="Arial" w:hAnsi="Arial" w:cs="Arial"/>
          <w:sz w:val="20"/>
          <w:szCs w:val="20"/>
        </w:rPr>
        <w:t xml:space="preserve"> mechanisms by enhancing resistance to pests and pathogens and increasing tolerance to abiotic stresses such as drought, salinity, and extreme temperatures (Khalil et al., 2025).</w:t>
      </w:r>
    </w:p>
    <w:p w14:paraId="5D35A5F4" w14:textId="77777777" w:rsidR="00F83FB3" w:rsidRPr="00F31582" w:rsidRDefault="00F83FB3" w:rsidP="00F31582">
      <w:pPr>
        <w:pStyle w:val="NormalWeb"/>
        <w:jc w:val="both"/>
        <w:rPr>
          <w:rFonts w:ascii="Arial" w:hAnsi="Arial" w:cs="Arial"/>
          <w:sz w:val="20"/>
          <w:szCs w:val="20"/>
        </w:rPr>
      </w:pPr>
      <w:r w:rsidRPr="00F31582">
        <w:rPr>
          <w:rFonts w:ascii="Arial" w:hAnsi="Arial" w:cs="Arial"/>
          <w:sz w:val="20"/>
          <w:szCs w:val="20"/>
        </w:rPr>
        <w:t>To improve application precision and efficiency, nano-enabled agricultural practices are often integrated with precision farming technologies, including autonomous sensors, remote sensing platforms, and global positioning system (GPS)-based monitoring tools. These technologies enable continuous monitoring of soil moisture, nutrient availability, and crop health, allowing site-specific and real-time application of nano-nutrients and nano-protectants. Such integrated approaches minimize input losses, reduce environmental contamination, and support sustainable crop management systems (Khalil et al., 2025).</w:t>
      </w:r>
    </w:p>
    <w:p w14:paraId="6E2C7806" w14:textId="139269AE" w:rsidR="00F83FB3" w:rsidRPr="00F31582" w:rsidRDefault="00F83FB3" w:rsidP="00F31582">
      <w:pPr>
        <w:jc w:val="both"/>
        <w:rPr>
          <w:rFonts w:ascii="Arial" w:hAnsi="Arial" w:cs="Arial"/>
        </w:rPr>
      </w:pPr>
    </w:p>
    <w:p w14:paraId="3B057E15" w14:textId="77777777" w:rsidR="00F83FB3" w:rsidRPr="00F31582" w:rsidRDefault="00F83FB3" w:rsidP="00F31582">
      <w:pPr>
        <w:pStyle w:val="Heading3"/>
        <w:jc w:val="both"/>
        <w:rPr>
          <w:rFonts w:ascii="Arial" w:hAnsi="Arial" w:cs="Arial"/>
          <w:color w:val="auto"/>
          <w:sz w:val="20"/>
          <w:szCs w:val="20"/>
        </w:rPr>
      </w:pPr>
      <w:r w:rsidRPr="00F31582">
        <w:rPr>
          <w:rFonts w:ascii="Arial" w:hAnsi="Arial" w:cs="Arial"/>
          <w:color w:val="auto"/>
          <w:sz w:val="20"/>
          <w:szCs w:val="20"/>
        </w:rPr>
        <w:t>2.2 Smart Fertilizers</w:t>
      </w:r>
    </w:p>
    <w:p w14:paraId="5CC2C7DD" w14:textId="77777777" w:rsidR="00F83FB3" w:rsidRPr="00F31582" w:rsidRDefault="00F83FB3" w:rsidP="00F31582">
      <w:pPr>
        <w:pStyle w:val="NormalWeb"/>
        <w:jc w:val="both"/>
        <w:rPr>
          <w:rFonts w:ascii="Arial" w:hAnsi="Arial" w:cs="Arial"/>
          <w:sz w:val="20"/>
          <w:szCs w:val="20"/>
        </w:rPr>
      </w:pPr>
      <w:r w:rsidRPr="00F31582">
        <w:rPr>
          <w:rFonts w:ascii="Arial" w:hAnsi="Arial" w:cs="Arial"/>
          <w:sz w:val="20"/>
          <w:szCs w:val="20"/>
        </w:rPr>
        <w:t xml:space="preserve">Smart or nano-fertilizers are designed using nanocarriers that encapsulate macro- and micronutrients to enable controlled, slow, and targeted nutrient release. Materials such as chitosan nanoparticles, silicon dioxide nanoparticles, </w:t>
      </w:r>
      <w:proofErr w:type="spellStart"/>
      <w:r w:rsidRPr="00F31582">
        <w:rPr>
          <w:rFonts w:ascii="Arial" w:hAnsi="Arial" w:cs="Arial"/>
          <w:sz w:val="20"/>
          <w:szCs w:val="20"/>
        </w:rPr>
        <w:t>nanoclays</w:t>
      </w:r>
      <w:proofErr w:type="spellEnd"/>
      <w:r w:rsidRPr="00F31582">
        <w:rPr>
          <w:rFonts w:ascii="Arial" w:hAnsi="Arial" w:cs="Arial"/>
          <w:sz w:val="20"/>
          <w:szCs w:val="20"/>
        </w:rPr>
        <w:t>, zeolites, and carbon nanotubes are commonly employed due to their high surface area, porosity, and nutrient-holding capacity. These characteristics allow nutrients to be released gradually in response to soil pH, moisture content, temperature, and root exudates, thereby synchronizing nutrient availability with plant demand (Khalil et al., 2025).</w:t>
      </w:r>
    </w:p>
    <w:p w14:paraId="6BE06C97" w14:textId="4BEE6480" w:rsidR="00F83FB3" w:rsidRPr="00F31582" w:rsidRDefault="00F83FB3" w:rsidP="00F31582">
      <w:pPr>
        <w:pStyle w:val="NormalWeb"/>
        <w:jc w:val="both"/>
        <w:rPr>
          <w:rFonts w:ascii="Arial" w:hAnsi="Arial" w:cs="Arial"/>
          <w:sz w:val="20"/>
          <w:szCs w:val="20"/>
        </w:rPr>
      </w:pPr>
      <w:r w:rsidRPr="00F31582">
        <w:rPr>
          <w:rFonts w:ascii="Arial" w:hAnsi="Arial" w:cs="Arial"/>
          <w:sz w:val="20"/>
          <w:szCs w:val="20"/>
        </w:rPr>
        <w:t xml:space="preserve">Compared with conventional fertilizers, nano-fertilizers significantly improve nutrient-use efficiency by reducing losses through leaching, volatilization, and surface runoff. Enhanced nutrient uptake leads to improved crop growth, higher yields, and increased stress tolerance, while simultaneously minimizing soil degradation and water pollution. Depending on crop type and growth stage, nano-fertilizers can be applied through soil incorporation, foliar spraying, or seed </w:t>
      </w:r>
      <w:proofErr w:type="gramStart"/>
      <w:r w:rsidRPr="00F31582">
        <w:rPr>
          <w:rFonts w:ascii="Arial" w:hAnsi="Arial" w:cs="Arial"/>
          <w:sz w:val="20"/>
          <w:szCs w:val="20"/>
        </w:rPr>
        <w:t xml:space="preserve">coating </w:t>
      </w:r>
      <w:r w:rsidR="00F31582" w:rsidRPr="00F31582">
        <w:rPr>
          <w:rFonts w:ascii="Arial" w:hAnsi="Arial" w:cs="Arial"/>
          <w:sz w:val="20"/>
          <w:szCs w:val="20"/>
        </w:rPr>
        <w:t>.</w:t>
      </w:r>
      <w:proofErr w:type="gramEnd"/>
      <w:r w:rsidR="00F31582" w:rsidRPr="00F31582">
        <w:rPr>
          <w:rFonts w:ascii="Arial" w:hAnsi="Arial" w:cs="Arial"/>
          <w:sz w:val="20"/>
          <w:szCs w:val="20"/>
        </w:rPr>
        <w:t xml:space="preserve"> </w:t>
      </w:r>
      <w:r w:rsidRPr="00F31582">
        <w:rPr>
          <w:rFonts w:ascii="Arial" w:hAnsi="Arial" w:cs="Arial"/>
          <w:sz w:val="20"/>
          <w:szCs w:val="20"/>
        </w:rPr>
        <w:t>Beyond conventional agriculture, smart fertilizer technologies have also been evaluated for non-traditional and controlled farming systems. Zeolite-based nano-fertilizers, for instance, have demonstrated potential in space and underwater agriculture, where controlled nutrient release is critical for plant growth under microgravity or closed-loop conditions. These applications highlight the versatility of nano-fertilizers in supporting sustainable food production in extreme and resource-limited environments (Khalil et al., 2025).</w:t>
      </w:r>
    </w:p>
    <w:p w14:paraId="1BB2DD6F" w14:textId="64DE928B" w:rsidR="00F83FB3" w:rsidRPr="00F31582" w:rsidRDefault="00F83FB3" w:rsidP="00F31582">
      <w:pPr>
        <w:jc w:val="both"/>
        <w:rPr>
          <w:rFonts w:ascii="Arial" w:hAnsi="Arial" w:cs="Arial"/>
        </w:rPr>
      </w:pPr>
    </w:p>
    <w:p w14:paraId="37E5B97A" w14:textId="77777777" w:rsidR="00F83FB3" w:rsidRPr="00F31582" w:rsidRDefault="00F83FB3" w:rsidP="00F31582">
      <w:pPr>
        <w:pStyle w:val="Heading3"/>
        <w:jc w:val="both"/>
        <w:rPr>
          <w:rFonts w:ascii="Arial" w:hAnsi="Arial" w:cs="Arial"/>
          <w:sz w:val="20"/>
          <w:szCs w:val="20"/>
        </w:rPr>
      </w:pPr>
      <w:r w:rsidRPr="00F31582">
        <w:rPr>
          <w:rFonts w:ascii="Arial" w:hAnsi="Arial" w:cs="Arial"/>
          <w:sz w:val="20"/>
          <w:szCs w:val="20"/>
        </w:rPr>
        <w:t>2.3 Food Packaging</w:t>
      </w:r>
    </w:p>
    <w:p w14:paraId="0309421C" w14:textId="77777777" w:rsidR="00F83FB3" w:rsidRPr="00F31582" w:rsidRDefault="00F83FB3" w:rsidP="00F31582">
      <w:pPr>
        <w:pStyle w:val="NormalWeb"/>
        <w:jc w:val="both"/>
        <w:rPr>
          <w:rFonts w:ascii="Arial" w:hAnsi="Arial" w:cs="Arial"/>
          <w:sz w:val="20"/>
          <w:szCs w:val="20"/>
        </w:rPr>
      </w:pPr>
      <w:r w:rsidRPr="00F31582">
        <w:rPr>
          <w:rFonts w:ascii="Arial" w:hAnsi="Arial" w:cs="Arial"/>
          <w:sz w:val="20"/>
          <w:szCs w:val="20"/>
        </w:rPr>
        <w:t xml:space="preserve">Nanotechnology-based food packaging has gained considerable attention for improving food quality, safety, and shelf life. Nanocomposite materials incorporating </w:t>
      </w:r>
      <w:proofErr w:type="spellStart"/>
      <w:r w:rsidRPr="00F31582">
        <w:rPr>
          <w:rFonts w:ascii="Arial" w:hAnsi="Arial" w:cs="Arial"/>
          <w:sz w:val="20"/>
          <w:szCs w:val="20"/>
        </w:rPr>
        <w:t>nanoclays</w:t>
      </w:r>
      <w:proofErr w:type="spellEnd"/>
      <w:r w:rsidRPr="00F31582">
        <w:rPr>
          <w:rFonts w:ascii="Arial" w:hAnsi="Arial" w:cs="Arial"/>
          <w:sz w:val="20"/>
          <w:szCs w:val="20"/>
        </w:rPr>
        <w:t>, silver nanoparticles, zinc oxide nanoparticles, and polymer-based nanomaterials enhance mechanical strength, thermal stability, and resistance to gases, moisture, and ultraviolet (UV) radiation. These properties help reduce oxidation, microbial spoilage, and nutrient degradation during storage and transportation, thereby maintaining food quality (Khalil et al., 2025).</w:t>
      </w:r>
    </w:p>
    <w:p w14:paraId="1539D5E9" w14:textId="77777777" w:rsidR="00F83FB3" w:rsidRPr="00F31582" w:rsidRDefault="00F83FB3" w:rsidP="00F31582">
      <w:pPr>
        <w:pStyle w:val="NormalWeb"/>
        <w:jc w:val="both"/>
        <w:rPr>
          <w:rFonts w:ascii="Arial" w:hAnsi="Arial" w:cs="Arial"/>
          <w:sz w:val="20"/>
          <w:szCs w:val="20"/>
        </w:rPr>
      </w:pPr>
      <w:r w:rsidRPr="00F31582">
        <w:rPr>
          <w:rFonts w:ascii="Arial" w:hAnsi="Arial" w:cs="Arial"/>
          <w:sz w:val="20"/>
          <w:szCs w:val="20"/>
        </w:rPr>
        <w:t xml:space="preserve">The integration of </w:t>
      </w:r>
      <w:proofErr w:type="spellStart"/>
      <w:r w:rsidRPr="00F31582">
        <w:rPr>
          <w:rFonts w:ascii="Arial" w:hAnsi="Arial" w:cs="Arial"/>
          <w:sz w:val="20"/>
          <w:szCs w:val="20"/>
        </w:rPr>
        <w:t>nanosensors</w:t>
      </w:r>
      <w:proofErr w:type="spellEnd"/>
      <w:r w:rsidRPr="00F31582">
        <w:rPr>
          <w:rFonts w:ascii="Arial" w:hAnsi="Arial" w:cs="Arial"/>
          <w:sz w:val="20"/>
          <w:szCs w:val="20"/>
        </w:rPr>
        <w:t xml:space="preserve"> into packaging systems forms the basis of smart packaging technologies, enabling real-time detection of chemical compounds, gases, and pathogenic microorganisms. Such systems provide visual or electronic indicators of food freshness, spoilage, and contamination, improving traceability, quality control, and consumer confidence across the food supply chain (Khalil et al., 2025).</w:t>
      </w:r>
    </w:p>
    <w:p w14:paraId="66D005CA" w14:textId="77777777" w:rsidR="00F83FB3" w:rsidRPr="00F31582" w:rsidRDefault="00F83FB3" w:rsidP="00F31582">
      <w:pPr>
        <w:pStyle w:val="NormalWeb"/>
        <w:jc w:val="both"/>
        <w:rPr>
          <w:rFonts w:ascii="Arial" w:hAnsi="Arial" w:cs="Arial"/>
          <w:sz w:val="20"/>
          <w:szCs w:val="20"/>
        </w:rPr>
      </w:pPr>
      <w:r w:rsidRPr="00F31582">
        <w:rPr>
          <w:rFonts w:ascii="Arial" w:hAnsi="Arial" w:cs="Arial"/>
          <w:sz w:val="20"/>
          <w:szCs w:val="20"/>
        </w:rPr>
        <w:t>Despite these advantages, concerns remain regarding the potential risks associated with the direct incorporation of nanoparticles into food products. Consequently, current approaches emphasize indirect applications, where nanoparticles are embedded within packaging materials rather than added to food itself. Comprehensive safety evaluations, migration studies, and strict adherence to regulatory guidelines are essential to ensure consumer safety and promote public acceptance of nanotechnology in the food sector (Khalil et al., 2025).</w:t>
      </w:r>
    </w:p>
    <w:p w14:paraId="356A6C51" w14:textId="7B10F7F6" w:rsidR="00F83FB3" w:rsidRPr="00793F73" w:rsidRDefault="00793F73" w:rsidP="00F31582">
      <w:pPr>
        <w:pStyle w:val="AbstHead"/>
        <w:jc w:val="both"/>
        <w:rPr>
          <w:rFonts w:ascii="Arial" w:hAnsi="Arial" w:cs="Arial"/>
          <w:b w:val="0"/>
          <w:bCs/>
          <w:sz w:val="16"/>
          <w:szCs w:val="16"/>
        </w:rPr>
      </w:pPr>
      <w:r w:rsidRPr="00793F73">
        <w:rPr>
          <w:noProof/>
          <w:sz w:val="16"/>
          <w:szCs w:val="16"/>
        </w:rPr>
        <mc:AlternateContent>
          <mc:Choice Requires="wps">
            <w:drawing>
              <wp:anchor distT="0" distB="0" distL="114300" distR="114300" simplePos="0" relativeHeight="251659264" behindDoc="0" locked="0" layoutInCell="1" allowOverlap="1" wp14:anchorId="17B6AA21" wp14:editId="36917B19">
                <wp:simplePos x="0" y="0"/>
                <wp:positionH relativeFrom="column">
                  <wp:posOffset>-927100</wp:posOffset>
                </wp:positionH>
                <wp:positionV relativeFrom="paragraph">
                  <wp:posOffset>-781050</wp:posOffset>
                </wp:positionV>
                <wp:extent cx="1238250" cy="6223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1238250" cy="622300"/>
                        </a:xfrm>
                        <a:prstGeom prst="rect">
                          <a:avLst/>
                        </a:prstGeom>
                        <a:noFill/>
                        <a:ln>
                          <a:noFill/>
                        </a:ln>
                      </wps:spPr>
                      <wps:txbx>
                        <w:txbxContent>
                          <w:p w14:paraId="017D5298" w14:textId="77777777" w:rsidR="00793F73" w:rsidRDefault="00793F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7B6AA21" id="_x0000_t202" coordsize="21600,21600" o:spt="202" path="m,l,21600r21600,l21600,xe">
                <v:stroke joinstyle="miter"/>
                <v:path gradientshapeok="t" o:connecttype="rect"/>
              </v:shapetype>
              <v:shape id="Text Box 1" o:spid="_x0000_s1026" type="#_x0000_t202" style="position:absolute;left:0;text-align:left;margin-left:-73pt;margin-top:-61.5pt;width:97.5pt;height: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" filled="f" stroked="f">
                <v:fill o:detectmouseclick="t"/>
                <v:textbox>
                  <w:txbxContent>
                    <w:p w14:paraId="017D5298" w14:textId="77777777" w:rsidR="00793F73" w:rsidRDefault="00793F73"/>
                  </w:txbxContent>
                </v:textbox>
              </v:shape>
            </w:pict>
          </mc:Fallback>
        </mc:AlternateContent>
      </w:r>
    </w:p>
    <w:p w14:paraId="5340DC4E" w14:textId="69E6722A" w:rsidR="004F239C" w:rsidRPr="00F31582" w:rsidRDefault="004F239C" w:rsidP="00F31582">
      <w:pPr>
        <w:pStyle w:val="AbstHead"/>
        <w:spacing w:after="0"/>
        <w:jc w:val="both"/>
        <w:rPr>
          <w:rFonts w:ascii="Arial" w:hAnsi="Arial" w:cs="Arial"/>
          <w:b w:val="0"/>
          <w:bCs/>
          <w:caps w:val="0"/>
          <w:sz w:val="20"/>
        </w:rPr>
      </w:pPr>
    </w:p>
    <w:p w14:paraId="48B69BE9" w14:textId="0416D0D3" w:rsidR="004F239C" w:rsidRPr="00F31582" w:rsidRDefault="004F239C" w:rsidP="00F31582">
      <w:pPr>
        <w:pStyle w:val="AbstHead"/>
        <w:spacing w:after="0"/>
        <w:jc w:val="both"/>
        <w:rPr>
          <w:rFonts w:ascii="Arial" w:hAnsi="Arial" w:cs="Arial"/>
          <w:b w:val="0"/>
          <w:bCs/>
          <w:caps w:val="0"/>
          <w:sz w:val="20"/>
        </w:rPr>
      </w:pPr>
    </w:p>
    <w:p w14:paraId="7A55D40A" w14:textId="49B475F9" w:rsidR="004F239C" w:rsidRPr="00F31582" w:rsidRDefault="004F239C" w:rsidP="00F31582">
      <w:pPr>
        <w:pStyle w:val="AbstHead"/>
        <w:spacing w:after="0"/>
        <w:jc w:val="both"/>
        <w:rPr>
          <w:rFonts w:ascii="Arial" w:hAnsi="Arial" w:cs="Arial"/>
          <w:b w:val="0"/>
          <w:bCs/>
          <w:caps w:val="0"/>
          <w:sz w:val="20"/>
        </w:rPr>
      </w:pPr>
    </w:p>
    <w:p w14:paraId="2B1EB27E" w14:textId="77777777" w:rsidR="004F239C" w:rsidRPr="00F31582" w:rsidRDefault="004F239C" w:rsidP="00F31582">
      <w:pPr>
        <w:pStyle w:val="AbstHead"/>
        <w:spacing w:after="0"/>
        <w:jc w:val="both"/>
        <w:rPr>
          <w:rFonts w:ascii="Arial" w:eastAsia="Calibri" w:hAnsi="Arial" w:cs="Arial"/>
          <w:b w:val="0"/>
          <w:bCs/>
          <w:sz w:val="20"/>
        </w:rPr>
      </w:pPr>
    </w:p>
    <w:p w14:paraId="70EDEFB6" w14:textId="77777777" w:rsidR="00793F73" w:rsidRPr="00793F73" w:rsidRDefault="00793F73" w:rsidP="00793F73">
      <w:pPr>
        <w:pStyle w:val="Body"/>
        <w:jc w:val="center"/>
        <w:rPr>
          <w:rFonts w:ascii="Arial" w:eastAsia="Calibri" w:hAnsi="Arial" w:cs="Arial"/>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3F73">
        <w:rPr>
          <w:rFonts w:ascii="Arial" w:eastAsia="Calibri" w:hAnsi="Arial" w:cs="Arial"/>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p w14:paraId="749B8A64" w14:textId="2977E477" w:rsidR="00B27B9A" w:rsidRPr="00B27B9A" w:rsidRDefault="003D6376" w:rsidP="00221EF5">
      <w:pPr>
        <w:pStyle w:val="Body"/>
        <w:numPr>
          <w:ilvl w:val="0"/>
          <w:numId w:val="31"/>
        </w:numPr>
        <w:jc w:val="center"/>
        <w:rPr>
          <w:rFonts w:ascii="Arial" w:eastAsia="Calibri" w:hAnsi="Arial" w:cs="Arial"/>
        </w:rPr>
      </w:pPr>
      <w:r>
        <w:rPr>
          <w:rFonts w:ascii="Arial" w:eastAsia="Calibri" w:hAnsi="Arial" w:cs="Arial"/>
          <w:noProof/>
        </w:rPr>
        <w:lastRenderedPageBreak/>
        <mc:AlternateContent>
          <mc:Choice Requires="wps">
            <w:drawing>
              <wp:anchor distT="0" distB="0" distL="114300" distR="114300" simplePos="0" relativeHeight="251670528" behindDoc="0" locked="0" layoutInCell="1" allowOverlap="1" wp14:anchorId="778479ED" wp14:editId="7FAD676B">
                <wp:simplePos x="0" y="0"/>
                <wp:positionH relativeFrom="column">
                  <wp:posOffset>5530850</wp:posOffset>
                </wp:positionH>
                <wp:positionV relativeFrom="paragraph">
                  <wp:posOffset>1358900</wp:posOffset>
                </wp:positionV>
                <wp:extent cx="457200" cy="279400"/>
                <wp:effectExtent l="0" t="0" r="19050" b="25400"/>
                <wp:wrapNone/>
                <wp:docPr id="5" name="Text Box 5"/>
                <wp:cNvGraphicFramePr/>
                <a:graphic xmlns:a="http://schemas.openxmlformats.org/drawingml/2006/main">
                  <a:graphicData uri="http://schemas.microsoft.com/office/word/2010/wordprocessingShape">
                    <wps:wsp>
                      <wps:cNvSpPr txBox="1"/>
                      <wps:spPr>
                        <a:xfrm flipH="1">
                          <a:off x="0" y="0"/>
                          <a:ext cx="457200" cy="279400"/>
                        </a:xfrm>
                        <a:prstGeom prst="rect">
                          <a:avLst/>
                        </a:prstGeom>
                        <a:solidFill>
                          <a:schemeClr val="lt1"/>
                        </a:solidFill>
                        <a:ln w="6350">
                          <a:solidFill>
                            <a:prstClr val="black"/>
                          </a:solidFill>
                        </a:ln>
                      </wps:spPr>
                      <wps:txbx>
                        <w:txbxContent>
                          <w:p w14:paraId="221C0EFE" w14:textId="77777777" w:rsidR="003D6376" w:rsidRPr="003D6376" w:rsidRDefault="003D6376" w:rsidP="003D6376">
                            <w:pPr>
                              <w:rPr>
                                <w:rFonts w:ascii="Arial" w:hAnsi="Arial" w:cs="Arial"/>
                                <w:b/>
                                <w:bCs/>
                              </w:rPr>
                            </w:pPr>
                            <w:r w:rsidRPr="003D6376">
                              <w:rPr>
                                <w:rFonts w:ascii="Arial" w:hAnsi="Arial" w:cs="Arial"/>
                              </w:rPr>
                              <w:t xml:space="preserve"> </w:t>
                            </w:r>
                            <w:r w:rsidRPr="003D6376">
                              <w:rPr>
                                <w:rFonts w:ascii="Arial" w:hAnsi="Arial" w:cs="Arial"/>
                                <w:b/>
                                <w:bCs/>
                              </w:rPr>
                              <w:t xml:space="preserve">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78479ED" id="Text Box 5" o:spid="_x0000_s1027" type="#_x0000_t202" style="position:absolute;left:0;text-align:left;margin-left:435.5pt;margin-top:107pt;width:36pt;height:22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" fillcolor="white [3201]" strokeweight=".5pt">
                <v:textbox>
                  <w:txbxContent>
                    <w:p w14:paraId="221C0EFE" w14:textId="77777777" w:rsidR="003D6376" w:rsidRPr="003D6376" w:rsidRDefault="003D6376" w:rsidP="003D6376">
                      <w:pPr>
                        <w:rPr>
                          <w:rFonts w:ascii="Arial" w:hAnsi="Arial" w:cs="Arial"/>
                          <w:b/>
                          <w:bCs/>
                        </w:rPr>
                      </w:pPr>
                      <w:r w:rsidRPr="003D6376">
                        <w:rPr>
                          <w:rFonts w:ascii="Arial" w:hAnsi="Arial" w:cs="Arial"/>
                        </w:rPr>
                        <w:t xml:space="preserve"> </w:t>
                      </w:r>
                      <w:r w:rsidRPr="003D6376">
                        <w:rPr>
                          <w:rFonts w:ascii="Arial" w:hAnsi="Arial" w:cs="Arial"/>
                          <w:b/>
                          <w:bCs/>
                        </w:rPr>
                        <w:t xml:space="preserve"> C</w:t>
                      </w:r>
                    </w:p>
                  </w:txbxContent>
                </v:textbox>
              </v:shape>
            </w:pict>
          </mc:Fallback>
        </mc:AlternateContent>
      </w:r>
      <w:r w:rsidR="00BE383D">
        <w:rPr>
          <w:noProof/>
        </w:rPr>
        <mc:AlternateContent>
          <mc:Choice Requires="wps">
            <w:drawing>
              <wp:anchor distT="0" distB="0" distL="114300" distR="114300" simplePos="0" relativeHeight="251668480" behindDoc="0" locked="0" layoutInCell="1" allowOverlap="1" wp14:anchorId="23C3A02C" wp14:editId="1FC429DA">
                <wp:simplePos x="0" y="0"/>
                <wp:positionH relativeFrom="column">
                  <wp:posOffset>2038350</wp:posOffset>
                </wp:positionH>
                <wp:positionV relativeFrom="paragraph">
                  <wp:posOffset>4470400</wp:posOffset>
                </wp:positionV>
                <wp:extent cx="539750" cy="241300"/>
                <wp:effectExtent l="0" t="0" r="12700" b="25400"/>
                <wp:wrapNone/>
                <wp:docPr id="8" name="Text Box 8"/>
                <wp:cNvGraphicFramePr/>
                <a:graphic xmlns:a="http://schemas.openxmlformats.org/drawingml/2006/main">
                  <a:graphicData uri="http://schemas.microsoft.com/office/word/2010/wordprocessingShape">
                    <wps:wsp>
                      <wps:cNvSpPr txBox="1"/>
                      <wps:spPr>
                        <a:xfrm>
                          <a:off x="0" y="0"/>
                          <a:ext cx="539750" cy="241300"/>
                        </a:xfrm>
                        <a:prstGeom prst="rect">
                          <a:avLst/>
                        </a:prstGeom>
                        <a:solidFill>
                          <a:schemeClr val="lt1"/>
                        </a:solidFill>
                        <a:ln w="6350">
                          <a:solidFill>
                            <a:prstClr val="black"/>
                          </a:solidFill>
                        </a:ln>
                      </wps:spPr>
                      <wps:txbx>
                        <w:txbxContent>
                          <w:p w14:paraId="5CBF411D" w14:textId="54C93893" w:rsidR="00BE383D" w:rsidRPr="00BE383D" w:rsidRDefault="00BE383D">
                            <w:pPr>
                              <w:rPr>
                                <w:b/>
                                <w:bCs/>
                              </w:rPr>
                            </w:pPr>
                            <w:r>
                              <w:t xml:space="preserve">   </w:t>
                            </w:r>
                            <w:r w:rsidRPr="00BE383D">
                              <w:rPr>
                                <w:b/>
                                <w:bCs/>
                              </w:rPr>
                              <w:t xml:space="preserve">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3C3A02C" id="Text Box 8" o:spid="_x0000_s1028" type="#_x0000_t202" style="position:absolute;left:0;text-align:left;margin-left:160.5pt;margin-top:352pt;width:42.5pt;height:1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" fillcolor="white [3201]" strokeweight=".5pt">
                <v:textbox>
                  <w:txbxContent>
                    <w:p w14:paraId="5CBF411D" w14:textId="54C93893" w:rsidR="00BE383D" w:rsidRPr="00BE383D" w:rsidRDefault="00BE383D">
                      <w:pPr>
                        <w:rPr>
                          <w:b/>
                          <w:bCs/>
                        </w:rPr>
                      </w:pPr>
                      <w:r>
                        <w:t xml:space="preserve">   </w:t>
                      </w:r>
                      <w:r w:rsidRPr="00BE383D">
                        <w:rPr>
                          <w:b/>
                          <w:bCs/>
                        </w:rPr>
                        <w:t xml:space="preserve"> D</w:t>
                      </w:r>
                    </w:p>
                  </w:txbxContent>
                </v:textbox>
              </v:shape>
            </w:pict>
          </mc:Fallback>
        </mc:AlternateContent>
      </w:r>
      <w:r w:rsidR="00BE383D">
        <w:rPr>
          <w:noProof/>
        </w:rPr>
        <mc:AlternateContent>
          <mc:Choice Requires="wps">
            <w:drawing>
              <wp:anchor distT="0" distB="0" distL="114300" distR="114300" simplePos="0" relativeHeight="251664384" behindDoc="0" locked="0" layoutInCell="1" allowOverlap="1" wp14:anchorId="2876AE77" wp14:editId="6C0FDDE0">
                <wp:simplePos x="0" y="0"/>
                <wp:positionH relativeFrom="column">
                  <wp:posOffset>0</wp:posOffset>
                </wp:positionH>
                <wp:positionV relativeFrom="paragraph">
                  <wp:posOffset>0</wp:posOffset>
                </wp:positionV>
                <wp:extent cx="1828800" cy="18288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C926187" w14:textId="77777777" w:rsidR="00BE383D" w:rsidRPr="009E5439" w:rsidRDefault="00BE383D" w:rsidP="009E5439">
                            <w:pPr>
                              <w:pStyle w:val="Body"/>
                              <w:rPr>
                                <w:rFonts w:ascii="Arial" w:eastAsia="Calibri" w:hAnsi="Arial" w:cs="Arial"/>
                                <w:noProof/>
                              </w:rPr>
                            </w:pPr>
                            <w:r w:rsidRPr="005F3FD2">
                              <w:rPr>
                                <w:rFonts w:ascii="Arial" w:eastAsia="Calibri" w:hAnsi="Arial" w:cs="Arial"/>
                                <w:noProof/>
                              </w:rPr>
                              <w:drawing>
                                <wp:inline distT="0" distB="0" distL="0" distR="0" wp14:anchorId="46B47194" wp14:editId="3031E568">
                                  <wp:extent cx="5624130" cy="4470400"/>
                                  <wp:effectExtent l="0" t="0" r="0" b="635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729041" cy="4553789"/>
                                          </a:xfrm>
                                          <a:prstGeom prst="rect">
                                            <a:avLst/>
                                          </a:prstGeom>
                                        </pic:spPr>
                                      </pic:pic>
                                    </a:graphicData>
                                  </a:graphic>
                                </wp:inline>
                              </w:drawing>
                            </w:r>
                            <w:r>
                              <w:rPr>
                                <w:rStyle w:val="CommentReference"/>
                                <w:rFonts w:ascii="Times New Roman" w:hAnsi="Times New Roman"/>
                                <w:lang w:val="nb-NO" w:eastAsia="nb-NO"/>
                              </w:rPr>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2876AE77" id="Text Box 7" o:spid="_x0000_s1029" type="#_x0000_t202" style="position:absolute;left:0;text-align:left;margin-left:0;margin-top:0;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" filled="f" strokeweight=".5pt">
                <v:fill o:detectmouseclick="t"/>
                <v:textbox style="mso-fit-shape-to-text:t">
                  <w:txbxContent>
                    <w:p w14:paraId="6C926187" w14:textId="77777777" w:rsidR="00BE383D" w:rsidRPr="009E5439" w:rsidRDefault="00BE383D" w:rsidP="009E5439">
                      <w:pPr>
                        <w:pStyle w:val="Body"/>
                        <w:rPr>
                          <w:rFonts w:ascii="Arial" w:eastAsia="Calibri" w:hAnsi="Arial" w:cs="Arial"/>
                          <w:noProof/>
                        </w:rPr>
                      </w:pPr>
                      <w:r w:rsidRPr="005F3FD2">
                        <w:rPr>
                          <w:rFonts w:ascii="Arial" w:eastAsia="Calibri" w:hAnsi="Arial" w:cs="Arial"/>
                          <w:noProof/>
                        </w:rPr>
                        <w:drawing>
                          <wp:inline distT="0" distB="0" distL="0" distR="0" wp14:anchorId="46B47194" wp14:editId="3031E568">
                            <wp:extent cx="5624130" cy="4470400"/>
                            <wp:effectExtent l="0" t="0" r="0" b="635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5729041" cy="4553789"/>
                                    </a:xfrm>
                                    <a:prstGeom prst="rect">
                                      <a:avLst/>
                                    </a:prstGeom>
                                  </pic:spPr>
                                </pic:pic>
                              </a:graphicData>
                            </a:graphic>
                          </wp:inline>
                        </w:drawing>
                      </w:r>
                      <w:r>
                        <w:rPr>
                          <w:rStyle w:val="CommentReference"/>
                          <w:rFonts w:ascii="Times New Roman" w:hAnsi="Times New Roman"/>
                          <w:lang w:val="nb-NO" w:eastAsia="nb-NO"/>
                        </w:rPr>
                        <w:annotationRef/>
                      </w:r>
                    </w:p>
                  </w:txbxContent>
                </v:textbox>
                <w10:wrap type="square"/>
              </v:shape>
            </w:pict>
          </mc:Fallback>
        </mc:AlternateContent>
      </w:r>
      <w:r w:rsidR="00BE383D">
        <w:rPr>
          <w:rFonts w:ascii="Arial" w:eastAsia="Calibri" w:hAnsi="Arial" w:cs="Arial"/>
          <w:noProof/>
        </w:rPr>
        <mc:AlternateContent>
          <mc:Choice Requires="wps">
            <w:drawing>
              <wp:anchor distT="0" distB="0" distL="114300" distR="114300" simplePos="0" relativeHeight="251666432" behindDoc="0" locked="0" layoutInCell="1" allowOverlap="1" wp14:anchorId="46B0713A" wp14:editId="033DA0DB">
                <wp:simplePos x="0" y="0"/>
                <wp:positionH relativeFrom="column">
                  <wp:posOffset>2108200</wp:posOffset>
                </wp:positionH>
                <wp:positionV relativeFrom="paragraph">
                  <wp:posOffset>3009900</wp:posOffset>
                </wp:positionV>
                <wp:extent cx="450850" cy="228600"/>
                <wp:effectExtent l="0" t="0" r="25400" b="19050"/>
                <wp:wrapNone/>
                <wp:docPr id="4" name="Text Box 4"/>
                <wp:cNvGraphicFramePr/>
                <a:graphic xmlns:a="http://schemas.openxmlformats.org/drawingml/2006/main">
                  <a:graphicData uri="http://schemas.microsoft.com/office/word/2010/wordprocessingShape">
                    <wps:wsp>
                      <wps:cNvSpPr txBox="1"/>
                      <wps:spPr>
                        <a:xfrm>
                          <a:off x="0" y="0"/>
                          <a:ext cx="450850" cy="228600"/>
                        </a:xfrm>
                        <a:prstGeom prst="rect">
                          <a:avLst/>
                        </a:prstGeom>
                        <a:solidFill>
                          <a:schemeClr val="lt1"/>
                        </a:solidFill>
                        <a:ln w="6350">
                          <a:solidFill>
                            <a:prstClr val="black"/>
                          </a:solidFill>
                        </a:ln>
                      </wps:spPr>
                      <wps:txbx>
                        <w:txbxContent>
                          <w:p w14:paraId="7C96BE90" w14:textId="77777777" w:rsidR="00BE383D" w:rsidRPr="00BE383D" w:rsidRDefault="00BE383D">
                            <w:pPr>
                              <w:rPr>
                                <w:b/>
                                <w:bCs/>
                              </w:rPr>
                            </w:pPr>
                            <w:r>
                              <w:t xml:space="preserve">  </w:t>
                            </w:r>
                            <w:r w:rsidRPr="00BE383D">
                              <w:rPr>
                                <w:b/>
                                <w:bC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6B0713A" id="Text Box 4" o:spid="_x0000_s1030" type="#_x0000_t202" style="position:absolute;left:0;text-align:left;margin-left:166pt;margin-top:237pt;width:35.5pt;height:1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" fillcolor="white [3201]" strokeweight=".5pt">
                <v:textbox>
                  <w:txbxContent>
                    <w:p w14:paraId="7C96BE90" w14:textId="77777777" w:rsidR="00BE383D" w:rsidRPr="00BE383D" w:rsidRDefault="00BE383D">
                      <w:pPr>
                        <w:rPr>
                          <w:b/>
                          <w:bCs/>
                        </w:rPr>
                      </w:pPr>
                      <w:r>
                        <w:t xml:space="preserve">  </w:t>
                      </w:r>
                      <w:r w:rsidRPr="00BE383D">
                        <w:rPr>
                          <w:b/>
                          <w:bCs/>
                        </w:rPr>
                        <w:t>B</w:t>
                      </w:r>
                    </w:p>
                  </w:txbxContent>
                </v:textbox>
              </v:shape>
            </w:pict>
          </mc:Fallback>
        </mc:AlternateContent>
      </w:r>
      <w:r w:rsidR="00BE383D">
        <w:rPr>
          <w:rFonts w:ascii="Arial" w:eastAsia="Calibri" w:hAnsi="Arial" w:cs="Arial"/>
          <w:noProof/>
        </w:rPr>
        <mc:AlternateContent>
          <mc:Choice Requires="wps">
            <w:drawing>
              <wp:anchor distT="0" distB="0" distL="114300" distR="114300" simplePos="0" relativeHeight="251665408" behindDoc="0" locked="0" layoutInCell="1" allowOverlap="1" wp14:anchorId="38C7C80F" wp14:editId="6352A6E9">
                <wp:simplePos x="0" y="0"/>
                <wp:positionH relativeFrom="column">
                  <wp:posOffset>317500</wp:posOffset>
                </wp:positionH>
                <wp:positionV relativeFrom="paragraph">
                  <wp:posOffset>4483100</wp:posOffset>
                </wp:positionV>
                <wp:extent cx="781050" cy="241300"/>
                <wp:effectExtent l="0" t="0" r="19050" b="25400"/>
                <wp:wrapNone/>
                <wp:docPr id="3" name="Text Box 3"/>
                <wp:cNvGraphicFramePr/>
                <a:graphic xmlns:a="http://schemas.openxmlformats.org/drawingml/2006/main">
                  <a:graphicData uri="http://schemas.microsoft.com/office/word/2010/wordprocessingShape">
                    <wps:wsp>
                      <wps:cNvSpPr txBox="1"/>
                      <wps:spPr>
                        <a:xfrm>
                          <a:off x="0" y="0"/>
                          <a:ext cx="781050" cy="241300"/>
                        </a:xfrm>
                        <a:prstGeom prst="rect">
                          <a:avLst/>
                        </a:prstGeom>
                        <a:solidFill>
                          <a:schemeClr val="lt1"/>
                        </a:solidFill>
                        <a:ln w="6350">
                          <a:solidFill>
                            <a:prstClr val="black"/>
                          </a:solidFill>
                        </a:ln>
                      </wps:spPr>
                      <wps:txbx>
                        <w:txbxContent>
                          <w:p w14:paraId="3E1993B2" w14:textId="77777777" w:rsidR="00BE383D" w:rsidRPr="00B27B9A" w:rsidRDefault="00BE383D">
                            <w:pPr>
                              <w:rPr>
                                <w:rFonts w:ascii="Arial" w:hAnsi="Arial" w:cs="Arial"/>
                                <w:b/>
                                <w:bCs/>
                              </w:rPr>
                            </w:pPr>
                            <w:r w:rsidRPr="00B27B9A">
                              <w:rPr>
                                <w:rFonts w:ascii="Arial" w:hAnsi="Arial" w:cs="Arial"/>
                                <w:b/>
                                <w:bCs/>
                              </w:rPr>
                              <w:t xml:space="preserv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8C7C80F" id="Text Box 3" o:spid="_x0000_s1031" type="#_x0000_t202" style="position:absolute;left:0;text-align:left;margin-left:25pt;margin-top:353pt;width:61.5pt;height:1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" fillcolor="white [3201]" strokeweight=".5pt">
                <v:textbox>
                  <w:txbxContent>
                    <w:p w14:paraId="3E1993B2" w14:textId="77777777" w:rsidR="00BE383D" w:rsidRPr="00B27B9A" w:rsidRDefault="00BE383D">
                      <w:pPr>
                        <w:rPr>
                          <w:rFonts w:ascii="Arial" w:hAnsi="Arial" w:cs="Arial"/>
                          <w:b/>
                          <w:bCs/>
                        </w:rPr>
                      </w:pPr>
                      <w:r w:rsidRPr="00B27B9A">
                        <w:rPr>
                          <w:rFonts w:ascii="Arial" w:hAnsi="Arial" w:cs="Arial"/>
                          <w:b/>
                          <w:bCs/>
                        </w:rPr>
                        <w:t xml:space="preserve">       A</w:t>
                      </w:r>
                    </w:p>
                  </w:txbxContent>
                </v:textbox>
              </v:shape>
            </w:pict>
          </mc:Fallback>
        </mc:AlternateContent>
      </w:r>
    </w:p>
    <w:p w14:paraId="6B67BC7D" w14:textId="4EAA4164" w:rsidR="00A42149" w:rsidRPr="00221EF5" w:rsidRDefault="00A42149" w:rsidP="00221EF5">
      <w:pPr>
        <w:pStyle w:val="Body"/>
        <w:numPr>
          <w:ilvl w:val="0"/>
          <w:numId w:val="31"/>
        </w:numPr>
        <w:jc w:val="center"/>
        <w:rPr>
          <w:rFonts w:ascii="Arial" w:eastAsia="Calibri" w:hAnsi="Arial" w:cs="Arial"/>
        </w:rPr>
      </w:pPr>
      <w:r w:rsidRPr="005F3FD2">
        <w:rPr>
          <w:rFonts w:ascii="Arial" w:eastAsia="Calibri" w:hAnsi="Arial" w:cs="Arial"/>
          <w:b/>
          <w:i/>
        </w:rPr>
        <w:t>Figure 1:</w:t>
      </w:r>
      <w:r w:rsidRPr="005F3FD2">
        <w:rPr>
          <w:rFonts w:ascii="Arial" w:eastAsia="Calibri" w:hAnsi="Arial" w:cs="Arial"/>
        </w:rPr>
        <w:t xml:space="preserve"> - </w:t>
      </w:r>
      <w:r w:rsidR="00221EF5" w:rsidRPr="00221EF5">
        <w:rPr>
          <w:rFonts w:ascii="Arial" w:hAnsi="Arial" w:cs="Arial"/>
        </w:rPr>
        <w:t>schematic representation of nanotechnology applications in agriculture and allied sectors</w:t>
      </w:r>
      <w:r w:rsidR="00221EF5" w:rsidRPr="00221EF5">
        <w:rPr>
          <w:rFonts w:ascii="Arial" w:eastAsia="Calibri" w:hAnsi="Arial" w:cs="Arial"/>
        </w:rPr>
        <w:t xml:space="preserve"> </w:t>
      </w:r>
      <w:r w:rsidRPr="00221EF5">
        <w:rPr>
          <w:rFonts w:ascii="Arial" w:eastAsia="Calibri" w:hAnsi="Arial" w:cs="Arial"/>
        </w:rPr>
        <w:t>[11].</w:t>
      </w:r>
    </w:p>
    <w:p w14:paraId="1D3F512C" w14:textId="5B5B7816" w:rsidR="00221EF5" w:rsidRPr="00221EF5" w:rsidRDefault="00221EF5" w:rsidP="00221EF5">
      <w:pPr>
        <w:pStyle w:val="Body"/>
        <w:numPr>
          <w:ilvl w:val="0"/>
          <w:numId w:val="36"/>
        </w:numPr>
        <w:rPr>
          <w:rFonts w:ascii="Arial" w:eastAsia="Calibri" w:hAnsi="Arial" w:cs="Arial"/>
        </w:rPr>
      </w:pPr>
      <w:r>
        <w:t xml:space="preserve">Nanomaterial Synthesis Routes </w:t>
      </w:r>
    </w:p>
    <w:p w14:paraId="5F894C39" w14:textId="148E74E5" w:rsidR="00A42149" w:rsidRPr="00221EF5" w:rsidRDefault="00221EF5" w:rsidP="00221EF5">
      <w:pPr>
        <w:pStyle w:val="Body"/>
        <w:numPr>
          <w:ilvl w:val="0"/>
          <w:numId w:val="36"/>
        </w:numPr>
        <w:rPr>
          <w:rFonts w:ascii="Arial" w:eastAsia="Calibri" w:hAnsi="Arial" w:cs="Arial"/>
        </w:rPr>
      </w:pPr>
      <w:r>
        <w:t>Nano–Plant Interaction Pathways</w:t>
      </w:r>
    </w:p>
    <w:p w14:paraId="38272C31" w14:textId="43866192" w:rsidR="00221EF5" w:rsidRPr="00221EF5" w:rsidRDefault="00221EF5" w:rsidP="00221EF5">
      <w:pPr>
        <w:pStyle w:val="Body"/>
        <w:numPr>
          <w:ilvl w:val="0"/>
          <w:numId w:val="36"/>
        </w:numPr>
        <w:rPr>
          <w:rFonts w:ascii="Arial" w:eastAsia="Calibri" w:hAnsi="Arial" w:cs="Arial"/>
        </w:rPr>
      </w:pPr>
      <w:r>
        <w:t xml:space="preserve"> Applications</w:t>
      </w:r>
    </w:p>
    <w:p w14:paraId="0C37F76E" w14:textId="496E6D41" w:rsidR="00B27B9A" w:rsidRPr="00B27B9A" w:rsidRDefault="00221EF5" w:rsidP="00B27B9A">
      <w:pPr>
        <w:pStyle w:val="Body"/>
        <w:numPr>
          <w:ilvl w:val="0"/>
          <w:numId w:val="36"/>
        </w:numPr>
        <w:rPr>
          <w:rFonts w:ascii="Arial" w:eastAsia="Calibri" w:hAnsi="Arial" w:cs="Arial"/>
        </w:rPr>
      </w:pPr>
      <w:r w:rsidRPr="00B27B9A">
        <w:rPr>
          <w:rFonts w:ascii="Arial" w:hAnsi="Arial" w:cs="Arial"/>
        </w:rPr>
        <w:t>Limitations and Risks</w:t>
      </w:r>
    </w:p>
    <w:p w14:paraId="22A57DFE" w14:textId="6101C8D5" w:rsidR="00221EF5" w:rsidRDefault="00B27B9A" w:rsidP="00B27B9A">
      <w:pPr>
        <w:pStyle w:val="Body"/>
        <w:rPr>
          <w:rFonts w:ascii="Arial" w:eastAsia="Calibri" w:hAnsi="Arial" w:cs="Arial"/>
        </w:rPr>
      </w:pPr>
      <w:r w:rsidRPr="00B27B9A">
        <w:rPr>
          <w:rFonts w:ascii="Arial" w:eastAsia="Calibri" w:hAnsi="Arial" w:cs="Arial"/>
        </w:rPr>
        <w:t>The labeled schematic shows the synthesis, application, and limits of nanotechnology in agriculture and related fields. Nanomaterials are made using biological, chemical, and physical methods. They are applied to plants through soil or leaf pathways, allowing for uptake and internal movement. In agriculture, nanotechnology helps crop production with nano-fertilizers, nano-pesticides, nano-biosensors, seed nano-priming, and nano-biofortification. This improves nutrient use, crop protection, and yield. Related sectors benefit from nano-enabled food packaging and preservation, environmental cleanup, and wood preservation technologies. The schematic also points out important limitations, such as possible toxicity to plants, environmental risks, and health concerns, stressing the need for responsible and regulated use.</w:t>
      </w:r>
    </w:p>
    <w:p w14:paraId="1C827D54" w14:textId="550ED336" w:rsidR="003D6376" w:rsidRPr="00B27B9A" w:rsidRDefault="003D6376" w:rsidP="00B27B9A">
      <w:pPr>
        <w:pStyle w:val="Body"/>
        <w:rPr>
          <w:rFonts w:ascii="Arial" w:eastAsia="Calibri" w:hAnsi="Arial" w:cs="Arial"/>
        </w:rPr>
      </w:pPr>
      <w:r w:rsidRPr="005F3FD2">
        <w:rPr>
          <w:rFonts w:ascii="Arial" w:eastAsia="Calibri" w:hAnsi="Arial" w:cs="Arial"/>
        </w:rPr>
        <w:t xml:space="preserve">Nano-pesticides are special formulations of traditional or new pesticides created using nanomaterials to improve their effectiveness, stability, and environmental safety in farming. These pesticides combine active ingredients with hybrid materials, encapsulate them in tiny matrices, or </w:t>
      </w:r>
      <w:r w:rsidRPr="005F3FD2">
        <w:rPr>
          <w:rFonts w:ascii="Arial" w:eastAsia="Calibri" w:hAnsi="Arial" w:cs="Arial"/>
        </w:rPr>
        <w:lastRenderedPageBreak/>
        <w:t>use smart nanocarriers that react to outside triggers or enzymes. This allows for controlled and targeted release of the active compounds. The pesticides can work exactly where and when needed, which cuts down on unintended effects and chemical waste. The distinct physical and chemical characteristics of nanosized particles, like their small size, high surface area, adjustable shape, and increased reactivity, help enhance the performance of nano-pesticide formulations. Various nanomaterials have been studied for this, including silica nanoparticles, lipid-based carriers, natural and synthetic polymers, ceramics, metal and metal-oxide nanoparticles, and carbon-based materials like carbon nanotubes and graphene. These materials effectively protect active ingredients from breaking down too soon, increase the solubility of pesticides that don’t dissolve well in water, and improve how well they stick to and penetrate plant surfaces and pest exoskeletons. Nano-pesticides present a promising option to address several issues related to conventional insecticides, which include quick breakdown, non-specific toxicity, the need for frequent applications, and environmental harm. By allowing for longer-lasting and trigger-responsive release, nano-pesticides can lower the overall amount of chemicals needed for effective pest control. This, in turn, can reduce production costs over time and decrease ecological risks. Also, these nano-formulations can target specific pests more accurately, which minimizes the negative impact on beneficial creatures like pollinators and soil microbes. In summary, nano-pesticides are crop protection agents where either the active ingredient, the carrier, or both are designed and created at the nanoscale using principles of nanotechnology. This approach leads to better pest control efficiency, longer activity in the field, and better resistance management by lowering the chances of pests becoming resistant. Because of this, nano-pesticides are increasingly seen as an important part of sustainable and precise agriculture, as long as their environmental impact, safety, and regulatory aspects are carefully studied</w:t>
      </w:r>
    </w:p>
    <w:p w14:paraId="05B6FC74" w14:textId="4E0CED8B" w:rsidR="00221EF5" w:rsidRPr="00B27B9A" w:rsidRDefault="00221EF5" w:rsidP="00221EF5">
      <w:pPr>
        <w:pStyle w:val="Body"/>
        <w:rPr>
          <w:rFonts w:ascii="Arial" w:eastAsia="Calibri" w:hAnsi="Arial" w:cs="Arial"/>
        </w:rPr>
        <w:sectPr w:rsidR="00221EF5" w:rsidRPr="00B27B9A" w:rsidSect="008D4045">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340" w:right="1700" w:bottom="1720" w:left="1700" w:header="0" w:footer="1536" w:gutter="0"/>
          <w:cols w:space="720"/>
        </w:sectPr>
      </w:pPr>
      <w:r w:rsidRPr="00B27B9A">
        <w:rPr>
          <w:rFonts w:ascii="Arial" w:eastAsia="Calibri" w:hAnsi="Arial" w:cs="Arial"/>
        </w:rPr>
        <w:t xml:space="preserve">     </w:t>
      </w:r>
    </w:p>
    <w:p w14:paraId="043C2F3D" w14:textId="4C14BF65" w:rsidR="00A42149" w:rsidRPr="005F3FD2" w:rsidRDefault="00575F9F" w:rsidP="00575F9F">
      <w:pPr>
        <w:pStyle w:val="Body"/>
        <w:rPr>
          <w:rFonts w:ascii="Arial" w:eastAsia="Calibri" w:hAnsi="Arial" w:cs="Arial"/>
        </w:rPr>
      </w:pPr>
      <w:r w:rsidRPr="00575F9F">
        <w:rPr>
          <w:rFonts w:ascii="Arial" w:eastAsia="Calibri" w:hAnsi="Arial" w:cs="Arial"/>
        </w:rPr>
        <w:lastRenderedPageBreak/>
        <w:t>Nature is an impressive teacher. The use of nanotechnology in agriculture can be very effective when we carefully replicate and improve natural processes through scientific innovation. One main goal is to improve soil functionality. This allows for better nutrient use, leading to higher crop productivity and better environmental health. Successful nutrient management with nanotechnology relies on two key factors: first, nutrients need to be in plant-friendly forms within the soil; second, how nutrients move from the soil to plants is influenced by processes like ion exchange (e.g., NH</w:t>
      </w:r>
      <w:r w:rsidRPr="00575F9F">
        <w:rPr>
          <w:rFonts w:ascii="Cambria Math" w:eastAsia="Calibri" w:hAnsi="Cambria Math" w:cs="Cambria Math"/>
        </w:rPr>
        <w:t>₄⁺</w:t>
      </w:r>
      <w:r w:rsidRPr="00575F9F">
        <w:rPr>
          <w:rFonts w:ascii="Arial" w:eastAsia="Calibri" w:hAnsi="Arial" w:cs="Arial"/>
        </w:rPr>
        <w:t>, H</w:t>
      </w:r>
      <w:r w:rsidRPr="00575F9F">
        <w:rPr>
          <w:rFonts w:ascii="Cambria Math" w:eastAsia="Calibri" w:hAnsi="Cambria Math" w:cs="Cambria Math"/>
        </w:rPr>
        <w:t>₂</w:t>
      </w:r>
      <w:r w:rsidRPr="00575F9F">
        <w:rPr>
          <w:rFonts w:ascii="Arial" w:eastAsia="Calibri" w:hAnsi="Arial" w:cs="Arial"/>
        </w:rPr>
        <w:t>PO</w:t>
      </w:r>
      <w:r w:rsidRPr="00575F9F">
        <w:rPr>
          <w:rFonts w:ascii="Cambria Math" w:eastAsia="Calibri" w:hAnsi="Cambria Math" w:cs="Cambria Math"/>
        </w:rPr>
        <w:t>₄⁻</w:t>
      </w:r>
      <w:r w:rsidRPr="00575F9F">
        <w:rPr>
          <w:rFonts w:ascii="Arial" w:eastAsia="Calibri" w:hAnsi="Arial" w:cs="Arial"/>
        </w:rPr>
        <w:t>, HPO</w:t>
      </w:r>
      <w:r w:rsidRPr="00575F9F">
        <w:rPr>
          <w:rFonts w:ascii="Cambria Math" w:eastAsia="Calibri" w:hAnsi="Cambria Math" w:cs="Cambria Math"/>
        </w:rPr>
        <w:t>₄</w:t>
      </w:r>
      <w:r w:rsidRPr="00575F9F">
        <w:rPr>
          <w:rFonts w:ascii="Arial" w:eastAsia="Calibri" w:hAnsi="Arial" w:cs="Arial"/>
        </w:rPr>
        <w:t>²</w:t>
      </w:r>
      <w:r w:rsidRPr="00575F9F">
        <w:rPr>
          <w:rFonts w:ascii="Cambria Math" w:eastAsia="Calibri" w:hAnsi="Cambria Math" w:cs="Cambria Math"/>
        </w:rPr>
        <w:t>⁻</w:t>
      </w:r>
      <w:r w:rsidRPr="00575F9F">
        <w:rPr>
          <w:rFonts w:ascii="Arial" w:eastAsia="Calibri" w:hAnsi="Arial" w:cs="Arial"/>
        </w:rPr>
        <w:t>, PO</w:t>
      </w:r>
      <w:r w:rsidRPr="00575F9F">
        <w:rPr>
          <w:rFonts w:ascii="Cambria Math" w:eastAsia="Calibri" w:hAnsi="Cambria Math" w:cs="Cambria Math"/>
        </w:rPr>
        <w:t>₄</w:t>
      </w:r>
      <w:r w:rsidRPr="00575F9F">
        <w:rPr>
          <w:rFonts w:ascii="Arial" w:eastAsia="Calibri" w:hAnsi="Arial" w:cs="Arial"/>
        </w:rPr>
        <w:t>³</w:t>
      </w:r>
      <w:r w:rsidRPr="00575F9F">
        <w:rPr>
          <w:rFonts w:ascii="Cambria Math" w:eastAsia="Calibri" w:hAnsi="Cambria Math" w:cs="Cambria Math"/>
        </w:rPr>
        <w:t>⁻</w:t>
      </w:r>
      <w:r w:rsidRPr="00575F9F">
        <w:rPr>
          <w:rFonts w:ascii="Arial" w:eastAsia="Calibri" w:hAnsi="Arial" w:cs="Arial"/>
        </w:rPr>
        <w:t>, Zn²</w:t>
      </w:r>
      <w:r w:rsidRPr="00575F9F">
        <w:rPr>
          <w:rFonts w:ascii="Cambria Math" w:eastAsia="Calibri" w:hAnsi="Cambria Math" w:cs="Cambria Math"/>
        </w:rPr>
        <w:t>⁺</w:t>
      </w:r>
      <w:r w:rsidRPr="00575F9F">
        <w:rPr>
          <w:rFonts w:ascii="Arial" w:eastAsia="Calibri" w:hAnsi="Arial" w:cs="Arial"/>
        </w:rPr>
        <w:t xml:space="preserve">), adsorption and desorption (e.g., phosphorus), and solubility and precipitation reactions (e.g., iron). Nanomaterials can be designed to control these reactions. This way, essential nutrients are released at the right rates and in the right forms to meet plant </w:t>
      </w:r>
      <w:proofErr w:type="spellStart"/>
      <w:proofErr w:type="gramStart"/>
      <w:r w:rsidRPr="00575F9F">
        <w:rPr>
          <w:rFonts w:ascii="Arial" w:eastAsia="Calibri" w:hAnsi="Arial" w:cs="Arial"/>
        </w:rPr>
        <w:t>needs.Clay</w:t>
      </w:r>
      <w:proofErr w:type="spellEnd"/>
      <w:proofErr w:type="gramEnd"/>
      <w:r w:rsidRPr="00575F9F">
        <w:rPr>
          <w:rFonts w:ascii="Arial" w:eastAsia="Calibri" w:hAnsi="Arial" w:cs="Arial"/>
        </w:rPr>
        <w:t xml:space="preserve"> minerals naturally manage many of these reactions. They can act as effective carriers for delivering nutrients. Nutrient-loaded nanofabricated materials can be used as aqueous suspensions or hydrogels, making them easy to apply, store, and deliver in a controlled way. Zero-valent iron nanoparticles (</w:t>
      </w:r>
      <w:proofErr w:type="spellStart"/>
      <w:r w:rsidRPr="00575F9F">
        <w:rPr>
          <w:rFonts w:ascii="Arial" w:eastAsia="Calibri" w:hAnsi="Arial" w:cs="Arial"/>
        </w:rPr>
        <w:t>nZVI</w:t>
      </w:r>
      <w:proofErr w:type="spellEnd"/>
      <w:r w:rsidRPr="00575F9F">
        <w:rPr>
          <w:rFonts w:ascii="Arial" w:eastAsia="Calibri" w:hAnsi="Arial" w:cs="Arial"/>
        </w:rPr>
        <w:t>) and iron oxide nanoparticles can also help clean up soils contaminated with pesticides, heavy metals, or radionuclides because they have a strong attraction to organic pollutants and metals. Moreover, iron nanoparticles, similar to calcium carbonate nanoparticles, have a great ability to bind to soil. This promotes the creation of both microaggregates and macroaggregates, which improve soil structure, aeration, water retention, and overall fertility</w:t>
      </w:r>
      <w:r w:rsidR="00A42149" w:rsidRPr="005F3FD2">
        <w:rPr>
          <w:rFonts w:ascii="Arial" w:eastAsia="Calibri" w:hAnsi="Arial" w:cs="Arial"/>
        </w:rPr>
        <w:t xml:space="preserve"> [5</w:t>
      </w:r>
      <w:r w:rsidR="00787F99">
        <w:rPr>
          <w:rFonts w:ascii="Arial" w:eastAsia="Calibri" w:hAnsi="Arial" w:cs="Arial"/>
        </w:rPr>
        <w:t>,12</w:t>
      </w:r>
      <w:r w:rsidR="00A42149" w:rsidRPr="005F3FD2">
        <w:rPr>
          <w:rFonts w:ascii="Arial" w:eastAsia="Calibri" w:hAnsi="Arial" w:cs="Arial"/>
        </w:rPr>
        <w:t>].</w:t>
      </w:r>
    </w:p>
    <w:p w14:paraId="04D80B09" w14:textId="77777777" w:rsidR="00A42149" w:rsidRPr="005F3FD2" w:rsidRDefault="00A42149" w:rsidP="00DD0F76">
      <w:pPr>
        <w:pStyle w:val="Body"/>
        <w:rPr>
          <w:rFonts w:ascii="Arial" w:eastAsia="Calibri" w:hAnsi="Arial" w:cs="Arial"/>
        </w:rPr>
      </w:pPr>
      <w:r w:rsidRPr="005F3FD2">
        <w:rPr>
          <w:rFonts w:ascii="Arial" w:eastAsia="Calibri" w:hAnsi="Arial" w:cs="Arial"/>
        </w:rPr>
        <w:t>Nano fertilizers are plant nutrients either entirely or partially made up or constructed of nanostructured formulation(s) that release active ingredients slowly and in a controlled way into the soil, thus avoiding nutrient loss, eutrophication, and air and water pollution. Due to their large surface area to volume ratio, the performance, effectiveness, availability, and usage of NFs are greater than those of CFs and hence, the former provide a platform for the development of innovative and sustainable nutrient delivery systems. Their structure can also enable effective uptake by crops, soil fertility restoration, ultrahigh adsorption, enhanced photosynthesis, enhanced production, lowered soil toxicity, lowered frequency of application, enhanced plant health, and reduced environmental pollution [6]. Nanotechnology encompasses the synthesis and utilization of devices through management and control of their shape and size at the nanometer level. Nanotechnology has opened the door and made it possible to utilize nanostructured materials as fertilizers, known as "smart fertilizers". Moreover, the formulation of nano fertilizers can make it possible to enhance the efficient nutrient uptake, restore soil fertility, ultra-high absorption, enhanced photosynthesis, enhanced production, diminished soil toxicity, reduced application frequency, enhanced plant health, and minimized environmental pollution [7].</w:t>
      </w:r>
    </w:p>
    <w:p w14:paraId="531CA0A4" w14:textId="77777777" w:rsidR="00790ADA" w:rsidRPr="005F3FD2" w:rsidRDefault="00790ADA" w:rsidP="00DD0F76">
      <w:pPr>
        <w:pStyle w:val="Body"/>
        <w:spacing w:after="0"/>
        <w:rPr>
          <w:rFonts w:ascii="Arial" w:hAnsi="Arial" w:cs="Arial"/>
        </w:rPr>
      </w:pPr>
    </w:p>
    <w:p w14:paraId="0C4B9A9C" w14:textId="77777777" w:rsidR="00902823" w:rsidRPr="005F3FD2" w:rsidRDefault="00000F8F" w:rsidP="00DD0F76">
      <w:pPr>
        <w:pStyle w:val="Head1"/>
        <w:spacing w:after="0"/>
        <w:jc w:val="both"/>
        <w:rPr>
          <w:rFonts w:ascii="Arial" w:hAnsi="Arial" w:cs="Arial"/>
          <w:sz w:val="20"/>
        </w:rPr>
      </w:pPr>
      <w:r w:rsidRPr="005F3FD2">
        <w:rPr>
          <w:rFonts w:ascii="Arial" w:hAnsi="Arial" w:cs="Arial"/>
          <w:sz w:val="20"/>
        </w:rPr>
        <w:t>3</w:t>
      </w:r>
      <w:r w:rsidR="00902823" w:rsidRPr="005F3FD2">
        <w:rPr>
          <w:rFonts w:ascii="Arial" w:hAnsi="Arial" w:cs="Arial"/>
          <w:sz w:val="20"/>
        </w:rPr>
        <w:t xml:space="preserve">. </w:t>
      </w:r>
      <w:r w:rsidRPr="005F3FD2">
        <w:rPr>
          <w:rFonts w:ascii="Arial" w:hAnsi="Arial" w:cs="Arial"/>
          <w:sz w:val="20"/>
        </w:rPr>
        <w:t>results and discussion</w:t>
      </w:r>
    </w:p>
    <w:p w14:paraId="229E517C" w14:textId="5EE5B59A" w:rsidR="005D005E" w:rsidRPr="005F3FD2" w:rsidRDefault="005D005E" w:rsidP="00DD0F76">
      <w:pPr>
        <w:pStyle w:val="ReferHead"/>
        <w:jc w:val="both"/>
        <w:rPr>
          <w:rFonts w:ascii="Arial" w:hAnsi="Arial" w:cs="Arial"/>
          <w:b w:val="0"/>
          <w:bCs/>
          <w:sz w:val="20"/>
        </w:rPr>
      </w:pPr>
      <w:r w:rsidRPr="005F3FD2">
        <w:rPr>
          <w:rFonts w:ascii="Arial" w:hAnsi="Arial" w:cs="Arial"/>
          <w:b w:val="0"/>
          <w:bCs/>
          <w:caps w:val="0"/>
          <w:sz w:val="20"/>
        </w:rPr>
        <w:t>3.1 Role of nanotechnology in global development and agriculture</w:t>
      </w:r>
    </w:p>
    <w:p w14:paraId="6A4E321B" w14:textId="77777777" w:rsidR="00787F99" w:rsidRPr="00787F99" w:rsidRDefault="00787F99" w:rsidP="00787F99">
      <w:pPr>
        <w:pStyle w:val="ReferHead"/>
        <w:jc w:val="both"/>
        <w:rPr>
          <w:rFonts w:ascii="Arial" w:hAnsi="Arial" w:cs="Arial"/>
          <w:b w:val="0"/>
          <w:bCs/>
          <w:caps w:val="0"/>
          <w:sz w:val="20"/>
        </w:rPr>
      </w:pPr>
      <w:r w:rsidRPr="00787F99">
        <w:rPr>
          <w:rFonts w:ascii="Arial" w:hAnsi="Arial" w:cs="Arial"/>
          <w:b w:val="0"/>
          <w:bCs/>
          <w:caps w:val="0"/>
          <w:sz w:val="20"/>
        </w:rPr>
        <w:t>The information gathered from existing literature shows that nanotechnology has become a key tool for tackling some of the most significant global challenges, such as food insecurity, environmental degradation, water scarcity, and climate change. Even with significant advancements in science and technology, millions of people worldwide still lack access to basic needs like clean drinking water, adequate nutrition, healthcare, education, and sustainable livelihoods. Since 2000, the United Nations Millennium Development Goals (MDGs), followed by the Sustainable Development Goals (SDGs), have provided a framework for addressing these interconnected issues. More and more, international agencies, governments, and research institutions see nanotechnology as a technology that can help achieve several SDGs directly and indirectly.</w:t>
      </w:r>
    </w:p>
    <w:p w14:paraId="54E52813" w14:textId="77777777" w:rsidR="00787F99" w:rsidRPr="00787F99" w:rsidRDefault="00787F99" w:rsidP="00787F99">
      <w:pPr>
        <w:pStyle w:val="ReferHead"/>
        <w:jc w:val="both"/>
        <w:rPr>
          <w:rFonts w:ascii="Arial" w:hAnsi="Arial" w:cs="Arial"/>
          <w:b w:val="0"/>
          <w:bCs/>
          <w:caps w:val="0"/>
          <w:sz w:val="20"/>
        </w:rPr>
      </w:pPr>
    </w:p>
    <w:p w14:paraId="763F3AD0" w14:textId="77777777" w:rsidR="00787F99" w:rsidRPr="00787F99" w:rsidRDefault="00787F99" w:rsidP="00787F99">
      <w:pPr>
        <w:pStyle w:val="ReferHead"/>
        <w:jc w:val="both"/>
        <w:rPr>
          <w:rFonts w:ascii="Arial" w:hAnsi="Arial" w:cs="Arial"/>
          <w:b w:val="0"/>
          <w:bCs/>
          <w:caps w:val="0"/>
          <w:sz w:val="20"/>
        </w:rPr>
      </w:pPr>
      <w:r w:rsidRPr="00787F99">
        <w:rPr>
          <w:rFonts w:ascii="Arial" w:hAnsi="Arial" w:cs="Arial"/>
          <w:b w:val="0"/>
          <w:bCs/>
          <w:caps w:val="0"/>
          <w:sz w:val="20"/>
        </w:rPr>
        <w:t>In agriculture, nanotechnology provides new tools to improve crop productivity, increase nutrient use efficiency, reduce environmental pollution, and enhance resilience to climate-related stresses, aiding poverty reduction and rural development. For example, nano-enabled fertilizers and pesticides support SDG 2 (Zero Hunger) by boosting crop yields, nutritional quality, and food security. In addition, nanotechnology in water management helps SDG 6 (Clean Water and Sanitation) through better water treatment and conservation. Moreover, nanotechnology supports the idea of sustainable intensification, which aims to increase agricultural production without significantly raising environmental impact. The precise delivery of agrochemicals through nanocarriers lessens the need for excessive fertilizer and pesticide use, reducing greenhouse gas emissions, minimizing soil and water contamination, and promoting long-term ecosystem health.</w:t>
      </w:r>
    </w:p>
    <w:p w14:paraId="72C03C90" w14:textId="77777777" w:rsidR="00787F99" w:rsidRPr="00787F99" w:rsidRDefault="00787F99" w:rsidP="00787F99">
      <w:pPr>
        <w:pStyle w:val="ReferHead"/>
        <w:jc w:val="both"/>
        <w:rPr>
          <w:rFonts w:ascii="Arial" w:hAnsi="Arial" w:cs="Arial"/>
          <w:b w:val="0"/>
          <w:bCs/>
          <w:caps w:val="0"/>
          <w:sz w:val="20"/>
        </w:rPr>
      </w:pPr>
    </w:p>
    <w:p w14:paraId="2BE8DE65" w14:textId="1ECA6850" w:rsidR="005D005E" w:rsidRPr="005F3FD2" w:rsidRDefault="00787F99" w:rsidP="00787F99">
      <w:pPr>
        <w:pStyle w:val="ReferHead"/>
        <w:jc w:val="both"/>
        <w:rPr>
          <w:rFonts w:ascii="Arial" w:hAnsi="Arial" w:cs="Arial"/>
          <w:b w:val="0"/>
          <w:bCs/>
          <w:sz w:val="20"/>
        </w:rPr>
      </w:pPr>
      <w:r w:rsidRPr="00787F99">
        <w:rPr>
          <w:rFonts w:ascii="Arial" w:hAnsi="Arial" w:cs="Arial"/>
          <w:b w:val="0"/>
          <w:bCs/>
          <w:caps w:val="0"/>
          <w:sz w:val="20"/>
        </w:rPr>
        <w:t xml:space="preserve">However, the literature also highlights the need for responsible, context-specific implementation, especially in developing countries where regulatory frameworks, technical knowledge, and risk assessment abilities are often lacking. Without inclusive governance, capacity building, and fair access, the advantages of agricultural nanotechnology may not be evenly shared, potentially worsening social and economic inequalities. Therefore, while nanotechnology offers great potential for </w:t>
      </w:r>
      <w:r w:rsidRPr="00787F99">
        <w:rPr>
          <w:rFonts w:ascii="Arial" w:hAnsi="Arial" w:cs="Arial"/>
          <w:b w:val="0"/>
          <w:bCs/>
          <w:caps w:val="0"/>
          <w:sz w:val="20"/>
        </w:rPr>
        <w:lastRenderedPageBreak/>
        <w:t>sustainable agriculture and global development, its use must be guided by thorough risk assessment, regulatory oversight, and stakeholder engagement to ensure its benefits are safe and equitable</w:t>
      </w:r>
      <w:r w:rsidR="005D005E" w:rsidRPr="005F3FD2">
        <w:rPr>
          <w:rFonts w:ascii="Arial" w:hAnsi="Arial" w:cs="Arial"/>
          <w:b w:val="0"/>
          <w:bCs/>
          <w:caps w:val="0"/>
          <w:sz w:val="20"/>
        </w:rPr>
        <w:t>.</w:t>
      </w:r>
    </w:p>
    <w:p w14:paraId="1F84DA37" w14:textId="1B164E3A" w:rsidR="005D005E" w:rsidRPr="005F3FD2" w:rsidRDefault="005D005E" w:rsidP="00DD0F76">
      <w:pPr>
        <w:pStyle w:val="ReferHead"/>
        <w:jc w:val="both"/>
        <w:rPr>
          <w:rFonts w:ascii="Arial" w:hAnsi="Arial" w:cs="Arial"/>
          <w:b w:val="0"/>
          <w:bCs/>
          <w:caps w:val="0"/>
          <w:sz w:val="20"/>
        </w:rPr>
      </w:pPr>
      <w:r w:rsidRPr="005F3FD2">
        <w:rPr>
          <w:rFonts w:ascii="Arial" w:hAnsi="Arial" w:cs="Arial"/>
          <w:b w:val="0"/>
          <w:bCs/>
          <w:caps w:val="0"/>
          <w:sz w:val="20"/>
        </w:rPr>
        <w:t xml:space="preserve">3.2 </w:t>
      </w:r>
      <w:r w:rsidR="00575F9F">
        <w:rPr>
          <w:rFonts w:ascii="Arial" w:hAnsi="Arial" w:cs="Arial"/>
          <w:b w:val="0"/>
          <w:bCs/>
          <w:caps w:val="0"/>
          <w:sz w:val="20"/>
        </w:rPr>
        <w:t>P</w:t>
      </w:r>
      <w:r w:rsidRPr="005F3FD2">
        <w:rPr>
          <w:rFonts w:ascii="Arial" w:hAnsi="Arial" w:cs="Arial"/>
          <w:b w:val="0"/>
          <w:bCs/>
          <w:caps w:val="0"/>
          <w:sz w:val="20"/>
        </w:rPr>
        <w:t xml:space="preserve">ublic perception and </w:t>
      </w:r>
      <w:r w:rsidR="00575F9F">
        <w:rPr>
          <w:rFonts w:ascii="Arial" w:hAnsi="Arial" w:cs="Arial"/>
          <w:b w:val="0"/>
          <w:bCs/>
          <w:caps w:val="0"/>
          <w:sz w:val="20"/>
        </w:rPr>
        <w:t>S</w:t>
      </w:r>
      <w:r w:rsidRPr="005F3FD2">
        <w:rPr>
          <w:rFonts w:ascii="Arial" w:hAnsi="Arial" w:cs="Arial"/>
          <w:b w:val="0"/>
          <w:bCs/>
          <w:caps w:val="0"/>
          <w:sz w:val="20"/>
        </w:rPr>
        <w:t xml:space="preserve">ocioeconomic </w:t>
      </w:r>
      <w:r w:rsidR="00575F9F">
        <w:rPr>
          <w:rFonts w:ascii="Arial" w:hAnsi="Arial" w:cs="Arial"/>
          <w:b w:val="0"/>
          <w:bCs/>
          <w:caps w:val="0"/>
          <w:sz w:val="20"/>
        </w:rPr>
        <w:t>i</w:t>
      </w:r>
      <w:r w:rsidRPr="005F3FD2">
        <w:rPr>
          <w:rFonts w:ascii="Arial" w:hAnsi="Arial" w:cs="Arial"/>
          <w:b w:val="0"/>
          <w:bCs/>
          <w:caps w:val="0"/>
          <w:sz w:val="20"/>
        </w:rPr>
        <w:t>mplications</w:t>
      </w:r>
    </w:p>
    <w:p w14:paraId="10B309DF" w14:textId="77777777" w:rsidR="00191A2B" w:rsidRPr="005F3FD2" w:rsidRDefault="00191A2B" w:rsidP="00DD0F76">
      <w:pPr>
        <w:pStyle w:val="NormalWeb"/>
        <w:jc w:val="both"/>
        <w:rPr>
          <w:rFonts w:ascii="Arial" w:hAnsi="Arial" w:cs="Arial"/>
          <w:sz w:val="20"/>
          <w:szCs w:val="20"/>
        </w:rPr>
      </w:pPr>
      <w:r w:rsidRPr="005F3FD2">
        <w:rPr>
          <w:rFonts w:ascii="Arial" w:hAnsi="Arial" w:cs="Arial"/>
          <w:sz w:val="20"/>
          <w:szCs w:val="20"/>
        </w:rPr>
        <w:t>Survey-based studies, particularly from developed nations such as the United States, reveal that public perception of nanotechnology remains cautiously optimistic but heterogeneous when compared to other emerging technologies. Respondents generally perceive nanotechnology as less risky and more beneficial than genetically modified organisms (GMOs), synthetic pesticides, chemical disinfectants, and human genetic modification. However, it is often viewed as more risky and less socially acceptable than renewable energy technologies, vaccination programs, and digital innovations [5].</w:t>
      </w:r>
    </w:p>
    <w:p w14:paraId="3F8E6B81" w14:textId="77777777" w:rsidR="00191A2B" w:rsidRPr="005F3FD2" w:rsidRDefault="00191A2B" w:rsidP="00DD0F76">
      <w:pPr>
        <w:pStyle w:val="NormalWeb"/>
        <w:jc w:val="both"/>
        <w:rPr>
          <w:rFonts w:ascii="Arial" w:hAnsi="Arial" w:cs="Arial"/>
          <w:sz w:val="20"/>
          <w:szCs w:val="20"/>
        </w:rPr>
      </w:pPr>
      <w:r w:rsidRPr="005F3FD2">
        <w:rPr>
          <w:rFonts w:ascii="Arial" w:hAnsi="Arial" w:cs="Arial"/>
          <w:sz w:val="20"/>
          <w:szCs w:val="20"/>
        </w:rPr>
        <w:t xml:space="preserve">These perceptions are shaped by factors such as public awareness, trust in regulatory institutions, perceived benefits, and uncertainty regarding long-term impacts. In agriculture, public acceptance plays a particularly critical role because nanomaterials are deliberately introduced into open ecosystems and food production systems. Consumers often express concerns related to food safety, environmental contamination, ethical considerations, and transparency in </w:t>
      </w:r>
      <w:proofErr w:type="spellStart"/>
      <w:r w:rsidRPr="005F3FD2">
        <w:rPr>
          <w:rFonts w:ascii="Arial" w:hAnsi="Arial" w:cs="Arial"/>
          <w:sz w:val="20"/>
          <w:szCs w:val="20"/>
        </w:rPr>
        <w:t>labeling</w:t>
      </w:r>
      <w:proofErr w:type="spellEnd"/>
      <w:r w:rsidRPr="005F3FD2">
        <w:rPr>
          <w:rFonts w:ascii="Arial" w:hAnsi="Arial" w:cs="Arial"/>
          <w:sz w:val="20"/>
          <w:szCs w:val="20"/>
        </w:rPr>
        <w:t>.</w:t>
      </w:r>
    </w:p>
    <w:p w14:paraId="55BF163E" w14:textId="77777777" w:rsidR="00191A2B" w:rsidRPr="005F3FD2" w:rsidRDefault="00191A2B" w:rsidP="00DD0F76">
      <w:pPr>
        <w:pStyle w:val="NormalWeb"/>
        <w:jc w:val="both"/>
        <w:rPr>
          <w:rFonts w:ascii="Arial" w:hAnsi="Arial" w:cs="Arial"/>
          <w:sz w:val="20"/>
          <w:szCs w:val="20"/>
        </w:rPr>
      </w:pPr>
      <w:r w:rsidRPr="005F3FD2">
        <w:rPr>
          <w:rFonts w:ascii="Arial" w:hAnsi="Arial" w:cs="Arial"/>
          <w:sz w:val="20"/>
          <w:szCs w:val="20"/>
        </w:rPr>
        <w:t>From a socioeconomic perspective, nanotechnology has the potential to improve farmers’ incomes by increasing productivity, reducing input costs, and minimizing crop losses. However, unequal access to nano-enabled technologies, high initial costs, and intellectual property constraints may limit adoption among smallholder farmers. Therefore, inclusive innovation policies, public engagement, and clear risk communication strategies are essential to ensure societal trust and equitable benefits.</w:t>
      </w:r>
    </w:p>
    <w:p w14:paraId="1EC53552" w14:textId="543BA0EA" w:rsidR="00191A2B" w:rsidRPr="005F3FD2" w:rsidRDefault="00191A2B" w:rsidP="00DD0F76">
      <w:pPr>
        <w:rPr>
          <w:rFonts w:ascii="Arial" w:hAnsi="Arial" w:cs="Arial"/>
        </w:rPr>
      </w:pPr>
    </w:p>
    <w:p w14:paraId="0E9B5ABE" w14:textId="1D7BB6E0" w:rsidR="00191A2B" w:rsidRPr="005F3FD2" w:rsidRDefault="00191A2B" w:rsidP="00DD0F76">
      <w:pPr>
        <w:pStyle w:val="Heading3"/>
        <w:rPr>
          <w:rFonts w:ascii="Arial" w:hAnsi="Arial" w:cs="Arial"/>
          <w:color w:val="auto"/>
          <w:sz w:val="20"/>
          <w:szCs w:val="20"/>
        </w:rPr>
      </w:pPr>
      <w:r w:rsidRPr="005F3FD2">
        <w:rPr>
          <w:rFonts w:ascii="Arial" w:hAnsi="Arial" w:cs="Arial"/>
          <w:color w:val="auto"/>
          <w:sz w:val="20"/>
          <w:szCs w:val="20"/>
        </w:rPr>
        <w:t>3.3 Environmental Fate and Risk Assessment of Nanomaterials</w:t>
      </w:r>
    </w:p>
    <w:p w14:paraId="5F9EC8C0" w14:textId="77777777" w:rsidR="00191A2B" w:rsidRPr="005F3FD2" w:rsidRDefault="00191A2B" w:rsidP="00DD0F76">
      <w:pPr>
        <w:pStyle w:val="NormalWeb"/>
        <w:rPr>
          <w:rFonts w:ascii="Arial" w:hAnsi="Arial" w:cs="Arial"/>
          <w:sz w:val="20"/>
          <w:szCs w:val="20"/>
        </w:rPr>
      </w:pPr>
      <w:r w:rsidRPr="005F3FD2">
        <w:rPr>
          <w:rFonts w:ascii="Arial" w:hAnsi="Arial" w:cs="Arial"/>
          <w:sz w:val="20"/>
          <w:szCs w:val="20"/>
        </w:rPr>
        <w:t xml:space="preserve">One of the most critical findings highlighted in this study is the limited understanding of the environmental fate, transport, transformation, and persistence of engineered nanoparticles in agroecosystems. Current scientific knowledge regarding nanoparticle </w:t>
      </w:r>
      <w:proofErr w:type="spellStart"/>
      <w:r w:rsidRPr="005F3FD2">
        <w:rPr>
          <w:rFonts w:ascii="Arial" w:hAnsi="Arial" w:cs="Arial"/>
          <w:sz w:val="20"/>
          <w:szCs w:val="20"/>
        </w:rPr>
        <w:t>behavior</w:t>
      </w:r>
      <w:proofErr w:type="spellEnd"/>
      <w:r w:rsidRPr="005F3FD2">
        <w:rPr>
          <w:rFonts w:ascii="Arial" w:hAnsi="Arial" w:cs="Arial"/>
          <w:sz w:val="20"/>
          <w:szCs w:val="20"/>
        </w:rPr>
        <w:t xml:space="preserve"> in soil and aquatic environments remains fragmented and often inconsistent. Key processes such as aggregation, dissolution, adsorption to soil particles, microbial transformation, and bioaccumulation are strongly influenced by nanoparticle characteristics (size, shape, surface chemistry) and environmental conditions (pH, organic matter, moisture, and temperature).</w:t>
      </w:r>
    </w:p>
    <w:p w14:paraId="698856DF" w14:textId="77777777" w:rsidR="00191A2B" w:rsidRPr="005F3FD2" w:rsidRDefault="00191A2B" w:rsidP="00DD0F76">
      <w:pPr>
        <w:pStyle w:val="NormalWeb"/>
        <w:rPr>
          <w:rFonts w:ascii="Arial" w:hAnsi="Arial" w:cs="Arial"/>
          <w:sz w:val="20"/>
          <w:szCs w:val="20"/>
        </w:rPr>
      </w:pPr>
      <w:r w:rsidRPr="005F3FD2">
        <w:rPr>
          <w:rFonts w:ascii="Arial" w:hAnsi="Arial" w:cs="Arial"/>
          <w:sz w:val="20"/>
          <w:szCs w:val="20"/>
        </w:rPr>
        <w:t>Experimental studies suggest that some metal-based nanoparticles, including silver and zinc oxide nanoparticles, may persist in soil environments and alter microbial community structure and enzymatic activity. Such changes can indirectly influence nutrient cycling, soil fertility, and ecosystem stability. In contrast, biodegradable nanomaterials such as chitosan-based nanoparticles generally exhibit lower environmental persistence and toxicity.</w:t>
      </w:r>
    </w:p>
    <w:p w14:paraId="2462104E" w14:textId="38D6C250" w:rsidR="00191A2B" w:rsidRPr="005F3FD2" w:rsidRDefault="00191A2B" w:rsidP="00DD0F76">
      <w:pPr>
        <w:pStyle w:val="NormalWeb"/>
        <w:rPr>
          <w:rFonts w:ascii="Arial" w:hAnsi="Arial" w:cs="Arial"/>
          <w:sz w:val="20"/>
          <w:szCs w:val="20"/>
        </w:rPr>
      </w:pPr>
      <w:r w:rsidRPr="005F3FD2">
        <w:rPr>
          <w:rFonts w:ascii="Arial" w:hAnsi="Arial" w:cs="Arial"/>
          <w:sz w:val="20"/>
          <w:szCs w:val="20"/>
        </w:rPr>
        <w:t>Due to these uncertainties, predicting long-term environmental consequences associated with large-scale agricultural application of nanomaterials remains challenging. The results strongly indicate that agricultural nanoproducts require a higher level of precaution than industrial or consumer nanomaterials. Comprehensive toxicological studies, long-term field experiments, food-chain transfer assessments, and ecosystem-level risk evaluations are essential to ensure environmental and human safety [5]. Integrating life-cycle assessment (LCA) and standardized testing protocols into nanotechnology research will further strengthen evidence-based regulation.</w:t>
      </w:r>
    </w:p>
    <w:p w14:paraId="6118444B" w14:textId="77777777" w:rsidR="00191A2B" w:rsidRPr="005F3FD2" w:rsidRDefault="00191A2B" w:rsidP="00DD0F76">
      <w:pPr>
        <w:pStyle w:val="Heading3"/>
        <w:rPr>
          <w:rFonts w:ascii="Arial" w:hAnsi="Arial" w:cs="Arial"/>
          <w:color w:val="auto"/>
          <w:sz w:val="20"/>
          <w:szCs w:val="20"/>
        </w:rPr>
      </w:pPr>
      <w:r w:rsidRPr="005F3FD2">
        <w:rPr>
          <w:rFonts w:ascii="Arial" w:hAnsi="Arial" w:cs="Arial"/>
          <w:color w:val="auto"/>
          <w:sz w:val="20"/>
          <w:szCs w:val="20"/>
        </w:rPr>
        <w:t>3.4 Performance of Nano-enabled Agricultural Inputs</w:t>
      </w:r>
    </w:p>
    <w:p w14:paraId="7B00E7C8" w14:textId="77777777" w:rsidR="00191A2B" w:rsidRPr="005F3FD2" w:rsidRDefault="00191A2B" w:rsidP="00DD0F76">
      <w:pPr>
        <w:pStyle w:val="NormalWeb"/>
        <w:rPr>
          <w:rFonts w:ascii="Arial" w:hAnsi="Arial" w:cs="Arial"/>
          <w:sz w:val="20"/>
          <w:szCs w:val="20"/>
        </w:rPr>
      </w:pPr>
      <w:r w:rsidRPr="005F3FD2">
        <w:rPr>
          <w:rFonts w:ascii="Arial" w:hAnsi="Arial" w:cs="Arial"/>
          <w:sz w:val="20"/>
          <w:szCs w:val="20"/>
        </w:rPr>
        <w:t>Extensive experimental and field-scale studies consistently demonstrate that nanotechnology-based agricultural inputs outperform conventional agrochemicals in terms of efficiency, precision, and sustainability. Nano-fertilizers enhance nutrient uptake efficiency by reducing losses due to leaching, volatilization, and runoff. Nano-pesticides, through controlled-release mechanisms, improve pest management efficacy while significantly lowering application rates and non-target exposure.</w:t>
      </w:r>
    </w:p>
    <w:p w14:paraId="6CC8CB21" w14:textId="77777777" w:rsidR="00191A2B" w:rsidRPr="005F3FD2" w:rsidRDefault="00191A2B" w:rsidP="00DD0F76">
      <w:pPr>
        <w:pStyle w:val="NormalWeb"/>
        <w:rPr>
          <w:rFonts w:ascii="Arial" w:hAnsi="Arial" w:cs="Arial"/>
          <w:sz w:val="20"/>
          <w:szCs w:val="20"/>
        </w:rPr>
      </w:pPr>
      <w:r w:rsidRPr="005F3FD2">
        <w:rPr>
          <w:rFonts w:ascii="Arial" w:hAnsi="Arial" w:cs="Arial"/>
          <w:sz w:val="20"/>
          <w:szCs w:val="20"/>
        </w:rPr>
        <w:t>Nano-enabled soil conditioners improve soil structure, enhance microbial activity, and increase water-holding capacity, contributing to long-term soil health and productivity. These improvements are particularly important in degraded and marginal soils where conventional inputs often show limited effectiveness.</w:t>
      </w:r>
    </w:p>
    <w:p w14:paraId="510C92D6" w14:textId="4ACFC7C9" w:rsidR="006610AC" w:rsidRPr="005F3FD2" w:rsidRDefault="00191A2B" w:rsidP="00DD0F76">
      <w:pPr>
        <w:pStyle w:val="NormalWeb"/>
        <w:rPr>
          <w:rStyle w:val="Strong"/>
          <w:rFonts w:ascii="Arial" w:hAnsi="Arial" w:cs="Arial"/>
          <w:sz w:val="20"/>
          <w:szCs w:val="20"/>
        </w:rPr>
      </w:pPr>
      <w:r w:rsidRPr="005F3FD2">
        <w:rPr>
          <w:rStyle w:val="Strong"/>
          <w:rFonts w:ascii="Arial" w:hAnsi="Arial" w:cs="Arial"/>
          <w:sz w:val="20"/>
          <w:szCs w:val="20"/>
        </w:rPr>
        <w:t>Table 1. Comparative evaluation of conventional and nano-enabled agricultural inputs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5"/>
        <w:gridCol w:w="3561"/>
        <w:gridCol w:w="3260"/>
      </w:tblGrid>
      <w:tr w:rsidR="005F3FD2" w:rsidRPr="005F3FD2" w14:paraId="0A0A0EF8" w14:textId="77777777" w:rsidTr="006610AC">
        <w:trPr>
          <w:tblCellSpacing w:w="15" w:type="dxa"/>
        </w:trPr>
        <w:tc>
          <w:tcPr>
            <w:tcW w:w="0" w:type="auto"/>
            <w:vAlign w:val="center"/>
            <w:hideMark/>
          </w:tcPr>
          <w:p w14:paraId="5D268FAD" w14:textId="77777777" w:rsidR="006610AC" w:rsidRPr="006610AC" w:rsidRDefault="006610AC" w:rsidP="00DD0F76">
            <w:pPr>
              <w:jc w:val="center"/>
              <w:rPr>
                <w:rFonts w:ascii="Arial" w:hAnsi="Arial" w:cs="Arial"/>
                <w:b/>
                <w:bCs/>
                <w:lang w:val="en-IN" w:eastAsia="en-IN"/>
              </w:rPr>
            </w:pPr>
            <w:r w:rsidRPr="006610AC">
              <w:rPr>
                <w:rFonts w:ascii="Arial" w:hAnsi="Arial" w:cs="Arial"/>
                <w:b/>
                <w:bCs/>
                <w:lang w:val="en-IN" w:eastAsia="en-IN"/>
              </w:rPr>
              <w:lastRenderedPageBreak/>
              <w:t>Parameter</w:t>
            </w:r>
          </w:p>
        </w:tc>
        <w:tc>
          <w:tcPr>
            <w:tcW w:w="3531" w:type="dxa"/>
            <w:vAlign w:val="center"/>
            <w:hideMark/>
          </w:tcPr>
          <w:p w14:paraId="2B62D1BE" w14:textId="77777777" w:rsidR="006610AC" w:rsidRPr="006610AC" w:rsidRDefault="006610AC" w:rsidP="00DD0F76">
            <w:pPr>
              <w:jc w:val="center"/>
              <w:rPr>
                <w:rFonts w:ascii="Arial" w:hAnsi="Arial" w:cs="Arial"/>
                <w:b/>
                <w:bCs/>
                <w:lang w:val="en-IN" w:eastAsia="en-IN"/>
              </w:rPr>
            </w:pPr>
            <w:r w:rsidRPr="006610AC">
              <w:rPr>
                <w:rFonts w:ascii="Arial" w:hAnsi="Arial" w:cs="Arial"/>
                <w:b/>
                <w:bCs/>
                <w:lang w:val="en-IN" w:eastAsia="en-IN"/>
              </w:rPr>
              <w:t>Conventional Inputs</w:t>
            </w:r>
          </w:p>
        </w:tc>
        <w:tc>
          <w:tcPr>
            <w:tcW w:w="3215" w:type="dxa"/>
            <w:vAlign w:val="center"/>
            <w:hideMark/>
          </w:tcPr>
          <w:p w14:paraId="09151D19" w14:textId="77777777" w:rsidR="006610AC" w:rsidRPr="006610AC" w:rsidRDefault="006610AC" w:rsidP="00DD0F76">
            <w:pPr>
              <w:jc w:val="center"/>
              <w:rPr>
                <w:rFonts w:ascii="Arial" w:hAnsi="Arial" w:cs="Arial"/>
                <w:b/>
                <w:bCs/>
                <w:lang w:val="en-IN" w:eastAsia="en-IN"/>
              </w:rPr>
            </w:pPr>
            <w:r w:rsidRPr="006610AC">
              <w:rPr>
                <w:rFonts w:ascii="Arial" w:hAnsi="Arial" w:cs="Arial"/>
                <w:b/>
                <w:bCs/>
                <w:lang w:val="en-IN" w:eastAsia="en-IN"/>
              </w:rPr>
              <w:t>Nano-enabled Inputs</w:t>
            </w:r>
          </w:p>
        </w:tc>
      </w:tr>
      <w:tr w:rsidR="005F3FD2" w:rsidRPr="005F3FD2" w14:paraId="2CCB1C04" w14:textId="77777777" w:rsidTr="006610AC">
        <w:trPr>
          <w:tblCellSpacing w:w="15" w:type="dxa"/>
        </w:trPr>
        <w:tc>
          <w:tcPr>
            <w:tcW w:w="0" w:type="auto"/>
            <w:vAlign w:val="center"/>
            <w:hideMark/>
          </w:tcPr>
          <w:p w14:paraId="3EECED20"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Application rate</w:t>
            </w:r>
          </w:p>
        </w:tc>
        <w:tc>
          <w:tcPr>
            <w:tcW w:w="3531" w:type="dxa"/>
            <w:vAlign w:val="center"/>
            <w:hideMark/>
          </w:tcPr>
          <w:p w14:paraId="2251C4D6"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High</w:t>
            </w:r>
          </w:p>
        </w:tc>
        <w:tc>
          <w:tcPr>
            <w:tcW w:w="3215" w:type="dxa"/>
            <w:vAlign w:val="center"/>
            <w:hideMark/>
          </w:tcPr>
          <w:p w14:paraId="35F901E9"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Low</w:t>
            </w:r>
          </w:p>
        </w:tc>
      </w:tr>
      <w:tr w:rsidR="005F3FD2" w:rsidRPr="005F3FD2" w14:paraId="16461F13" w14:textId="77777777" w:rsidTr="006610AC">
        <w:trPr>
          <w:tblCellSpacing w:w="15" w:type="dxa"/>
        </w:trPr>
        <w:tc>
          <w:tcPr>
            <w:tcW w:w="0" w:type="auto"/>
            <w:vAlign w:val="center"/>
            <w:hideMark/>
          </w:tcPr>
          <w:p w14:paraId="06FE8D2A"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Nutrient-use efficiency</w:t>
            </w:r>
          </w:p>
        </w:tc>
        <w:tc>
          <w:tcPr>
            <w:tcW w:w="3531" w:type="dxa"/>
            <w:vAlign w:val="center"/>
            <w:hideMark/>
          </w:tcPr>
          <w:p w14:paraId="6E7A3136"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Low–moderate</w:t>
            </w:r>
          </w:p>
        </w:tc>
        <w:tc>
          <w:tcPr>
            <w:tcW w:w="3215" w:type="dxa"/>
            <w:vAlign w:val="center"/>
            <w:hideMark/>
          </w:tcPr>
          <w:p w14:paraId="60BEE438"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High</w:t>
            </w:r>
          </w:p>
        </w:tc>
      </w:tr>
      <w:tr w:rsidR="005F3FD2" w:rsidRPr="005F3FD2" w14:paraId="3A4AC389" w14:textId="77777777" w:rsidTr="006610AC">
        <w:trPr>
          <w:tblCellSpacing w:w="15" w:type="dxa"/>
        </w:trPr>
        <w:tc>
          <w:tcPr>
            <w:tcW w:w="0" w:type="auto"/>
            <w:vAlign w:val="center"/>
            <w:hideMark/>
          </w:tcPr>
          <w:p w14:paraId="1B22D081"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Environmental contamination</w:t>
            </w:r>
          </w:p>
        </w:tc>
        <w:tc>
          <w:tcPr>
            <w:tcW w:w="3531" w:type="dxa"/>
            <w:vAlign w:val="center"/>
            <w:hideMark/>
          </w:tcPr>
          <w:p w14:paraId="21A5ABF9"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High</w:t>
            </w:r>
          </w:p>
        </w:tc>
        <w:tc>
          <w:tcPr>
            <w:tcW w:w="3215" w:type="dxa"/>
            <w:vAlign w:val="center"/>
            <w:hideMark/>
          </w:tcPr>
          <w:p w14:paraId="6BC33164"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Reduced</w:t>
            </w:r>
          </w:p>
        </w:tc>
      </w:tr>
      <w:tr w:rsidR="005F3FD2" w:rsidRPr="005F3FD2" w14:paraId="74819169" w14:textId="77777777" w:rsidTr="006610AC">
        <w:trPr>
          <w:tblCellSpacing w:w="15" w:type="dxa"/>
        </w:trPr>
        <w:tc>
          <w:tcPr>
            <w:tcW w:w="0" w:type="auto"/>
            <w:vAlign w:val="center"/>
            <w:hideMark/>
          </w:tcPr>
          <w:p w14:paraId="613C427F"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Controlled release</w:t>
            </w:r>
          </w:p>
        </w:tc>
        <w:tc>
          <w:tcPr>
            <w:tcW w:w="3531" w:type="dxa"/>
            <w:vAlign w:val="center"/>
            <w:hideMark/>
          </w:tcPr>
          <w:p w14:paraId="5FCFF945"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Limited</w:t>
            </w:r>
          </w:p>
        </w:tc>
        <w:tc>
          <w:tcPr>
            <w:tcW w:w="3215" w:type="dxa"/>
            <w:vAlign w:val="center"/>
            <w:hideMark/>
          </w:tcPr>
          <w:p w14:paraId="489AC4ED"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Advanced</w:t>
            </w:r>
          </w:p>
        </w:tc>
      </w:tr>
      <w:tr w:rsidR="005F3FD2" w:rsidRPr="005F3FD2" w14:paraId="55B489F1" w14:textId="77777777" w:rsidTr="006610AC">
        <w:trPr>
          <w:tblCellSpacing w:w="15" w:type="dxa"/>
        </w:trPr>
        <w:tc>
          <w:tcPr>
            <w:tcW w:w="0" w:type="auto"/>
            <w:vAlign w:val="center"/>
            <w:hideMark/>
          </w:tcPr>
          <w:p w14:paraId="29B456C4"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Target specificity</w:t>
            </w:r>
          </w:p>
        </w:tc>
        <w:tc>
          <w:tcPr>
            <w:tcW w:w="3531" w:type="dxa"/>
            <w:vAlign w:val="center"/>
            <w:hideMark/>
          </w:tcPr>
          <w:p w14:paraId="06716D28"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Low</w:t>
            </w:r>
          </w:p>
        </w:tc>
        <w:tc>
          <w:tcPr>
            <w:tcW w:w="3215" w:type="dxa"/>
            <w:vAlign w:val="center"/>
            <w:hideMark/>
          </w:tcPr>
          <w:p w14:paraId="487543BD"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High</w:t>
            </w:r>
          </w:p>
        </w:tc>
      </w:tr>
      <w:tr w:rsidR="005F3FD2" w:rsidRPr="005F3FD2" w14:paraId="23A483EF" w14:textId="77777777" w:rsidTr="006610AC">
        <w:trPr>
          <w:tblCellSpacing w:w="15" w:type="dxa"/>
        </w:trPr>
        <w:tc>
          <w:tcPr>
            <w:tcW w:w="0" w:type="auto"/>
            <w:vAlign w:val="center"/>
            <w:hideMark/>
          </w:tcPr>
          <w:p w14:paraId="0A1CCC0E"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Crop yield and quality</w:t>
            </w:r>
          </w:p>
        </w:tc>
        <w:tc>
          <w:tcPr>
            <w:tcW w:w="3531" w:type="dxa"/>
            <w:vAlign w:val="center"/>
            <w:hideMark/>
          </w:tcPr>
          <w:p w14:paraId="0DCCDEF9"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Moderate</w:t>
            </w:r>
          </w:p>
        </w:tc>
        <w:tc>
          <w:tcPr>
            <w:tcW w:w="3215" w:type="dxa"/>
            <w:vAlign w:val="center"/>
            <w:hideMark/>
          </w:tcPr>
          <w:p w14:paraId="0792BE8B"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Enhanced</w:t>
            </w:r>
          </w:p>
        </w:tc>
      </w:tr>
      <w:tr w:rsidR="005F3FD2" w:rsidRPr="005F3FD2" w14:paraId="0A3D8A69" w14:textId="77777777" w:rsidTr="006610AC">
        <w:trPr>
          <w:tblCellSpacing w:w="15" w:type="dxa"/>
        </w:trPr>
        <w:tc>
          <w:tcPr>
            <w:tcW w:w="0" w:type="auto"/>
            <w:vAlign w:val="center"/>
            <w:hideMark/>
          </w:tcPr>
          <w:p w14:paraId="79662C75"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Sustainability</w:t>
            </w:r>
          </w:p>
        </w:tc>
        <w:tc>
          <w:tcPr>
            <w:tcW w:w="3531" w:type="dxa"/>
            <w:vAlign w:val="center"/>
            <w:hideMark/>
          </w:tcPr>
          <w:p w14:paraId="5FC46D07"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Limited</w:t>
            </w:r>
          </w:p>
        </w:tc>
        <w:tc>
          <w:tcPr>
            <w:tcW w:w="3215" w:type="dxa"/>
            <w:vAlign w:val="center"/>
            <w:hideMark/>
          </w:tcPr>
          <w:p w14:paraId="0D978E5F"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High</w:t>
            </w:r>
          </w:p>
        </w:tc>
      </w:tr>
    </w:tbl>
    <w:p w14:paraId="345B75D2" w14:textId="073DA6E2" w:rsidR="00191A2B" w:rsidRPr="00DD0F76" w:rsidRDefault="006610AC" w:rsidP="00DD0F76">
      <w:pPr>
        <w:spacing w:before="100" w:beforeAutospacing="1" w:after="100" w:afterAutospacing="1"/>
        <w:rPr>
          <w:rFonts w:ascii="Arial" w:hAnsi="Arial" w:cs="Arial"/>
          <w:lang w:val="en-IN" w:eastAsia="en-IN"/>
        </w:rPr>
      </w:pPr>
      <w:r w:rsidRPr="006610AC">
        <w:rPr>
          <w:rFonts w:ascii="Arial" w:hAnsi="Arial" w:cs="Arial"/>
          <w:lang w:val="en-IN" w:eastAsia="en-IN"/>
        </w:rPr>
        <w:t>These results confirm that nano-enabled technologies support precision agriculture by enabling site-specific, demand-driven delivery of nutrients and pesticides. This approach reduces waste, lowers production costs over time, and minimizes environmental impacts.</w:t>
      </w:r>
      <w:r w:rsidR="00DD0F76">
        <w:rPr>
          <w:rFonts w:ascii="Arial" w:hAnsi="Arial" w:cs="Arial"/>
          <w:lang w:val="en-IN" w:eastAsia="en-IN"/>
        </w:rPr>
        <w:t xml:space="preserve"> </w:t>
      </w:r>
      <w:r w:rsidR="00191A2B" w:rsidRPr="005F3FD2">
        <w:rPr>
          <w:rFonts w:ascii="Arial" w:hAnsi="Arial" w:cs="Arial"/>
        </w:rPr>
        <w:t>Collectively, these results confirm that nano-enabled technologies support precision agriculture by enabling site-specific and demand-driven input delivery. This not only improves crop performance but also reduces environmental footprints and enhances economic sustainability for farmers.</w:t>
      </w:r>
    </w:p>
    <w:p w14:paraId="33C3D381" w14:textId="77777777" w:rsidR="00191A2B" w:rsidRPr="005F3FD2" w:rsidRDefault="00191A2B" w:rsidP="00DD0F76">
      <w:pPr>
        <w:pStyle w:val="Heading3"/>
        <w:rPr>
          <w:rFonts w:ascii="Arial" w:hAnsi="Arial" w:cs="Arial"/>
          <w:color w:val="auto"/>
          <w:sz w:val="20"/>
          <w:szCs w:val="20"/>
        </w:rPr>
      </w:pPr>
      <w:r w:rsidRPr="005F3FD2">
        <w:rPr>
          <w:rFonts w:ascii="Arial" w:hAnsi="Arial" w:cs="Arial"/>
          <w:color w:val="auto"/>
          <w:sz w:val="20"/>
          <w:szCs w:val="20"/>
        </w:rPr>
        <w:t>3.5 Nano-fertilizers and Plant Productivity</w:t>
      </w:r>
    </w:p>
    <w:p w14:paraId="7A95CA03" w14:textId="77777777" w:rsidR="00191A2B" w:rsidRPr="005F3FD2" w:rsidRDefault="00191A2B" w:rsidP="00DD0F76">
      <w:pPr>
        <w:pStyle w:val="NormalWeb"/>
        <w:rPr>
          <w:rFonts w:ascii="Arial" w:hAnsi="Arial" w:cs="Arial"/>
          <w:sz w:val="20"/>
          <w:szCs w:val="20"/>
        </w:rPr>
      </w:pPr>
      <w:r w:rsidRPr="005F3FD2">
        <w:rPr>
          <w:rFonts w:ascii="Arial" w:hAnsi="Arial" w:cs="Arial"/>
          <w:sz w:val="20"/>
          <w:szCs w:val="20"/>
        </w:rPr>
        <w:t xml:space="preserve">Nano-fertilizers represent one of the most promising applications of nanotechnology in modern agriculture. The reviewed studies consistently show that nano-fertilizers improve nutrient-use efficiency by synchronizing nutrient availability with plant physiological demand. Nanocarriers such as chitosan, zeolites, </w:t>
      </w:r>
      <w:proofErr w:type="spellStart"/>
      <w:r w:rsidRPr="005F3FD2">
        <w:rPr>
          <w:rFonts w:ascii="Arial" w:hAnsi="Arial" w:cs="Arial"/>
          <w:sz w:val="20"/>
          <w:szCs w:val="20"/>
        </w:rPr>
        <w:t>nanoclays</w:t>
      </w:r>
      <w:proofErr w:type="spellEnd"/>
      <w:r w:rsidRPr="005F3FD2">
        <w:rPr>
          <w:rFonts w:ascii="Arial" w:hAnsi="Arial" w:cs="Arial"/>
          <w:sz w:val="20"/>
          <w:szCs w:val="20"/>
        </w:rPr>
        <w:t>, and silica nanoparticles enable slow and controlled nutrient release, leading to enhanced root uptake and reduced nutrient losses.</w:t>
      </w:r>
    </w:p>
    <w:p w14:paraId="5F73C03C" w14:textId="77777777" w:rsidR="00191A2B" w:rsidRPr="005F3FD2" w:rsidRDefault="00191A2B" w:rsidP="00DD0F76">
      <w:pPr>
        <w:pStyle w:val="NormalWeb"/>
        <w:rPr>
          <w:rFonts w:ascii="Arial" w:hAnsi="Arial" w:cs="Arial"/>
          <w:sz w:val="20"/>
          <w:szCs w:val="20"/>
        </w:rPr>
      </w:pPr>
      <w:r w:rsidRPr="005F3FD2">
        <w:rPr>
          <w:rFonts w:ascii="Arial" w:hAnsi="Arial" w:cs="Arial"/>
          <w:sz w:val="20"/>
          <w:szCs w:val="20"/>
        </w:rPr>
        <w:t>Beyond yield enhancement, nano-fertilizers also influence plant metabolic processes, enzyme activity, and stress tolerance. Improved micronutrient availability contributes to better photosynthetic efficiency, protein synthesis, and grain quality.</w:t>
      </w:r>
    </w:p>
    <w:p w14:paraId="340362A0" w14:textId="77777777" w:rsidR="003B07C3" w:rsidRPr="005F3FD2" w:rsidRDefault="00191A2B" w:rsidP="00DD0F76">
      <w:pPr>
        <w:pStyle w:val="NormalWeb"/>
        <w:rPr>
          <w:rStyle w:val="Strong"/>
          <w:rFonts w:ascii="Arial" w:hAnsi="Arial" w:cs="Arial"/>
          <w:sz w:val="20"/>
          <w:szCs w:val="20"/>
        </w:rPr>
      </w:pPr>
      <w:r w:rsidRPr="005F3FD2">
        <w:rPr>
          <w:rStyle w:val="Strong"/>
          <w:rFonts w:ascii="Arial" w:hAnsi="Arial" w:cs="Arial"/>
          <w:sz w:val="20"/>
          <w:szCs w:val="20"/>
        </w:rPr>
        <w:t>Table 2. Effects of nano-fertilizers on crop performance</w:t>
      </w:r>
    </w:p>
    <w:tbl>
      <w:tblPr>
        <w:tblStyle w:val="TableGrid"/>
        <w:tblW w:w="8091" w:type="dxa"/>
        <w:tblLook w:val="04A0" w:firstRow="1" w:lastRow="0" w:firstColumn="1" w:lastColumn="0" w:noHBand="0" w:noVBand="1"/>
      </w:tblPr>
      <w:tblGrid>
        <w:gridCol w:w="2697"/>
        <w:gridCol w:w="2697"/>
        <w:gridCol w:w="2697"/>
      </w:tblGrid>
      <w:tr w:rsidR="005F3FD2" w:rsidRPr="005F3FD2" w14:paraId="19A7F647" w14:textId="77777777" w:rsidTr="00C03FF1">
        <w:tc>
          <w:tcPr>
            <w:tcW w:w="2697" w:type="dxa"/>
            <w:vAlign w:val="center"/>
          </w:tcPr>
          <w:p w14:paraId="20D6F994" w14:textId="4FF2EE3A" w:rsidR="00C03FF1" w:rsidRPr="005F3FD2" w:rsidRDefault="00C03FF1" w:rsidP="00DD0F76">
            <w:pPr>
              <w:pStyle w:val="NormalWeb"/>
              <w:rPr>
                <w:rFonts w:ascii="Arial" w:hAnsi="Arial" w:cs="Arial"/>
                <w:b/>
                <w:bCs/>
                <w:sz w:val="20"/>
                <w:szCs w:val="20"/>
              </w:rPr>
            </w:pPr>
            <w:r w:rsidRPr="006610AC">
              <w:rPr>
                <w:rFonts w:ascii="Arial" w:hAnsi="Arial" w:cs="Arial"/>
                <w:b/>
                <w:bCs/>
                <w:sz w:val="20"/>
                <w:szCs w:val="20"/>
              </w:rPr>
              <w:t>Crop type</w:t>
            </w:r>
          </w:p>
        </w:tc>
        <w:tc>
          <w:tcPr>
            <w:tcW w:w="2697" w:type="dxa"/>
            <w:vAlign w:val="center"/>
          </w:tcPr>
          <w:p w14:paraId="7231550A" w14:textId="35AA10A5" w:rsidR="00C03FF1" w:rsidRPr="005F3FD2" w:rsidRDefault="00C03FF1" w:rsidP="00DD0F76">
            <w:pPr>
              <w:pStyle w:val="NormalWeb"/>
              <w:rPr>
                <w:rFonts w:ascii="Arial" w:hAnsi="Arial" w:cs="Arial"/>
                <w:b/>
                <w:bCs/>
                <w:sz w:val="20"/>
                <w:szCs w:val="20"/>
              </w:rPr>
            </w:pPr>
            <w:r w:rsidRPr="006610AC">
              <w:rPr>
                <w:rFonts w:ascii="Arial" w:hAnsi="Arial" w:cs="Arial"/>
                <w:b/>
                <w:bCs/>
                <w:sz w:val="20"/>
                <w:szCs w:val="20"/>
              </w:rPr>
              <w:t>Nano-fertilizer used</w:t>
            </w:r>
          </w:p>
        </w:tc>
        <w:tc>
          <w:tcPr>
            <w:tcW w:w="2697" w:type="dxa"/>
            <w:vAlign w:val="center"/>
          </w:tcPr>
          <w:p w14:paraId="69985C43" w14:textId="584D6128" w:rsidR="00C03FF1" w:rsidRPr="005F3FD2" w:rsidRDefault="00C03FF1" w:rsidP="00DD0F76">
            <w:pPr>
              <w:pStyle w:val="NormalWeb"/>
              <w:rPr>
                <w:rFonts w:ascii="Arial" w:hAnsi="Arial" w:cs="Arial"/>
                <w:b/>
                <w:bCs/>
                <w:sz w:val="20"/>
                <w:szCs w:val="20"/>
              </w:rPr>
            </w:pPr>
            <w:r w:rsidRPr="006610AC">
              <w:rPr>
                <w:rFonts w:ascii="Arial" w:hAnsi="Arial" w:cs="Arial"/>
                <w:b/>
                <w:bCs/>
                <w:sz w:val="20"/>
                <w:szCs w:val="20"/>
              </w:rPr>
              <w:t>Observed effect</w:t>
            </w:r>
          </w:p>
        </w:tc>
      </w:tr>
      <w:tr w:rsidR="005F3FD2" w:rsidRPr="005F3FD2" w14:paraId="78A9449D" w14:textId="77777777" w:rsidTr="00C03FF1">
        <w:tc>
          <w:tcPr>
            <w:tcW w:w="2697" w:type="dxa"/>
            <w:vAlign w:val="center"/>
          </w:tcPr>
          <w:p w14:paraId="64DF174E" w14:textId="15725F1F" w:rsidR="00C03FF1" w:rsidRPr="005F3FD2" w:rsidRDefault="00C03FF1" w:rsidP="00DD0F76">
            <w:pPr>
              <w:pStyle w:val="NormalWeb"/>
              <w:rPr>
                <w:rFonts w:ascii="Arial" w:hAnsi="Arial" w:cs="Arial"/>
                <w:sz w:val="20"/>
                <w:szCs w:val="20"/>
              </w:rPr>
            </w:pPr>
            <w:r w:rsidRPr="006610AC">
              <w:rPr>
                <w:rFonts w:ascii="Arial" w:hAnsi="Arial" w:cs="Arial"/>
                <w:sz w:val="20"/>
                <w:szCs w:val="20"/>
              </w:rPr>
              <w:t>Cereals</w:t>
            </w:r>
          </w:p>
        </w:tc>
        <w:tc>
          <w:tcPr>
            <w:tcW w:w="2697" w:type="dxa"/>
            <w:vAlign w:val="center"/>
          </w:tcPr>
          <w:p w14:paraId="5D8E0731" w14:textId="75AD7E93" w:rsidR="00C03FF1" w:rsidRPr="005F3FD2" w:rsidRDefault="00C03FF1" w:rsidP="00DD0F76">
            <w:pPr>
              <w:pStyle w:val="NormalWeb"/>
              <w:rPr>
                <w:rFonts w:ascii="Arial" w:hAnsi="Arial" w:cs="Arial"/>
                <w:sz w:val="20"/>
                <w:szCs w:val="20"/>
              </w:rPr>
            </w:pPr>
            <w:r w:rsidRPr="006610AC">
              <w:rPr>
                <w:rFonts w:ascii="Arial" w:hAnsi="Arial" w:cs="Arial"/>
                <w:sz w:val="20"/>
                <w:szCs w:val="20"/>
              </w:rPr>
              <w:t>Nano-N, nano-Zn</w:t>
            </w:r>
          </w:p>
        </w:tc>
        <w:tc>
          <w:tcPr>
            <w:tcW w:w="2697" w:type="dxa"/>
            <w:vAlign w:val="center"/>
          </w:tcPr>
          <w:p w14:paraId="2CB6C64F" w14:textId="1BDDBD0C" w:rsidR="00C03FF1" w:rsidRPr="005F3FD2" w:rsidRDefault="00C03FF1" w:rsidP="00DD0F76">
            <w:pPr>
              <w:pStyle w:val="NormalWeb"/>
              <w:rPr>
                <w:rFonts w:ascii="Arial" w:hAnsi="Arial" w:cs="Arial"/>
                <w:sz w:val="20"/>
                <w:szCs w:val="20"/>
              </w:rPr>
            </w:pPr>
            <w:r w:rsidRPr="005F3FD2">
              <w:rPr>
                <w:rFonts w:ascii="Arial" w:hAnsi="Arial" w:cs="Arial"/>
                <w:sz w:val="20"/>
                <w:szCs w:val="20"/>
              </w:rPr>
              <w:t>I</w:t>
            </w:r>
            <w:r w:rsidRPr="006610AC">
              <w:rPr>
                <w:rFonts w:ascii="Arial" w:hAnsi="Arial" w:cs="Arial"/>
                <w:sz w:val="20"/>
                <w:szCs w:val="20"/>
              </w:rPr>
              <w:t>ncreased grain yield and protein content</w:t>
            </w:r>
          </w:p>
        </w:tc>
      </w:tr>
      <w:tr w:rsidR="005F3FD2" w:rsidRPr="005F3FD2" w14:paraId="0602C39A" w14:textId="77777777" w:rsidTr="00C03FF1">
        <w:tc>
          <w:tcPr>
            <w:tcW w:w="2697" w:type="dxa"/>
          </w:tcPr>
          <w:p w14:paraId="5E6B1989" w14:textId="24E62923" w:rsidR="00C03FF1" w:rsidRPr="005F3FD2" w:rsidRDefault="00C03FF1" w:rsidP="00DD0F76">
            <w:pPr>
              <w:pStyle w:val="NormalWeb"/>
              <w:rPr>
                <w:rFonts w:ascii="Arial" w:hAnsi="Arial" w:cs="Arial"/>
                <w:sz w:val="20"/>
                <w:szCs w:val="20"/>
              </w:rPr>
            </w:pPr>
            <w:r w:rsidRPr="006610AC">
              <w:rPr>
                <w:rFonts w:ascii="Arial" w:hAnsi="Arial" w:cs="Arial"/>
                <w:sz w:val="20"/>
                <w:szCs w:val="20"/>
              </w:rPr>
              <w:t>Legumes</w:t>
            </w:r>
          </w:p>
        </w:tc>
        <w:tc>
          <w:tcPr>
            <w:tcW w:w="2697" w:type="dxa"/>
          </w:tcPr>
          <w:p w14:paraId="4DBF751C" w14:textId="3AEE0868" w:rsidR="00C03FF1" w:rsidRPr="005F3FD2" w:rsidRDefault="00C03FF1" w:rsidP="00DD0F76">
            <w:pPr>
              <w:pStyle w:val="NormalWeb"/>
              <w:rPr>
                <w:rFonts w:ascii="Arial" w:hAnsi="Arial" w:cs="Arial"/>
                <w:sz w:val="20"/>
                <w:szCs w:val="20"/>
              </w:rPr>
            </w:pPr>
            <w:r w:rsidRPr="006610AC">
              <w:rPr>
                <w:rFonts w:ascii="Arial" w:hAnsi="Arial" w:cs="Arial"/>
                <w:sz w:val="20"/>
                <w:szCs w:val="20"/>
              </w:rPr>
              <w:t>Nano-Fe, nano-Mn</w:t>
            </w:r>
          </w:p>
        </w:tc>
        <w:tc>
          <w:tcPr>
            <w:tcW w:w="2697" w:type="dxa"/>
          </w:tcPr>
          <w:p w14:paraId="44FC92EE" w14:textId="1AB56E79" w:rsidR="00C03FF1" w:rsidRPr="005F3FD2" w:rsidRDefault="00C03FF1" w:rsidP="00DD0F76">
            <w:pPr>
              <w:pStyle w:val="NormalWeb"/>
              <w:rPr>
                <w:rFonts w:ascii="Arial" w:hAnsi="Arial" w:cs="Arial"/>
                <w:sz w:val="20"/>
                <w:szCs w:val="20"/>
              </w:rPr>
            </w:pPr>
            <w:r w:rsidRPr="005F3FD2">
              <w:rPr>
                <w:rFonts w:ascii="Arial" w:hAnsi="Arial" w:cs="Arial"/>
                <w:sz w:val="20"/>
                <w:szCs w:val="20"/>
              </w:rPr>
              <w:t>I</w:t>
            </w:r>
            <w:r w:rsidRPr="006610AC">
              <w:rPr>
                <w:rFonts w:ascii="Arial" w:hAnsi="Arial" w:cs="Arial"/>
                <w:sz w:val="20"/>
                <w:szCs w:val="20"/>
              </w:rPr>
              <w:t>mproved nodulation and nitrogen fixation</w:t>
            </w:r>
          </w:p>
        </w:tc>
      </w:tr>
      <w:tr w:rsidR="005F3FD2" w:rsidRPr="005F3FD2" w14:paraId="472E3D05" w14:textId="77777777" w:rsidTr="00C03FF1">
        <w:tc>
          <w:tcPr>
            <w:tcW w:w="2697" w:type="dxa"/>
            <w:vAlign w:val="center"/>
          </w:tcPr>
          <w:p w14:paraId="40322898" w14:textId="1462393B" w:rsidR="00C03FF1" w:rsidRPr="005F3FD2" w:rsidRDefault="00C03FF1" w:rsidP="00DD0F76">
            <w:pPr>
              <w:pStyle w:val="NormalWeb"/>
              <w:rPr>
                <w:rFonts w:ascii="Arial" w:hAnsi="Arial" w:cs="Arial"/>
                <w:sz w:val="20"/>
                <w:szCs w:val="20"/>
              </w:rPr>
            </w:pPr>
            <w:r w:rsidRPr="006610AC">
              <w:rPr>
                <w:rFonts w:ascii="Arial" w:hAnsi="Arial" w:cs="Arial"/>
                <w:sz w:val="20"/>
                <w:szCs w:val="20"/>
              </w:rPr>
              <w:t>Vegetables</w:t>
            </w:r>
          </w:p>
        </w:tc>
        <w:tc>
          <w:tcPr>
            <w:tcW w:w="2697" w:type="dxa"/>
          </w:tcPr>
          <w:p w14:paraId="5F4C14AD" w14:textId="789F7B1E" w:rsidR="00C03FF1" w:rsidRPr="005F3FD2" w:rsidRDefault="00C03FF1" w:rsidP="00DD0F76">
            <w:pPr>
              <w:pStyle w:val="NormalWeb"/>
              <w:rPr>
                <w:rFonts w:ascii="Arial" w:hAnsi="Arial" w:cs="Arial"/>
                <w:sz w:val="20"/>
                <w:szCs w:val="20"/>
              </w:rPr>
            </w:pPr>
            <w:r w:rsidRPr="006610AC">
              <w:rPr>
                <w:rFonts w:ascii="Arial" w:hAnsi="Arial" w:cs="Arial"/>
                <w:sz w:val="20"/>
                <w:szCs w:val="20"/>
              </w:rPr>
              <w:t>Nano-K, nano-Si</w:t>
            </w:r>
          </w:p>
        </w:tc>
        <w:tc>
          <w:tcPr>
            <w:tcW w:w="2697" w:type="dxa"/>
          </w:tcPr>
          <w:p w14:paraId="04C2194D" w14:textId="6B48E4C1" w:rsidR="00C03FF1" w:rsidRPr="005F3FD2" w:rsidRDefault="00C03FF1" w:rsidP="00DD0F76">
            <w:pPr>
              <w:pStyle w:val="NormalWeb"/>
              <w:rPr>
                <w:rFonts w:ascii="Arial" w:hAnsi="Arial" w:cs="Arial"/>
                <w:sz w:val="20"/>
                <w:szCs w:val="20"/>
              </w:rPr>
            </w:pPr>
            <w:r w:rsidRPr="006610AC">
              <w:rPr>
                <w:rFonts w:ascii="Arial" w:hAnsi="Arial" w:cs="Arial"/>
                <w:sz w:val="20"/>
                <w:szCs w:val="20"/>
              </w:rPr>
              <w:t>Enhanced fruit quality and shelf life</w:t>
            </w:r>
          </w:p>
        </w:tc>
      </w:tr>
      <w:tr w:rsidR="005F3FD2" w:rsidRPr="005F3FD2" w14:paraId="19238C12" w14:textId="77777777" w:rsidTr="00C03FF1">
        <w:tc>
          <w:tcPr>
            <w:tcW w:w="2697" w:type="dxa"/>
            <w:vAlign w:val="center"/>
          </w:tcPr>
          <w:p w14:paraId="3D0589BE" w14:textId="078C4145" w:rsidR="00C03FF1" w:rsidRPr="005F3FD2" w:rsidRDefault="00C03FF1" w:rsidP="00DD0F76">
            <w:pPr>
              <w:pStyle w:val="NormalWeb"/>
              <w:rPr>
                <w:rFonts w:ascii="Arial" w:hAnsi="Arial" w:cs="Arial"/>
                <w:sz w:val="20"/>
                <w:szCs w:val="20"/>
              </w:rPr>
            </w:pPr>
            <w:r w:rsidRPr="006610AC">
              <w:rPr>
                <w:rFonts w:ascii="Arial" w:hAnsi="Arial" w:cs="Arial"/>
                <w:sz w:val="20"/>
                <w:szCs w:val="20"/>
              </w:rPr>
              <w:t>Oilseeds</w:t>
            </w:r>
          </w:p>
        </w:tc>
        <w:tc>
          <w:tcPr>
            <w:tcW w:w="2697" w:type="dxa"/>
          </w:tcPr>
          <w:p w14:paraId="18820894" w14:textId="0F08142C" w:rsidR="00C03FF1" w:rsidRPr="005F3FD2" w:rsidRDefault="00C03FF1" w:rsidP="00DD0F76">
            <w:pPr>
              <w:pStyle w:val="NormalWeb"/>
              <w:rPr>
                <w:rFonts w:ascii="Arial" w:hAnsi="Arial" w:cs="Arial"/>
                <w:sz w:val="20"/>
                <w:szCs w:val="20"/>
              </w:rPr>
            </w:pPr>
            <w:r w:rsidRPr="006610AC">
              <w:rPr>
                <w:rFonts w:ascii="Arial" w:hAnsi="Arial" w:cs="Arial"/>
                <w:sz w:val="20"/>
                <w:szCs w:val="20"/>
              </w:rPr>
              <w:t>Nano-B, nano-Zn</w:t>
            </w:r>
          </w:p>
        </w:tc>
        <w:tc>
          <w:tcPr>
            <w:tcW w:w="2697" w:type="dxa"/>
            <w:vAlign w:val="center"/>
          </w:tcPr>
          <w:p w14:paraId="4F8FE557" w14:textId="37E372F5" w:rsidR="00C03FF1" w:rsidRPr="005F3FD2" w:rsidRDefault="00C03FF1" w:rsidP="00DD0F76">
            <w:pPr>
              <w:pStyle w:val="NormalWeb"/>
              <w:rPr>
                <w:rFonts w:ascii="Arial" w:hAnsi="Arial" w:cs="Arial"/>
                <w:sz w:val="20"/>
                <w:szCs w:val="20"/>
              </w:rPr>
            </w:pPr>
            <w:r w:rsidRPr="005F3FD2">
              <w:rPr>
                <w:rFonts w:ascii="Arial" w:hAnsi="Arial" w:cs="Arial"/>
                <w:sz w:val="20"/>
                <w:szCs w:val="20"/>
              </w:rPr>
              <w:t>I</w:t>
            </w:r>
            <w:r w:rsidRPr="006610AC">
              <w:rPr>
                <w:rFonts w:ascii="Arial" w:hAnsi="Arial" w:cs="Arial"/>
                <w:sz w:val="20"/>
                <w:szCs w:val="20"/>
              </w:rPr>
              <w:t>ncreased oil content and seed weight</w:t>
            </w:r>
          </w:p>
        </w:tc>
      </w:tr>
    </w:tbl>
    <w:p w14:paraId="5BADEFDD" w14:textId="77777777" w:rsidR="006610AC" w:rsidRPr="006610AC" w:rsidRDefault="006610AC" w:rsidP="00DD0F76">
      <w:pPr>
        <w:rPr>
          <w:rFonts w:ascii="Arial" w:hAnsi="Arial" w:cs="Arial"/>
          <w:vanish/>
          <w:lang w:val="en-IN" w:eastAsia="en-IN"/>
        </w:rPr>
      </w:pPr>
    </w:p>
    <w:p w14:paraId="21D4E07E" w14:textId="77777777" w:rsidR="006610AC" w:rsidRPr="006610AC" w:rsidRDefault="006610AC" w:rsidP="00DD0F76">
      <w:pPr>
        <w:rPr>
          <w:rFonts w:ascii="Arial" w:hAnsi="Arial" w:cs="Arial"/>
          <w:vanish/>
          <w:lang w:val="en-IN"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66"/>
        <w:gridCol w:w="66"/>
        <w:gridCol w:w="81"/>
      </w:tblGrid>
      <w:tr w:rsidR="005F3FD2" w:rsidRPr="005F3FD2" w14:paraId="4BAED4BF" w14:textId="77777777" w:rsidTr="00747EEC">
        <w:trPr>
          <w:tblCellSpacing w:w="15" w:type="dxa"/>
        </w:trPr>
        <w:tc>
          <w:tcPr>
            <w:tcW w:w="0" w:type="auto"/>
            <w:vAlign w:val="center"/>
            <w:hideMark/>
          </w:tcPr>
          <w:p w14:paraId="7EB500B6" w14:textId="5DABDA64" w:rsidR="003B07C3" w:rsidRPr="006610AC" w:rsidRDefault="003B07C3" w:rsidP="00DD0F76">
            <w:pPr>
              <w:rPr>
                <w:rFonts w:ascii="Arial" w:hAnsi="Arial" w:cs="Arial"/>
                <w:lang w:val="en-IN" w:eastAsia="en-IN"/>
              </w:rPr>
            </w:pPr>
          </w:p>
        </w:tc>
        <w:tc>
          <w:tcPr>
            <w:tcW w:w="0" w:type="auto"/>
          </w:tcPr>
          <w:p w14:paraId="18E98361" w14:textId="77777777" w:rsidR="003B07C3" w:rsidRPr="005F3FD2" w:rsidRDefault="003B07C3" w:rsidP="00DD0F76">
            <w:pPr>
              <w:rPr>
                <w:rFonts w:ascii="Arial" w:hAnsi="Arial" w:cs="Arial"/>
                <w:lang w:val="en-IN" w:eastAsia="en-IN"/>
              </w:rPr>
            </w:pPr>
          </w:p>
        </w:tc>
        <w:tc>
          <w:tcPr>
            <w:tcW w:w="0" w:type="auto"/>
            <w:vAlign w:val="center"/>
            <w:hideMark/>
          </w:tcPr>
          <w:p w14:paraId="00E93624" w14:textId="5C4E17A5" w:rsidR="003B07C3" w:rsidRPr="006610AC" w:rsidRDefault="003B07C3" w:rsidP="00DD0F76">
            <w:pPr>
              <w:rPr>
                <w:rFonts w:ascii="Arial" w:hAnsi="Arial" w:cs="Arial"/>
                <w:lang w:val="en-IN" w:eastAsia="en-IN"/>
              </w:rPr>
            </w:pPr>
          </w:p>
        </w:tc>
        <w:tc>
          <w:tcPr>
            <w:tcW w:w="0" w:type="auto"/>
          </w:tcPr>
          <w:p w14:paraId="22078BE8" w14:textId="77777777" w:rsidR="003B07C3" w:rsidRPr="005F3FD2" w:rsidRDefault="003B07C3" w:rsidP="00DD0F76">
            <w:pPr>
              <w:rPr>
                <w:rFonts w:ascii="Arial" w:hAnsi="Arial" w:cs="Arial"/>
                <w:lang w:val="en-IN" w:eastAsia="en-IN"/>
              </w:rPr>
            </w:pPr>
          </w:p>
        </w:tc>
        <w:tc>
          <w:tcPr>
            <w:tcW w:w="0" w:type="auto"/>
          </w:tcPr>
          <w:p w14:paraId="07C1D27A" w14:textId="6DF318B3" w:rsidR="003B07C3" w:rsidRPr="005F3FD2" w:rsidRDefault="003B07C3" w:rsidP="00DD0F76">
            <w:pPr>
              <w:rPr>
                <w:rFonts w:ascii="Arial" w:hAnsi="Arial" w:cs="Arial"/>
                <w:lang w:val="en-IN" w:eastAsia="en-IN"/>
              </w:rPr>
            </w:pPr>
          </w:p>
        </w:tc>
        <w:tc>
          <w:tcPr>
            <w:tcW w:w="0" w:type="auto"/>
          </w:tcPr>
          <w:p w14:paraId="4F191E0C" w14:textId="3E63CB93" w:rsidR="003B07C3" w:rsidRPr="005F3FD2" w:rsidRDefault="003B07C3" w:rsidP="00DD0F76">
            <w:pPr>
              <w:rPr>
                <w:rFonts w:ascii="Arial" w:hAnsi="Arial" w:cs="Arial"/>
                <w:lang w:val="en-IN" w:eastAsia="en-IN"/>
              </w:rPr>
            </w:pPr>
          </w:p>
        </w:tc>
        <w:tc>
          <w:tcPr>
            <w:tcW w:w="0" w:type="auto"/>
            <w:vAlign w:val="center"/>
            <w:hideMark/>
          </w:tcPr>
          <w:p w14:paraId="0DCEA579" w14:textId="738A463C" w:rsidR="003B07C3" w:rsidRPr="006610AC" w:rsidRDefault="003B07C3" w:rsidP="00DD0F76">
            <w:pPr>
              <w:rPr>
                <w:rFonts w:ascii="Arial" w:hAnsi="Arial" w:cs="Arial"/>
                <w:lang w:val="en-IN" w:eastAsia="en-IN"/>
              </w:rPr>
            </w:pPr>
          </w:p>
        </w:tc>
      </w:tr>
    </w:tbl>
    <w:p w14:paraId="0D2474CD" w14:textId="77777777" w:rsidR="006610AC" w:rsidRPr="006610AC" w:rsidRDefault="006610AC" w:rsidP="00DD0F76">
      <w:pPr>
        <w:rPr>
          <w:rFonts w:ascii="Arial" w:hAnsi="Arial" w:cs="Arial"/>
          <w:vanish/>
          <w:lang w:val="en-IN"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5F3FD2" w:rsidRPr="005F3FD2" w14:paraId="15B86424" w14:textId="77777777" w:rsidTr="003B07C3">
        <w:trPr>
          <w:tblCellSpacing w:w="15" w:type="dxa"/>
        </w:trPr>
        <w:tc>
          <w:tcPr>
            <w:tcW w:w="0" w:type="auto"/>
            <w:vAlign w:val="center"/>
            <w:hideMark/>
          </w:tcPr>
          <w:p w14:paraId="324498A6" w14:textId="329E2934" w:rsidR="003B07C3" w:rsidRPr="006610AC" w:rsidRDefault="003B07C3" w:rsidP="00DD0F76">
            <w:pPr>
              <w:rPr>
                <w:rFonts w:ascii="Arial" w:hAnsi="Arial" w:cs="Arial"/>
                <w:lang w:val="en-IN" w:eastAsia="en-IN"/>
              </w:rPr>
            </w:pPr>
          </w:p>
        </w:tc>
        <w:tc>
          <w:tcPr>
            <w:tcW w:w="0" w:type="auto"/>
            <w:vAlign w:val="center"/>
            <w:hideMark/>
          </w:tcPr>
          <w:p w14:paraId="0CA0F3DF" w14:textId="27B52493" w:rsidR="003B07C3" w:rsidRPr="006610AC" w:rsidRDefault="003B07C3" w:rsidP="00DD0F76">
            <w:pPr>
              <w:rPr>
                <w:rFonts w:ascii="Arial" w:hAnsi="Arial" w:cs="Arial"/>
                <w:lang w:val="en-IN" w:eastAsia="en-IN"/>
              </w:rPr>
            </w:pPr>
          </w:p>
        </w:tc>
      </w:tr>
    </w:tbl>
    <w:p w14:paraId="5DE68069" w14:textId="77777777" w:rsidR="006610AC" w:rsidRPr="006610AC" w:rsidRDefault="006610AC" w:rsidP="00DD0F76">
      <w:pPr>
        <w:rPr>
          <w:rFonts w:ascii="Arial" w:hAnsi="Arial" w:cs="Arial"/>
          <w:vanish/>
          <w:lang w:val="en-IN"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F3FD2" w:rsidRPr="005F3FD2" w14:paraId="0464C128" w14:textId="77777777" w:rsidTr="00C03FF1">
        <w:trPr>
          <w:tblCellSpacing w:w="15" w:type="dxa"/>
        </w:trPr>
        <w:tc>
          <w:tcPr>
            <w:tcW w:w="0" w:type="auto"/>
            <w:vAlign w:val="center"/>
            <w:hideMark/>
          </w:tcPr>
          <w:p w14:paraId="18BA3B65" w14:textId="484B6254" w:rsidR="00C03FF1" w:rsidRPr="006610AC" w:rsidRDefault="00C03FF1" w:rsidP="00DD0F76">
            <w:pPr>
              <w:rPr>
                <w:rFonts w:ascii="Arial" w:hAnsi="Arial" w:cs="Arial"/>
                <w:lang w:val="en-IN" w:eastAsia="en-IN"/>
              </w:rPr>
            </w:pPr>
          </w:p>
        </w:tc>
      </w:tr>
    </w:tbl>
    <w:p w14:paraId="5AEFE839" w14:textId="77777777" w:rsidR="00191A2B" w:rsidRPr="005F3FD2" w:rsidRDefault="00191A2B" w:rsidP="00DD0F76">
      <w:pPr>
        <w:pStyle w:val="NormalWeb"/>
        <w:rPr>
          <w:rFonts w:ascii="Arial" w:hAnsi="Arial" w:cs="Arial"/>
          <w:sz w:val="20"/>
          <w:szCs w:val="20"/>
        </w:rPr>
      </w:pPr>
      <w:r w:rsidRPr="005F3FD2">
        <w:rPr>
          <w:rFonts w:ascii="Arial" w:hAnsi="Arial" w:cs="Arial"/>
          <w:sz w:val="20"/>
          <w:szCs w:val="20"/>
        </w:rPr>
        <w:t>These findings demonstrate that nano-fertilizers contribute not only to increased productivity but also to improved nutritional quality of food crops, thereby supporting both food security and human health [2].</w:t>
      </w:r>
    </w:p>
    <w:p w14:paraId="40ACC905" w14:textId="22143C64" w:rsidR="00191A2B" w:rsidRPr="005F3FD2" w:rsidRDefault="00191A2B" w:rsidP="00DD0F76">
      <w:pPr>
        <w:rPr>
          <w:rFonts w:ascii="Arial" w:hAnsi="Arial" w:cs="Arial"/>
        </w:rPr>
      </w:pPr>
    </w:p>
    <w:p w14:paraId="3FA89763" w14:textId="77777777" w:rsidR="00191A2B" w:rsidRPr="005F3FD2" w:rsidRDefault="00191A2B" w:rsidP="00DD0F76">
      <w:pPr>
        <w:pStyle w:val="Heading3"/>
        <w:rPr>
          <w:rFonts w:ascii="Arial" w:hAnsi="Arial" w:cs="Arial"/>
          <w:color w:val="auto"/>
          <w:sz w:val="20"/>
          <w:szCs w:val="20"/>
        </w:rPr>
      </w:pPr>
      <w:r w:rsidRPr="005F3FD2">
        <w:rPr>
          <w:rFonts w:ascii="Arial" w:hAnsi="Arial" w:cs="Arial"/>
          <w:color w:val="auto"/>
          <w:sz w:val="20"/>
          <w:szCs w:val="20"/>
        </w:rPr>
        <w:t>3</w:t>
      </w:r>
      <w:r w:rsidRPr="005F3FD2">
        <w:rPr>
          <w:rFonts w:ascii="Arial" w:hAnsi="Arial" w:cs="Arial"/>
          <w:b/>
          <w:bCs/>
          <w:color w:val="auto"/>
          <w:sz w:val="20"/>
          <w:szCs w:val="20"/>
        </w:rPr>
        <w:t>.6 Nano-pesticides and Crop Protection</w:t>
      </w:r>
    </w:p>
    <w:p w14:paraId="2D050763" w14:textId="66AD9D3E" w:rsidR="00191A2B" w:rsidRPr="005F3FD2" w:rsidRDefault="00191A2B" w:rsidP="00DD0F76">
      <w:pPr>
        <w:pStyle w:val="NormalWeb"/>
        <w:rPr>
          <w:rFonts w:ascii="Arial" w:hAnsi="Arial" w:cs="Arial"/>
          <w:sz w:val="20"/>
          <w:szCs w:val="20"/>
        </w:rPr>
      </w:pPr>
      <w:r w:rsidRPr="005F3FD2">
        <w:rPr>
          <w:rFonts w:ascii="Arial" w:hAnsi="Arial" w:cs="Arial"/>
          <w:sz w:val="20"/>
          <w:szCs w:val="20"/>
        </w:rPr>
        <w:t>Nano-pesticides offer a scientifically advanced alternative to conventional pesticides by improving delivery efficiency and reducing environmental contamination. Encapsulation of active ingredients within nanocarriers protects them from premature degradation caused by light, temperature, and microbial activity. Controlled release mechanisms ensure that pesticides are released in response to specific biological or environmental triggers.</w:t>
      </w:r>
      <w:r w:rsidR="00C03FF1" w:rsidRPr="005F3FD2">
        <w:rPr>
          <w:rFonts w:ascii="Arial" w:hAnsi="Arial" w:cs="Arial"/>
          <w:sz w:val="20"/>
          <w:szCs w:val="20"/>
        </w:rPr>
        <w:t xml:space="preserve"> </w:t>
      </w:r>
      <w:r w:rsidRPr="005F3FD2">
        <w:rPr>
          <w:rFonts w:ascii="Arial" w:hAnsi="Arial" w:cs="Arial"/>
          <w:sz w:val="20"/>
          <w:szCs w:val="20"/>
        </w:rPr>
        <w:t>As a result, nano-pesticides reduce application frequency, minimize chemical residues in food and soil, and lower the risk of pest resistance development [10], [12]. Additionally, improved target specificity reduces harmful effects on beneficial organisms such as pollinators and soil microbes.</w:t>
      </w:r>
    </w:p>
    <w:p w14:paraId="174A5760" w14:textId="77777777" w:rsidR="00C03FF1" w:rsidRPr="005F3FD2" w:rsidRDefault="00191A2B" w:rsidP="00DD0F76">
      <w:pPr>
        <w:pStyle w:val="NormalWeb"/>
        <w:rPr>
          <w:rFonts w:ascii="Arial" w:hAnsi="Arial" w:cs="Arial"/>
          <w:sz w:val="20"/>
          <w:szCs w:val="20"/>
        </w:rPr>
      </w:pPr>
      <w:r w:rsidRPr="005F3FD2">
        <w:rPr>
          <w:rStyle w:val="Strong"/>
          <w:rFonts w:ascii="Arial" w:hAnsi="Arial" w:cs="Arial"/>
          <w:sz w:val="20"/>
          <w:szCs w:val="20"/>
        </w:rPr>
        <w:lastRenderedPageBreak/>
        <w:t>Table 3. Advantages of nano-pesticides over conventional pesticides</w:t>
      </w:r>
      <w:r w:rsidRPr="005F3FD2">
        <w:rPr>
          <w:rFonts w:ascii="Arial" w:hAnsi="Arial" w:cs="Arial"/>
          <w:sz w:val="20"/>
          <w:szCs w:val="20"/>
        </w:rPr>
        <w:br/>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52"/>
        <w:gridCol w:w="3544"/>
        <w:gridCol w:w="2976"/>
      </w:tblGrid>
      <w:tr w:rsidR="005F3FD2" w:rsidRPr="005F3FD2" w14:paraId="7C97C260" w14:textId="77777777" w:rsidTr="00C03FF1">
        <w:trPr>
          <w:tblCellSpacing w:w="15" w:type="dxa"/>
        </w:trPr>
        <w:tc>
          <w:tcPr>
            <w:tcW w:w="0" w:type="auto"/>
            <w:vAlign w:val="center"/>
            <w:hideMark/>
          </w:tcPr>
          <w:p w14:paraId="1A06B746" w14:textId="77777777" w:rsidR="00C03FF1" w:rsidRPr="00C03FF1" w:rsidRDefault="00C03FF1" w:rsidP="00DD0F76">
            <w:pPr>
              <w:rPr>
                <w:rFonts w:ascii="Arial" w:hAnsi="Arial" w:cs="Arial"/>
                <w:b/>
                <w:bCs/>
                <w:lang w:val="en-IN" w:eastAsia="en-IN"/>
              </w:rPr>
            </w:pPr>
            <w:r w:rsidRPr="00C03FF1">
              <w:rPr>
                <w:rFonts w:ascii="Arial" w:hAnsi="Arial" w:cs="Arial"/>
                <w:b/>
                <w:bCs/>
                <w:lang w:val="en-IN" w:eastAsia="en-IN"/>
              </w:rPr>
              <w:t>Aspect</w:t>
            </w:r>
          </w:p>
        </w:tc>
        <w:tc>
          <w:tcPr>
            <w:tcW w:w="3514" w:type="dxa"/>
            <w:vAlign w:val="center"/>
            <w:hideMark/>
          </w:tcPr>
          <w:p w14:paraId="0EB1B127" w14:textId="77777777" w:rsidR="00C03FF1" w:rsidRPr="00C03FF1" w:rsidRDefault="00C03FF1" w:rsidP="00DD0F76">
            <w:pPr>
              <w:rPr>
                <w:rFonts w:ascii="Arial" w:hAnsi="Arial" w:cs="Arial"/>
                <w:b/>
                <w:bCs/>
                <w:lang w:val="en-IN" w:eastAsia="en-IN"/>
              </w:rPr>
            </w:pPr>
            <w:r w:rsidRPr="00C03FF1">
              <w:rPr>
                <w:rFonts w:ascii="Arial" w:hAnsi="Arial" w:cs="Arial"/>
                <w:b/>
                <w:bCs/>
                <w:lang w:val="en-IN" w:eastAsia="en-IN"/>
              </w:rPr>
              <w:t>Conventional pesticides</w:t>
            </w:r>
          </w:p>
        </w:tc>
        <w:tc>
          <w:tcPr>
            <w:tcW w:w="2931" w:type="dxa"/>
            <w:vAlign w:val="center"/>
            <w:hideMark/>
          </w:tcPr>
          <w:p w14:paraId="51E5EBE6" w14:textId="77777777" w:rsidR="00C03FF1" w:rsidRPr="00C03FF1" w:rsidRDefault="00C03FF1" w:rsidP="00DD0F76">
            <w:pPr>
              <w:rPr>
                <w:rFonts w:ascii="Arial" w:hAnsi="Arial" w:cs="Arial"/>
                <w:b/>
                <w:bCs/>
                <w:lang w:val="en-IN" w:eastAsia="en-IN"/>
              </w:rPr>
            </w:pPr>
            <w:r w:rsidRPr="00C03FF1">
              <w:rPr>
                <w:rFonts w:ascii="Arial" w:hAnsi="Arial" w:cs="Arial"/>
                <w:b/>
                <w:bCs/>
                <w:lang w:val="en-IN" w:eastAsia="en-IN"/>
              </w:rPr>
              <w:t>Nano-pesticides</w:t>
            </w:r>
          </w:p>
        </w:tc>
      </w:tr>
      <w:tr w:rsidR="005F3FD2" w:rsidRPr="005F3FD2" w14:paraId="2A9AB07F" w14:textId="77777777" w:rsidTr="00C03FF1">
        <w:trPr>
          <w:tblCellSpacing w:w="15" w:type="dxa"/>
        </w:trPr>
        <w:tc>
          <w:tcPr>
            <w:tcW w:w="0" w:type="auto"/>
            <w:vAlign w:val="center"/>
            <w:hideMark/>
          </w:tcPr>
          <w:p w14:paraId="6508C553"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Stability</w:t>
            </w:r>
          </w:p>
        </w:tc>
        <w:tc>
          <w:tcPr>
            <w:tcW w:w="3514" w:type="dxa"/>
            <w:vAlign w:val="center"/>
            <w:hideMark/>
          </w:tcPr>
          <w:p w14:paraId="1C86E316"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Low</w:t>
            </w:r>
          </w:p>
        </w:tc>
        <w:tc>
          <w:tcPr>
            <w:tcW w:w="2931" w:type="dxa"/>
            <w:vAlign w:val="center"/>
            <w:hideMark/>
          </w:tcPr>
          <w:p w14:paraId="7DC285FA"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High</w:t>
            </w:r>
          </w:p>
        </w:tc>
      </w:tr>
      <w:tr w:rsidR="005F3FD2" w:rsidRPr="005F3FD2" w14:paraId="24F02BF0" w14:textId="77777777" w:rsidTr="00C03FF1">
        <w:trPr>
          <w:tblCellSpacing w:w="15" w:type="dxa"/>
        </w:trPr>
        <w:tc>
          <w:tcPr>
            <w:tcW w:w="0" w:type="auto"/>
            <w:vAlign w:val="center"/>
            <w:hideMark/>
          </w:tcPr>
          <w:p w14:paraId="0B71C88A"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Dosage required</w:t>
            </w:r>
          </w:p>
        </w:tc>
        <w:tc>
          <w:tcPr>
            <w:tcW w:w="3514" w:type="dxa"/>
            <w:vAlign w:val="center"/>
            <w:hideMark/>
          </w:tcPr>
          <w:p w14:paraId="272705CA"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High</w:t>
            </w:r>
          </w:p>
        </w:tc>
        <w:tc>
          <w:tcPr>
            <w:tcW w:w="2931" w:type="dxa"/>
            <w:vAlign w:val="center"/>
            <w:hideMark/>
          </w:tcPr>
          <w:p w14:paraId="1F15DDF1"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Low</w:t>
            </w:r>
          </w:p>
        </w:tc>
      </w:tr>
      <w:tr w:rsidR="005F3FD2" w:rsidRPr="005F3FD2" w14:paraId="7F5B7099" w14:textId="77777777" w:rsidTr="00C03FF1">
        <w:trPr>
          <w:tblCellSpacing w:w="15" w:type="dxa"/>
        </w:trPr>
        <w:tc>
          <w:tcPr>
            <w:tcW w:w="0" w:type="auto"/>
            <w:vAlign w:val="center"/>
            <w:hideMark/>
          </w:tcPr>
          <w:p w14:paraId="2CD2514F"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Target specificity</w:t>
            </w:r>
          </w:p>
        </w:tc>
        <w:tc>
          <w:tcPr>
            <w:tcW w:w="3514" w:type="dxa"/>
            <w:vAlign w:val="center"/>
            <w:hideMark/>
          </w:tcPr>
          <w:p w14:paraId="1B86033E"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Low</w:t>
            </w:r>
          </w:p>
        </w:tc>
        <w:tc>
          <w:tcPr>
            <w:tcW w:w="2931" w:type="dxa"/>
            <w:vAlign w:val="center"/>
            <w:hideMark/>
          </w:tcPr>
          <w:p w14:paraId="7F371632"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High</w:t>
            </w:r>
          </w:p>
        </w:tc>
      </w:tr>
      <w:tr w:rsidR="005F3FD2" w:rsidRPr="005F3FD2" w14:paraId="580C7EAC" w14:textId="77777777" w:rsidTr="00C03FF1">
        <w:trPr>
          <w:tblCellSpacing w:w="15" w:type="dxa"/>
        </w:trPr>
        <w:tc>
          <w:tcPr>
            <w:tcW w:w="0" w:type="auto"/>
            <w:vAlign w:val="center"/>
            <w:hideMark/>
          </w:tcPr>
          <w:p w14:paraId="71FBA846"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Environmental persistence</w:t>
            </w:r>
          </w:p>
        </w:tc>
        <w:tc>
          <w:tcPr>
            <w:tcW w:w="3514" w:type="dxa"/>
            <w:vAlign w:val="center"/>
            <w:hideMark/>
          </w:tcPr>
          <w:p w14:paraId="5E7367A9"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High</w:t>
            </w:r>
          </w:p>
        </w:tc>
        <w:tc>
          <w:tcPr>
            <w:tcW w:w="2931" w:type="dxa"/>
            <w:vAlign w:val="center"/>
            <w:hideMark/>
          </w:tcPr>
          <w:p w14:paraId="0C5C9D55"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Controlled</w:t>
            </w:r>
          </w:p>
        </w:tc>
      </w:tr>
      <w:tr w:rsidR="005F3FD2" w:rsidRPr="005F3FD2" w14:paraId="3ED2BA31" w14:textId="77777777" w:rsidTr="00C03FF1">
        <w:trPr>
          <w:trHeight w:val="30"/>
          <w:tblCellSpacing w:w="15" w:type="dxa"/>
        </w:trPr>
        <w:tc>
          <w:tcPr>
            <w:tcW w:w="0" w:type="auto"/>
            <w:vAlign w:val="center"/>
            <w:hideMark/>
          </w:tcPr>
          <w:p w14:paraId="7264808C"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Impact on beneficial organisms</w:t>
            </w:r>
          </w:p>
        </w:tc>
        <w:tc>
          <w:tcPr>
            <w:tcW w:w="3514" w:type="dxa"/>
            <w:vAlign w:val="center"/>
            <w:hideMark/>
          </w:tcPr>
          <w:p w14:paraId="14A46290"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High</w:t>
            </w:r>
          </w:p>
        </w:tc>
        <w:tc>
          <w:tcPr>
            <w:tcW w:w="2931" w:type="dxa"/>
            <w:vAlign w:val="center"/>
            <w:hideMark/>
          </w:tcPr>
          <w:p w14:paraId="0165F0C7"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Reduced</w:t>
            </w:r>
          </w:p>
        </w:tc>
      </w:tr>
    </w:tbl>
    <w:p w14:paraId="353DB09C" w14:textId="0252B147" w:rsidR="00C03FF1" w:rsidRPr="00C03FF1" w:rsidRDefault="00C03FF1" w:rsidP="00DD0F76">
      <w:pPr>
        <w:spacing w:before="100" w:beforeAutospacing="1" w:after="100" w:afterAutospacing="1"/>
        <w:rPr>
          <w:rFonts w:ascii="Arial" w:hAnsi="Arial" w:cs="Arial"/>
          <w:lang w:val="en-IN" w:eastAsia="en-IN"/>
        </w:rPr>
      </w:pPr>
      <w:r w:rsidRPr="00C03FF1">
        <w:rPr>
          <w:rFonts w:ascii="Arial" w:hAnsi="Arial" w:cs="Arial"/>
          <w:lang w:val="en-IN" w:eastAsia="en-IN"/>
        </w:rPr>
        <w:t>The results indicate that nano-pesticides can significantly improve integrated pest</w:t>
      </w:r>
      <w:r w:rsidRPr="005F3FD2">
        <w:rPr>
          <w:rFonts w:ascii="Arial" w:hAnsi="Arial" w:cs="Arial"/>
        </w:rPr>
        <w:t xml:space="preserve"> management strategies when combined with precision application technologies.</w:t>
      </w:r>
    </w:p>
    <w:p w14:paraId="306ADC9D" w14:textId="77777777" w:rsidR="00191A2B" w:rsidRPr="005F3FD2" w:rsidRDefault="00191A2B" w:rsidP="00DD0F76">
      <w:pPr>
        <w:pStyle w:val="Heading3"/>
        <w:rPr>
          <w:rFonts w:ascii="Arial" w:hAnsi="Arial" w:cs="Arial"/>
          <w:b/>
          <w:bCs/>
          <w:color w:val="auto"/>
          <w:sz w:val="20"/>
          <w:szCs w:val="20"/>
        </w:rPr>
      </w:pPr>
      <w:r w:rsidRPr="005F3FD2">
        <w:rPr>
          <w:rFonts w:ascii="Arial" w:hAnsi="Arial" w:cs="Arial"/>
          <w:b/>
          <w:bCs/>
          <w:color w:val="auto"/>
          <w:sz w:val="20"/>
          <w:szCs w:val="20"/>
        </w:rPr>
        <w:t>3.7 Nano-enabled Water and Soil Management</w:t>
      </w:r>
    </w:p>
    <w:p w14:paraId="66CA83A5" w14:textId="59912BAB" w:rsidR="00191A2B" w:rsidRPr="005F3FD2" w:rsidRDefault="00191A2B" w:rsidP="00DD0F76">
      <w:pPr>
        <w:pStyle w:val="NormalWeb"/>
        <w:rPr>
          <w:rFonts w:ascii="Arial" w:hAnsi="Arial" w:cs="Arial"/>
          <w:sz w:val="20"/>
          <w:szCs w:val="20"/>
        </w:rPr>
      </w:pPr>
      <w:r w:rsidRPr="005F3FD2">
        <w:rPr>
          <w:rFonts w:ascii="Arial" w:hAnsi="Arial" w:cs="Arial"/>
          <w:sz w:val="20"/>
          <w:szCs w:val="20"/>
        </w:rPr>
        <w:t>Water scarcity remains a major constraint to global agricultural productivity. Nanotechnology offers innovative solutions for improving soil water retention, irrigation efficiency, and drought resilience. Nanoparticles modify soil physical properties by increasing porosity and aggregate stability, thereby enhancing water-holding capacity.</w:t>
      </w:r>
      <w:r w:rsidR="002410DC" w:rsidRPr="005F3FD2">
        <w:rPr>
          <w:rFonts w:ascii="Arial" w:hAnsi="Arial" w:cs="Arial"/>
          <w:sz w:val="20"/>
          <w:szCs w:val="20"/>
        </w:rPr>
        <w:t xml:space="preserve"> </w:t>
      </w:r>
      <w:r w:rsidRPr="005F3FD2">
        <w:rPr>
          <w:rFonts w:ascii="Arial" w:hAnsi="Arial" w:cs="Arial"/>
          <w:sz w:val="20"/>
          <w:szCs w:val="20"/>
        </w:rPr>
        <w:t>Nano-clays and polymer-based nanocomposites reduce evaporation and deep percolation losses, ensuring efficient utilization of limited water resources. These technologies are particularly valuable in arid and semi-arid regions where water availability is a critical limiting factor [2].</w:t>
      </w:r>
    </w:p>
    <w:p w14:paraId="070FDE57" w14:textId="77777777" w:rsidR="002410DC" w:rsidRPr="005F3FD2" w:rsidRDefault="00191A2B" w:rsidP="00DD0F76">
      <w:pPr>
        <w:pStyle w:val="NormalWeb"/>
        <w:rPr>
          <w:rStyle w:val="Emphasis"/>
          <w:rFonts w:ascii="Arial" w:hAnsi="Arial" w:cs="Arial"/>
          <w:sz w:val="20"/>
          <w:szCs w:val="20"/>
        </w:rPr>
      </w:pPr>
      <w:r w:rsidRPr="005F3FD2">
        <w:rPr>
          <w:rStyle w:val="Strong"/>
          <w:rFonts w:ascii="Arial" w:hAnsi="Arial" w:cs="Arial"/>
          <w:sz w:val="20"/>
          <w:szCs w:val="20"/>
        </w:rPr>
        <w:t>Table 4. Role of nanomaterials in water and soil conservation</w:t>
      </w:r>
      <w:r w:rsidRPr="005F3FD2">
        <w:rPr>
          <w:rFonts w:ascii="Arial" w:hAnsi="Arial" w:cs="Arial"/>
          <w:sz w:val="20"/>
          <w:szCs w:val="20"/>
        </w:rPr>
        <w:br/>
      </w:r>
    </w:p>
    <w:tbl>
      <w:tblPr>
        <w:tblStyle w:val="TableGrid"/>
        <w:tblW w:w="9809" w:type="dxa"/>
        <w:tblLook w:val="04A0" w:firstRow="1" w:lastRow="0" w:firstColumn="1" w:lastColumn="0" w:noHBand="0" w:noVBand="1"/>
      </w:tblPr>
      <w:tblGrid>
        <w:gridCol w:w="2593"/>
        <w:gridCol w:w="2593"/>
        <w:gridCol w:w="4623"/>
      </w:tblGrid>
      <w:tr w:rsidR="005F3FD2" w:rsidRPr="005F3FD2" w14:paraId="54A303DB" w14:textId="77777777" w:rsidTr="005F3FD2">
        <w:trPr>
          <w:trHeight w:val="253"/>
        </w:trPr>
        <w:tc>
          <w:tcPr>
            <w:tcW w:w="2593" w:type="dxa"/>
          </w:tcPr>
          <w:p w14:paraId="0C5A64C9" w14:textId="4567989A" w:rsidR="005F3FD2" w:rsidRPr="005F3FD2" w:rsidRDefault="005F3FD2" w:rsidP="00DD0F76">
            <w:pPr>
              <w:pStyle w:val="NormalWeb"/>
              <w:rPr>
                <w:rStyle w:val="Emphasis"/>
                <w:rFonts w:ascii="Arial" w:hAnsi="Arial" w:cs="Arial"/>
                <w:b/>
                <w:bCs/>
                <w:sz w:val="20"/>
                <w:szCs w:val="20"/>
              </w:rPr>
            </w:pPr>
            <w:r w:rsidRPr="002410DC">
              <w:rPr>
                <w:rFonts w:ascii="Arial" w:hAnsi="Arial" w:cs="Arial"/>
                <w:b/>
                <w:bCs/>
                <w:sz w:val="20"/>
                <w:szCs w:val="20"/>
              </w:rPr>
              <w:t>Nanomaterial</w:t>
            </w:r>
          </w:p>
        </w:tc>
        <w:tc>
          <w:tcPr>
            <w:tcW w:w="2593" w:type="dxa"/>
            <w:vAlign w:val="center"/>
          </w:tcPr>
          <w:p w14:paraId="5DC505F2" w14:textId="21CA7BD8" w:rsidR="005F3FD2" w:rsidRPr="005F3FD2" w:rsidRDefault="005F3FD2" w:rsidP="00DD0F76">
            <w:pPr>
              <w:pStyle w:val="NormalWeb"/>
              <w:rPr>
                <w:rStyle w:val="Emphasis"/>
                <w:rFonts w:ascii="Arial" w:hAnsi="Arial" w:cs="Arial"/>
                <w:b/>
                <w:bCs/>
                <w:sz w:val="20"/>
                <w:szCs w:val="20"/>
              </w:rPr>
            </w:pPr>
            <w:r w:rsidRPr="002410DC">
              <w:rPr>
                <w:rFonts w:ascii="Arial" w:hAnsi="Arial" w:cs="Arial"/>
                <w:b/>
                <w:bCs/>
                <w:sz w:val="20"/>
                <w:szCs w:val="20"/>
              </w:rPr>
              <w:t>Function</w:t>
            </w:r>
          </w:p>
        </w:tc>
        <w:tc>
          <w:tcPr>
            <w:tcW w:w="4623" w:type="dxa"/>
          </w:tcPr>
          <w:p w14:paraId="02D93B7B" w14:textId="0844772E" w:rsidR="005F3FD2" w:rsidRPr="005F3FD2" w:rsidRDefault="005F3FD2" w:rsidP="00DD0F76">
            <w:pPr>
              <w:pStyle w:val="NormalWeb"/>
              <w:rPr>
                <w:rStyle w:val="Emphasis"/>
                <w:rFonts w:ascii="Arial" w:hAnsi="Arial" w:cs="Arial"/>
                <w:b/>
                <w:bCs/>
                <w:sz w:val="20"/>
                <w:szCs w:val="20"/>
              </w:rPr>
            </w:pPr>
            <w:r w:rsidRPr="002410DC">
              <w:rPr>
                <w:rFonts w:ascii="Arial" w:hAnsi="Arial" w:cs="Arial"/>
                <w:b/>
                <w:bCs/>
                <w:sz w:val="20"/>
                <w:szCs w:val="20"/>
              </w:rPr>
              <w:t>Benefit</w:t>
            </w:r>
          </w:p>
        </w:tc>
      </w:tr>
      <w:tr w:rsidR="005F3FD2" w:rsidRPr="005F3FD2" w14:paraId="2C7BB5F7" w14:textId="77777777" w:rsidTr="005F3FD2">
        <w:trPr>
          <w:trHeight w:val="750"/>
        </w:trPr>
        <w:tc>
          <w:tcPr>
            <w:tcW w:w="2593" w:type="dxa"/>
          </w:tcPr>
          <w:p w14:paraId="0CD7DD00" w14:textId="339E9556" w:rsidR="005F3FD2" w:rsidRPr="005F3FD2" w:rsidRDefault="005F3FD2" w:rsidP="00DD0F76">
            <w:pPr>
              <w:pStyle w:val="NormalWeb"/>
              <w:rPr>
                <w:rStyle w:val="Emphasis"/>
                <w:rFonts w:ascii="Arial" w:hAnsi="Arial" w:cs="Arial"/>
                <w:sz w:val="20"/>
                <w:szCs w:val="20"/>
              </w:rPr>
            </w:pPr>
            <w:r w:rsidRPr="002410DC">
              <w:rPr>
                <w:rFonts w:ascii="Arial" w:hAnsi="Arial" w:cs="Arial"/>
                <w:sz w:val="20"/>
                <w:szCs w:val="20"/>
              </w:rPr>
              <w:t>Nano-clays</w:t>
            </w:r>
          </w:p>
        </w:tc>
        <w:tc>
          <w:tcPr>
            <w:tcW w:w="2593" w:type="dxa"/>
          </w:tcPr>
          <w:p w14:paraId="1A238093" w14:textId="37897423" w:rsidR="005F3FD2" w:rsidRPr="005F3FD2" w:rsidRDefault="005F3FD2" w:rsidP="00DD0F76">
            <w:pPr>
              <w:pStyle w:val="NormalWeb"/>
              <w:rPr>
                <w:rStyle w:val="Emphasis"/>
                <w:rFonts w:ascii="Arial" w:hAnsi="Arial" w:cs="Arial"/>
                <w:sz w:val="20"/>
                <w:szCs w:val="20"/>
              </w:rPr>
            </w:pPr>
            <w:r w:rsidRPr="002410DC">
              <w:rPr>
                <w:rFonts w:ascii="Arial" w:hAnsi="Arial" w:cs="Arial"/>
                <w:sz w:val="20"/>
                <w:szCs w:val="20"/>
              </w:rPr>
              <w:t>Soil conditioning</w:t>
            </w:r>
          </w:p>
        </w:tc>
        <w:tc>
          <w:tcPr>
            <w:tcW w:w="4623" w:type="dxa"/>
            <w:vAlign w:val="center"/>
          </w:tcPr>
          <w:p w14:paraId="5DBB2320" w14:textId="77777777" w:rsidR="005F3FD2" w:rsidRPr="005F3FD2" w:rsidRDefault="005F3FD2" w:rsidP="00DD0F76">
            <w:pPr>
              <w:pStyle w:val="NormalWeb"/>
              <w:rPr>
                <w:rFonts w:ascii="Arial" w:hAnsi="Arial" w:cs="Arial"/>
                <w:sz w:val="20"/>
                <w:szCs w:val="20"/>
              </w:rPr>
            </w:pPr>
            <w:r w:rsidRPr="002410DC">
              <w:rPr>
                <w:rFonts w:ascii="Arial" w:hAnsi="Arial" w:cs="Arial"/>
                <w:sz w:val="20"/>
                <w:szCs w:val="20"/>
              </w:rPr>
              <w:t>Increased water retention</w:t>
            </w:r>
          </w:p>
          <w:p w14:paraId="504606D1" w14:textId="70A3FA02" w:rsidR="005F3FD2" w:rsidRPr="005F3FD2" w:rsidRDefault="005F3FD2" w:rsidP="00DD0F76">
            <w:pPr>
              <w:pStyle w:val="NormalWeb"/>
              <w:rPr>
                <w:rStyle w:val="Emphasis"/>
                <w:rFonts w:ascii="Arial" w:hAnsi="Arial" w:cs="Arial"/>
                <w:sz w:val="20"/>
                <w:szCs w:val="20"/>
              </w:rPr>
            </w:pPr>
          </w:p>
        </w:tc>
      </w:tr>
      <w:tr w:rsidR="005F3FD2" w:rsidRPr="005F3FD2" w14:paraId="25935D41" w14:textId="77777777" w:rsidTr="005F3FD2">
        <w:trPr>
          <w:trHeight w:val="750"/>
        </w:trPr>
        <w:tc>
          <w:tcPr>
            <w:tcW w:w="2593" w:type="dxa"/>
          </w:tcPr>
          <w:p w14:paraId="21009D39" w14:textId="3BA18D1F" w:rsidR="005F3FD2" w:rsidRPr="005F3FD2" w:rsidRDefault="005F3FD2" w:rsidP="00DD0F76">
            <w:pPr>
              <w:pStyle w:val="NormalWeb"/>
              <w:rPr>
                <w:rStyle w:val="Emphasis"/>
                <w:rFonts w:ascii="Arial" w:hAnsi="Arial" w:cs="Arial"/>
                <w:i w:val="0"/>
                <w:iCs w:val="0"/>
                <w:sz w:val="20"/>
                <w:szCs w:val="20"/>
              </w:rPr>
            </w:pPr>
            <w:r w:rsidRPr="002410DC">
              <w:rPr>
                <w:rFonts w:ascii="Arial" w:hAnsi="Arial" w:cs="Arial"/>
                <w:sz w:val="20"/>
                <w:szCs w:val="20"/>
              </w:rPr>
              <w:t>Silica nanoparticle</w:t>
            </w:r>
            <w:r w:rsidRPr="005F3FD2">
              <w:rPr>
                <w:rFonts w:ascii="Arial" w:hAnsi="Arial" w:cs="Arial"/>
                <w:sz w:val="20"/>
                <w:szCs w:val="20"/>
              </w:rPr>
              <w:t>s</w:t>
            </w:r>
          </w:p>
        </w:tc>
        <w:tc>
          <w:tcPr>
            <w:tcW w:w="2593" w:type="dxa"/>
          </w:tcPr>
          <w:p w14:paraId="5C5CBDAA" w14:textId="140EC966" w:rsidR="005F3FD2" w:rsidRPr="005F3FD2" w:rsidRDefault="005F3FD2" w:rsidP="00DD0F76">
            <w:pPr>
              <w:pStyle w:val="NormalWeb"/>
              <w:rPr>
                <w:rStyle w:val="Emphasis"/>
                <w:rFonts w:ascii="Arial" w:hAnsi="Arial" w:cs="Arial"/>
                <w:sz w:val="20"/>
                <w:szCs w:val="20"/>
              </w:rPr>
            </w:pPr>
            <w:r w:rsidRPr="002410DC">
              <w:rPr>
                <w:rFonts w:ascii="Arial" w:hAnsi="Arial" w:cs="Arial"/>
                <w:sz w:val="20"/>
                <w:szCs w:val="20"/>
              </w:rPr>
              <w:t>Root growth stimulation</w:t>
            </w:r>
          </w:p>
        </w:tc>
        <w:tc>
          <w:tcPr>
            <w:tcW w:w="4623" w:type="dxa"/>
          </w:tcPr>
          <w:p w14:paraId="367F35DF" w14:textId="77777777" w:rsidR="005F3FD2" w:rsidRPr="005F3FD2" w:rsidRDefault="005F3FD2" w:rsidP="00DD0F76">
            <w:pPr>
              <w:pStyle w:val="NormalWeb"/>
              <w:rPr>
                <w:rFonts w:ascii="Arial" w:hAnsi="Arial" w:cs="Arial"/>
                <w:sz w:val="20"/>
                <w:szCs w:val="20"/>
              </w:rPr>
            </w:pPr>
            <w:r w:rsidRPr="002410DC">
              <w:rPr>
                <w:rFonts w:ascii="Arial" w:hAnsi="Arial" w:cs="Arial"/>
                <w:sz w:val="20"/>
                <w:szCs w:val="20"/>
              </w:rPr>
              <w:t>Improved water uptake</w:t>
            </w:r>
          </w:p>
          <w:p w14:paraId="2F9C5B0A" w14:textId="494271FF" w:rsidR="005F3FD2" w:rsidRPr="005F3FD2" w:rsidRDefault="005F3FD2" w:rsidP="00DD0F76">
            <w:pPr>
              <w:pStyle w:val="NormalWeb"/>
              <w:rPr>
                <w:rStyle w:val="Emphasis"/>
                <w:rFonts w:ascii="Arial" w:hAnsi="Arial" w:cs="Arial"/>
                <w:sz w:val="20"/>
                <w:szCs w:val="20"/>
              </w:rPr>
            </w:pPr>
          </w:p>
        </w:tc>
      </w:tr>
      <w:tr w:rsidR="005F3FD2" w:rsidRPr="005F3FD2" w14:paraId="63E9D126" w14:textId="77777777" w:rsidTr="005F3FD2">
        <w:trPr>
          <w:trHeight w:val="1594"/>
        </w:trPr>
        <w:tc>
          <w:tcPr>
            <w:tcW w:w="2593" w:type="dxa"/>
          </w:tcPr>
          <w:p w14:paraId="216D45DB" w14:textId="20AEE8FB" w:rsidR="005F3FD2" w:rsidRPr="005F3FD2" w:rsidRDefault="005F3FD2" w:rsidP="00DD0F76">
            <w:pPr>
              <w:pStyle w:val="NormalWeb"/>
              <w:rPr>
                <w:rStyle w:val="Emphasis"/>
                <w:rFonts w:ascii="Arial" w:hAnsi="Arial" w:cs="Arial"/>
                <w:sz w:val="20"/>
                <w:szCs w:val="20"/>
              </w:rPr>
            </w:pPr>
            <w:r w:rsidRPr="002410DC">
              <w:rPr>
                <w:rFonts w:ascii="Arial" w:hAnsi="Arial" w:cs="Arial"/>
                <w:sz w:val="20"/>
                <w:szCs w:val="20"/>
              </w:rPr>
              <w:t>Polymer nanocomposites</w:t>
            </w:r>
          </w:p>
        </w:tc>
        <w:tc>
          <w:tcPr>
            <w:tcW w:w="2593" w:type="dxa"/>
          </w:tcPr>
          <w:p w14:paraId="295938A2" w14:textId="11FF6B29" w:rsidR="005F3FD2" w:rsidRPr="005F3FD2" w:rsidRDefault="005F3FD2" w:rsidP="00DD0F76">
            <w:pPr>
              <w:pStyle w:val="NormalWeb"/>
              <w:rPr>
                <w:rStyle w:val="Emphasis"/>
                <w:rFonts w:ascii="Arial" w:hAnsi="Arial" w:cs="Arial"/>
                <w:sz w:val="20"/>
                <w:szCs w:val="20"/>
              </w:rPr>
            </w:pPr>
            <w:r w:rsidRPr="002410DC">
              <w:rPr>
                <w:rFonts w:ascii="Arial" w:hAnsi="Arial" w:cs="Arial"/>
                <w:sz w:val="20"/>
                <w:szCs w:val="20"/>
              </w:rPr>
              <w:t>Moisture regulation</w:t>
            </w:r>
          </w:p>
        </w:tc>
        <w:tc>
          <w:tcPr>
            <w:tcW w:w="4623" w:type="dxa"/>
          </w:tcPr>
          <w:p w14:paraId="781DA1B8" w14:textId="0C08FB60" w:rsidR="005F3FD2" w:rsidRPr="005F3FD2" w:rsidRDefault="005F3FD2" w:rsidP="00DD0F76">
            <w:pPr>
              <w:pStyle w:val="NormalWeb"/>
              <w:rPr>
                <w:rStyle w:val="Emphasis"/>
                <w:rFonts w:ascii="Arial" w:hAnsi="Arial" w:cs="Arial"/>
                <w:sz w:val="20"/>
                <w:szCs w:val="20"/>
              </w:rPr>
            </w:pPr>
            <w:r w:rsidRPr="002410DC">
              <w:rPr>
                <w:rFonts w:ascii="Arial" w:hAnsi="Arial" w:cs="Arial"/>
                <w:sz w:val="20"/>
                <w:szCs w:val="20"/>
              </w:rPr>
              <w:t>Reduced irrigation frequency</w:t>
            </w:r>
          </w:p>
        </w:tc>
      </w:tr>
    </w:tbl>
    <w:p w14:paraId="022939B2" w14:textId="10722C08" w:rsidR="00191A2B" w:rsidRPr="005F3FD2" w:rsidRDefault="00191A2B" w:rsidP="00DD0F76">
      <w:pPr>
        <w:pStyle w:val="NormalWeb"/>
        <w:rPr>
          <w:rStyle w:val="Emphasis"/>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2"/>
        <w:gridCol w:w="1518"/>
      </w:tblGrid>
      <w:tr w:rsidR="005F3FD2" w:rsidRPr="005F3FD2" w14:paraId="7A5D4B8D" w14:textId="77777777" w:rsidTr="002410DC">
        <w:trPr>
          <w:tblCellSpacing w:w="15" w:type="dxa"/>
        </w:trPr>
        <w:tc>
          <w:tcPr>
            <w:tcW w:w="1337" w:type="dxa"/>
            <w:vAlign w:val="center"/>
            <w:hideMark/>
          </w:tcPr>
          <w:p w14:paraId="2AA71C6B" w14:textId="6217C82F" w:rsidR="002410DC" w:rsidRPr="002410DC" w:rsidRDefault="002410DC" w:rsidP="00DD0F76">
            <w:pPr>
              <w:rPr>
                <w:rFonts w:ascii="Arial" w:hAnsi="Arial" w:cs="Arial"/>
                <w:lang w:val="en-IN" w:eastAsia="en-IN"/>
              </w:rPr>
            </w:pPr>
          </w:p>
        </w:tc>
        <w:tc>
          <w:tcPr>
            <w:tcW w:w="1473" w:type="dxa"/>
            <w:vAlign w:val="center"/>
            <w:hideMark/>
          </w:tcPr>
          <w:p w14:paraId="7F18ED87" w14:textId="79C7FD11" w:rsidR="002410DC" w:rsidRPr="002410DC" w:rsidRDefault="002410DC" w:rsidP="00DD0F76">
            <w:pPr>
              <w:rPr>
                <w:rFonts w:ascii="Arial" w:hAnsi="Arial" w:cs="Arial"/>
                <w:lang w:val="en-IN" w:eastAsia="en-IN"/>
              </w:rPr>
            </w:pPr>
          </w:p>
        </w:tc>
      </w:tr>
    </w:tbl>
    <w:p w14:paraId="682855A2" w14:textId="77777777" w:rsidR="002410DC" w:rsidRPr="002410DC" w:rsidRDefault="002410DC" w:rsidP="00DD0F76">
      <w:pPr>
        <w:rPr>
          <w:rFonts w:ascii="Arial" w:hAnsi="Arial" w:cs="Arial"/>
          <w:vanish/>
          <w:lang w:val="en-IN"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5F3FD2" w:rsidRPr="005F3FD2" w14:paraId="2D0FCD92" w14:textId="77777777" w:rsidTr="002410DC">
        <w:trPr>
          <w:tblCellSpacing w:w="15" w:type="dxa"/>
        </w:trPr>
        <w:tc>
          <w:tcPr>
            <w:tcW w:w="0" w:type="auto"/>
            <w:vAlign w:val="center"/>
            <w:hideMark/>
          </w:tcPr>
          <w:p w14:paraId="6E6A19F7" w14:textId="0414F8EF" w:rsidR="002410DC" w:rsidRPr="002410DC" w:rsidRDefault="002410DC" w:rsidP="00DD0F76">
            <w:pPr>
              <w:rPr>
                <w:rFonts w:ascii="Arial" w:hAnsi="Arial" w:cs="Arial"/>
                <w:lang w:val="en-IN" w:eastAsia="en-IN"/>
              </w:rPr>
            </w:pPr>
          </w:p>
        </w:tc>
        <w:tc>
          <w:tcPr>
            <w:tcW w:w="0" w:type="auto"/>
            <w:vAlign w:val="center"/>
            <w:hideMark/>
          </w:tcPr>
          <w:p w14:paraId="77730B11" w14:textId="497F666E" w:rsidR="002410DC" w:rsidRPr="002410DC" w:rsidRDefault="002410DC" w:rsidP="00DD0F76">
            <w:pPr>
              <w:rPr>
                <w:rFonts w:ascii="Arial" w:hAnsi="Arial" w:cs="Arial"/>
                <w:lang w:val="en-IN" w:eastAsia="en-IN"/>
              </w:rPr>
            </w:pPr>
          </w:p>
        </w:tc>
      </w:tr>
    </w:tbl>
    <w:p w14:paraId="524E2E68" w14:textId="77777777" w:rsidR="002410DC" w:rsidRPr="002410DC" w:rsidRDefault="002410DC" w:rsidP="00DD0F76">
      <w:pPr>
        <w:rPr>
          <w:rFonts w:ascii="Arial" w:hAnsi="Arial" w:cs="Arial"/>
          <w:vanish/>
          <w:lang w:val="en-IN"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5F3FD2" w:rsidRPr="005F3FD2" w14:paraId="69CEC673" w14:textId="77777777" w:rsidTr="002410DC">
        <w:trPr>
          <w:tblCellSpacing w:w="15" w:type="dxa"/>
        </w:trPr>
        <w:tc>
          <w:tcPr>
            <w:tcW w:w="0" w:type="auto"/>
            <w:vAlign w:val="center"/>
            <w:hideMark/>
          </w:tcPr>
          <w:p w14:paraId="1C5739DA" w14:textId="7556ECFE" w:rsidR="002410DC" w:rsidRPr="002410DC" w:rsidRDefault="002410DC" w:rsidP="00DD0F76">
            <w:pPr>
              <w:rPr>
                <w:rFonts w:ascii="Arial" w:hAnsi="Arial" w:cs="Arial"/>
                <w:lang w:val="en-IN" w:eastAsia="en-IN"/>
              </w:rPr>
            </w:pPr>
          </w:p>
        </w:tc>
        <w:tc>
          <w:tcPr>
            <w:tcW w:w="0" w:type="auto"/>
            <w:vAlign w:val="center"/>
            <w:hideMark/>
          </w:tcPr>
          <w:p w14:paraId="59533384" w14:textId="76E04047" w:rsidR="002410DC" w:rsidRPr="002410DC" w:rsidRDefault="002410DC" w:rsidP="00DD0F76">
            <w:pPr>
              <w:rPr>
                <w:rFonts w:ascii="Arial" w:hAnsi="Arial" w:cs="Arial"/>
                <w:lang w:val="en-IN" w:eastAsia="en-IN"/>
              </w:rPr>
            </w:pPr>
          </w:p>
        </w:tc>
        <w:tc>
          <w:tcPr>
            <w:tcW w:w="0" w:type="auto"/>
            <w:vAlign w:val="center"/>
            <w:hideMark/>
          </w:tcPr>
          <w:p w14:paraId="67EC2831" w14:textId="1AC5052B" w:rsidR="002410DC" w:rsidRPr="002410DC" w:rsidRDefault="002410DC" w:rsidP="00DD0F76">
            <w:pPr>
              <w:rPr>
                <w:rFonts w:ascii="Arial" w:hAnsi="Arial" w:cs="Arial"/>
                <w:lang w:val="en-IN" w:eastAsia="en-IN"/>
              </w:rPr>
            </w:pPr>
          </w:p>
        </w:tc>
      </w:tr>
    </w:tbl>
    <w:p w14:paraId="3CA02423" w14:textId="77777777" w:rsidR="002410DC" w:rsidRPr="002410DC" w:rsidRDefault="002410DC" w:rsidP="00DD0F76">
      <w:pPr>
        <w:rPr>
          <w:rFonts w:ascii="Arial" w:hAnsi="Arial" w:cs="Arial"/>
          <w:vanish/>
          <w:lang w:val="en-IN"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5F3FD2" w:rsidRPr="005F3FD2" w14:paraId="4FD8F2D5" w14:textId="77777777" w:rsidTr="002410DC">
        <w:trPr>
          <w:tblCellSpacing w:w="15" w:type="dxa"/>
        </w:trPr>
        <w:tc>
          <w:tcPr>
            <w:tcW w:w="0" w:type="auto"/>
            <w:vAlign w:val="center"/>
            <w:hideMark/>
          </w:tcPr>
          <w:p w14:paraId="66971DF1" w14:textId="3C519431" w:rsidR="002410DC" w:rsidRPr="002410DC" w:rsidRDefault="002410DC" w:rsidP="00DD0F76">
            <w:pPr>
              <w:rPr>
                <w:rFonts w:ascii="Arial" w:hAnsi="Arial" w:cs="Arial"/>
                <w:lang w:val="en-IN" w:eastAsia="en-IN"/>
              </w:rPr>
            </w:pPr>
          </w:p>
        </w:tc>
        <w:tc>
          <w:tcPr>
            <w:tcW w:w="0" w:type="auto"/>
            <w:vAlign w:val="center"/>
            <w:hideMark/>
          </w:tcPr>
          <w:p w14:paraId="4E648E7A" w14:textId="69AFA2A4" w:rsidR="002410DC" w:rsidRPr="002410DC" w:rsidRDefault="002410DC" w:rsidP="00DD0F76">
            <w:pPr>
              <w:rPr>
                <w:rFonts w:ascii="Arial" w:hAnsi="Arial" w:cs="Arial"/>
                <w:lang w:val="en-IN" w:eastAsia="en-IN"/>
              </w:rPr>
            </w:pPr>
          </w:p>
        </w:tc>
        <w:tc>
          <w:tcPr>
            <w:tcW w:w="0" w:type="auto"/>
            <w:vAlign w:val="center"/>
            <w:hideMark/>
          </w:tcPr>
          <w:p w14:paraId="02BAB5B1" w14:textId="1B685170" w:rsidR="002410DC" w:rsidRPr="002410DC" w:rsidRDefault="002410DC" w:rsidP="00DD0F76">
            <w:pPr>
              <w:rPr>
                <w:rFonts w:ascii="Arial" w:hAnsi="Arial" w:cs="Arial"/>
                <w:lang w:val="en-IN" w:eastAsia="en-IN"/>
              </w:rPr>
            </w:pPr>
          </w:p>
        </w:tc>
      </w:tr>
    </w:tbl>
    <w:p w14:paraId="78B11C25" w14:textId="77777777" w:rsidR="00191A2B" w:rsidRPr="005F3FD2" w:rsidRDefault="00191A2B" w:rsidP="00DD0F76">
      <w:pPr>
        <w:pStyle w:val="Heading3"/>
        <w:rPr>
          <w:rFonts w:ascii="Arial" w:hAnsi="Arial" w:cs="Arial"/>
          <w:b/>
          <w:bCs/>
          <w:color w:val="auto"/>
          <w:sz w:val="20"/>
          <w:szCs w:val="20"/>
        </w:rPr>
      </w:pPr>
      <w:r w:rsidRPr="005F3FD2">
        <w:rPr>
          <w:rFonts w:ascii="Arial" w:hAnsi="Arial" w:cs="Arial"/>
          <w:b/>
          <w:bCs/>
          <w:color w:val="auto"/>
          <w:sz w:val="20"/>
          <w:szCs w:val="20"/>
        </w:rPr>
        <w:t>3.8 Food Packaging and Post-harvest Applications</w:t>
      </w:r>
    </w:p>
    <w:p w14:paraId="11265DC7" w14:textId="335A7C0E" w:rsidR="00191A2B" w:rsidRPr="00BB61FB" w:rsidRDefault="00191A2B" w:rsidP="00DD0F76">
      <w:pPr>
        <w:pStyle w:val="NormalWeb"/>
        <w:rPr>
          <w:rFonts w:ascii="Arial" w:hAnsi="Arial" w:cs="Arial"/>
          <w:b/>
          <w:bCs/>
          <w:sz w:val="20"/>
          <w:szCs w:val="20"/>
        </w:rPr>
      </w:pPr>
      <w:r w:rsidRPr="005F3FD2">
        <w:rPr>
          <w:rFonts w:ascii="Arial" w:hAnsi="Arial" w:cs="Arial"/>
          <w:sz w:val="20"/>
          <w:szCs w:val="20"/>
        </w:rPr>
        <w:t>Nanotechnology-based food packaging has significantly improved food safety, quality, and shelf life. Nanocomposite materials enhance mechanical strength and barrier properties against gases, moisture, and ultraviolet radiation, thereby reducing spoilage and nutrient degradation.</w:t>
      </w:r>
      <w:r w:rsidR="005F3FD2" w:rsidRPr="005F3FD2">
        <w:rPr>
          <w:rFonts w:ascii="Arial" w:hAnsi="Arial" w:cs="Arial"/>
          <w:sz w:val="20"/>
          <w:szCs w:val="20"/>
        </w:rPr>
        <w:t xml:space="preserve"> </w:t>
      </w:r>
      <w:r w:rsidRPr="005F3FD2">
        <w:rPr>
          <w:rFonts w:ascii="Arial" w:hAnsi="Arial" w:cs="Arial"/>
          <w:sz w:val="20"/>
          <w:szCs w:val="20"/>
        </w:rPr>
        <w:t xml:space="preserve">The integration of </w:t>
      </w:r>
      <w:proofErr w:type="spellStart"/>
      <w:r w:rsidRPr="005F3FD2">
        <w:rPr>
          <w:rFonts w:ascii="Arial" w:hAnsi="Arial" w:cs="Arial"/>
          <w:sz w:val="20"/>
          <w:szCs w:val="20"/>
        </w:rPr>
        <w:t>nanosensors</w:t>
      </w:r>
      <w:proofErr w:type="spellEnd"/>
      <w:r w:rsidRPr="005F3FD2">
        <w:rPr>
          <w:rFonts w:ascii="Arial" w:hAnsi="Arial" w:cs="Arial"/>
          <w:sz w:val="20"/>
          <w:szCs w:val="20"/>
        </w:rPr>
        <w:t xml:space="preserve"> into packaging systems enables real-time monitoring of food freshness, microbial contamination, and storage conditions, forming the foundation of intelligent or smart packaging technologies [3], [9]. These innovations reduce post-harvest losses and improve supply chain </w:t>
      </w:r>
      <w:proofErr w:type="spellStart"/>
      <w:proofErr w:type="gramStart"/>
      <w:r w:rsidRPr="005F3FD2">
        <w:rPr>
          <w:rFonts w:ascii="Arial" w:hAnsi="Arial" w:cs="Arial"/>
          <w:sz w:val="20"/>
          <w:szCs w:val="20"/>
        </w:rPr>
        <w:t>efficiency.Despite</w:t>
      </w:r>
      <w:proofErr w:type="spellEnd"/>
      <w:proofErr w:type="gramEnd"/>
      <w:r w:rsidRPr="005F3FD2">
        <w:rPr>
          <w:rFonts w:ascii="Arial" w:hAnsi="Arial" w:cs="Arial"/>
          <w:sz w:val="20"/>
          <w:szCs w:val="20"/>
        </w:rPr>
        <w:t xml:space="preserve"> these benefits, concerns regarding nanoparticle migration into food matrices highlight the importance of rigorous safety testing, migration studies, and transparent regulatory oversight.</w:t>
      </w:r>
    </w:p>
    <w:p w14:paraId="3155E5AD" w14:textId="23298957" w:rsidR="00BB61FB" w:rsidRPr="00BB61FB" w:rsidRDefault="00BB61FB" w:rsidP="00DD0F76">
      <w:pPr>
        <w:pStyle w:val="NormalWeb"/>
        <w:rPr>
          <w:rFonts w:ascii="Arial" w:hAnsi="Arial" w:cs="Arial"/>
          <w:b/>
          <w:bCs/>
          <w:sz w:val="20"/>
          <w:szCs w:val="20"/>
        </w:rPr>
      </w:pPr>
      <w:r w:rsidRPr="00BB61FB">
        <w:rPr>
          <w:b/>
          <w:bCs/>
        </w:rPr>
        <w:t>Table 5. Nano-enabled food packaging technologies and their post-harvest benefits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9"/>
        <w:gridCol w:w="2898"/>
        <w:gridCol w:w="2680"/>
        <w:gridCol w:w="3043"/>
      </w:tblGrid>
      <w:tr w:rsidR="00BB61FB" w:rsidRPr="00BB61FB" w14:paraId="3BE8DABC" w14:textId="77777777" w:rsidTr="00BB61FB">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8754C4A" w14:textId="77777777" w:rsidR="00BB61FB" w:rsidRPr="00BB61FB" w:rsidRDefault="00BB61FB" w:rsidP="00BB61FB">
            <w:pPr>
              <w:jc w:val="center"/>
              <w:rPr>
                <w:rFonts w:ascii="Times New Roman" w:hAnsi="Times New Roman"/>
                <w:b/>
                <w:bCs/>
                <w:sz w:val="24"/>
                <w:szCs w:val="24"/>
                <w:lang w:val="en-IN" w:eastAsia="en-IN"/>
              </w:rPr>
            </w:pPr>
            <w:r w:rsidRPr="00BB61FB">
              <w:rPr>
                <w:rFonts w:ascii="Times New Roman" w:hAnsi="Times New Roman"/>
                <w:b/>
                <w:bCs/>
                <w:sz w:val="24"/>
                <w:szCs w:val="24"/>
                <w:lang w:val="en-IN" w:eastAsia="en-IN"/>
              </w:rPr>
              <w:lastRenderedPageBreak/>
              <w:t>Nanotechnology application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6FC7DBC" w14:textId="77777777" w:rsidR="00BB61FB" w:rsidRPr="00BB61FB" w:rsidRDefault="00BB61FB" w:rsidP="00BB61FB">
            <w:pPr>
              <w:jc w:val="center"/>
              <w:rPr>
                <w:rFonts w:ascii="Times New Roman" w:hAnsi="Times New Roman"/>
                <w:b/>
                <w:bCs/>
                <w:sz w:val="24"/>
                <w:szCs w:val="24"/>
                <w:lang w:val="en-IN" w:eastAsia="en-IN"/>
              </w:rPr>
            </w:pPr>
            <w:r w:rsidRPr="00BB61FB">
              <w:rPr>
                <w:rFonts w:ascii="Times New Roman" w:hAnsi="Times New Roman"/>
                <w:b/>
                <w:bCs/>
                <w:sz w:val="24"/>
                <w:szCs w:val="24"/>
                <w:lang w:val="en-IN" w:eastAsia="en-IN"/>
              </w:rPr>
              <w:t>Nanomaterial used</w:t>
            </w:r>
          </w:p>
        </w:tc>
        <w:tc>
          <w:tcPr>
            <w:tcW w:w="0" w:type="auto"/>
            <w:tcBorders>
              <w:top w:val="single" w:sz="4" w:space="0" w:color="auto"/>
              <w:left w:val="single" w:sz="4" w:space="0" w:color="auto"/>
              <w:bottom w:val="single" w:sz="4" w:space="0" w:color="auto"/>
              <w:right w:val="single" w:sz="4" w:space="0" w:color="auto"/>
            </w:tcBorders>
            <w:vAlign w:val="center"/>
            <w:hideMark/>
          </w:tcPr>
          <w:p w14:paraId="7F7080BE" w14:textId="77777777" w:rsidR="00BB61FB" w:rsidRPr="00BB61FB" w:rsidRDefault="00BB61FB" w:rsidP="00BB61FB">
            <w:pPr>
              <w:jc w:val="center"/>
              <w:rPr>
                <w:rFonts w:ascii="Times New Roman" w:hAnsi="Times New Roman"/>
                <w:b/>
                <w:bCs/>
                <w:sz w:val="24"/>
                <w:szCs w:val="24"/>
                <w:lang w:val="en-IN" w:eastAsia="en-IN"/>
              </w:rPr>
            </w:pPr>
            <w:r w:rsidRPr="00BB61FB">
              <w:rPr>
                <w:rFonts w:ascii="Times New Roman" w:hAnsi="Times New Roman"/>
                <w:b/>
                <w:bCs/>
                <w:sz w:val="24"/>
                <w:szCs w:val="24"/>
                <w:lang w:val="en-IN" w:eastAsia="en-IN"/>
              </w:rPr>
              <w:t>Functional role</w:t>
            </w:r>
          </w:p>
        </w:tc>
        <w:tc>
          <w:tcPr>
            <w:tcW w:w="0" w:type="auto"/>
            <w:tcBorders>
              <w:top w:val="single" w:sz="4" w:space="0" w:color="auto"/>
              <w:left w:val="single" w:sz="4" w:space="0" w:color="auto"/>
              <w:bottom w:val="single" w:sz="4" w:space="0" w:color="auto"/>
              <w:right w:val="single" w:sz="4" w:space="0" w:color="auto"/>
            </w:tcBorders>
            <w:vAlign w:val="center"/>
            <w:hideMark/>
          </w:tcPr>
          <w:p w14:paraId="1A07E4FF" w14:textId="77777777" w:rsidR="00BB61FB" w:rsidRPr="00BB61FB" w:rsidRDefault="00BB61FB" w:rsidP="00BB61FB">
            <w:pPr>
              <w:jc w:val="center"/>
              <w:rPr>
                <w:rFonts w:ascii="Times New Roman" w:hAnsi="Times New Roman"/>
                <w:b/>
                <w:bCs/>
                <w:sz w:val="24"/>
                <w:szCs w:val="24"/>
                <w:lang w:val="en-IN" w:eastAsia="en-IN"/>
              </w:rPr>
            </w:pPr>
            <w:r w:rsidRPr="00BB61FB">
              <w:rPr>
                <w:rFonts w:ascii="Times New Roman" w:hAnsi="Times New Roman"/>
                <w:b/>
                <w:bCs/>
                <w:sz w:val="24"/>
                <w:szCs w:val="24"/>
                <w:lang w:val="en-IN" w:eastAsia="en-IN"/>
              </w:rPr>
              <w:t>Post-harvest benefit</w:t>
            </w:r>
          </w:p>
        </w:tc>
      </w:tr>
      <w:tr w:rsidR="00BB61FB" w:rsidRPr="00BB61FB" w14:paraId="4B058201" w14:textId="77777777" w:rsidTr="00BB61F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F1C3ECD" w14:textId="77777777" w:rsidR="00BB61FB" w:rsidRPr="00BB61FB" w:rsidRDefault="00BB61FB" w:rsidP="00BB61FB">
            <w:pPr>
              <w:rPr>
                <w:rFonts w:ascii="Times New Roman" w:hAnsi="Times New Roman"/>
                <w:sz w:val="24"/>
                <w:szCs w:val="24"/>
                <w:lang w:val="en-IN" w:eastAsia="en-IN"/>
              </w:rPr>
            </w:pPr>
            <w:r w:rsidRPr="00BB61FB">
              <w:rPr>
                <w:rFonts w:ascii="Times New Roman" w:hAnsi="Times New Roman"/>
                <w:sz w:val="24"/>
                <w:szCs w:val="24"/>
                <w:lang w:val="en-IN" w:eastAsia="en-IN"/>
              </w:rPr>
              <w:t>Nanocomposite packaging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29A23CE1" w14:textId="77777777" w:rsidR="00BB61FB" w:rsidRPr="00BB61FB" w:rsidRDefault="00BB61FB" w:rsidP="00BB61FB">
            <w:pPr>
              <w:rPr>
                <w:rFonts w:ascii="Times New Roman" w:hAnsi="Times New Roman"/>
                <w:sz w:val="24"/>
                <w:szCs w:val="24"/>
                <w:lang w:val="en-IN" w:eastAsia="en-IN"/>
              </w:rPr>
            </w:pPr>
            <w:proofErr w:type="spellStart"/>
            <w:r w:rsidRPr="00BB61FB">
              <w:rPr>
                <w:rFonts w:ascii="Times New Roman" w:hAnsi="Times New Roman"/>
                <w:sz w:val="24"/>
                <w:szCs w:val="24"/>
                <w:lang w:val="en-IN" w:eastAsia="en-IN"/>
              </w:rPr>
              <w:t>Nanoclays</w:t>
            </w:r>
            <w:proofErr w:type="spellEnd"/>
            <w:r w:rsidRPr="00BB61FB">
              <w:rPr>
                <w:rFonts w:ascii="Times New Roman" w:hAnsi="Times New Roman"/>
                <w:sz w:val="24"/>
                <w:szCs w:val="24"/>
                <w:lang w:val="en-IN" w:eastAsia="en-IN"/>
              </w:rPr>
              <w:t>, silica nanoparticles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00647B3" w14:textId="77777777" w:rsidR="00BB61FB" w:rsidRPr="00BB61FB" w:rsidRDefault="00BB61FB" w:rsidP="00BB61FB">
            <w:pPr>
              <w:rPr>
                <w:rFonts w:ascii="Times New Roman" w:hAnsi="Times New Roman"/>
                <w:sz w:val="24"/>
                <w:szCs w:val="24"/>
                <w:lang w:val="en-IN" w:eastAsia="en-IN"/>
              </w:rPr>
            </w:pPr>
            <w:r w:rsidRPr="00BB61FB">
              <w:rPr>
                <w:rFonts w:ascii="Times New Roman" w:hAnsi="Times New Roman"/>
                <w:sz w:val="24"/>
                <w:szCs w:val="24"/>
                <w:lang w:val="en-IN" w:eastAsia="en-IN"/>
              </w:rPr>
              <w:t>Improves mechanical strength and gas barrier properties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BF96E34" w14:textId="77777777" w:rsidR="00BB61FB" w:rsidRPr="00BB61FB" w:rsidRDefault="00BB61FB" w:rsidP="00BB61FB">
            <w:pPr>
              <w:rPr>
                <w:rFonts w:ascii="Times New Roman" w:hAnsi="Times New Roman"/>
                <w:sz w:val="24"/>
                <w:szCs w:val="24"/>
                <w:lang w:val="en-IN" w:eastAsia="en-IN"/>
              </w:rPr>
            </w:pPr>
            <w:r w:rsidRPr="00BB61FB">
              <w:rPr>
                <w:rFonts w:ascii="Times New Roman" w:hAnsi="Times New Roman"/>
                <w:sz w:val="24"/>
                <w:szCs w:val="24"/>
                <w:lang w:val="en-IN" w:eastAsia="en-IN"/>
              </w:rPr>
              <w:t>Reduces oxygen and moisture penetration, delays spoilage</w:t>
            </w:r>
          </w:p>
        </w:tc>
      </w:tr>
      <w:tr w:rsidR="00BB61FB" w:rsidRPr="00BB61FB" w14:paraId="41754900" w14:textId="77777777" w:rsidTr="00BB61F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D593449" w14:textId="77777777" w:rsidR="00BB61FB" w:rsidRPr="00BB61FB" w:rsidRDefault="00BB61FB" w:rsidP="00BB61FB">
            <w:pPr>
              <w:rPr>
                <w:rFonts w:ascii="Times New Roman" w:hAnsi="Times New Roman"/>
                <w:sz w:val="24"/>
                <w:szCs w:val="24"/>
                <w:lang w:val="en-IN" w:eastAsia="en-IN"/>
              </w:rPr>
            </w:pPr>
            <w:r w:rsidRPr="00BB61FB">
              <w:rPr>
                <w:rFonts w:ascii="Times New Roman" w:hAnsi="Times New Roman"/>
                <w:sz w:val="24"/>
                <w:szCs w:val="24"/>
                <w:lang w:val="en-IN" w:eastAsia="en-IN"/>
              </w:rPr>
              <w:t>UV-protective packaging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523798C7" w14:textId="77777777" w:rsidR="00BB61FB" w:rsidRPr="00BB61FB" w:rsidRDefault="00BB61FB" w:rsidP="00BB61FB">
            <w:pPr>
              <w:rPr>
                <w:rFonts w:ascii="Times New Roman" w:hAnsi="Times New Roman"/>
                <w:sz w:val="24"/>
                <w:szCs w:val="24"/>
                <w:lang w:val="en-IN" w:eastAsia="en-IN"/>
              </w:rPr>
            </w:pPr>
            <w:r w:rsidRPr="00BB61FB">
              <w:rPr>
                <w:rFonts w:ascii="Times New Roman" w:hAnsi="Times New Roman"/>
                <w:sz w:val="24"/>
                <w:szCs w:val="24"/>
                <w:lang w:val="en-IN" w:eastAsia="en-IN"/>
              </w:rPr>
              <w:t>Titanium dioxide (</w:t>
            </w:r>
            <w:proofErr w:type="spellStart"/>
            <w:r w:rsidRPr="00BB61FB">
              <w:rPr>
                <w:rFonts w:ascii="Times New Roman" w:hAnsi="Times New Roman"/>
                <w:sz w:val="24"/>
                <w:szCs w:val="24"/>
                <w:lang w:val="en-IN" w:eastAsia="en-IN"/>
              </w:rPr>
              <w:t>TiO</w:t>
            </w:r>
            <w:proofErr w:type="spellEnd"/>
            <w:r w:rsidRPr="00BB61FB">
              <w:rPr>
                <w:rFonts w:ascii="Times New Roman" w:hAnsi="Times New Roman"/>
                <w:sz w:val="24"/>
                <w:szCs w:val="24"/>
                <w:lang w:val="en-IN" w:eastAsia="en-IN"/>
              </w:rPr>
              <w:t>₂), zinc oxide (</w:t>
            </w:r>
            <w:proofErr w:type="spellStart"/>
            <w:r w:rsidRPr="00BB61FB">
              <w:rPr>
                <w:rFonts w:ascii="Times New Roman" w:hAnsi="Times New Roman"/>
                <w:sz w:val="24"/>
                <w:szCs w:val="24"/>
                <w:lang w:val="en-IN" w:eastAsia="en-IN"/>
              </w:rPr>
              <w:t>ZnO</w:t>
            </w:r>
            <w:proofErr w:type="spellEnd"/>
            <w:r w:rsidRPr="00BB61FB">
              <w:rPr>
                <w:rFonts w:ascii="Times New Roman" w:hAnsi="Times New Roman"/>
                <w:sz w:val="24"/>
                <w:szCs w:val="24"/>
                <w:lang w:val="en-IN" w:eastAsia="en-IN"/>
              </w:rPr>
              <w:t>) nanoparticles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9ECF657" w14:textId="77777777" w:rsidR="00BB61FB" w:rsidRPr="00BB61FB" w:rsidRDefault="00BB61FB" w:rsidP="00BB61FB">
            <w:pPr>
              <w:rPr>
                <w:rFonts w:ascii="Times New Roman" w:hAnsi="Times New Roman"/>
                <w:sz w:val="24"/>
                <w:szCs w:val="24"/>
                <w:lang w:val="en-IN" w:eastAsia="en-IN"/>
              </w:rPr>
            </w:pPr>
            <w:r w:rsidRPr="00BB61FB">
              <w:rPr>
                <w:rFonts w:ascii="Times New Roman" w:hAnsi="Times New Roman"/>
                <w:sz w:val="24"/>
                <w:szCs w:val="24"/>
                <w:lang w:val="en-IN" w:eastAsia="en-IN"/>
              </w:rPr>
              <w:t>Blocks ultraviolet radiation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2B33E99" w14:textId="77777777" w:rsidR="00BB61FB" w:rsidRPr="00BB61FB" w:rsidRDefault="00BB61FB" w:rsidP="00BB61FB">
            <w:pPr>
              <w:rPr>
                <w:rFonts w:ascii="Times New Roman" w:hAnsi="Times New Roman"/>
                <w:sz w:val="24"/>
                <w:szCs w:val="24"/>
                <w:lang w:val="en-IN" w:eastAsia="en-IN"/>
              </w:rPr>
            </w:pPr>
            <w:r w:rsidRPr="00BB61FB">
              <w:rPr>
                <w:rFonts w:ascii="Times New Roman" w:hAnsi="Times New Roman"/>
                <w:sz w:val="24"/>
                <w:szCs w:val="24"/>
                <w:lang w:val="en-IN" w:eastAsia="en-IN"/>
              </w:rPr>
              <w:t>Prevents nutrient degradation and photo-oxidation</w:t>
            </w:r>
          </w:p>
        </w:tc>
      </w:tr>
      <w:tr w:rsidR="00BB61FB" w:rsidRPr="00BB61FB" w14:paraId="77A68682" w14:textId="77777777" w:rsidTr="00BB61F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B7E6189" w14:textId="77777777" w:rsidR="00BB61FB" w:rsidRPr="00BB61FB" w:rsidRDefault="00BB61FB" w:rsidP="00BB61FB">
            <w:pPr>
              <w:rPr>
                <w:rFonts w:ascii="Times New Roman" w:hAnsi="Times New Roman"/>
                <w:sz w:val="24"/>
                <w:szCs w:val="24"/>
                <w:lang w:val="en-IN" w:eastAsia="en-IN"/>
              </w:rPr>
            </w:pPr>
            <w:r w:rsidRPr="00BB61FB">
              <w:rPr>
                <w:rFonts w:ascii="Times New Roman" w:hAnsi="Times New Roman"/>
                <w:sz w:val="24"/>
                <w:szCs w:val="24"/>
                <w:lang w:val="en-IN" w:eastAsia="en-IN"/>
              </w:rPr>
              <w:t>Antimicrobial packaging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A70AB1F" w14:textId="77777777" w:rsidR="00BB61FB" w:rsidRPr="00BB61FB" w:rsidRDefault="00BB61FB" w:rsidP="00BB61FB">
            <w:pPr>
              <w:rPr>
                <w:rFonts w:ascii="Times New Roman" w:hAnsi="Times New Roman"/>
                <w:sz w:val="24"/>
                <w:szCs w:val="24"/>
                <w:lang w:val="en-IN" w:eastAsia="en-IN"/>
              </w:rPr>
            </w:pPr>
            <w:r w:rsidRPr="00BB61FB">
              <w:rPr>
                <w:rFonts w:ascii="Times New Roman" w:hAnsi="Times New Roman"/>
                <w:sz w:val="24"/>
                <w:szCs w:val="24"/>
                <w:lang w:val="en-IN" w:eastAsia="en-IN"/>
              </w:rPr>
              <w:t>Silver nanoparticles, chitosan nanoparticles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F61A2BF" w14:textId="77777777" w:rsidR="00BB61FB" w:rsidRPr="00BB61FB" w:rsidRDefault="00BB61FB" w:rsidP="00BB61FB">
            <w:pPr>
              <w:rPr>
                <w:rFonts w:ascii="Times New Roman" w:hAnsi="Times New Roman"/>
                <w:sz w:val="24"/>
                <w:szCs w:val="24"/>
                <w:lang w:val="en-IN" w:eastAsia="en-IN"/>
              </w:rPr>
            </w:pPr>
            <w:r w:rsidRPr="00BB61FB">
              <w:rPr>
                <w:rFonts w:ascii="Times New Roman" w:hAnsi="Times New Roman"/>
                <w:sz w:val="24"/>
                <w:szCs w:val="24"/>
                <w:lang w:val="en-IN" w:eastAsia="en-IN"/>
              </w:rPr>
              <w:t>Inhibits microbial growth</w:t>
            </w:r>
          </w:p>
        </w:tc>
        <w:tc>
          <w:tcPr>
            <w:tcW w:w="0" w:type="auto"/>
            <w:tcBorders>
              <w:top w:val="single" w:sz="4" w:space="0" w:color="auto"/>
              <w:left w:val="single" w:sz="4" w:space="0" w:color="auto"/>
              <w:bottom w:val="single" w:sz="4" w:space="0" w:color="auto"/>
              <w:right w:val="single" w:sz="4" w:space="0" w:color="auto"/>
            </w:tcBorders>
            <w:vAlign w:val="center"/>
            <w:hideMark/>
          </w:tcPr>
          <w:p w14:paraId="3FAD5519" w14:textId="77777777" w:rsidR="00BB61FB" w:rsidRPr="00BB61FB" w:rsidRDefault="00BB61FB" w:rsidP="00BB61FB">
            <w:pPr>
              <w:rPr>
                <w:rFonts w:ascii="Times New Roman" w:hAnsi="Times New Roman"/>
                <w:sz w:val="24"/>
                <w:szCs w:val="24"/>
                <w:lang w:val="en-IN" w:eastAsia="en-IN"/>
              </w:rPr>
            </w:pPr>
            <w:r w:rsidRPr="00BB61FB">
              <w:rPr>
                <w:rFonts w:ascii="Times New Roman" w:hAnsi="Times New Roman"/>
                <w:sz w:val="24"/>
                <w:szCs w:val="24"/>
                <w:lang w:val="en-IN" w:eastAsia="en-IN"/>
              </w:rPr>
              <w:t>Enhances food safety and extends shelf life</w:t>
            </w:r>
          </w:p>
        </w:tc>
      </w:tr>
      <w:tr w:rsidR="00BB61FB" w:rsidRPr="00BB61FB" w14:paraId="3820AD41" w14:textId="77777777" w:rsidTr="00BB61F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A830EAE" w14:textId="77777777" w:rsidR="00BB61FB" w:rsidRPr="00BB61FB" w:rsidRDefault="00BB61FB" w:rsidP="00BB61FB">
            <w:pPr>
              <w:rPr>
                <w:rFonts w:ascii="Times New Roman" w:hAnsi="Times New Roman"/>
                <w:sz w:val="24"/>
                <w:szCs w:val="24"/>
                <w:lang w:val="en-IN" w:eastAsia="en-IN"/>
              </w:rPr>
            </w:pPr>
            <w:r w:rsidRPr="00BB61FB">
              <w:rPr>
                <w:rFonts w:ascii="Times New Roman" w:hAnsi="Times New Roman"/>
                <w:sz w:val="24"/>
                <w:szCs w:val="24"/>
                <w:lang w:val="en-IN" w:eastAsia="en-IN"/>
              </w:rPr>
              <w:t>Smart packaging systems</w:t>
            </w:r>
          </w:p>
        </w:tc>
        <w:tc>
          <w:tcPr>
            <w:tcW w:w="0" w:type="auto"/>
            <w:tcBorders>
              <w:top w:val="single" w:sz="4" w:space="0" w:color="auto"/>
              <w:left w:val="single" w:sz="4" w:space="0" w:color="auto"/>
              <w:bottom w:val="single" w:sz="4" w:space="0" w:color="auto"/>
              <w:right w:val="single" w:sz="4" w:space="0" w:color="auto"/>
            </w:tcBorders>
            <w:vAlign w:val="center"/>
            <w:hideMark/>
          </w:tcPr>
          <w:p w14:paraId="20D700F4" w14:textId="77777777" w:rsidR="00BB61FB" w:rsidRPr="00BB61FB" w:rsidRDefault="00BB61FB" w:rsidP="00BB61FB">
            <w:pPr>
              <w:rPr>
                <w:rFonts w:ascii="Times New Roman" w:hAnsi="Times New Roman"/>
                <w:sz w:val="24"/>
                <w:szCs w:val="24"/>
                <w:lang w:val="en-IN" w:eastAsia="en-IN"/>
              </w:rPr>
            </w:pPr>
            <w:proofErr w:type="spellStart"/>
            <w:r w:rsidRPr="00BB61FB">
              <w:rPr>
                <w:rFonts w:ascii="Times New Roman" w:hAnsi="Times New Roman"/>
                <w:sz w:val="24"/>
                <w:szCs w:val="24"/>
                <w:lang w:val="en-IN" w:eastAsia="en-IN"/>
              </w:rPr>
              <w:t>Nanosensors</w:t>
            </w:r>
            <w:proofErr w:type="spellEnd"/>
            <w:r w:rsidRPr="00BB61FB">
              <w:rPr>
                <w:rFonts w:ascii="Times New Roman" w:hAnsi="Times New Roman"/>
                <w:sz w:val="24"/>
                <w:szCs w:val="24"/>
                <w:lang w:val="en-IN" w:eastAsia="en-IN"/>
              </w:rPr>
              <w:t>, quantum dots</w:t>
            </w:r>
          </w:p>
        </w:tc>
        <w:tc>
          <w:tcPr>
            <w:tcW w:w="0" w:type="auto"/>
            <w:tcBorders>
              <w:top w:val="single" w:sz="4" w:space="0" w:color="auto"/>
              <w:left w:val="single" w:sz="4" w:space="0" w:color="auto"/>
              <w:bottom w:val="single" w:sz="4" w:space="0" w:color="auto"/>
              <w:right w:val="single" w:sz="4" w:space="0" w:color="auto"/>
            </w:tcBorders>
            <w:vAlign w:val="center"/>
            <w:hideMark/>
          </w:tcPr>
          <w:p w14:paraId="734C5F03" w14:textId="77777777" w:rsidR="00BB61FB" w:rsidRPr="00BB61FB" w:rsidRDefault="00BB61FB" w:rsidP="00BB61FB">
            <w:pPr>
              <w:rPr>
                <w:rFonts w:ascii="Times New Roman" w:hAnsi="Times New Roman"/>
                <w:sz w:val="24"/>
                <w:szCs w:val="24"/>
                <w:lang w:val="en-IN" w:eastAsia="en-IN"/>
              </w:rPr>
            </w:pPr>
            <w:r w:rsidRPr="00BB61FB">
              <w:rPr>
                <w:rFonts w:ascii="Times New Roman" w:hAnsi="Times New Roman"/>
                <w:sz w:val="24"/>
                <w:szCs w:val="24"/>
                <w:lang w:val="en-IN" w:eastAsia="en-IN"/>
              </w:rPr>
              <w:t>Detects gases, pathogens, and freshness indicators</w:t>
            </w:r>
          </w:p>
        </w:tc>
        <w:tc>
          <w:tcPr>
            <w:tcW w:w="0" w:type="auto"/>
            <w:tcBorders>
              <w:top w:val="single" w:sz="4" w:space="0" w:color="auto"/>
              <w:left w:val="single" w:sz="4" w:space="0" w:color="auto"/>
              <w:bottom w:val="single" w:sz="4" w:space="0" w:color="auto"/>
              <w:right w:val="single" w:sz="4" w:space="0" w:color="auto"/>
            </w:tcBorders>
            <w:vAlign w:val="center"/>
            <w:hideMark/>
          </w:tcPr>
          <w:p w14:paraId="53E5F624" w14:textId="77777777" w:rsidR="00BB61FB" w:rsidRPr="00BB61FB" w:rsidRDefault="00BB61FB" w:rsidP="00BB61FB">
            <w:pPr>
              <w:rPr>
                <w:rFonts w:ascii="Times New Roman" w:hAnsi="Times New Roman"/>
                <w:sz w:val="24"/>
                <w:szCs w:val="24"/>
                <w:lang w:val="en-IN" w:eastAsia="en-IN"/>
              </w:rPr>
            </w:pPr>
            <w:r w:rsidRPr="00BB61FB">
              <w:rPr>
                <w:rFonts w:ascii="Times New Roman" w:hAnsi="Times New Roman"/>
                <w:sz w:val="24"/>
                <w:szCs w:val="24"/>
                <w:lang w:val="en-IN" w:eastAsia="en-IN"/>
              </w:rPr>
              <w:t>Real-time monitoring of food quality and storage conditions</w:t>
            </w:r>
          </w:p>
        </w:tc>
      </w:tr>
      <w:tr w:rsidR="00BB61FB" w:rsidRPr="00BB61FB" w14:paraId="4098C82B" w14:textId="77777777" w:rsidTr="00BB61F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8A358D9" w14:textId="77777777" w:rsidR="00BB61FB" w:rsidRPr="00BB61FB" w:rsidRDefault="00BB61FB" w:rsidP="00BB61FB">
            <w:pPr>
              <w:rPr>
                <w:rFonts w:ascii="Times New Roman" w:hAnsi="Times New Roman"/>
                <w:sz w:val="24"/>
                <w:szCs w:val="24"/>
                <w:lang w:val="en-IN" w:eastAsia="en-IN"/>
              </w:rPr>
            </w:pPr>
            <w:r w:rsidRPr="00BB61FB">
              <w:rPr>
                <w:rFonts w:ascii="Times New Roman" w:hAnsi="Times New Roman"/>
                <w:sz w:val="24"/>
                <w:szCs w:val="24"/>
                <w:lang w:val="en-IN" w:eastAsia="en-IN"/>
              </w:rPr>
              <w:t>Active packaging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0D946C8E" w14:textId="77777777" w:rsidR="00BB61FB" w:rsidRPr="00BB61FB" w:rsidRDefault="00BB61FB" w:rsidP="00BB61FB">
            <w:pPr>
              <w:rPr>
                <w:rFonts w:ascii="Times New Roman" w:hAnsi="Times New Roman"/>
                <w:sz w:val="24"/>
                <w:szCs w:val="24"/>
                <w:lang w:val="en-IN" w:eastAsia="en-IN"/>
              </w:rPr>
            </w:pPr>
            <w:r w:rsidRPr="00BB61FB">
              <w:rPr>
                <w:rFonts w:ascii="Times New Roman" w:hAnsi="Times New Roman"/>
                <w:sz w:val="24"/>
                <w:szCs w:val="24"/>
                <w:lang w:val="en-IN" w:eastAsia="en-IN"/>
              </w:rPr>
              <w:t>Encapsulated antioxidants or antimicrobials</w:t>
            </w:r>
          </w:p>
        </w:tc>
        <w:tc>
          <w:tcPr>
            <w:tcW w:w="0" w:type="auto"/>
            <w:tcBorders>
              <w:top w:val="single" w:sz="4" w:space="0" w:color="auto"/>
              <w:left w:val="single" w:sz="4" w:space="0" w:color="auto"/>
              <w:bottom w:val="single" w:sz="4" w:space="0" w:color="auto"/>
              <w:right w:val="single" w:sz="4" w:space="0" w:color="auto"/>
            </w:tcBorders>
            <w:vAlign w:val="center"/>
            <w:hideMark/>
          </w:tcPr>
          <w:p w14:paraId="12153065" w14:textId="77777777" w:rsidR="00BB61FB" w:rsidRPr="00BB61FB" w:rsidRDefault="00BB61FB" w:rsidP="00BB61FB">
            <w:pPr>
              <w:rPr>
                <w:rFonts w:ascii="Times New Roman" w:hAnsi="Times New Roman"/>
                <w:sz w:val="24"/>
                <w:szCs w:val="24"/>
                <w:lang w:val="en-IN" w:eastAsia="en-IN"/>
              </w:rPr>
            </w:pPr>
            <w:r w:rsidRPr="00BB61FB">
              <w:rPr>
                <w:rFonts w:ascii="Times New Roman" w:hAnsi="Times New Roman"/>
                <w:sz w:val="24"/>
                <w:szCs w:val="24"/>
                <w:lang w:val="en-IN" w:eastAsia="en-IN"/>
              </w:rPr>
              <w:t>Controlled release of active compounds</w:t>
            </w:r>
          </w:p>
        </w:tc>
        <w:tc>
          <w:tcPr>
            <w:tcW w:w="0" w:type="auto"/>
            <w:tcBorders>
              <w:top w:val="single" w:sz="4" w:space="0" w:color="auto"/>
              <w:left w:val="single" w:sz="4" w:space="0" w:color="auto"/>
              <w:bottom w:val="single" w:sz="4" w:space="0" w:color="auto"/>
              <w:right w:val="single" w:sz="4" w:space="0" w:color="auto"/>
            </w:tcBorders>
            <w:vAlign w:val="center"/>
            <w:hideMark/>
          </w:tcPr>
          <w:p w14:paraId="51EE5DFE" w14:textId="77777777" w:rsidR="00BB61FB" w:rsidRPr="00BB61FB" w:rsidRDefault="00BB61FB" w:rsidP="00BB61FB">
            <w:pPr>
              <w:rPr>
                <w:rFonts w:ascii="Times New Roman" w:hAnsi="Times New Roman"/>
                <w:sz w:val="24"/>
                <w:szCs w:val="24"/>
                <w:lang w:val="en-IN" w:eastAsia="en-IN"/>
              </w:rPr>
            </w:pPr>
            <w:r w:rsidRPr="00BB61FB">
              <w:rPr>
                <w:rFonts w:ascii="Times New Roman" w:hAnsi="Times New Roman"/>
                <w:sz w:val="24"/>
                <w:szCs w:val="24"/>
                <w:lang w:val="en-IN" w:eastAsia="en-IN"/>
              </w:rPr>
              <w:t>Reduces post-harvest losses and improves supply chain efficiency</w:t>
            </w:r>
          </w:p>
        </w:tc>
      </w:tr>
    </w:tbl>
    <w:p w14:paraId="5B67B00B" w14:textId="77777777" w:rsidR="00BB61FB" w:rsidRDefault="00BB61FB" w:rsidP="00DD0F76">
      <w:pPr>
        <w:pStyle w:val="Heading3"/>
        <w:rPr>
          <w:rFonts w:ascii="Arial" w:hAnsi="Arial" w:cs="Arial"/>
          <w:color w:val="auto"/>
          <w:sz w:val="20"/>
          <w:szCs w:val="20"/>
        </w:rPr>
      </w:pPr>
    </w:p>
    <w:p w14:paraId="07E84C60" w14:textId="1488B3D5" w:rsidR="00191A2B" w:rsidRPr="005F3FD2" w:rsidRDefault="00191A2B" w:rsidP="00DD0F76">
      <w:pPr>
        <w:pStyle w:val="Heading3"/>
        <w:rPr>
          <w:rFonts w:ascii="Arial" w:hAnsi="Arial" w:cs="Arial"/>
          <w:color w:val="auto"/>
          <w:sz w:val="20"/>
          <w:szCs w:val="20"/>
        </w:rPr>
      </w:pPr>
      <w:r w:rsidRPr="005F3FD2">
        <w:rPr>
          <w:rFonts w:ascii="Arial" w:hAnsi="Arial" w:cs="Arial"/>
          <w:color w:val="auto"/>
          <w:sz w:val="20"/>
          <w:szCs w:val="20"/>
        </w:rPr>
        <w:t>3.9 Future Perspectives</w:t>
      </w:r>
    </w:p>
    <w:p w14:paraId="3A15A709" w14:textId="2F94E46C" w:rsidR="00191A2B" w:rsidRPr="005F3FD2" w:rsidRDefault="00191A2B" w:rsidP="00DD0F76">
      <w:pPr>
        <w:pStyle w:val="NormalWeb"/>
        <w:rPr>
          <w:rFonts w:ascii="Arial" w:hAnsi="Arial" w:cs="Arial"/>
          <w:sz w:val="20"/>
          <w:szCs w:val="20"/>
        </w:rPr>
      </w:pPr>
      <w:r w:rsidRPr="005F3FD2">
        <w:rPr>
          <w:rFonts w:ascii="Arial" w:hAnsi="Arial" w:cs="Arial"/>
          <w:sz w:val="20"/>
          <w:szCs w:val="20"/>
        </w:rPr>
        <w:t>Sustainable agriculture must be addressed as a complex and interconnected system in which biological, physical, and socioeconomic components interact. While conventional agricultural intensification has increased productivity, it has also led to soil degradation, biodiversity loss, and environmental pollution. Nanotechnology offers system-wide solutions spanning crop production, post-harvest handling, food processing, and distribution.</w:t>
      </w:r>
      <w:r w:rsidR="005F3FD2" w:rsidRPr="005F3FD2">
        <w:rPr>
          <w:rFonts w:ascii="Arial" w:hAnsi="Arial" w:cs="Arial"/>
          <w:sz w:val="20"/>
          <w:szCs w:val="20"/>
        </w:rPr>
        <w:t xml:space="preserve"> </w:t>
      </w:r>
      <w:r w:rsidRPr="005F3FD2">
        <w:rPr>
          <w:rFonts w:ascii="Arial" w:hAnsi="Arial" w:cs="Arial"/>
          <w:sz w:val="20"/>
          <w:szCs w:val="20"/>
        </w:rPr>
        <w:t>Future research should prioritize nanotechnology-based biosensors for early pest and disease detection, comprehensive ecosystem-level risk assessments, life-cycle analysis of nanomaterials, and the harmonization of international regulatory frameworks. Public engagement, ethical considerations, and interdisciplinary collaboration will be essential for responsible and socially acceptable adoption [9–24].</w:t>
      </w:r>
    </w:p>
    <w:p w14:paraId="6BB5D497" w14:textId="77777777" w:rsidR="00191A2B" w:rsidRPr="005F3FD2" w:rsidRDefault="00191A2B" w:rsidP="00DD0F76">
      <w:pPr>
        <w:pStyle w:val="Heading2"/>
        <w:rPr>
          <w:rFonts w:ascii="Arial" w:hAnsi="Arial" w:cs="Arial"/>
          <w:color w:val="auto"/>
          <w:sz w:val="20"/>
          <w:szCs w:val="20"/>
        </w:rPr>
      </w:pPr>
      <w:r w:rsidRPr="005F3FD2">
        <w:rPr>
          <w:rFonts w:ascii="Arial" w:hAnsi="Arial" w:cs="Arial"/>
          <w:color w:val="auto"/>
          <w:sz w:val="20"/>
          <w:szCs w:val="20"/>
        </w:rPr>
        <w:t>4. CONCLUSION</w:t>
      </w:r>
    </w:p>
    <w:p w14:paraId="39A99A45" w14:textId="77777777" w:rsidR="00191A2B" w:rsidRPr="005F3FD2" w:rsidRDefault="00191A2B" w:rsidP="00DD0F76">
      <w:pPr>
        <w:pStyle w:val="NormalWeb"/>
        <w:rPr>
          <w:rFonts w:ascii="Arial" w:hAnsi="Arial" w:cs="Arial"/>
          <w:sz w:val="20"/>
          <w:szCs w:val="20"/>
        </w:rPr>
      </w:pPr>
      <w:r w:rsidRPr="005F3FD2">
        <w:rPr>
          <w:rFonts w:ascii="Arial" w:hAnsi="Arial" w:cs="Arial"/>
          <w:sz w:val="20"/>
          <w:szCs w:val="20"/>
        </w:rPr>
        <w:t>Nanotechnology holds significant promise for transforming agriculture by addressing critical challenges related to food security, environmental sustainability, and climate resilience. The results discussed in this study clearly demonstrate that nano-enabled fertilizers, pesticides, water management systems, and food packaging technologies enhance agricultural efficiency, resource-use optimization, and sustainability.</w:t>
      </w:r>
    </w:p>
    <w:p w14:paraId="3A9014D2" w14:textId="77777777" w:rsidR="00191A2B" w:rsidRDefault="00191A2B" w:rsidP="00DD0F76">
      <w:pPr>
        <w:pStyle w:val="NormalWeb"/>
        <w:rPr>
          <w:rFonts w:ascii="Arial" w:hAnsi="Arial" w:cs="Arial"/>
          <w:sz w:val="20"/>
          <w:szCs w:val="20"/>
        </w:rPr>
      </w:pPr>
      <w:r w:rsidRPr="005F3FD2">
        <w:rPr>
          <w:rFonts w:ascii="Arial" w:hAnsi="Arial" w:cs="Arial"/>
          <w:sz w:val="20"/>
          <w:szCs w:val="20"/>
        </w:rPr>
        <w:t>However, the successful and responsible integration of nanotechnology into agriculture requires robust risk assessment frameworks, evidence-based regulations, and collaboration among scientists, policymakers, industry stakeholders, and farmers. With appropriate safeguards and global cooperation, nanotechnology can play a pivotal role in achieving sustainable agriculture and long-term</w:t>
      </w:r>
    </w:p>
    <w:p w14:paraId="11A85EF3" w14:textId="77777777" w:rsidR="0041191A" w:rsidRDefault="0041191A" w:rsidP="00DD0F76">
      <w:pPr>
        <w:pStyle w:val="NormalWeb"/>
        <w:rPr>
          <w:rFonts w:ascii="Arial" w:hAnsi="Arial" w:cs="Arial"/>
          <w:sz w:val="20"/>
          <w:szCs w:val="20"/>
        </w:rPr>
      </w:pPr>
    </w:p>
    <w:p w14:paraId="61B69BB7" w14:textId="77777777" w:rsidR="0041191A" w:rsidRPr="0041191A" w:rsidRDefault="0041191A" w:rsidP="0041191A">
      <w:pPr>
        <w:pStyle w:val="NormalWeb"/>
        <w:rPr>
          <w:rFonts w:ascii="Arial" w:hAnsi="Arial" w:cs="Arial"/>
          <w:sz w:val="20"/>
          <w:szCs w:val="20"/>
        </w:rPr>
      </w:pPr>
      <w:r w:rsidRPr="0041191A">
        <w:rPr>
          <w:rFonts w:ascii="Arial" w:hAnsi="Arial" w:cs="Arial"/>
          <w:sz w:val="20"/>
          <w:szCs w:val="20"/>
        </w:rPr>
        <w:t>COMPETING INTERESTS DISCLAIMER:</w:t>
      </w:r>
    </w:p>
    <w:p w14:paraId="10EAB186" w14:textId="35809791" w:rsidR="0041191A" w:rsidRPr="005F3FD2" w:rsidRDefault="0041191A" w:rsidP="0041191A">
      <w:pPr>
        <w:pStyle w:val="NormalWeb"/>
        <w:rPr>
          <w:rFonts w:ascii="Arial" w:hAnsi="Arial" w:cs="Arial"/>
          <w:sz w:val="20"/>
          <w:szCs w:val="20"/>
        </w:rPr>
      </w:pPr>
      <w:r w:rsidRPr="0041191A">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3498D4AB" w14:textId="77777777" w:rsidR="00B01FCD" w:rsidRPr="005F3FD2" w:rsidRDefault="00B01FCD" w:rsidP="00DD0F76">
      <w:pPr>
        <w:pStyle w:val="ReferHead"/>
        <w:spacing w:after="0"/>
        <w:jc w:val="both"/>
        <w:rPr>
          <w:rFonts w:ascii="Arial" w:hAnsi="Arial" w:cs="Arial"/>
          <w:sz w:val="20"/>
        </w:rPr>
      </w:pPr>
      <w:r w:rsidRPr="005F3FD2">
        <w:rPr>
          <w:rFonts w:ascii="Arial" w:hAnsi="Arial" w:cs="Arial"/>
          <w:sz w:val="20"/>
        </w:rPr>
        <w:t>References</w:t>
      </w:r>
    </w:p>
    <w:p w14:paraId="1B88B14E" w14:textId="2EDA4B43" w:rsidR="00A42149" w:rsidRPr="005F3FD2" w:rsidRDefault="00A42149" w:rsidP="00DD0F76">
      <w:pPr>
        <w:pStyle w:val="Body"/>
        <w:spacing w:after="0"/>
        <w:rPr>
          <w:rFonts w:ascii="Arial" w:hAnsi="Arial" w:cs="Arial"/>
        </w:rPr>
      </w:pPr>
    </w:p>
    <w:p w14:paraId="6606BE12" w14:textId="77777777" w:rsidR="00A42149" w:rsidRPr="005F3FD2" w:rsidRDefault="00A42149" w:rsidP="00DD0F76">
      <w:pPr>
        <w:pStyle w:val="Body"/>
        <w:numPr>
          <w:ilvl w:val="0"/>
          <w:numId w:val="33"/>
        </w:numPr>
        <w:rPr>
          <w:rFonts w:ascii="Arial" w:hAnsi="Arial" w:cs="Arial"/>
        </w:rPr>
      </w:pPr>
      <w:r w:rsidRPr="005F3FD2">
        <w:rPr>
          <w:rFonts w:ascii="Arial" w:hAnsi="Arial" w:cs="Arial"/>
        </w:rPr>
        <w:t>Ali, O. (2024). Enhancing plant growth and protection through nanotechnology. Journal of Agricultural Nanotechnology, 15(2), 123–135.</w:t>
      </w:r>
    </w:p>
    <w:p w14:paraId="2BB6B658" w14:textId="77777777" w:rsidR="00A42149" w:rsidRPr="005F3FD2" w:rsidRDefault="00A42149" w:rsidP="00DD0F76">
      <w:pPr>
        <w:pStyle w:val="Body"/>
        <w:numPr>
          <w:ilvl w:val="0"/>
          <w:numId w:val="33"/>
        </w:numPr>
        <w:rPr>
          <w:rFonts w:ascii="Arial" w:hAnsi="Arial" w:cs="Arial"/>
        </w:rPr>
      </w:pPr>
      <w:r w:rsidRPr="005F3FD2">
        <w:rPr>
          <w:rFonts w:ascii="Arial" w:hAnsi="Arial" w:cs="Arial"/>
        </w:rPr>
        <w:t>Alvin, E. A. (2024). Nanoparticles in sustainable agriculture: Nutrient delivery and soil improvement. Sustainable Agriculture Reviews, 42, 67–89.</w:t>
      </w:r>
    </w:p>
    <w:p w14:paraId="1B7E26D6" w14:textId="77777777" w:rsidR="00A42149" w:rsidRPr="005F3FD2" w:rsidRDefault="00A42149" w:rsidP="00DD0F76">
      <w:pPr>
        <w:pStyle w:val="Body"/>
        <w:numPr>
          <w:ilvl w:val="0"/>
          <w:numId w:val="33"/>
        </w:numPr>
        <w:rPr>
          <w:rFonts w:ascii="Arial" w:hAnsi="Arial" w:cs="Arial"/>
        </w:rPr>
      </w:pPr>
      <w:r w:rsidRPr="005F3FD2">
        <w:rPr>
          <w:rFonts w:ascii="Arial" w:hAnsi="Arial" w:cs="Arial"/>
        </w:rPr>
        <w:lastRenderedPageBreak/>
        <w:t xml:space="preserve">Ghidan, A. Y. (2019). Smart packaging and the role of </w:t>
      </w:r>
      <w:proofErr w:type="spellStart"/>
      <w:r w:rsidRPr="005F3FD2">
        <w:rPr>
          <w:rFonts w:ascii="Arial" w:hAnsi="Arial" w:cs="Arial"/>
        </w:rPr>
        <w:t>nanosensors</w:t>
      </w:r>
      <w:proofErr w:type="spellEnd"/>
      <w:r w:rsidRPr="005F3FD2">
        <w:rPr>
          <w:rFonts w:ascii="Arial" w:hAnsi="Arial" w:cs="Arial"/>
        </w:rPr>
        <w:t xml:space="preserve"> in food safety. Food Packaging Innovations, 8(1), 45–58.</w:t>
      </w:r>
    </w:p>
    <w:p w14:paraId="51A4A38D" w14:textId="7AAB4A26" w:rsidR="00A42149" w:rsidRDefault="00A42149" w:rsidP="00DD0F76">
      <w:pPr>
        <w:pStyle w:val="Body"/>
        <w:numPr>
          <w:ilvl w:val="0"/>
          <w:numId w:val="33"/>
        </w:numPr>
        <w:rPr>
          <w:rFonts w:ascii="Arial" w:hAnsi="Arial" w:cs="Arial"/>
        </w:rPr>
      </w:pPr>
      <w:r w:rsidRPr="005F3FD2">
        <w:rPr>
          <w:rFonts w:ascii="Arial" w:hAnsi="Arial" w:cs="Arial"/>
        </w:rPr>
        <w:t>Kanade, V. (2023). Introduction to nanotechnology and its applications in agriculture. Advances in Nanoscience and Technology, 29, 201–220.</w:t>
      </w:r>
    </w:p>
    <w:p w14:paraId="18488E9D" w14:textId="69514AF1" w:rsidR="00B3736A" w:rsidRPr="00B3736A" w:rsidRDefault="00B3736A" w:rsidP="00DD0F76">
      <w:pPr>
        <w:pStyle w:val="Body"/>
        <w:numPr>
          <w:ilvl w:val="0"/>
          <w:numId w:val="33"/>
        </w:numPr>
        <w:rPr>
          <w:rFonts w:ascii="Arial" w:hAnsi="Arial" w:cs="Arial"/>
        </w:rPr>
      </w:pPr>
      <w:r>
        <w:t xml:space="preserve">Kumar, N., Kumar, P., &amp; Dubey, R. C. </w:t>
      </w:r>
      <w:r>
        <w:rPr>
          <w:rStyle w:val="Emphasis"/>
        </w:rPr>
        <w:t>Nanomaterials in soil science for agricultural productivity and environmental sustainability.</w:t>
      </w:r>
      <w:r>
        <w:t xml:space="preserve"> </w:t>
      </w:r>
      <w:r w:rsidRPr="00B3736A">
        <w:rPr>
          <w:rStyle w:val="Strong"/>
          <w:b w:val="0"/>
          <w:bCs w:val="0"/>
        </w:rPr>
        <w:t>Discover Environment</w:t>
      </w:r>
      <w:r w:rsidRPr="00B3736A">
        <w:t xml:space="preserve"> (2025), </w:t>
      </w:r>
      <w:r w:rsidRPr="00B3736A">
        <w:rPr>
          <w:rStyle w:val="Strong"/>
          <w:b w:val="0"/>
          <w:bCs w:val="0"/>
        </w:rPr>
        <w:t>3:27</w:t>
      </w:r>
      <w:r w:rsidRPr="00B3736A">
        <w:t>.</w:t>
      </w:r>
    </w:p>
    <w:p w14:paraId="5856E557" w14:textId="42A3BCB9" w:rsidR="002879B3" w:rsidRPr="005F3FD2" w:rsidRDefault="002879B3" w:rsidP="00DD0F76">
      <w:pPr>
        <w:pStyle w:val="Body"/>
        <w:numPr>
          <w:ilvl w:val="0"/>
          <w:numId w:val="33"/>
        </w:numPr>
        <w:rPr>
          <w:rFonts w:ascii="Arial" w:hAnsi="Arial" w:cs="Arial"/>
        </w:rPr>
      </w:pPr>
      <w:r w:rsidRPr="00B3736A">
        <w:t xml:space="preserve">Khalil, M.A., Sadia, B., Asif, M., Zafar, A., Azam, I., &amp; Khan, A.M.A. (2025). </w:t>
      </w:r>
      <w:r w:rsidRPr="00B3736A">
        <w:rPr>
          <w:rStyle w:val="Emphasis"/>
        </w:rPr>
        <w:t>Nanotechnology in sustainable agriculture: A review</w:t>
      </w:r>
      <w:r w:rsidRPr="00B3736A">
        <w:t xml:space="preserve">. </w:t>
      </w:r>
      <w:r w:rsidRPr="00B3736A">
        <w:rPr>
          <w:rStyle w:val="Strong"/>
          <w:b w:val="0"/>
          <w:bCs w:val="0"/>
        </w:rPr>
        <w:t>Biological Times</w:t>
      </w:r>
      <w:r w:rsidRPr="00B3736A">
        <w:t>,</w:t>
      </w:r>
      <w:r>
        <w:t xml:space="preserve"> 4(3), 10–11.</w:t>
      </w:r>
    </w:p>
    <w:p w14:paraId="342340D3" w14:textId="77777777" w:rsidR="00A42149" w:rsidRPr="005F3FD2" w:rsidRDefault="00A42149" w:rsidP="00DD0F76">
      <w:pPr>
        <w:pStyle w:val="Body"/>
        <w:numPr>
          <w:ilvl w:val="0"/>
          <w:numId w:val="33"/>
        </w:numPr>
        <w:rPr>
          <w:rFonts w:ascii="Arial" w:hAnsi="Arial" w:cs="Arial"/>
        </w:rPr>
      </w:pPr>
      <w:r w:rsidRPr="005F3FD2">
        <w:rPr>
          <w:rFonts w:ascii="Arial" w:hAnsi="Arial" w:cs="Arial"/>
        </w:rPr>
        <w:t>Mukhopadhyay, S. S. (2014). Nanotechnology in agriculture: Opportunities, toxicological implications, and occupational risks. Journal of Nanoparticle Research, 16(6), 1234.</w:t>
      </w:r>
    </w:p>
    <w:p w14:paraId="477AA802" w14:textId="77777777" w:rsidR="00A42149" w:rsidRPr="005F3FD2" w:rsidRDefault="00A42149" w:rsidP="00DD0F76">
      <w:pPr>
        <w:pStyle w:val="Body"/>
        <w:numPr>
          <w:ilvl w:val="0"/>
          <w:numId w:val="33"/>
        </w:numPr>
        <w:rPr>
          <w:rFonts w:ascii="Arial" w:hAnsi="Arial" w:cs="Arial"/>
        </w:rPr>
      </w:pPr>
      <w:proofErr w:type="spellStart"/>
      <w:r w:rsidRPr="005F3FD2">
        <w:rPr>
          <w:rFonts w:ascii="Arial" w:hAnsi="Arial" w:cs="Arial"/>
        </w:rPr>
        <w:t>Basavegowda</w:t>
      </w:r>
      <w:proofErr w:type="spellEnd"/>
      <w:r w:rsidRPr="005F3FD2">
        <w:rPr>
          <w:rFonts w:ascii="Arial" w:hAnsi="Arial" w:cs="Arial"/>
        </w:rPr>
        <w:t xml:space="preserve">, N. (2021). </w:t>
      </w:r>
      <w:proofErr w:type="spellStart"/>
      <w:r w:rsidRPr="005F3FD2">
        <w:rPr>
          <w:rFonts w:ascii="Arial" w:hAnsi="Arial" w:cs="Arial"/>
        </w:rPr>
        <w:t>Nanofertilizers</w:t>
      </w:r>
      <w:proofErr w:type="spellEnd"/>
      <w:r w:rsidRPr="005F3FD2">
        <w:rPr>
          <w:rFonts w:ascii="Arial" w:hAnsi="Arial" w:cs="Arial"/>
        </w:rPr>
        <w:t>: A novel approach to sustainable agriculture. Nanotechnology in Plant Sciences, 3, 89–112.</w:t>
      </w:r>
    </w:p>
    <w:p w14:paraId="478C27E6" w14:textId="77777777" w:rsidR="00A42149" w:rsidRPr="005F3FD2" w:rsidRDefault="00A42149" w:rsidP="00DD0F76">
      <w:pPr>
        <w:pStyle w:val="Body"/>
        <w:numPr>
          <w:ilvl w:val="0"/>
          <w:numId w:val="33"/>
        </w:numPr>
        <w:rPr>
          <w:rFonts w:ascii="Arial" w:hAnsi="Arial" w:cs="Arial"/>
        </w:rPr>
      </w:pPr>
      <w:proofErr w:type="spellStart"/>
      <w:r w:rsidRPr="005F3FD2">
        <w:rPr>
          <w:rFonts w:ascii="Arial" w:hAnsi="Arial" w:cs="Arial"/>
        </w:rPr>
        <w:t>Nongbet</w:t>
      </w:r>
      <w:proofErr w:type="spellEnd"/>
      <w:r w:rsidRPr="005F3FD2">
        <w:rPr>
          <w:rFonts w:ascii="Arial" w:hAnsi="Arial" w:cs="Arial"/>
        </w:rPr>
        <w:t>, A. (2022). Smart fertilizers and their impact on crop production. Journal of Smart Agriculture, 10(4), 250–265.</w:t>
      </w:r>
    </w:p>
    <w:p w14:paraId="66E36DDB" w14:textId="77777777" w:rsidR="00A42149" w:rsidRPr="005F3FD2" w:rsidRDefault="00A42149" w:rsidP="00DD0F76">
      <w:pPr>
        <w:pStyle w:val="Body"/>
        <w:numPr>
          <w:ilvl w:val="0"/>
          <w:numId w:val="33"/>
        </w:numPr>
        <w:rPr>
          <w:rFonts w:ascii="Arial" w:hAnsi="Arial" w:cs="Arial"/>
        </w:rPr>
      </w:pPr>
      <w:r w:rsidRPr="005F3FD2">
        <w:rPr>
          <w:rFonts w:ascii="Arial" w:hAnsi="Arial" w:cs="Arial"/>
        </w:rPr>
        <w:t>Pereira, A. D. S. (2021). Applications of nanotechnology in agriculture and environmental sustainability. Environmental Nanotechnology, 5(3), 150–170.</w:t>
      </w:r>
    </w:p>
    <w:p w14:paraId="3DFA5974" w14:textId="64021AB2" w:rsidR="00A42149" w:rsidRDefault="00A42149" w:rsidP="00DD0F76">
      <w:pPr>
        <w:pStyle w:val="Body"/>
        <w:numPr>
          <w:ilvl w:val="0"/>
          <w:numId w:val="33"/>
        </w:numPr>
        <w:rPr>
          <w:rFonts w:ascii="Arial" w:hAnsi="Arial" w:cs="Arial"/>
        </w:rPr>
      </w:pPr>
      <w:r w:rsidRPr="005F3FD2">
        <w:rPr>
          <w:rFonts w:ascii="Arial" w:hAnsi="Arial" w:cs="Arial"/>
        </w:rPr>
        <w:t>Prasad, R., Bhattacharyya, A., &amp; Nguyen, Q. D. (2017). Nanotechnology in sustainable agriculture: Recent developments, challenges, and perspectives. Frontiers</w:t>
      </w:r>
    </w:p>
    <w:p w14:paraId="3FC7108E" w14:textId="45CAF923" w:rsidR="00B3736A" w:rsidRPr="00B3736A" w:rsidRDefault="00B3736A" w:rsidP="00B3736A">
      <w:pPr>
        <w:pStyle w:val="NormalWeb"/>
        <w:numPr>
          <w:ilvl w:val="0"/>
          <w:numId w:val="33"/>
        </w:numPr>
        <w:rPr>
          <w:rFonts w:ascii="Arial" w:hAnsi="Arial" w:cs="Arial"/>
          <w:sz w:val="20"/>
          <w:szCs w:val="20"/>
        </w:rPr>
      </w:pPr>
      <w:r>
        <w:t xml:space="preserve">Rajput, V. D., Kumari, A., Upadhyay, S. K., et al. </w:t>
      </w:r>
      <w:r>
        <w:rPr>
          <w:rStyle w:val="Emphasis"/>
        </w:rPr>
        <w:t>Can nanomaterials improve the soil microbiome and crop productivity?</w:t>
      </w:r>
      <w:r>
        <w:t xml:space="preserve"> </w:t>
      </w:r>
      <w:r w:rsidRPr="00B3736A">
        <w:rPr>
          <w:rStyle w:val="Strong"/>
          <w:rFonts w:ascii="Arial" w:hAnsi="Arial" w:cs="Arial"/>
          <w:b w:val="0"/>
          <w:bCs w:val="0"/>
          <w:sz w:val="20"/>
          <w:szCs w:val="20"/>
        </w:rPr>
        <w:t>Agriculture</w:t>
      </w:r>
      <w:r w:rsidRPr="00B3736A">
        <w:rPr>
          <w:rFonts w:ascii="Arial" w:hAnsi="Arial" w:cs="Arial"/>
          <w:sz w:val="20"/>
          <w:szCs w:val="20"/>
        </w:rPr>
        <w:t xml:space="preserve"> (2023), </w:t>
      </w:r>
      <w:r w:rsidRPr="00B3736A">
        <w:rPr>
          <w:rStyle w:val="Strong"/>
          <w:rFonts w:ascii="Arial" w:hAnsi="Arial" w:cs="Arial"/>
          <w:b w:val="0"/>
          <w:bCs w:val="0"/>
          <w:sz w:val="20"/>
          <w:szCs w:val="20"/>
        </w:rPr>
        <w:t>13(2):231</w:t>
      </w:r>
      <w:r w:rsidRPr="00B3736A">
        <w:rPr>
          <w:rFonts w:ascii="Arial" w:hAnsi="Arial" w:cs="Arial"/>
          <w:sz w:val="20"/>
          <w:szCs w:val="20"/>
        </w:rPr>
        <w:t xml:space="preserve">. </w:t>
      </w:r>
    </w:p>
    <w:p w14:paraId="5AD8BEFD" w14:textId="63593E68" w:rsidR="00B3736A" w:rsidRPr="00B3736A" w:rsidRDefault="00B3736A" w:rsidP="00DD0F76">
      <w:pPr>
        <w:pStyle w:val="Body"/>
        <w:numPr>
          <w:ilvl w:val="0"/>
          <w:numId w:val="33"/>
        </w:numPr>
        <w:rPr>
          <w:rFonts w:ascii="Arial" w:hAnsi="Arial" w:cs="Arial"/>
        </w:rPr>
      </w:pPr>
      <w:r w:rsidRPr="00B3736A">
        <w:rPr>
          <w:rFonts w:ascii="Arial" w:hAnsi="Arial" w:cs="Arial"/>
        </w:rPr>
        <w:t xml:space="preserve"> Singh, R., Singh, P., &amp; Marla, S. </w:t>
      </w:r>
      <w:r w:rsidRPr="00B3736A">
        <w:rPr>
          <w:rStyle w:val="Emphasis"/>
          <w:rFonts w:ascii="Arial" w:hAnsi="Arial" w:cs="Arial"/>
        </w:rPr>
        <w:t>Title of the article.</w:t>
      </w:r>
      <w:r w:rsidRPr="00B3736A">
        <w:rPr>
          <w:rFonts w:ascii="Arial" w:hAnsi="Arial" w:cs="Arial"/>
        </w:rPr>
        <w:t xml:space="preserve"> </w:t>
      </w:r>
      <w:r w:rsidRPr="00B3736A">
        <w:rPr>
          <w:rStyle w:val="Strong"/>
          <w:rFonts w:ascii="Arial" w:hAnsi="Arial" w:cs="Arial"/>
          <w:b w:val="0"/>
          <w:bCs w:val="0"/>
        </w:rPr>
        <w:t>Frontiers in Microbiology</w:t>
      </w:r>
      <w:r w:rsidRPr="00B3736A">
        <w:rPr>
          <w:rFonts w:ascii="Arial" w:hAnsi="Arial" w:cs="Arial"/>
        </w:rPr>
        <w:t>, 8, 1014.</w:t>
      </w:r>
    </w:p>
    <w:p w14:paraId="5537CA3C" w14:textId="182EEA21" w:rsidR="00A42149" w:rsidRPr="005F3FD2" w:rsidRDefault="00A42149" w:rsidP="00DD0F76">
      <w:pPr>
        <w:pStyle w:val="Body"/>
        <w:numPr>
          <w:ilvl w:val="0"/>
          <w:numId w:val="33"/>
        </w:numPr>
        <w:rPr>
          <w:rFonts w:ascii="Arial" w:hAnsi="Arial" w:cs="Arial"/>
        </w:rPr>
      </w:pPr>
      <w:r w:rsidRPr="005F3FD2">
        <w:rPr>
          <w:rFonts w:ascii="Arial" w:hAnsi="Arial" w:cs="Arial"/>
        </w:rPr>
        <w:t xml:space="preserve">Rafiq, S., </w:t>
      </w:r>
      <w:proofErr w:type="spellStart"/>
      <w:r w:rsidRPr="005F3FD2">
        <w:rPr>
          <w:rFonts w:ascii="Arial" w:hAnsi="Arial" w:cs="Arial"/>
        </w:rPr>
        <w:t>Mantoo</w:t>
      </w:r>
      <w:proofErr w:type="spellEnd"/>
      <w:r w:rsidRPr="005F3FD2">
        <w:rPr>
          <w:rFonts w:ascii="Arial" w:hAnsi="Arial" w:cs="Arial"/>
        </w:rPr>
        <w:t xml:space="preserve">, M. A., Askary, T. H., Akbar, R., Jan, U., Akhter, A., &amp; </w:t>
      </w:r>
      <w:proofErr w:type="spellStart"/>
      <w:r w:rsidRPr="005F3FD2">
        <w:rPr>
          <w:rFonts w:ascii="Arial" w:hAnsi="Arial" w:cs="Arial"/>
        </w:rPr>
        <w:t>Bhadu</w:t>
      </w:r>
      <w:proofErr w:type="spellEnd"/>
      <w:r w:rsidRPr="005F3FD2">
        <w:rPr>
          <w:rFonts w:ascii="Arial" w:hAnsi="Arial" w:cs="Arial"/>
        </w:rPr>
        <w:t>,</w:t>
      </w:r>
    </w:p>
    <w:p w14:paraId="58564A92" w14:textId="77777777" w:rsidR="00A42149" w:rsidRPr="005F3FD2" w:rsidRDefault="00A42149" w:rsidP="00DD0F76">
      <w:pPr>
        <w:pStyle w:val="Body"/>
        <w:numPr>
          <w:ilvl w:val="0"/>
          <w:numId w:val="33"/>
        </w:numPr>
        <w:rPr>
          <w:rFonts w:ascii="Arial" w:hAnsi="Arial" w:cs="Arial"/>
        </w:rPr>
      </w:pPr>
      <w:r w:rsidRPr="005F3FD2">
        <w:rPr>
          <w:rFonts w:ascii="Arial" w:hAnsi="Arial" w:cs="Arial"/>
        </w:rPr>
        <w:t xml:space="preserve">S. S. (2022). </w:t>
      </w:r>
      <w:proofErr w:type="spellStart"/>
      <w:r w:rsidRPr="005F3FD2">
        <w:rPr>
          <w:rFonts w:ascii="Arial" w:hAnsi="Arial" w:cs="Arial"/>
        </w:rPr>
        <w:t>Nanopesticides</w:t>
      </w:r>
      <w:proofErr w:type="spellEnd"/>
      <w:r w:rsidRPr="005F3FD2">
        <w:rPr>
          <w:rFonts w:ascii="Arial" w:hAnsi="Arial" w:cs="Arial"/>
        </w:rPr>
        <w:t>: An emerging tool for pest management. The Pharma Innovation Journal, 11(10), 1659–1666.</w:t>
      </w:r>
    </w:p>
    <w:p w14:paraId="017796AA" w14:textId="77777777" w:rsidR="00A42149" w:rsidRPr="005F3FD2" w:rsidRDefault="00A42149" w:rsidP="00DD0F76">
      <w:pPr>
        <w:pStyle w:val="Body"/>
        <w:numPr>
          <w:ilvl w:val="0"/>
          <w:numId w:val="33"/>
        </w:numPr>
        <w:rPr>
          <w:rFonts w:ascii="Arial" w:hAnsi="Arial" w:cs="Arial"/>
        </w:rPr>
      </w:pPr>
      <w:r w:rsidRPr="005F3FD2">
        <w:rPr>
          <w:rFonts w:ascii="Arial" w:hAnsi="Arial" w:cs="Arial"/>
        </w:rPr>
        <w:t>Saritha, G. N. G. (2022). Graphical representation of nanotechnology applications in agriculture. International Journal of Agricultural Sciences, 14(2), 78–85.</w:t>
      </w:r>
    </w:p>
    <w:p w14:paraId="63DBA024" w14:textId="77777777" w:rsidR="00A42149" w:rsidRPr="005F3FD2" w:rsidRDefault="00A42149" w:rsidP="00DD0F76">
      <w:pPr>
        <w:pStyle w:val="Body"/>
        <w:numPr>
          <w:ilvl w:val="0"/>
          <w:numId w:val="33"/>
        </w:numPr>
        <w:rPr>
          <w:rFonts w:ascii="Arial" w:hAnsi="Arial" w:cs="Arial"/>
        </w:rPr>
      </w:pPr>
      <w:proofErr w:type="spellStart"/>
      <w:r w:rsidRPr="005F3FD2">
        <w:rPr>
          <w:rFonts w:ascii="Arial" w:hAnsi="Arial" w:cs="Arial"/>
        </w:rPr>
        <w:t>Chaud</w:t>
      </w:r>
      <w:proofErr w:type="spellEnd"/>
      <w:r w:rsidRPr="005F3FD2">
        <w:rPr>
          <w:rFonts w:ascii="Arial" w:hAnsi="Arial" w:cs="Arial"/>
        </w:rPr>
        <w:t xml:space="preserve">, M. (2021). Formulation and applications of </w:t>
      </w:r>
      <w:proofErr w:type="spellStart"/>
      <w:r w:rsidRPr="005F3FD2">
        <w:rPr>
          <w:rFonts w:ascii="Arial" w:hAnsi="Arial" w:cs="Arial"/>
        </w:rPr>
        <w:t>nanopesticides</w:t>
      </w:r>
      <w:proofErr w:type="spellEnd"/>
      <w:r w:rsidRPr="005F3FD2">
        <w:rPr>
          <w:rFonts w:ascii="Arial" w:hAnsi="Arial" w:cs="Arial"/>
        </w:rPr>
        <w:t>. Pesticide Science and Technology, 33(4), 415–430.</w:t>
      </w:r>
    </w:p>
    <w:p w14:paraId="7B9B819B" w14:textId="77777777" w:rsidR="00A42149" w:rsidRPr="005F3FD2" w:rsidRDefault="00A42149" w:rsidP="00DD0F76">
      <w:pPr>
        <w:pStyle w:val="Body"/>
        <w:numPr>
          <w:ilvl w:val="0"/>
          <w:numId w:val="33"/>
        </w:numPr>
        <w:rPr>
          <w:rFonts w:ascii="Arial" w:hAnsi="Arial" w:cs="Arial"/>
        </w:rPr>
      </w:pPr>
      <w:proofErr w:type="spellStart"/>
      <w:r w:rsidRPr="005F3FD2">
        <w:rPr>
          <w:rFonts w:ascii="Arial" w:hAnsi="Arial" w:cs="Arial"/>
        </w:rPr>
        <w:t>Chemoinformatics</w:t>
      </w:r>
      <w:proofErr w:type="spellEnd"/>
      <w:r w:rsidRPr="005F3FD2">
        <w:rPr>
          <w:rFonts w:ascii="Arial" w:hAnsi="Arial" w:cs="Arial"/>
        </w:rPr>
        <w:t xml:space="preserve"> and big data analytics: Revolutionizing chemical research-A review: https://doi.org/10.1063/5.0221539</w:t>
      </w:r>
    </w:p>
    <w:p w14:paraId="17C81EA2" w14:textId="77777777" w:rsidR="00A42149" w:rsidRPr="005F3FD2" w:rsidRDefault="00A42149" w:rsidP="00DD0F76">
      <w:pPr>
        <w:pStyle w:val="Body"/>
        <w:numPr>
          <w:ilvl w:val="0"/>
          <w:numId w:val="33"/>
        </w:numPr>
        <w:rPr>
          <w:rFonts w:ascii="Arial" w:hAnsi="Arial" w:cs="Arial"/>
        </w:rPr>
      </w:pPr>
      <w:r w:rsidRPr="005F3FD2">
        <w:rPr>
          <w:rFonts w:ascii="Arial" w:hAnsi="Arial" w:cs="Arial"/>
        </w:rPr>
        <w:t xml:space="preserve">CHARACTERIZATION OF AN ENTOMOPHAGOUS MEDICINAL FUNGUS CORDYCEPS SINENSIS (BERK.) SACC. OF UTTARAKHAND, INDIA https://thebioscan.com/index.php/pub/article/view/2282 </w:t>
      </w:r>
    </w:p>
    <w:p w14:paraId="734BE21F" w14:textId="77777777" w:rsidR="00A42149" w:rsidRPr="005F3FD2" w:rsidRDefault="00A42149" w:rsidP="00DD0F76">
      <w:pPr>
        <w:pStyle w:val="Body"/>
        <w:numPr>
          <w:ilvl w:val="0"/>
          <w:numId w:val="33"/>
        </w:numPr>
        <w:rPr>
          <w:rFonts w:ascii="Arial" w:hAnsi="Arial" w:cs="Arial"/>
        </w:rPr>
      </w:pPr>
      <w:r w:rsidRPr="005F3FD2">
        <w:rPr>
          <w:rFonts w:ascii="Arial" w:hAnsi="Arial" w:cs="Arial"/>
        </w:rPr>
        <w:t xml:space="preserve">Role of Soil Amendments in Dissipation of Chlorpyriphos in </w:t>
      </w:r>
      <w:proofErr w:type="spellStart"/>
      <w:r w:rsidRPr="005F3FD2">
        <w:rPr>
          <w:rFonts w:ascii="Arial" w:hAnsi="Arial" w:cs="Arial"/>
        </w:rPr>
        <w:t>Mollisols</w:t>
      </w:r>
      <w:proofErr w:type="spellEnd"/>
      <w:r w:rsidRPr="005F3FD2">
        <w:rPr>
          <w:rFonts w:ascii="Arial" w:hAnsi="Arial" w:cs="Arial"/>
        </w:rPr>
        <w:t xml:space="preserve">: https://www.indianjournals.com/article/prj-22-2-009 </w:t>
      </w:r>
    </w:p>
    <w:p w14:paraId="412EC515" w14:textId="77777777" w:rsidR="00A42149" w:rsidRPr="005F3FD2" w:rsidRDefault="00A42149" w:rsidP="00DD0F76">
      <w:pPr>
        <w:pStyle w:val="Body"/>
        <w:numPr>
          <w:ilvl w:val="0"/>
          <w:numId w:val="33"/>
        </w:numPr>
        <w:rPr>
          <w:rFonts w:ascii="Arial" w:hAnsi="Arial" w:cs="Arial"/>
        </w:rPr>
      </w:pPr>
      <w:r w:rsidRPr="005F3FD2">
        <w:rPr>
          <w:rFonts w:ascii="Arial" w:hAnsi="Arial" w:cs="Arial"/>
        </w:rPr>
        <w:t xml:space="preserve">Governance Frameworks for Smart Systems https://doi.org/10.1007/978-3-031-76152-2_11 </w:t>
      </w:r>
    </w:p>
    <w:p w14:paraId="3A4BA05A" w14:textId="77777777" w:rsidR="00A42149" w:rsidRPr="005F3FD2" w:rsidRDefault="00A42149" w:rsidP="00DD0F76">
      <w:pPr>
        <w:pStyle w:val="Body"/>
        <w:numPr>
          <w:ilvl w:val="0"/>
          <w:numId w:val="33"/>
        </w:numPr>
        <w:rPr>
          <w:rFonts w:ascii="Arial" w:hAnsi="Arial" w:cs="Arial"/>
        </w:rPr>
      </w:pPr>
      <w:r w:rsidRPr="005F3FD2">
        <w:rPr>
          <w:rFonts w:ascii="Arial" w:hAnsi="Arial" w:cs="Arial"/>
        </w:rPr>
        <w:t xml:space="preserve">Groundwater Contamination in Bathinda, India: A Case Study in the Malwa Region https://www.taylorfrancis.com/chapters/edit/10.1201/9781032665443-76/groundwater-contamination-bathinda-india-case-study-malwa-region-rajni-verma-tanu-nimisha-singh </w:t>
      </w:r>
    </w:p>
    <w:p w14:paraId="025381DA" w14:textId="77777777" w:rsidR="00A42149" w:rsidRPr="005F3FD2" w:rsidRDefault="00A42149" w:rsidP="00DD0F76">
      <w:pPr>
        <w:pStyle w:val="Body"/>
        <w:numPr>
          <w:ilvl w:val="0"/>
          <w:numId w:val="33"/>
        </w:numPr>
        <w:rPr>
          <w:rFonts w:ascii="Arial" w:hAnsi="Arial" w:cs="Arial"/>
        </w:rPr>
      </w:pPr>
      <w:r w:rsidRPr="005F3FD2">
        <w:rPr>
          <w:rFonts w:ascii="Arial" w:hAnsi="Arial" w:cs="Arial"/>
        </w:rPr>
        <w:t xml:space="preserve">Effect of soil–solarization integrated with organic amendments and bio agents on population dynamics of soil microbial populations https://thebioscan.com/index.php/pub/article/view/259 </w:t>
      </w:r>
    </w:p>
    <w:p w14:paraId="58A943E9" w14:textId="77777777" w:rsidR="00A42149" w:rsidRPr="005F3FD2" w:rsidRDefault="00A42149" w:rsidP="00DD0F76">
      <w:pPr>
        <w:pStyle w:val="Body"/>
        <w:numPr>
          <w:ilvl w:val="0"/>
          <w:numId w:val="33"/>
        </w:numPr>
        <w:rPr>
          <w:rFonts w:ascii="Arial" w:hAnsi="Arial" w:cs="Arial"/>
        </w:rPr>
      </w:pPr>
      <w:r w:rsidRPr="005F3FD2">
        <w:rPr>
          <w:rFonts w:ascii="Arial" w:hAnsi="Arial" w:cs="Arial"/>
        </w:rPr>
        <w:lastRenderedPageBreak/>
        <w:t xml:space="preserve">Future Directions in Computational Intelligence: Anticipating the Next Wave: https://doi.org/10.1007/978-3-031-96871-6_3 </w:t>
      </w:r>
    </w:p>
    <w:p w14:paraId="709F38EE" w14:textId="77777777" w:rsidR="00A42149" w:rsidRPr="005F3FD2" w:rsidRDefault="00A42149" w:rsidP="00DD0F76">
      <w:pPr>
        <w:pStyle w:val="Body"/>
        <w:numPr>
          <w:ilvl w:val="0"/>
          <w:numId w:val="33"/>
        </w:numPr>
        <w:rPr>
          <w:rFonts w:ascii="Arial" w:hAnsi="Arial" w:cs="Arial"/>
        </w:rPr>
      </w:pPr>
      <w:r w:rsidRPr="005F3FD2">
        <w:rPr>
          <w:rFonts w:ascii="Arial" w:hAnsi="Arial" w:cs="Arial"/>
        </w:rPr>
        <w:t xml:space="preserve">Revolutionizing Mental Healthcare with Generative Deep Learning Techniques for Enhanced Diagnosis and Treatment: https://doi.org/10.1007/978-3-031-91147-7_17 </w:t>
      </w:r>
    </w:p>
    <w:p w14:paraId="2757F9E6" w14:textId="77777777" w:rsidR="00A42149" w:rsidRPr="005F3FD2" w:rsidRDefault="00A42149" w:rsidP="00DD0F76">
      <w:pPr>
        <w:pStyle w:val="Body"/>
        <w:numPr>
          <w:ilvl w:val="0"/>
          <w:numId w:val="33"/>
        </w:numPr>
        <w:rPr>
          <w:rFonts w:ascii="Arial" w:hAnsi="Arial" w:cs="Arial"/>
        </w:rPr>
      </w:pPr>
      <w:r w:rsidRPr="005F3FD2">
        <w:rPr>
          <w:rFonts w:ascii="Arial" w:hAnsi="Arial" w:cs="Arial"/>
        </w:rPr>
        <w:t xml:space="preserve">Physio-Chemical Analysis on </w:t>
      </w:r>
      <w:proofErr w:type="spellStart"/>
      <w:r w:rsidRPr="005F3FD2">
        <w:rPr>
          <w:rFonts w:ascii="Arial" w:hAnsi="Arial" w:cs="Arial"/>
        </w:rPr>
        <w:t>Assesment</w:t>
      </w:r>
      <w:proofErr w:type="spellEnd"/>
      <w:r w:rsidRPr="005F3FD2">
        <w:rPr>
          <w:rFonts w:ascii="Arial" w:hAnsi="Arial" w:cs="Arial"/>
        </w:rPr>
        <w:t xml:space="preserve"> of Ground water in Malwa region https://www.thepharmajournal.com/archives/?year=2023&amp;vol=12&amp;issue=1&amp;ArticleId=18344 </w:t>
      </w:r>
    </w:p>
    <w:p w14:paraId="751AB4B5" w14:textId="77777777" w:rsidR="00A42149" w:rsidRPr="005F3FD2" w:rsidRDefault="00A42149" w:rsidP="00DD0F76">
      <w:pPr>
        <w:pStyle w:val="Body"/>
        <w:numPr>
          <w:ilvl w:val="0"/>
          <w:numId w:val="33"/>
        </w:numPr>
        <w:rPr>
          <w:rFonts w:ascii="Arial" w:hAnsi="Arial" w:cs="Arial"/>
        </w:rPr>
      </w:pPr>
      <w:r w:rsidRPr="005F3FD2">
        <w:rPr>
          <w:rFonts w:ascii="Arial" w:hAnsi="Arial" w:cs="Arial"/>
        </w:rPr>
        <w:t xml:space="preserve">Vegetable Grafting: Surgical tool for yield enhancement and nematode resistance under vegetable production systems https://www.thepharmajournal.com/archives/?year=2023&amp;vol=12&amp;issue=1&amp;ArticleId=18324 </w:t>
      </w:r>
    </w:p>
    <w:p w14:paraId="1C9380E3" w14:textId="77777777" w:rsidR="00A42149" w:rsidRPr="005F3FD2" w:rsidRDefault="00A42149" w:rsidP="00DD0F76">
      <w:pPr>
        <w:pStyle w:val="Body"/>
        <w:rPr>
          <w:rFonts w:ascii="Arial" w:hAnsi="Arial" w:cs="Arial"/>
        </w:rPr>
      </w:pPr>
      <w:r w:rsidRPr="005F3FD2">
        <w:rPr>
          <w:rFonts w:ascii="Arial" w:hAnsi="Arial" w:cs="Arial"/>
        </w:rPr>
        <w:t xml:space="preserve"> </w:t>
      </w:r>
    </w:p>
    <w:p w14:paraId="68AD2E2E" w14:textId="61C44520" w:rsidR="00B01FCD" w:rsidRPr="005F3FD2" w:rsidRDefault="00B01FCD" w:rsidP="00DD0F76">
      <w:pPr>
        <w:pStyle w:val="Body"/>
        <w:spacing w:after="0"/>
        <w:rPr>
          <w:rFonts w:ascii="Arial" w:hAnsi="Arial" w:cs="Arial"/>
          <w:b/>
        </w:rPr>
      </w:pPr>
    </w:p>
    <w:sectPr w:rsidR="00B01FCD" w:rsidRPr="005F3FD2" w:rsidSect="008D4045">
      <w:headerReference w:type="even" r:id="rId16"/>
      <w:headerReference w:type="default" r:id="rId17"/>
      <w:footerReference w:type="default" r:id="rId18"/>
      <w:head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6597A" w14:textId="77777777" w:rsidR="00195BCD" w:rsidRDefault="00195BCD" w:rsidP="00C37E61">
      <w:r>
        <w:separator/>
      </w:r>
    </w:p>
  </w:endnote>
  <w:endnote w:type="continuationSeparator" w:id="0">
    <w:p w14:paraId="733FBF98" w14:textId="77777777" w:rsidR="00195BCD" w:rsidRDefault="00195BC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8DDDA" w14:textId="77777777" w:rsidR="008D4045" w:rsidRDefault="008D40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CF793" w14:textId="77777777" w:rsidR="008D4045" w:rsidRDefault="008D40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E51D2" w14:textId="0B669166" w:rsidR="00754C9A" w:rsidRPr="008D4045" w:rsidRDefault="00754C9A" w:rsidP="008D40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361A1" w14:textId="4C4382DB"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87F17" w14:textId="77777777" w:rsidR="00195BCD" w:rsidRDefault="00195BCD" w:rsidP="00C37E61">
      <w:r>
        <w:separator/>
      </w:r>
    </w:p>
  </w:footnote>
  <w:footnote w:type="continuationSeparator" w:id="0">
    <w:p w14:paraId="385DC910" w14:textId="77777777" w:rsidR="00195BCD" w:rsidRDefault="00195BC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4CE0E" w14:textId="318E4BB3" w:rsidR="008D4045" w:rsidRDefault="00195BCD">
    <w:pPr>
      <w:pStyle w:val="Header"/>
    </w:pPr>
    <w:r>
      <w:rPr>
        <w:noProof/>
      </w:rPr>
      <w:pict w14:anchorId="2766E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184001" o:spid="_x0000_s2050" type="#_x0000_t136" style="position:absolute;margin-left:0;margin-top:0;width:539.05pt;height:60.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DB0EE" w14:textId="5F786F9F" w:rsidR="008D4045" w:rsidRDefault="00195BCD">
    <w:pPr>
      <w:pStyle w:val="Header"/>
    </w:pPr>
    <w:r>
      <w:rPr>
        <w:noProof/>
      </w:rPr>
      <w:pict w14:anchorId="27F43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184002" o:spid="_x0000_s2051" type="#_x0000_t136" style="position:absolute;margin-left:0;margin-top:0;width:539.05pt;height:60.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6CDA" w14:textId="70445FBE" w:rsidR="00296529" w:rsidRPr="00296529" w:rsidRDefault="00195BCD" w:rsidP="00296529">
    <w:pPr>
      <w:ind w:left="2160"/>
      <w:jc w:val="center"/>
      <w:rPr>
        <w:rFonts w:ascii="Times New Roman" w:eastAsia="Calibri" w:hAnsi="Times New Roman"/>
        <w:i/>
        <w:sz w:val="18"/>
        <w:szCs w:val="22"/>
      </w:rPr>
    </w:pPr>
    <w:r>
      <w:rPr>
        <w:noProof/>
      </w:rPr>
      <w:pict w14:anchorId="4136D9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184000" o:spid="_x0000_s2049" type="#_x0000_t136" style="position:absolute;left:0;text-align:left;margin-left:0;margin-top:0;width:539.05pt;height:60.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293CAE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ADCB6D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605B8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A3638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2E92C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3C0C60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54942" w14:textId="3946F2B1" w:rsidR="008D4045" w:rsidRDefault="00195BCD">
    <w:pPr>
      <w:pStyle w:val="Header"/>
    </w:pPr>
    <w:r>
      <w:rPr>
        <w:noProof/>
      </w:rPr>
      <w:pict w14:anchorId="5327C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184004" o:spid="_x0000_s2053" type="#_x0000_t136" style="position:absolute;margin-left:0;margin-top:0;width:539.05pt;height:60.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1453D" w14:textId="0F5A0460" w:rsidR="008D4045" w:rsidRDefault="00195BCD">
    <w:pPr>
      <w:pStyle w:val="Header"/>
    </w:pPr>
    <w:r>
      <w:rPr>
        <w:noProof/>
      </w:rPr>
      <w:pict w14:anchorId="475B2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184005" o:spid="_x0000_s2054" type="#_x0000_t136" style="position:absolute;margin-left:0;margin-top:0;width:539.05pt;height:60.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FF10F" w14:textId="5081EF55" w:rsidR="008D4045" w:rsidRDefault="00195BCD">
    <w:pPr>
      <w:pStyle w:val="Header"/>
    </w:pPr>
    <w:r>
      <w:rPr>
        <w:noProof/>
      </w:rPr>
      <w:pict w14:anchorId="3988C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184003" o:spid="_x0000_s2052" type="#_x0000_t136" style="position:absolute;margin-left:0;margin-top:0;width:539.05pt;height:60.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2C5303F"/>
    <w:multiLevelType w:val="hybridMultilevel"/>
    <w:tmpl w:val="8E446956"/>
    <w:lvl w:ilvl="0" w:tplc="7E0C16DE">
      <w:start w:val="1"/>
      <w:numFmt w:val="upperLetter"/>
      <w:lvlText w:val="%1."/>
      <w:lvlJc w:val="left"/>
      <w:pPr>
        <w:ind w:left="720" w:hanging="360"/>
      </w:pPr>
      <w:rPr>
        <w:rFonts w:ascii="Helvetica" w:eastAsia="Times New Roman" w:hAnsi="Helvetica"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42F75BC"/>
    <w:multiLevelType w:val="multilevel"/>
    <w:tmpl w:val="01C07E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AE33BCB"/>
    <w:multiLevelType w:val="multilevel"/>
    <w:tmpl w:val="319C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FF70926"/>
    <w:multiLevelType w:val="hybridMultilevel"/>
    <w:tmpl w:val="6C6E1FA2"/>
    <w:lvl w:ilvl="0" w:tplc="FDF43820">
      <w:start w:val="1"/>
      <w:numFmt w:val="decimal"/>
      <w:lvlText w:val="%1."/>
      <w:lvlJc w:val="left"/>
      <w:pPr>
        <w:ind w:left="380" w:hanging="281"/>
      </w:pPr>
      <w:rPr>
        <w:rFonts w:ascii="Times New Roman" w:eastAsia="Times New Roman" w:hAnsi="Times New Roman" w:cs="Times New Roman" w:hint="default"/>
        <w:b/>
        <w:bCs/>
        <w:i w:val="0"/>
        <w:iCs w:val="0"/>
        <w:spacing w:val="0"/>
        <w:w w:val="100"/>
        <w:sz w:val="28"/>
        <w:szCs w:val="28"/>
        <w:lang w:val="en-US" w:eastAsia="en-US" w:bidi="ar-SA"/>
      </w:rPr>
    </w:lvl>
    <w:lvl w:ilvl="1" w:tplc="8D3260BA">
      <w:numFmt w:val="bullet"/>
      <w:lvlText w:val="•"/>
      <w:lvlJc w:val="left"/>
      <w:pPr>
        <w:ind w:left="820" w:hanging="480"/>
      </w:pPr>
      <w:rPr>
        <w:rFonts w:ascii="Segoe UI Symbol" w:eastAsia="Segoe UI Symbol" w:hAnsi="Segoe UI Symbol" w:cs="Segoe UI Symbol" w:hint="default"/>
        <w:b w:val="0"/>
        <w:bCs w:val="0"/>
        <w:i w:val="0"/>
        <w:iCs w:val="0"/>
        <w:spacing w:val="0"/>
        <w:w w:val="107"/>
        <w:sz w:val="24"/>
        <w:szCs w:val="24"/>
        <w:lang w:val="en-US" w:eastAsia="en-US" w:bidi="ar-SA"/>
      </w:rPr>
    </w:lvl>
    <w:lvl w:ilvl="2" w:tplc="1500EDFA">
      <w:numFmt w:val="bullet"/>
      <w:lvlText w:val="•"/>
      <w:lvlJc w:val="left"/>
      <w:pPr>
        <w:ind w:left="1674" w:hanging="480"/>
      </w:pPr>
      <w:rPr>
        <w:rFonts w:hint="default"/>
        <w:lang w:val="en-US" w:eastAsia="en-US" w:bidi="ar-SA"/>
      </w:rPr>
    </w:lvl>
    <w:lvl w:ilvl="3" w:tplc="54608228">
      <w:numFmt w:val="bullet"/>
      <w:lvlText w:val="•"/>
      <w:lvlJc w:val="left"/>
      <w:pPr>
        <w:ind w:left="2528" w:hanging="480"/>
      </w:pPr>
      <w:rPr>
        <w:rFonts w:hint="default"/>
        <w:lang w:val="en-US" w:eastAsia="en-US" w:bidi="ar-SA"/>
      </w:rPr>
    </w:lvl>
    <w:lvl w:ilvl="4" w:tplc="D1788070">
      <w:numFmt w:val="bullet"/>
      <w:lvlText w:val="•"/>
      <w:lvlJc w:val="left"/>
      <w:pPr>
        <w:ind w:left="3382" w:hanging="480"/>
      </w:pPr>
      <w:rPr>
        <w:rFonts w:hint="default"/>
        <w:lang w:val="en-US" w:eastAsia="en-US" w:bidi="ar-SA"/>
      </w:rPr>
    </w:lvl>
    <w:lvl w:ilvl="5" w:tplc="B63240A8">
      <w:numFmt w:val="bullet"/>
      <w:lvlText w:val="•"/>
      <w:lvlJc w:val="left"/>
      <w:pPr>
        <w:ind w:left="4236" w:hanging="480"/>
      </w:pPr>
      <w:rPr>
        <w:rFonts w:hint="default"/>
        <w:lang w:val="en-US" w:eastAsia="en-US" w:bidi="ar-SA"/>
      </w:rPr>
    </w:lvl>
    <w:lvl w:ilvl="6" w:tplc="EF843724">
      <w:numFmt w:val="bullet"/>
      <w:lvlText w:val="•"/>
      <w:lvlJc w:val="left"/>
      <w:pPr>
        <w:ind w:left="5090" w:hanging="480"/>
      </w:pPr>
      <w:rPr>
        <w:rFonts w:hint="default"/>
        <w:lang w:val="en-US" w:eastAsia="en-US" w:bidi="ar-SA"/>
      </w:rPr>
    </w:lvl>
    <w:lvl w:ilvl="7" w:tplc="C6E609D8">
      <w:numFmt w:val="bullet"/>
      <w:lvlText w:val="•"/>
      <w:lvlJc w:val="left"/>
      <w:pPr>
        <w:ind w:left="5944" w:hanging="480"/>
      </w:pPr>
      <w:rPr>
        <w:rFonts w:hint="default"/>
        <w:lang w:val="en-US" w:eastAsia="en-US" w:bidi="ar-SA"/>
      </w:rPr>
    </w:lvl>
    <w:lvl w:ilvl="8" w:tplc="190AE746">
      <w:numFmt w:val="bullet"/>
      <w:lvlText w:val="•"/>
      <w:lvlJc w:val="left"/>
      <w:pPr>
        <w:ind w:left="6798" w:hanging="480"/>
      </w:pPr>
      <w:rPr>
        <w:rFonts w:hint="default"/>
        <w:lang w:val="en-US" w:eastAsia="en-US" w:bidi="ar-SA"/>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08872CB"/>
    <w:multiLevelType w:val="hybridMultilevel"/>
    <w:tmpl w:val="986289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65A2FCD"/>
    <w:multiLevelType w:val="hybridMultilevel"/>
    <w:tmpl w:val="2B640536"/>
    <w:lvl w:ilvl="0" w:tplc="2E56EB4E">
      <w:numFmt w:val="bullet"/>
      <w:lvlText w:val="•"/>
      <w:lvlJc w:val="left"/>
      <w:pPr>
        <w:ind w:left="820" w:hanging="360"/>
      </w:pPr>
      <w:rPr>
        <w:rFonts w:ascii="Segoe UI Symbol" w:eastAsia="Segoe UI Symbol" w:hAnsi="Segoe UI Symbol" w:cs="Segoe UI Symbol" w:hint="default"/>
        <w:b w:val="0"/>
        <w:bCs w:val="0"/>
        <w:i w:val="0"/>
        <w:iCs w:val="0"/>
        <w:spacing w:val="0"/>
        <w:w w:val="107"/>
        <w:sz w:val="22"/>
        <w:szCs w:val="22"/>
        <w:lang w:val="en-US" w:eastAsia="en-US" w:bidi="ar-SA"/>
      </w:rPr>
    </w:lvl>
    <w:lvl w:ilvl="1" w:tplc="AC8E36BC">
      <w:numFmt w:val="bullet"/>
      <w:lvlText w:val="•"/>
      <w:lvlJc w:val="left"/>
      <w:pPr>
        <w:ind w:left="1588" w:hanging="360"/>
      </w:pPr>
      <w:rPr>
        <w:rFonts w:hint="default"/>
        <w:lang w:val="en-US" w:eastAsia="en-US" w:bidi="ar-SA"/>
      </w:rPr>
    </w:lvl>
    <w:lvl w:ilvl="2" w:tplc="3FE47E02">
      <w:numFmt w:val="bullet"/>
      <w:lvlText w:val="•"/>
      <w:lvlJc w:val="left"/>
      <w:pPr>
        <w:ind w:left="2357" w:hanging="360"/>
      </w:pPr>
      <w:rPr>
        <w:rFonts w:hint="default"/>
        <w:lang w:val="en-US" w:eastAsia="en-US" w:bidi="ar-SA"/>
      </w:rPr>
    </w:lvl>
    <w:lvl w:ilvl="3" w:tplc="AA0C4140">
      <w:numFmt w:val="bullet"/>
      <w:lvlText w:val="•"/>
      <w:lvlJc w:val="left"/>
      <w:pPr>
        <w:ind w:left="3125" w:hanging="360"/>
      </w:pPr>
      <w:rPr>
        <w:rFonts w:hint="default"/>
        <w:lang w:val="en-US" w:eastAsia="en-US" w:bidi="ar-SA"/>
      </w:rPr>
    </w:lvl>
    <w:lvl w:ilvl="4" w:tplc="88A6AD0E">
      <w:numFmt w:val="bullet"/>
      <w:lvlText w:val="•"/>
      <w:lvlJc w:val="left"/>
      <w:pPr>
        <w:ind w:left="3894" w:hanging="360"/>
      </w:pPr>
      <w:rPr>
        <w:rFonts w:hint="default"/>
        <w:lang w:val="en-US" w:eastAsia="en-US" w:bidi="ar-SA"/>
      </w:rPr>
    </w:lvl>
    <w:lvl w:ilvl="5" w:tplc="63EA9296">
      <w:numFmt w:val="bullet"/>
      <w:lvlText w:val="•"/>
      <w:lvlJc w:val="left"/>
      <w:pPr>
        <w:ind w:left="4663" w:hanging="360"/>
      </w:pPr>
      <w:rPr>
        <w:rFonts w:hint="default"/>
        <w:lang w:val="en-US" w:eastAsia="en-US" w:bidi="ar-SA"/>
      </w:rPr>
    </w:lvl>
    <w:lvl w:ilvl="6" w:tplc="FC0CFDEC">
      <w:numFmt w:val="bullet"/>
      <w:lvlText w:val="•"/>
      <w:lvlJc w:val="left"/>
      <w:pPr>
        <w:ind w:left="5431" w:hanging="360"/>
      </w:pPr>
      <w:rPr>
        <w:rFonts w:hint="default"/>
        <w:lang w:val="en-US" w:eastAsia="en-US" w:bidi="ar-SA"/>
      </w:rPr>
    </w:lvl>
    <w:lvl w:ilvl="7" w:tplc="0A1E9CCA">
      <w:numFmt w:val="bullet"/>
      <w:lvlText w:val="•"/>
      <w:lvlJc w:val="left"/>
      <w:pPr>
        <w:ind w:left="6200" w:hanging="360"/>
      </w:pPr>
      <w:rPr>
        <w:rFonts w:hint="default"/>
        <w:lang w:val="en-US" w:eastAsia="en-US" w:bidi="ar-SA"/>
      </w:rPr>
    </w:lvl>
    <w:lvl w:ilvl="8" w:tplc="6C0ED836">
      <w:numFmt w:val="bullet"/>
      <w:lvlText w:val="•"/>
      <w:lvlJc w:val="left"/>
      <w:pPr>
        <w:ind w:left="6969" w:hanging="360"/>
      </w:pPr>
      <w:rPr>
        <w:rFonts w:hint="default"/>
        <w:lang w:val="en-US" w:eastAsia="en-US" w:bidi="ar-SA"/>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6"/>
  </w:num>
  <w:num w:numId="9">
    <w:abstractNumId w:val="31"/>
  </w:num>
  <w:num w:numId="10">
    <w:abstractNumId w:val="2"/>
  </w:num>
  <w:num w:numId="11">
    <w:abstractNumId w:val="24"/>
  </w:num>
  <w:num w:numId="12">
    <w:abstractNumId w:val="3"/>
  </w:num>
  <w:num w:numId="13">
    <w:abstractNumId w:val="23"/>
  </w:num>
  <w:num w:numId="14">
    <w:abstractNumId w:val="11"/>
  </w:num>
  <w:num w:numId="15">
    <w:abstractNumId w:val="27"/>
  </w:num>
  <w:num w:numId="16">
    <w:abstractNumId w:val="5"/>
  </w:num>
  <w:num w:numId="17">
    <w:abstractNumId w:val="28"/>
  </w:num>
  <w:num w:numId="18">
    <w:abstractNumId w:val="18"/>
  </w:num>
  <w:num w:numId="19">
    <w:abstractNumId w:val="34"/>
  </w:num>
  <w:num w:numId="20">
    <w:abstractNumId w:val="15"/>
  </w:num>
  <w:num w:numId="21">
    <w:abstractNumId w:val="13"/>
  </w:num>
  <w:num w:numId="22">
    <w:abstractNumId w:val="17"/>
  </w:num>
  <w:num w:numId="23">
    <w:abstractNumId w:val="25"/>
  </w:num>
  <w:num w:numId="24">
    <w:abstractNumId w:val="32"/>
  </w:num>
  <w:num w:numId="25">
    <w:abstractNumId w:val="4"/>
  </w:num>
  <w:num w:numId="26">
    <w:abstractNumId w:val="22"/>
  </w:num>
  <w:num w:numId="27">
    <w:abstractNumId w:val="26"/>
  </w:num>
  <w:num w:numId="28">
    <w:abstractNumId w:val="33"/>
  </w:num>
  <w:num w:numId="29">
    <w:abstractNumId w:val="30"/>
  </w:num>
  <w:num w:numId="30">
    <w:abstractNumId w:val="14"/>
  </w:num>
  <w:num w:numId="31">
    <w:abstractNumId w:val="20"/>
  </w:num>
  <w:num w:numId="32">
    <w:abstractNumId w:val="12"/>
  </w:num>
  <w:num w:numId="33">
    <w:abstractNumId w:val="8"/>
  </w:num>
  <w:num w:numId="34">
    <w:abstractNumId w:val="19"/>
  </w:num>
  <w:num w:numId="35">
    <w:abstractNumId w:val="10"/>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4F76"/>
    <w:rsid w:val="00126190"/>
    <w:rsid w:val="00130F17"/>
    <w:rsid w:val="001320BF"/>
    <w:rsid w:val="00163BC4"/>
    <w:rsid w:val="00191062"/>
    <w:rsid w:val="00191A2B"/>
    <w:rsid w:val="00192B72"/>
    <w:rsid w:val="00195BCD"/>
    <w:rsid w:val="001A29D8"/>
    <w:rsid w:val="001A5CAA"/>
    <w:rsid w:val="001B0427"/>
    <w:rsid w:val="001D3A51"/>
    <w:rsid w:val="001E10D2"/>
    <w:rsid w:val="001E25B4"/>
    <w:rsid w:val="001E44FE"/>
    <w:rsid w:val="00200595"/>
    <w:rsid w:val="00204835"/>
    <w:rsid w:val="00221EF5"/>
    <w:rsid w:val="00231920"/>
    <w:rsid w:val="0023195C"/>
    <w:rsid w:val="002410DC"/>
    <w:rsid w:val="0024282C"/>
    <w:rsid w:val="002460DC"/>
    <w:rsid w:val="00250985"/>
    <w:rsid w:val="00251832"/>
    <w:rsid w:val="002556F6"/>
    <w:rsid w:val="00283105"/>
    <w:rsid w:val="00284C4C"/>
    <w:rsid w:val="002879B3"/>
    <w:rsid w:val="00296529"/>
    <w:rsid w:val="002B27FB"/>
    <w:rsid w:val="002B685A"/>
    <w:rsid w:val="002C57D2"/>
    <w:rsid w:val="002E0D56"/>
    <w:rsid w:val="002F3100"/>
    <w:rsid w:val="002F7AB3"/>
    <w:rsid w:val="00315186"/>
    <w:rsid w:val="0033343E"/>
    <w:rsid w:val="003360EB"/>
    <w:rsid w:val="003456D8"/>
    <w:rsid w:val="003512C2"/>
    <w:rsid w:val="00371FB6"/>
    <w:rsid w:val="003763C1"/>
    <w:rsid w:val="00376BBE"/>
    <w:rsid w:val="003818A4"/>
    <w:rsid w:val="0039224F"/>
    <w:rsid w:val="003A43A4"/>
    <w:rsid w:val="003A7E18"/>
    <w:rsid w:val="003B07C3"/>
    <w:rsid w:val="003C4C86"/>
    <w:rsid w:val="003C6258"/>
    <w:rsid w:val="003D6376"/>
    <w:rsid w:val="003E2904"/>
    <w:rsid w:val="00401927"/>
    <w:rsid w:val="0041027F"/>
    <w:rsid w:val="0041191A"/>
    <w:rsid w:val="00412475"/>
    <w:rsid w:val="00423789"/>
    <w:rsid w:val="00440F43"/>
    <w:rsid w:val="00441B6F"/>
    <w:rsid w:val="00446221"/>
    <w:rsid w:val="00450E62"/>
    <w:rsid w:val="004539DB"/>
    <w:rsid w:val="00457553"/>
    <w:rsid w:val="00471A80"/>
    <w:rsid w:val="004C0CF4"/>
    <w:rsid w:val="004D305E"/>
    <w:rsid w:val="004D4277"/>
    <w:rsid w:val="004F239C"/>
    <w:rsid w:val="00502516"/>
    <w:rsid w:val="00505F06"/>
    <w:rsid w:val="00506828"/>
    <w:rsid w:val="0053056E"/>
    <w:rsid w:val="005451FA"/>
    <w:rsid w:val="00554FDA"/>
    <w:rsid w:val="00575F9F"/>
    <w:rsid w:val="005C784C"/>
    <w:rsid w:val="005D005E"/>
    <w:rsid w:val="005D17F6"/>
    <w:rsid w:val="005E5539"/>
    <w:rsid w:val="005F3FD2"/>
    <w:rsid w:val="00602BF5"/>
    <w:rsid w:val="0060679E"/>
    <w:rsid w:val="00617FDD"/>
    <w:rsid w:val="00633588"/>
    <w:rsid w:val="00633614"/>
    <w:rsid w:val="00633F68"/>
    <w:rsid w:val="00636EB2"/>
    <w:rsid w:val="006375B8"/>
    <w:rsid w:val="006461D0"/>
    <w:rsid w:val="006610AC"/>
    <w:rsid w:val="0066510A"/>
    <w:rsid w:val="00673F9F"/>
    <w:rsid w:val="00686953"/>
    <w:rsid w:val="00687DEA"/>
    <w:rsid w:val="00687E67"/>
    <w:rsid w:val="006967F7"/>
    <w:rsid w:val="006A250C"/>
    <w:rsid w:val="006A2E3C"/>
    <w:rsid w:val="006B21D3"/>
    <w:rsid w:val="006B57D0"/>
    <w:rsid w:val="006D30FF"/>
    <w:rsid w:val="006D6940"/>
    <w:rsid w:val="006F11EC"/>
    <w:rsid w:val="0070082C"/>
    <w:rsid w:val="007369E6"/>
    <w:rsid w:val="00746E59"/>
    <w:rsid w:val="00754C9A"/>
    <w:rsid w:val="0075599A"/>
    <w:rsid w:val="00761D52"/>
    <w:rsid w:val="0077749E"/>
    <w:rsid w:val="00787F99"/>
    <w:rsid w:val="00790ADA"/>
    <w:rsid w:val="00793F73"/>
    <w:rsid w:val="007D1EB8"/>
    <w:rsid w:val="007D2288"/>
    <w:rsid w:val="007E088F"/>
    <w:rsid w:val="007F7B32"/>
    <w:rsid w:val="00804BC2"/>
    <w:rsid w:val="0081431A"/>
    <w:rsid w:val="0083216F"/>
    <w:rsid w:val="00860000"/>
    <w:rsid w:val="00863BD3"/>
    <w:rsid w:val="00866D66"/>
    <w:rsid w:val="008671C6"/>
    <w:rsid w:val="00875803"/>
    <w:rsid w:val="008B459E"/>
    <w:rsid w:val="008D4045"/>
    <w:rsid w:val="008E13AE"/>
    <w:rsid w:val="008E1506"/>
    <w:rsid w:val="008E710C"/>
    <w:rsid w:val="008F192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783"/>
    <w:rsid w:val="00A05B19"/>
    <w:rsid w:val="00A1134E"/>
    <w:rsid w:val="00A24E7E"/>
    <w:rsid w:val="00A258C3"/>
    <w:rsid w:val="00A347C0"/>
    <w:rsid w:val="00A42149"/>
    <w:rsid w:val="00A429DB"/>
    <w:rsid w:val="00A51431"/>
    <w:rsid w:val="00A539AD"/>
    <w:rsid w:val="00A94063"/>
    <w:rsid w:val="00AA6219"/>
    <w:rsid w:val="00AA74E0"/>
    <w:rsid w:val="00AB703F"/>
    <w:rsid w:val="00AC3D70"/>
    <w:rsid w:val="00AC6BB8"/>
    <w:rsid w:val="00AE008F"/>
    <w:rsid w:val="00B01FCD"/>
    <w:rsid w:val="00B1776C"/>
    <w:rsid w:val="00B27B9A"/>
    <w:rsid w:val="00B3736A"/>
    <w:rsid w:val="00B52896"/>
    <w:rsid w:val="00B85FBC"/>
    <w:rsid w:val="00B95236"/>
    <w:rsid w:val="00B96BD9"/>
    <w:rsid w:val="00BA1B01"/>
    <w:rsid w:val="00BA2641"/>
    <w:rsid w:val="00BB37AA"/>
    <w:rsid w:val="00BB61FB"/>
    <w:rsid w:val="00BC53A0"/>
    <w:rsid w:val="00BD1D2C"/>
    <w:rsid w:val="00BE383D"/>
    <w:rsid w:val="00BE62AD"/>
    <w:rsid w:val="00BF121F"/>
    <w:rsid w:val="00BF1F80"/>
    <w:rsid w:val="00C03FF1"/>
    <w:rsid w:val="00C166EF"/>
    <w:rsid w:val="00C17EB0"/>
    <w:rsid w:val="00C27F5F"/>
    <w:rsid w:val="00C30A0F"/>
    <w:rsid w:val="00C37E61"/>
    <w:rsid w:val="00C66BC2"/>
    <w:rsid w:val="00C70F1B"/>
    <w:rsid w:val="00C71A47"/>
    <w:rsid w:val="00C7464C"/>
    <w:rsid w:val="00C85588"/>
    <w:rsid w:val="00CA2CA0"/>
    <w:rsid w:val="00CD6755"/>
    <w:rsid w:val="00CD6856"/>
    <w:rsid w:val="00CE0089"/>
    <w:rsid w:val="00CE793C"/>
    <w:rsid w:val="00D173F1"/>
    <w:rsid w:val="00D46C52"/>
    <w:rsid w:val="00D8295D"/>
    <w:rsid w:val="00DC2A65"/>
    <w:rsid w:val="00DD0F76"/>
    <w:rsid w:val="00DE15F0"/>
    <w:rsid w:val="00DE5663"/>
    <w:rsid w:val="00DE78AA"/>
    <w:rsid w:val="00DF6920"/>
    <w:rsid w:val="00E053D0"/>
    <w:rsid w:val="00E15994"/>
    <w:rsid w:val="00E214C7"/>
    <w:rsid w:val="00E3114E"/>
    <w:rsid w:val="00E31A70"/>
    <w:rsid w:val="00E35B02"/>
    <w:rsid w:val="00E45B3A"/>
    <w:rsid w:val="00E55532"/>
    <w:rsid w:val="00E66496"/>
    <w:rsid w:val="00E66B35"/>
    <w:rsid w:val="00E66E10"/>
    <w:rsid w:val="00E769F6"/>
    <w:rsid w:val="00E8407C"/>
    <w:rsid w:val="00E84F3C"/>
    <w:rsid w:val="00E95B90"/>
    <w:rsid w:val="00EA012C"/>
    <w:rsid w:val="00ED0288"/>
    <w:rsid w:val="00EE52CB"/>
    <w:rsid w:val="00EF581D"/>
    <w:rsid w:val="00EF7FD8"/>
    <w:rsid w:val="00F06F59"/>
    <w:rsid w:val="00F17988"/>
    <w:rsid w:val="00F31582"/>
    <w:rsid w:val="00F469F0"/>
    <w:rsid w:val="00F53273"/>
    <w:rsid w:val="00F755E4"/>
    <w:rsid w:val="00F77D02"/>
    <w:rsid w:val="00F83FB3"/>
    <w:rsid w:val="00FB3A86"/>
    <w:rsid w:val="00FC361F"/>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A22DF63"/>
  <w15:docId w15:val="{D65457A6-E564-4A74-B14B-09E04D19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4214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91A2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BodyText">
    <w:name w:val="Body Text"/>
    <w:basedOn w:val="Normal"/>
    <w:link w:val="BodyTextChar"/>
    <w:rsid w:val="00A42149"/>
    <w:pPr>
      <w:spacing w:after="120"/>
    </w:pPr>
  </w:style>
  <w:style w:type="character" w:customStyle="1" w:styleId="BodyTextChar">
    <w:name w:val="Body Text Char"/>
    <w:basedOn w:val="DefaultParagraphFont"/>
    <w:link w:val="BodyText"/>
    <w:rsid w:val="00A42149"/>
    <w:rPr>
      <w:rFonts w:ascii="Helvetica" w:hAnsi="Helvetica"/>
    </w:rPr>
  </w:style>
  <w:style w:type="character" w:customStyle="1" w:styleId="UnresolvedMention1">
    <w:name w:val="Unresolved Mention1"/>
    <w:basedOn w:val="DefaultParagraphFont"/>
    <w:uiPriority w:val="99"/>
    <w:semiHidden/>
    <w:unhideWhenUsed/>
    <w:rsid w:val="00A42149"/>
    <w:rPr>
      <w:color w:val="605E5C"/>
      <w:shd w:val="clear" w:color="auto" w:fill="E1DFDD"/>
    </w:rPr>
  </w:style>
  <w:style w:type="character" w:customStyle="1" w:styleId="Heading2Char">
    <w:name w:val="Heading 2 Char"/>
    <w:basedOn w:val="DefaultParagraphFont"/>
    <w:link w:val="Heading2"/>
    <w:semiHidden/>
    <w:rsid w:val="00A4214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191A2B"/>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191A2B"/>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191A2B"/>
    <w:rPr>
      <w:b/>
      <w:bCs/>
    </w:rPr>
  </w:style>
  <w:style w:type="paragraph" w:styleId="CommentSubject">
    <w:name w:val="annotation subject"/>
    <w:basedOn w:val="CommentText"/>
    <w:next w:val="CommentText"/>
    <w:link w:val="CommentSubjectChar"/>
    <w:rsid w:val="002F7AB3"/>
    <w:rPr>
      <w:rFonts w:ascii="Helvetica" w:hAnsi="Helvetica"/>
      <w:b/>
      <w:bCs/>
      <w:lang w:val="en-US" w:eastAsia="en-US"/>
    </w:rPr>
  </w:style>
  <w:style w:type="character" w:customStyle="1" w:styleId="CommentSubjectChar">
    <w:name w:val="Comment Subject Char"/>
    <w:basedOn w:val="CommentTextChar"/>
    <w:link w:val="CommentSubject"/>
    <w:rsid w:val="002F7AB3"/>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791847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43515032">
      <w:bodyDiv w:val="1"/>
      <w:marLeft w:val="0"/>
      <w:marRight w:val="0"/>
      <w:marTop w:val="0"/>
      <w:marBottom w:val="0"/>
      <w:divBdr>
        <w:top w:val="none" w:sz="0" w:space="0" w:color="auto"/>
        <w:left w:val="none" w:sz="0" w:space="0" w:color="auto"/>
        <w:bottom w:val="none" w:sz="0" w:space="0" w:color="auto"/>
        <w:right w:val="none" w:sz="0" w:space="0" w:color="auto"/>
      </w:divBdr>
    </w:div>
    <w:div w:id="96836666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5860064">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3009510">
      <w:bodyDiv w:val="1"/>
      <w:marLeft w:val="0"/>
      <w:marRight w:val="0"/>
      <w:marTop w:val="0"/>
      <w:marBottom w:val="0"/>
      <w:divBdr>
        <w:top w:val="none" w:sz="0" w:space="0" w:color="auto"/>
        <w:left w:val="none" w:sz="0" w:space="0" w:color="auto"/>
        <w:bottom w:val="none" w:sz="0" w:space="0" w:color="auto"/>
        <w:right w:val="none" w:sz="0" w:space="0" w:color="auto"/>
      </w:divBdr>
    </w:div>
    <w:div w:id="1166751442">
      <w:bodyDiv w:val="1"/>
      <w:marLeft w:val="0"/>
      <w:marRight w:val="0"/>
      <w:marTop w:val="0"/>
      <w:marBottom w:val="0"/>
      <w:divBdr>
        <w:top w:val="none" w:sz="0" w:space="0" w:color="auto"/>
        <w:left w:val="none" w:sz="0" w:space="0" w:color="auto"/>
        <w:bottom w:val="none" w:sz="0" w:space="0" w:color="auto"/>
        <w:right w:val="none" w:sz="0" w:space="0" w:color="auto"/>
      </w:divBdr>
    </w:div>
    <w:div w:id="136223937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1650707">
      <w:bodyDiv w:val="1"/>
      <w:marLeft w:val="0"/>
      <w:marRight w:val="0"/>
      <w:marTop w:val="0"/>
      <w:marBottom w:val="0"/>
      <w:divBdr>
        <w:top w:val="none" w:sz="0" w:space="0" w:color="auto"/>
        <w:left w:val="none" w:sz="0" w:space="0" w:color="auto"/>
        <w:bottom w:val="none" w:sz="0" w:space="0" w:color="auto"/>
        <w:right w:val="none" w:sz="0" w:space="0" w:color="auto"/>
      </w:divBdr>
    </w:div>
    <w:div w:id="1913268313">
      <w:bodyDiv w:val="1"/>
      <w:marLeft w:val="0"/>
      <w:marRight w:val="0"/>
      <w:marTop w:val="0"/>
      <w:marBottom w:val="0"/>
      <w:divBdr>
        <w:top w:val="none" w:sz="0" w:space="0" w:color="auto"/>
        <w:left w:val="none" w:sz="0" w:space="0" w:color="auto"/>
        <w:bottom w:val="none" w:sz="0" w:space="0" w:color="auto"/>
        <w:right w:val="none" w:sz="0" w:space="0" w:color="auto"/>
      </w:divBdr>
    </w:div>
    <w:div w:id="191793142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438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92068-B722-4CBA-A5F4-B58F4289B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12</Pages>
  <Words>5461</Words>
  <Characters>31131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36519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4</cp:revision>
  <cp:lastPrinted>1999-07-06T11:00:00Z</cp:lastPrinted>
  <dcterms:created xsi:type="dcterms:W3CDTF">2026-02-01T17:23:00Z</dcterms:created>
  <dcterms:modified xsi:type="dcterms:W3CDTF">2026-02-04T09:35:00Z</dcterms:modified>
</cp:coreProperties>
</file>