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D7B1" w14:textId="77777777" w:rsidR="007B77D6" w:rsidRPr="00524E58" w:rsidRDefault="007B77D6" w:rsidP="00714046">
      <w:pPr>
        <w:jc w:val="center"/>
        <w:rPr>
          <w:rFonts w:ascii="Times New Roman" w:hAnsi="Times New Roman" w:cs="Times New Roman"/>
          <w:b/>
          <w:sz w:val="28"/>
          <w:szCs w:val="28"/>
        </w:rPr>
      </w:pPr>
    </w:p>
    <w:p w14:paraId="31A5FCB0" w14:textId="0E33E895" w:rsidR="00AC0997" w:rsidRDefault="00BE5D7B" w:rsidP="00714046">
      <w:pPr>
        <w:jc w:val="center"/>
        <w:rPr>
          <w:rFonts w:ascii="Times New Roman" w:hAnsi="Times New Roman" w:cs="Times New Roman"/>
          <w:b/>
          <w:sz w:val="28"/>
          <w:szCs w:val="28"/>
          <w:lang w:val="en-US"/>
        </w:rPr>
      </w:pPr>
      <w:r w:rsidRPr="00BE5D7B">
        <w:rPr>
          <w:rFonts w:ascii="Times New Roman" w:hAnsi="Times New Roman" w:cs="Times New Roman"/>
          <w:b/>
          <w:sz w:val="28"/>
          <w:szCs w:val="28"/>
          <w:lang w:val="en-US"/>
        </w:rPr>
        <w:t>Transforming Educational Units in the AI Era: A Systematic Review and Integrative Perspective on AI Integration, Teachers’ Digital Competence, and Transformational Leadership and Management</w:t>
      </w:r>
    </w:p>
    <w:p w14:paraId="6C33E3AE" w14:textId="1E008F1F" w:rsidR="00714046" w:rsidRDefault="00714046" w:rsidP="007B77D6">
      <w:pPr>
        <w:jc w:val="both"/>
        <w:rPr>
          <w:rFonts w:ascii="Times New Roman" w:hAnsi="Times New Roman" w:cs="Times New Roman"/>
          <w:sz w:val="24"/>
          <w:szCs w:val="24"/>
          <w:lang w:val="en-US"/>
        </w:rPr>
      </w:pPr>
    </w:p>
    <w:p w14:paraId="167F5BED" w14:textId="77777777" w:rsidR="00B26E49" w:rsidRPr="00524E58" w:rsidRDefault="00B26E49" w:rsidP="007B77D6">
      <w:pPr>
        <w:jc w:val="both"/>
        <w:rPr>
          <w:rFonts w:ascii="Times New Roman" w:hAnsi="Times New Roman" w:cs="Times New Roman"/>
          <w:sz w:val="24"/>
          <w:szCs w:val="24"/>
          <w:lang w:val="en-US"/>
        </w:rPr>
      </w:pPr>
    </w:p>
    <w:p w14:paraId="6141C69F" w14:textId="68A6634D" w:rsidR="007B77D6" w:rsidRPr="006A6EB6"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Abstract</w:t>
      </w:r>
    </w:p>
    <w:p w14:paraId="7D14F379" w14:textId="13EB28E5"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This study presents a systematic literature review (SLR) examining the interplay between artificial intelligence (AI) integration, teachers’ digital competence, and transformational leadership and management in educational contexts. A total of 45 peer-reviewed studies (2015–2025) were analyzed, retrieved from major academic databases including Scopus, Web of Science, ERIC, and Google Scholar, following a structured selection process inspired by PRISMA guidelines.</w:t>
      </w:r>
    </w:p>
    <w:p w14:paraId="0DAB72BB" w14:textId="12CA709E"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 xml:space="preserve">The findings indicate that successful AI integration in education extends beyond technological infrastructure and is strongly influenced by human and organizational factors. </w:t>
      </w:r>
      <w:proofErr w:type="gramStart"/>
      <w:r w:rsidRPr="00BE5D7B">
        <w:rPr>
          <w:rFonts w:ascii="Times New Roman" w:hAnsi="Times New Roman" w:cs="Times New Roman"/>
          <w:sz w:val="24"/>
          <w:szCs w:val="24"/>
          <w:lang w:val="en-US"/>
        </w:rPr>
        <w:t>In particular, teachers’</w:t>
      </w:r>
      <w:proofErr w:type="gramEnd"/>
      <w:r w:rsidRPr="00BE5D7B">
        <w:rPr>
          <w:rFonts w:ascii="Times New Roman" w:hAnsi="Times New Roman" w:cs="Times New Roman"/>
          <w:sz w:val="24"/>
          <w:szCs w:val="24"/>
          <w:lang w:val="en-US"/>
        </w:rPr>
        <w:t xml:space="preserve"> digital competence emerges as a critical enabler of effective implementation, while transformational leadership and management jointly shape strategic direction, organizational culture, and the operational conditions necessary for innovation. Leadership contributes to vision-building and motivation, whereas management ensures coordination, resource allocation, and sustainability of digital initiatives.</w:t>
      </w:r>
    </w:p>
    <w:p w14:paraId="4E0616B0" w14:textId="5AA1365A"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The review also identifies key challenges, including gaps in professional development, resistance to change, and inequalities in access to digital resources. At the same time, it highlights significant opportunities, such as personalized learning, data-informed decision-making, and enhanced administrative efficiency.</w:t>
      </w:r>
    </w:p>
    <w:p w14:paraId="1D41D6C9" w14:textId="77777777" w:rsid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 xml:space="preserve">This study contributes to </w:t>
      </w:r>
      <w:proofErr w:type="gramStart"/>
      <w:r w:rsidRPr="00BE5D7B">
        <w:rPr>
          <w:rFonts w:ascii="Times New Roman" w:hAnsi="Times New Roman" w:cs="Times New Roman"/>
          <w:sz w:val="24"/>
          <w:szCs w:val="24"/>
          <w:lang w:val="en-US"/>
        </w:rPr>
        <w:t>the literature</w:t>
      </w:r>
      <w:proofErr w:type="gramEnd"/>
      <w:r w:rsidRPr="00BE5D7B">
        <w:rPr>
          <w:rFonts w:ascii="Times New Roman" w:hAnsi="Times New Roman" w:cs="Times New Roman"/>
          <w:sz w:val="24"/>
          <w:szCs w:val="24"/>
          <w:lang w:val="en-US"/>
        </w:rPr>
        <w:t xml:space="preserve"> by proposing an integrated socio-technical perspective that connects AI technologies with human capabilities and organizational processes. It also identifies critical research gaps and offers directions for future research. The findings provide practical implications for policymakers, school leaders, and educators seeking to implement coherent and sustainable digital transformation strategies in the AI era.</w:t>
      </w:r>
      <w:r>
        <w:rPr>
          <w:rFonts w:ascii="Times New Roman" w:hAnsi="Times New Roman" w:cs="Times New Roman"/>
          <w:sz w:val="24"/>
          <w:szCs w:val="24"/>
          <w:lang w:val="en-US"/>
        </w:rPr>
        <w:t xml:space="preserve"> </w:t>
      </w:r>
    </w:p>
    <w:p w14:paraId="7BE035CF" w14:textId="755D44C6" w:rsidR="00714046" w:rsidRPr="006A6EB6" w:rsidRDefault="00A4742A" w:rsidP="00BE5D7B">
      <w:pPr>
        <w:jc w:val="both"/>
        <w:rPr>
          <w:rFonts w:ascii="Times New Roman" w:hAnsi="Times New Roman" w:cs="Times New Roman"/>
          <w:sz w:val="24"/>
          <w:szCs w:val="24"/>
          <w:lang w:val="en-US"/>
        </w:rPr>
      </w:pPr>
      <w:r w:rsidRPr="00A4742A">
        <w:rPr>
          <w:rFonts w:ascii="Times New Roman" w:hAnsi="Times New Roman" w:cs="Times New Roman"/>
          <w:b/>
          <w:bCs/>
          <w:sz w:val="24"/>
          <w:szCs w:val="24"/>
          <w:lang w:val="en-US"/>
        </w:rPr>
        <w:t>Keywords:</w:t>
      </w:r>
      <w:r w:rsidRPr="00A4742A">
        <w:rPr>
          <w:rFonts w:ascii="Times New Roman" w:hAnsi="Times New Roman" w:cs="Times New Roman"/>
          <w:sz w:val="24"/>
          <w:szCs w:val="24"/>
          <w:lang w:val="en-US"/>
        </w:rPr>
        <w:t xml:space="preserve"> </w:t>
      </w:r>
      <w:r w:rsidR="00D34E62" w:rsidRPr="00D34E62">
        <w:rPr>
          <w:rFonts w:ascii="Times New Roman" w:hAnsi="Times New Roman" w:cs="Times New Roman"/>
          <w:sz w:val="24"/>
          <w:szCs w:val="24"/>
          <w:lang w:val="en-US"/>
        </w:rPr>
        <w:t>Artificial Intelligence (AI), Digital Transformation, Transformational Leadership</w:t>
      </w:r>
      <w:r w:rsidR="00BE5D7B">
        <w:rPr>
          <w:rFonts w:ascii="Times New Roman" w:hAnsi="Times New Roman" w:cs="Times New Roman"/>
          <w:sz w:val="24"/>
          <w:szCs w:val="24"/>
          <w:lang w:val="en-US"/>
        </w:rPr>
        <w:t xml:space="preserve"> and </w:t>
      </w:r>
      <w:r w:rsidR="00BE5D7B" w:rsidRPr="00BE5D7B">
        <w:rPr>
          <w:rFonts w:ascii="Times New Roman" w:hAnsi="Times New Roman" w:cs="Times New Roman"/>
          <w:sz w:val="24"/>
          <w:szCs w:val="24"/>
          <w:lang w:val="en-US"/>
        </w:rPr>
        <w:t>Management</w:t>
      </w:r>
      <w:r w:rsidR="00BE5D7B">
        <w:rPr>
          <w:rFonts w:ascii="Times New Roman" w:hAnsi="Times New Roman" w:cs="Times New Roman"/>
          <w:sz w:val="24"/>
          <w:szCs w:val="24"/>
          <w:lang w:val="en-US"/>
        </w:rPr>
        <w:t xml:space="preserve">, </w:t>
      </w:r>
      <w:r w:rsidR="00D34E62" w:rsidRPr="00D34E62">
        <w:rPr>
          <w:rFonts w:ascii="Times New Roman" w:hAnsi="Times New Roman" w:cs="Times New Roman"/>
          <w:sz w:val="24"/>
          <w:szCs w:val="24"/>
          <w:lang w:val="en-US"/>
        </w:rPr>
        <w:t>Teachers’ Digital Competence, Technology Integration, Educational Innovation</w:t>
      </w:r>
    </w:p>
    <w:p w14:paraId="31EAB33E" w14:textId="77777777" w:rsidR="00BE5D7B" w:rsidRPr="006A6EB6" w:rsidRDefault="00BE5D7B" w:rsidP="00714046">
      <w:pPr>
        <w:jc w:val="both"/>
        <w:rPr>
          <w:rFonts w:ascii="Times New Roman" w:hAnsi="Times New Roman" w:cs="Times New Roman"/>
          <w:sz w:val="24"/>
          <w:szCs w:val="24"/>
          <w:lang w:val="en-US"/>
        </w:rPr>
      </w:pPr>
    </w:p>
    <w:p w14:paraId="637D3CE2" w14:textId="77777777" w:rsidR="007B77D6" w:rsidRPr="00524E58"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I. Introduction</w:t>
      </w:r>
    </w:p>
    <w:p w14:paraId="56959F83" w14:textId="77777777" w:rsidR="007B77D6" w:rsidRPr="00524E58" w:rsidRDefault="007B77D6" w:rsidP="007B77D6">
      <w:pPr>
        <w:jc w:val="both"/>
        <w:rPr>
          <w:rFonts w:ascii="Times New Roman" w:hAnsi="Times New Roman" w:cs="Times New Roman"/>
          <w:sz w:val="24"/>
          <w:szCs w:val="24"/>
          <w:lang w:val="en-US"/>
        </w:rPr>
      </w:pPr>
    </w:p>
    <w:p w14:paraId="5EA949DC" w14:textId="08CD26AB"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 xml:space="preserve">The ongoing digital transformation of society has significantly altered the nature and purpose of education. In the 21st century, knowledge is no longer static or confined to </w:t>
      </w:r>
      <w:r w:rsidRPr="00524E58">
        <w:rPr>
          <w:rFonts w:ascii="Times New Roman" w:hAnsi="Times New Roman" w:cs="Times New Roman"/>
          <w:sz w:val="24"/>
          <w:szCs w:val="24"/>
          <w:lang w:val="en-US"/>
        </w:rPr>
        <w:lastRenderedPageBreak/>
        <w:t>traditional classroom environments; instead, it is dynamic, continuously evolving, and increasingly mediated by digital technologies. Among these technologies, artificial intelligence (AI) has emerged as one of the most influential forces shaping contemporary educational systems.</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AI technologies are redefining how knowledge is delivered, accessed, and assessed. From adaptive learning platforms to intelligent tutoring systems, AI enables a level of personalization and efficiency that was previously unattainable. These developments align with broader global trends emphasizing lifelong learning, digital literacy, and the development of 21st-century skills</w:t>
      </w:r>
      <w:r w:rsidR="001C3DEE">
        <w:rPr>
          <w:rFonts w:ascii="Times New Roman" w:hAnsi="Times New Roman" w:cs="Times New Roman"/>
          <w:sz w:val="24"/>
          <w:szCs w:val="24"/>
          <w:lang w:val="en-US"/>
        </w:rPr>
        <w:t xml:space="preserve"> [1-4].</w:t>
      </w:r>
    </w:p>
    <w:p w14:paraId="21A9F3A0" w14:textId="6732BF31"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However, the integration of AI into education is not merely a technical process. It represents a complex transformation that involves pedagogical, organizational, and cultural changes. Educational institutions must adapt not only their technological infrastructure but also their teaching practices, leadership models, and professional development strategies.</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A critical factor in this transformation is the role of teachers. As the primary facilitators of learning, teachers must possess the digital competence necessary to effectively integrate AI tools into their instructional practices. This competence extends beyond basic technical skills and includes the ability to design meaningful learning experiences, evaluate digital resources, and foster students’ critical thinking.</w:t>
      </w:r>
      <w:r w:rsidR="00524E58">
        <w:rPr>
          <w:rFonts w:ascii="Times New Roman" w:hAnsi="Times New Roman" w:cs="Times New Roman"/>
          <w:sz w:val="24"/>
          <w:szCs w:val="24"/>
          <w:lang w:val="en-US"/>
        </w:rPr>
        <w:t xml:space="preserve"> </w:t>
      </w:r>
      <w:r w:rsidRPr="00524E58">
        <w:rPr>
          <w:rFonts w:ascii="Times New Roman" w:hAnsi="Times New Roman" w:cs="Times New Roman"/>
          <w:sz w:val="24"/>
          <w:szCs w:val="24"/>
          <w:lang w:val="en-US"/>
        </w:rPr>
        <w:t>Equally important is the role of school leadership. Transformational leaders are essential in guiding institutions through periods of change, fostering innovation, and creating supportive environments for technological adoption. Without strong leadership, even well-equipped schools may struggle to implement digital initiatives effectively</w:t>
      </w:r>
      <w:r w:rsidR="001C3DEE">
        <w:rPr>
          <w:rFonts w:ascii="Times New Roman" w:hAnsi="Times New Roman" w:cs="Times New Roman"/>
          <w:sz w:val="24"/>
          <w:szCs w:val="24"/>
          <w:lang w:val="en-US"/>
        </w:rPr>
        <w:t xml:space="preserve"> [2-5].</w:t>
      </w:r>
    </w:p>
    <w:p w14:paraId="0FF3F2E1" w14:textId="7146025F"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Despite the growing body of research on digital education, there remains a need for comprehensive studies that synthesize these interconnected dimensions. This study addresses this gap by providing a systematic review of literature focusing on AI integration, teachers’ digital competence, and transformational leadership, offering a holistic perspective on digital transformation in education</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11</w:t>
      </w:r>
      <w:r w:rsidR="001C3DEE" w:rsidRPr="001C3DEE">
        <w:rPr>
          <w:rFonts w:ascii="Times New Roman" w:hAnsi="Times New Roman" w:cs="Times New Roman"/>
          <w:sz w:val="24"/>
          <w:szCs w:val="24"/>
          <w:lang w:val="en-US"/>
        </w:rPr>
        <w:t>].</w:t>
      </w:r>
    </w:p>
    <w:p w14:paraId="1CB96C98" w14:textId="77777777" w:rsidR="007B77D6" w:rsidRPr="00524E58" w:rsidRDefault="007B77D6" w:rsidP="007B77D6">
      <w:pPr>
        <w:jc w:val="both"/>
        <w:rPr>
          <w:rFonts w:ascii="Times New Roman" w:hAnsi="Times New Roman" w:cs="Times New Roman"/>
          <w:sz w:val="24"/>
          <w:szCs w:val="24"/>
          <w:lang w:val="en-US"/>
        </w:rPr>
      </w:pPr>
    </w:p>
    <w:p w14:paraId="1087C84E" w14:textId="77777777" w:rsidR="007B77D6" w:rsidRPr="00524E58"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II. Methodology</w:t>
      </w:r>
    </w:p>
    <w:p w14:paraId="3BAF4AD6" w14:textId="7E6595BB" w:rsidR="00BE5D7B" w:rsidRPr="00BE5D7B" w:rsidRDefault="00BE5D7B" w:rsidP="00BE5D7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E2CE63F" w14:textId="1A2E25CA"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This study adopts a Systematic Literature Review (SLR) methodology to provide a comprehensive, transparent, and replicable synthesis of research on artificial intelligence (AI) integration, teachers’ digital competence, and transformational leadership and management in education. The review process was guided by the PRISMA (Preferred Reporting Items for Systematic Reviews and Meta-Analyses) framework.</w:t>
      </w:r>
    </w:p>
    <w:p w14:paraId="30DF19AB" w14:textId="776C7DC9"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Search Strategy</w:t>
      </w:r>
    </w:p>
    <w:p w14:paraId="79E880CC"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A systematic search was conducted across four major academic databases: Scopus, Web of Science, ERIC, and Google Scholar. The search covered publications from 2015 to 2025, reflecting the rapid development of AI in educational contexts.</w:t>
      </w:r>
    </w:p>
    <w:p w14:paraId="67A1FD7B" w14:textId="77777777" w:rsidR="00BE5D7B" w:rsidRPr="00BE5D7B" w:rsidRDefault="00BE5D7B" w:rsidP="00BE5D7B">
      <w:pPr>
        <w:jc w:val="both"/>
        <w:rPr>
          <w:rFonts w:ascii="Times New Roman" w:hAnsi="Times New Roman" w:cs="Times New Roman"/>
          <w:sz w:val="24"/>
          <w:szCs w:val="24"/>
          <w:lang w:val="en-US"/>
        </w:rPr>
      </w:pPr>
    </w:p>
    <w:p w14:paraId="54D5DFF4" w14:textId="00691D87" w:rsid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lastRenderedPageBreak/>
        <w:t>The search strings included combinations of keywords such as:</w:t>
      </w:r>
    </w:p>
    <w:p w14:paraId="6B0E0776" w14:textId="77777777" w:rsidR="00BE5D7B" w:rsidRPr="00BE5D7B" w:rsidRDefault="00BE5D7B" w:rsidP="00BE5D7B">
      <w:pPr>
        <w:jc w:val="both"/>
        <w:rPr>
          <w:rFonts w:ascii="Times New Roman" w:hAnsi="Times New Roman" w:cs="Times New Roman"/>
          <w:sz w:val="24"/>
          <w:szCs w:val="24"/>
          <w:lang w:val="en-US"/>
        </w:rPr>
      </w:pPr>
    </w:p>
    <w:p w14:paraId="2BFD68B0"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“Artificial Intelligence in Education” OR “AI in Education”</w:t>
      </w:r>
    </w:p>
    <w:p w14:paraId="33A5E1A2"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“Digital Competence” OR “Digital Skills”</w:t>
      </w:r>
    </w:p>
    <w:p w14:paraId="5CF56A06" w14:textId="18228C32"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“Transformational Leadership” OR “Educational Leadership” OR “Management in Education”</w:t>
      </w:r>
    </w:p>
    <w:p w14:paraId="4DF15580"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Boolean operators (AND, OR) were used to refine the search and ensure both breadth and relevance of the retrieved studies.</w:t>
      </w:r>
    </w:p>
    <w:p w14:paraId="3E69E9DD" w14:textId="77777777" w:rsidR="00BE5D7B" w:rsidRPr="00BE5D7B" w:rsidRDefault="00BE5D7B" w:rsidP="00BE5D7B">
      <w:pPr>
        <w:jc w:val="both"/>
        <w:rPr>
          <w:rFonts w:ascii="Times New Roman" w:hAnsi="Times New Roman" w:cs="Times New Roman"/>
          <w:sz w:val="24"/>
          <w:szCs w:val="24"/>
          <w:lang w:val="en-US"/>
        </w:rPr>
      </w:pPr>
    </w:p>
    <w:p w14:paraId="5717E26A" w14:textId="1441192E"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Inclusion and Exclusion Criteria</w:t>
      </w:r>
    </w:p>
    <w:p w14:paraId="5E73C1B1" w14:textId="206FAEFD"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To ensure consistency and relevance, the following criteria were applied:</w:t>
      </w:r>
    </w:p>
    <w:p w14:paraId="72552DD4" w14:textId="7798D901"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Inclusion Criteria:</w:t>
      </w:r>
    </w:p>
    <w:p w14:paraId="48CC0BEF"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Peer-reviewed journal articles</w:t>
      </w:r>
    </w:p>
    <w:p w14:paraId="56F2BBA5"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Publications between 2015 and 2025</w:t>
      </w:r>
    </w:p>
    <w:p w14:paraId="39159164"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Studies focused on educational settings</w:t>
      </w:r>
    </w:p>
    <w:p w14:paraId="0B778B1D"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Explicit discussion of at least one of the following: AI, digital competence, leadership, or management</w:t>
      </w:r>
    </w:p>
    <w:p w14:paraId="04208C97" w14:textId="77777777" w:rsidR="00BE5D7B" w:rsidRPr="00BE5D7B" w:rsidRDefault="00BE5D7B" w:rsidP="00BE5D7B">
      <w:pPr>
        <w:jc w:val="both"/>
        <w:rPr>
          <w:rFonts w:ascii="Times New Roman" w:hAnsi="Times New Roman" w:cs="Times New Roman"/>
          <w:sz w:val="24"/>
          <w:szCs w:val="24"/>
          <w:lang w:val="en-US"/>
        </w:rPr>
      </w:pPr>
    </w:p>
    <w:p w14:paraId="6C0698EE" w14:textId="3DC9E4F0"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Exclusion Criteria:</w:t>
      </w:r>
    </w:p>
    <w:p w14:paraId="5425DF11"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Non-English publications</w:t>
      </w:r>
    </w:p>
    <w:p w14:paraId="4BEB6BB6"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Conference abstracts without full-text availability</w:t>
      </w:r>
    </w:p>
    <w:p w14:paraId="21900B79"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Studies unrelated to education</w:t>
      </w:r>
    </w:p>
    <w:p w14:paraId="2E14D914"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Duplicate records</w:t>
      </w:r>
    </w:p>
    <w:p w14:paraId="066B3A17" w14:textId="77777777" w:rsidR="00BE5D7B" w:rsidRDefault="00BE5D7B" w:rsidP="00BE5D7B">
      <w:pPr>
        <w:jc w:val="both"/>
        <w:rPr>
          <w:rFonts w:ascii="Times New Roman" w:hAnsi="Times New Roman" w:cs="Times New Roman"/>
          <w:b/>
          <w:bCs/>
          <w:sz w:val="24"/>
          <w:szCs w:val="24"/>
          <w:lang w:val="en-US"/>
        </w:rPr>
      </w:pPr>
    </w:p>
    <w:p w14:paraId="43E3F03F" w14:textId="6746139C"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Study Selection Process</w:t>
      </w:r>
    </w:p>
    <w:p w14:paraId="69256F11" w14:textId="5AA045D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The initial database search yielded 312 records. After removing duplicates, 248 studies remained. These were screened based on titles and abstracts, resulting in 96 articles for full-text review. Following the application of inclusion and exclusion criteria, a final sample of 45 studies was selected for analysis.</w:t>
      </w:r>
    </w:p>
    <w:p w14:paraId="5C22C1DB"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The selection process followed a structured multi-stage approach aligned with PRISMA guidelines, ensuring transparency and reproducibility.</w:t>
      </w:r>
    </w:p>
    <w:p w14:paraId="3C73D0DD" w14:textId="77777777" w:rsidR="00BE5D7B" w:rsidRDefault="00BE5D7B" w:rsidP="00BE5D7B">
      <w:pPr>
        <w:jc w:val="both"/>
        <w:rPr>
          <w:rFonts w:ascii="Times New Roman" w:hAnsi="Times New Roman" w:cs="Times New Roman"/>
          <w:sz w:val="24"/>
          <w:szCs w:val="24"/>
          <w:lang w:val="en-US"/>
        </w:rPr>
      </w:pPr>
    </w:p>
    <w:p w14:paraId="2532FDAB" w14:textId="77777777" w:rsidR="00BE5D7B" w:rsidRPr="00BE5D7B" w:rsidRDefault="00BE5D7B" w:rsidP="00BE5D7B">
      <w:pPr>
        <w:jc w:val="both"/>
        <w:rPr>
          <w:rFonts w:ascii="Times New Roman" w:hAnsi="Times New Roman" w:cs="Times New Roman"/>
          <w:sz w:val="24"/>
          <w:szCs w:val="24"/>
          <w:lang w:val="en-US"/>
        </w:rPr>
      </w:pPr>
    </w:p>
    <w:p w14:paraId="76DEF09A" w14:textId="303A50AE"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lastRenderedPageBreak/>
        <w:t>Data Extraction and Analysis</w:t>
      </w:r>
    </w:p>
    <w:p w14:paraId="4D3B04BE" w14:textId="4835E898"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Data extraction was conducted using a structured framework to ensure consistency across studies. Key information recorded included:</w:t>
      </w:r>
    </w:p>
    <w:p w14:paraId="6C31CBBB"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Authors and year of publication</w:t>
      </w:r>
    </w:p>
    <w:p w14:paraId="4D61B58D"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Research objectives</w:t>
      </w:r>
    </w:p>
    <w:p w14:paraId="387EBC5D"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Methodology and sample characteristics</w:t>
      </w:r>
    </w:p>
    <w:p w14:paraId="710D02F7"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Theoretical frameworks</w:t>
      </w:r>
    </w:p>
    <w:p w14:paraId="1B37AD00"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Key findings and implications</w:t>
      </w:r>
    </w:p>
    <w:p w14:paraId="41F4A8CD" w14:textId="77777777" w:rsidR="00BE5D7B" w:rsidRPr="00BE5D7B" w:rsidRDefault="00BE5D7B" w:rsidP="00BE5D7B">
      <w:pPr>
        <w:jc w:val="both"/>
        <w:rPr>
          <w:rFonts w:ascii="Times New Roman" w:hAnsi="Times New Roman" w:cs="Times New Roman"/>
          <w:sz w:val="24"/>
          <w:szCs w:val="24"/>
          <w:lang w:val="en-US"/>
        </w:rPr>
      </w:pPr>
    </w:p>
    <w:p w14:paraId="61FC851B"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A thematic synthesis approach was employed for data analysis. Through iterative coding and categorization, the studies were grouped into three primary themes:</w:t>
      </w:r>
    </w:p>
    <w:p w14:paraId="2F8B4556" w14:textId="77777777" w:rsidR="00BE5D7B" w:rsidRPr="00BE5D7B" w:rsidRDefault="00BE5D7B" w:rsidP="00BE5D7B">
      <w:pPr>
        <w:jc w:val="both"/>
        <w:rPr>
          <w:rFonts w:ascii="Times New Roman" w:hAnsi="Times New Roman" w:cs="Times New Roman"/>
          <w:sz w:val="24"/>
          <w:szCs w:val="24"/>
          <w:lang w:val="en-US"/>
        </w:rPr>
      </w:pPr>
    </w:p>
    <w:p w14:paraId="0CEFB6A2"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Artificial Intelligence in Education</w:t>
      </w:r>
    </w:p>
    <w:p w14:paraId="633E15C7"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Teachers’ Digital Competence</w:t>
      </w:r>
    </w:p>
    <w:p w14:paraId="5FD66495"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Transformational Leadership and Management</w:t>
      </w:r>
    </w:p>
    <w:p w14:paraId="3EDD9A8B" w14:textId="77777777" w:rsidR="00BE5D7B" w:rsidRPr="00BE5D7B" w:rsidRDefault="00BE5D7B" w:rsidP="00BE5D7B">
      <w:pPr>
        <w:jc w:val="both"/>
        <w:rPr>
          <w:rFonts w:ascii="Times New Roman" w:hAnsi="Times New Roman" w:cs="Times New Roman"/>
          <w:sz w:val="24"/>
          <w:szCs w:val="24"/>
          <w:lang w:val="en-US"/>
        </w:rPr>
      </w:pPr>
    </w:p>
    <w:p w14:paraId="567EAE58"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This process enabled the identification of patterns, relationships, and conceptual linkages among the variables.</w:t>
      </w:r>
    </w:p>
    <w:p w14:paraId="54F35CBB" w14:textId="77777777" w:rsidR="00BE5D7B" w:rsidRPr="00BE5D7B" w:rsidRDefault="00BE5D7B" w:rsidP="00BE5D7B">
      <w:pPr>
        <w:jc w:val="both"/>
        <w:rPr>
          <w:rFonts w:ascii="Times New Roman" w:hAnsi="Times New Roman" w:cs="Times New Roman"/>
          <w:sz w:val="24"/>
          <w:szCs w:val="24"/>
          <w:lang w:val="en-US"/>
        </w:rPr>
      </w:pPr>
    </w:p>
    <w:p w14:paraId="173947F4" w14:textId="77777777"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Reliability and Validity</w:t>
      </w:r>
    </w:p>
    <w:p w14:paraId="0B8A2333" w14:textId="77777777" w:rsidR="00BE5D7B" w:rsidRPr="00BE5D7B" w:rsidRDefault="00BE5D7B" w:rsidP="00BE5D7B">
      <w:pPr>
        <w:jc w:val="both"/>
        <w:rPr>
          <w:rFonts w:ascii="Times New Roman" w:hAnsi="Times New Roman" w:cs="Times New Roman"/>
          <w:sz w:val="24"/>
          <w:szCs w:val="24"/>
          <w:lang w:val="en-US"/>
        </w:rPr>
      </w:pPr>
    </w:p>
    <w:p w14:paraId="4D7520E9" w14:textId="77777777" w:rsidR="00BE5D7B" w:rsidRPr="00BE5D7B"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To enhance the reliability and validity of the review, the study followed a transparent and systematic procedure, applied consistent selection criteria, and ensured accurate representation of the original studies. The use of multiple databases also contributed to the comprehensiveness of the review.</w:t>
      </w:r>
    </w:p>
    <w:p w14:paraId="217C6C21" w14:textId="77777777" w:rsidR="00BE5D7B" w:rsidRPr="00BE5D7B" w:rsidRDefault="00BE5D7B" w:rsidP="00BE5D7B">
      <w:pPr>
        <w:jc w:val="both"/>
        <w:rPr>
          <w:rFonts w:ascii="Times New Roman" w:hAnsi="Times New Roman" w:cs="Times New Roman"/>
          <w:sz w:val="24"/>
          <w:szCs w:val="24"/>
          <w:lang w:val="en-US"/>
        </w:rPr>
      </w:pPr>
    </w:p>
    <w:p w14:paraId="3D4CED87" w14:textId="77777777" w:rsidR="00BE5D7B" w:rsidRPr="00BE5D7B" w:rsidRDefault="00BE5D7B" w:rsidP="00BE5D7B">
      <w:pPr>
        <w:jc w:val="both"/>
        <w:rPr>
          <w:rFonts w:ascii="Times New Roman" w:hAnsi="Times New Roman" w:cs="Times New Roman"/>
          <w:b/>
          <w:bCs/>
          <w:sz w:val="24"/>
          <w:szCs w:val="24"/>
          <w:lang w:val="en-US"/>
        </w:rPr>
      </w:pPr>
      <w:r w:rsidRPr="00BE5D7B">
        <w:rPr>
          <w:rFonts w:ascii="Times New Roman" w:hAnsi="Times New Roman" w:cs="Times New Roman"/>
          <w:b/>
          <w:bCs/>
          <w:sz w:val="24"/>
          <w:szCs w:val="24"/>
          <w:lang w:val="en-US"/>
        </w:rPr>
        <w:t>Limitations</w:t>
      </w:r>
    </w:p>
    <w:p w14:paraId="4B412F15" w14:textId="77777777" w:rsidR="00BE5D7B" w:rsidRPr="00BE5D7B" w:rsidRDefault="00BE5D7B" w:rsidP="00BE5D7B">
      <w:pPr>
        <w:jc w:val="both"/>
        <w:rPr>
          <w:rFonts w:ascii="Times New Roman" w:hAnsi="Times New Roman" w:cs="Times New Roman"/>
          <w:sz w:val="24"/>
          <w:szCs w:val="24"/>
          <w:lang w:val="en-US"/>
        </w:rPr>
      </w:pPr>
    </w:p>
    <w:p w14:paraId="2D64B6A3" w14:textId="14E60B93" w:rsidR="00714046" w:rsidRPr="00524E58" w:rsidRDefault="00BE5D7B" w:rsidP="00BE5D7B">
      <w:pPr>
        <w:jc w:val="both"/>
        <w:rPr>
          <w:rFonts w:ascii="Times New Roman" w:hAnsi="Times New Roman" w:cs="Times New Roman"/>
          <w:sz w:val="24"/>
          <w:szCs w:val="24"/>
          <w:lang w:val="en-US"/>
        </w:rPr>
      </w:pPr>
      <w:r w:rsidRPr="00BE5D7B">
        <w:rPr>
          <w:rFonts w:ascii="Times New Roman" w:hAnsi="Times New Roman" w:cs="Times New Roman"/>
          <w:sz w:val="24"/>
          <w:szCs w:val="24"/>
          <w:lang w:val="en-US"/>
        </w:rPr>
        <w:t>Despite its methodological rigor, the study has certain limitations. These include potential publication bias, the exclusion of non-English studies, and the rapid evolution of AI technologies, which may affect the long-term relevance of some findings. Additionally, variations in research design across the selected studies may influence the comparability of results.</w:t>
      </w:r>
      <w:r w:rsidRPr="00BE5D7B">
        <w:rPr>
          <w:rFonts w:ascii="Times New Roman" w:hAnsi="Times New Roman" w:cs="Times New Roman"/>
          <w:sz w:val="24"/>
          <w:szCs w:val="24"/>
          <w:lang w:val="en-US"/>
        </w:rPr>
        <w:t xml:space="preserve"> </w:t>
      </w:r>
      <w:r w:rsidR="00A467CA">
        <w:rPr>
          <w:rFonts w:ascii="Times New Roman" w:hAnsi="Times New Roman" w:cs="Times New Roman"/>
          <w:sz w:val="24"/>
          <w:szCs w:val="24"/>
          <w:lang w:val="en-US"/>
        </w:rPr>
        <w:t>(fig.1</w:t>
      </w:r>
      <w:r w:rsidR="0044271A">
        <w:rPr>
          <w:rFonts w:ascii="Times New Roman" w:hAnsi="Times New Roman" w:cs="Times New Roman"/>
          <w:sz w:val="24"/>
          <w:szCs w:val="24"/>
          <w:lang w:val="en-US"/>
        </w:rPr>
        <w:t>, 2).</w:t>
      </w:r>
    </w:p>
    <w:p w14:paraId="0BBF5732" w14:textId="77777777" w:rsidR="001E59A0" w:rsidRPr="00524E58" w:rsidRDefault="001E59A0" w:rsidP="001E59A0">
      <w:pPr>
        <w:jc w:val="both"/>
        <w:rPr>
          <w:rFonts w:ascii="Times New Roman" w:hAnsi="Times New Roman" w:cs="Times New Roman"/>
          <w:sz w:val="24"/>
          <w:szCs w:val="24"/>
          <w:lang w:val="en-US"/>
        </w:rPr>
      </w:pPr>
    </w:p>
    <w:p w14:paraId="4680D3AF" w14:textId="77777777" w:rsidR="001E59A0" w:rsidRPr="00524E58" w:rsidRDefault="00714046" w:rsidP="001E59A0">
      <w:pPr>
        <w:jc w:val="center"/>
        <w:rPr>
          <w:rFonts w:ascii="Times New Roman" w:hAnsi="Times New Roman" w:cs="Times New Roman"/>
          <w:b/>
          <w:i/>
          <w:iCs/>
          <w:sz w:val="24"/>
          <w:szCs w:val="24"/>
          <w:lang w:val="en-US"/>
        </w:rPr>
      </w:pPr>
      <w:r w:rsidRPr="00524E58">
        <w:rPr>
          <w:rFonts w:ascii="Times New Roman" w:hAnsi="Times New Roman" w:cs="Times New Roman"/>
          <w:noProof/>
          <w:sz w:val="24"/>
          <w:szCs w:val="24"/>
        </w:rPr>
        <w:lastRenderedPageBreak/>
        <w:drawing>
          <wp:inline distT="0" distB="0" distL="0" distR="0" wp14:anchorId="62C95B04" wp14:editId="646DDC74">
            <wp:extent cx="5257800" cy="2454275"/>
            <wp:effectExtent l="0" t="0" r="0" b="3175"/>
            <wp:docPr id="1" name="Εικόνα 1" descr="C:\Users\User\Downloads\Διαδικασία ανασκόπησης και ερευνητικοί τομεί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Διαδικασία ανασκόπησης και ερευνητικοί τομείς.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800" cy="2454275"/>
                    </a:xfrm>
                    <a:prstGeom prst="rect">
                      <a:avLst/>
                    </a:prstGeom>
                    <a:noFill/>
                    <a:ln>
                      <a:noFill/>
                    </a:ln>
                  </pic:spPr>
                </pic:pic>
              </a:graphicData>
            </a:graphic>
          </wp:inline>
        </w:drawing>
      </w:r>
    </w:p>
    <w:p w14:paraId="5745B518" w14:textId="2A4CEBCA" w:rsidR="00714046" w:rsidRPr="00524E58" w:rsidRDefault="001E59A0" w:rsidP="00524E58">
      <w:pPr>
        <w:jc w:val="center"/>
        <w:rPr>
          <w:rFonts w:ascii="Times New Roman" w:hAnsi="Times New Roman" w:cs="Times New Roman"/>
          <w:sz w:val="18"/>
          <w:szCs w:val="18"/>
          <w:lang w:val="en-US"/>
        </w:rPr>
      </w:pPr>
      <w:r w:rsidRPr="00524E58">
        <w:rPr>
          <w:rStyle w:val="a4"/>
          <w:rFonts w:ascii="Times New Roman" w:hAnsi="Times New Roman" w:cs="Times New Roman"/>
          <w:b/>
          <w:sz w:val="18"/>
          <w:szCs w:val="18"/>
          <w:lang w:val="en-US"/>
        </w:rPr>
        <w:t>Figure 1. Systematic Literature Review (SLR) process              Figure 2. Research Focus Areas</w:t>
      </w:r>
    </w:p>
    <w:p w14:paraId="67C2CDDC" w14:textId="77777777" w:rsidR="001E59A0" w:rsidRPr="00524E58" w:rsidRDefault="001E59A0" w:rsidP="007B77D6">
      <w:pPr>
        <w:jc w:val="both"/>
        <w:rPr>
          <w:rFonts w:ascii="Times New Roman" w:hAnsi="Times New Roman" w:cs="Times New Roman"/>
          <w:sz w:val="24"/>
          <w:szCs w:val="24"/>
          <w:lang w:val="en-US"/>
        </w:rPr>
      </w:pPr>
    </w:p>
    <w:p w14:paraId="37607146" w14:textId="77777777" w:rsidR="007B77D6" w:rsidRPr="00524E58" w:rsidRDefault="007B77D6" w:rsidP="007B77D6">
      <w:pPr>
        <w:jc w:val="both"/>
        <w:rPr>
          <w:rFonts w:ascii="Times New Roman" w:hAnsi="Times New Roman" w:cs="Times New Roman"/>
          <w:b/>
          <w:sz w:val="24"/>
          <w:szCs w:val="24"/>
          <w:lang w:val="en-US"/>
        </w:rPr>
      </w:pPr>
    </w:p>
    <w:p w14:paraId="09E66A0B" w14:textId="77777777" w:rsidR="007B77D6" w:rsidRPr="00524E58" w:rsidRDefault="007B77D6" w:rsidP="007B77D6">
      <w:pPr>
        <w:jc w:val="both"/>
        <w:rPr>
          <w:rFonts w:ascii="Times New Roman" w:hAnsi="Times New Roman" w:cs="Times New Roman"/>
          <w:b/>
          <w:sz w:val="24"/>
          <w:szCs w:val="24"/>
          <w:lang w:val="en-US"/>
        </w:rPr>
      </w:pPr>
      <w:r w:rsidRPr="00524E58">
        <w:rPr>
          <w:rFonts w:ascii="Times New Roman" w:hAnsi="Times New Roman" w:cs="Times New Roman"/>
          <w:b/>
          <w:sz w:val="24"/>
          <w:szCs w:val="24"/>
          <w:lang w:val="en-US"/>
        </w:rPr>
        <w:t>III. Artificial Intelligence in Education</w:t>
      </w:r>
    </w:p>
    <w:p w14:paraId="677ED2C7" w14:textId="77777777" w:rsidR="007B77D6" w:rsidRPr="00524E58" w:rsidRDefault="007B77D6" w:rsidP="007B77D6">
      <w:pPr>
        <w:jc w:val="both"/>
        <w:rPr>
          <w:rFonts w:ascii="Times New Roman" w:hAnsi="Times New Roman" w:cs="Times New Roman"/>
          <w:sz w:val="24"/>
          <w:szCs w:val="24"/>
          <w:lang w:val="en-US"/>
        </w:rPr>
      </w:pPr>
    </w:p>
    <w:p w14:paraId="076911A2" w14:textId="4DD72372"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Artificial intelligence represents a paradigm shift in the way education is conceptualized and delivered. Unlike traditional educational technologies, AI systems possess the ability to learn from data, adapt to user behavior, and make autonomous decisions. These capabilities enable highly personalized and efficient learning environments</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11</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w:t>
      </w:r>
    </w:p>
    <w:p w14:paraId="0944B572" w14:textId="73DEAC16"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One of the most significant contributions of AI to education is the development of adaptive learning systems. These systems analyze student performance in real time and adjust instructional content accordingly, ensuring that learners receive appropriate levels of challenge and support. This personalization enhances student engagement and improves learning outcomes</w:t>
      </w:r>
      <w:r w:rsidR="001C3DEE" w:rsidRPr="00AC0997">
        <w:rPr>
          <w:lang w:val="en-US"/>
        </w:rPr>
        <w:t xml:space="preserve"> </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9</w:t>
      </w:r>
      <w:r w:rsidR="001C3DEE" w:rsidRPr="001C3DEE">
        <w:rPr>
          <w:rFonts w:ascii="Times New Roman" w:hAnsi="Times New Roman" w:cs="Times New Roman"/>
          <w:sz w:val="24"/>
          <w:szCs w:val="24"/>
          <w:lang w:val="en-US"/>
        </w:rPr>
        <w:t>].</w:t>
      </w:r>
    </w:p>
    <w:p w14:paraId="6DE1AEE0" w14:textId="751FBA24"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Intelligent tutoring systems further extend these capabilities by simulating one-on-one instruction. These systems provide immediate feedback, identify misconceptions, and guide learners through complex problem-solving processes</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[1</w:t>
      </w:r>
      <w:r w:rsidR="001C3DEE">
        <w:rPr>
          <w:rFonts w:ascii="Times New Roman" w:hAnsi="Times New Roman" w:cs="Times New Roman"/>
          <w:sz w:val="24"/>
          <w:szCs w:val="24"/>
          <w:lang w:val="en-US"/>
        </w:rPr>
        <w:t>9</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23</w:t>
      </w:r>
      <w:r w:rsidR="001C3DEE" w:rsidRPr="001C3DEE">
        <w:rPr>
          <w:rFonts w:ascii="Times New Roman" w:hAnsi="Times New Roman" w:cs="Times New Roman"/>
          <w:sz w:val="24"/>
          <w:szCs w:val="24"/>
          <w:lang w:val="en-US"/>
        </w:rPr>
        <w:t>].</w:t>
      </w:r>
    </w:p>
    <w:p w14:paraId="17782A54" w14:textId="62BEE2F4"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In addition to instructional applications, AI is also transforming assessment practices. Automated grading systems and learning analytics tools enable educators to efficiently evaluate student performance and identify trends. These tools support data-driven decision-making and facilitate early intervention</w:t>
      </w:r>
      <w:r w:rsidR="001C3DEE">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22</w:t>
      </w:r>
      <w:r w:rsidR="001C3DEE" w:rsidRPr="001C3DEE">
        <w:rPr>
          <w:rFonts w:ascii="Times New Roman" w:hAnsi="Times New Roman" w:cs="Times New Roman"/>
          <w:sz w:val="24"/>
          <w:szCs w:val="24"/>
          <w:lang w:val="en-US"/>
        </w:rPr>
        <w:t>-2</w:t>
      </w:r>
      <w:r w:rsidR="001C3DEE">
        <w:rPr>
          <w:rFonts w:ascii="Times New Roman" w:hAnsi="Times New Roman" w:cs="Times New Roman"/>
          <w:sz w:val="24"/>
          <w:szCs w:val="24"/>
          <w:lang w:val="en-US"/>
        </w:rPr>
        <w:t>6</w:t>
      </w:r>
      <w:r w:rsidR="001C3DEE" w:rsidRPr="001C3DEE">
        <w:rPr>
          <w:rFonts w:ascii="Times New Roman" w:hAnsi="Times New Roman" w:cs="Times New Roman"/>
          <w:sz w:val="24"/>
          <w:szCs w:val="24"/>
          <w:lang w:val="en-US"/>
        </w:rPr>
        <w:t>].</w:t>
      </w:r>
    </w:p>
    <w:p w14:paraId="32001981" w14:textId="22AD72BB" w:rsidR="007B77D6" w:rsidRPr="00524E58" w:rsidRDefault="007B77D6" w:rsidP="007B77D6">
      <w:pPr>
        <w:jc w:val="both"/>
        <w:rPr>
          <w:rFonts w:ascii="Times New Roman" w:hAnsi="Times New Roman" w:cs="Times New Roman"/>
          <w:sz w:val="24"/>
          <w:szCs w:val="24"/>
          <w:lang w:val="en-US"/>
        </w:rPr>
      </w:pPr>
      <w:r w:rsidRPr="00524E58">
        <w:rPr>
          <w:rFonts w:ascii="Times New Roman" w:hAnsi="Times New Roman" w:cs="Times New Roman"/>
          <w:sz w:val="24"/>
          <w:szCs w:val="24"/>
          <w:lang w:val="en-US"/>
        </w:rPr>
        <w:t>However, the literature also highlights several challenges associated with AI integration. Ethical concerns, particularly related to data privacy and algorithmic bias, remain significant issues. Furthermore, there is a risk that excessive reliance on AI may reduce human interaction, which is essential for social and emotional learning</w:t>
      </w:r>
      <w:r w:rsidR="001C3DEE" w:rsidRPr="001C3DEE">
        <w:rPr>
          <w:lang w:val="en-US"/>
        </w:rPr>
        <w:t xml:space="preserve"> </w:t>
      </w:r>
      <w:r w:rsidR="001C3DEE" w:rsidRPr="001C3DEE">
        <w:rPr>
          <w:rFonts w:ascii="Times New Roman" w:hAnsi="Times New Roman" w:cs="Times New Roman"/>
          <w:sz w:val="24"/>
          <w:szCs w:val="24"/>
          <w:lang w:val="en-US"/>
        </w:rPr>
        <w:t>[2</w:t>
      </w:r>
      <w:r w:rsidR="001C3DEE">
        <w:rPr>
          <w:rFonts w:ascii="Times New Roman" w:hAnsi="Times New Roman" w:cs="Times New Roman"/>
          <w:sz w:val="24"/>
          <w:szCs w:val="24"/>
          <w:lang w:val="en-US"/>
        </w:rPr>
        <w:t>5</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30</w:t>
      </w:r>
      <w:r w:rsidR="001C3DEE" w:rsidRPr="001C3DEE">
        <w:rPr>
          <w:rFonts w:ascii="Times New Roman" w:hAnsi="Times New Roman" w:cs="Times New Roman"/>
          <w:sz w:val="24"/>
          <w:szCs w:val="24"/>
          <w:lang w:val="en-US"/>
        </w:rPr>
        <w:t>].</w:t>
      </w:r>
    </w:p>
    <w:p w14:paraId="1F1304E5" w14:textId="77777777" w:rsidR="001C3DEE" w:rsidRPr="00524E58" w:rsidRDefault="001C3DEE" w:rsidP="007B77D6">
      <w:pPr>
        <w:jc w:val="both"/>
        <w:rPr>
          <w:rFonts w:ascii="Times New Roman" w:hAnsi="Times New Roman" w:cs="Times New Roman"/>
          <w:sz w:val="24"/>
          <w:szCs w:val="24"/>
          <w:lang w:val="en-US"/>
        </w:rPr>
      </w:pPr>
    </w:p>
    <w:p w14:paraId="33C2D547" w14:textId="77777777" w:rsidR="007B77D6" w:rsidRPr="00524E58" w:rsidRDefault="007B77D6" w:rsidP="007B77D6">
      <w:pPr>
        <w:jc w:val="both"/>
        <w:rPr>
          <w:rFonts w:ascii="Times New Roman" w:hAnsi="Times New Roman" w:cs="Times New Roman"/>
          <w:b/>
          <w:bCs/>
          <w:sz w:val="24"/>
          <w:szCs w:val="24"/>
          <w:lang w:val="en-US"/>
        </w:rPr>
      </w:pPr>
      <w:r w:rsidRPr="00524E58">
        <w:rPr>
          <w:rFonts w:ascii="Times New Roman" w:hAnsi="Times New Roman" w:cs="Times New Roman"/>
          <w:b/>
          <w:bCs/>
          <w:sz w:val="24"/>
          <w:szCs w:val="24"/>
          <w:lang w:val="en-US"/>
        </w:rPr>
        <w:lastRenderedPageBreak/>
        <w:t>IV. Teachers’ Digital Competence</w:t>
      </w:r>
    </w:p>
    <w:p w14:paraId="547CCC80" w14:textId="77777777" w:rsidR="007B77D6" w:rsidRPr="00524E58" w:rsidRDefault="007B77D6" w:rsidP="007B77D6">
      <w:pPr>
        <w:jc w:val="both"/>
        <w:rPr>
          <w:rFonts w:ascii="Times New Roman" w:hAnsi="Times New Roman" w:cs="Times New Roman"/>
          <w:sz w:val="24"/>
          <w:szCs w:val="24"/>
          <w:lang w:val="en-US"/>
        </w:rPr>
      </w:pPr>
    </w:p>
    <w:p w14:paraId="5B6ED2C8" w14:textId="0A3EE8B2" w:rsidR="000118AC" w:rsidRPr="006A6EB6"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Teachers’ digital competence is a critical determinant of successful technology integration in education. It encompasses a broad range of skills, including technical proficiency, pedagogical knowledge, and ethical awareness. Beyond simply using digital tools, teachers must be able to select appropriate technologies, design meaningful learning experiences, and ensure safe and responsible use of digital resources in the classroom</w:t>
      </w:r>
      <w:r w:rsidR="00F113A9">
        <w:rPr>
          <w:rFonts w:ascii="Times New Roman" w:hAnsi="Times New Roman" w:cs="Times New Roman"/>
          <w:sz w:val="24"/>
          <w:szCs w:val="24"/>
          <w:lang w:val="en-US"/>
        </w:rPr>
        <w:t xml:space="preserve"> </w:t>
      </w:r>
      <w:r w:rsidR="001C3DEE" w:rsidRPr="001C3DEE">
        <w:rPr>
          <w:rFonts w:ascii="Times New Roman" w:hAnsi="Times New Roman" w:cs="Times New Roman"/>
          <w:sz w:val="24"/>
          <w:szCs w:val="24"/>
          <w:lang w:val="en-US"/>
        </w:rPr>
        <w:t>[</w:t>
      </w:r>
      <w:r w:rsidR="001C3DEE">
        <w:rPr>
          <w:rFonts w:ascii="Times New Roman" w:hAnsi="Times New Roman" w:cs="Times New Roman"/>
          <w:sz w:val="24"/>
          <w:szCs w:val="24"/>
          <w:lang w:val="en-US"/>
        </w:rPr>
        <w:t>3</w:t>
      </w:r>
      <w:r w:rsidR="00F113A9">
        <w:rPr>
          <w:rFonts w:ascii="Times New Roman" w:hAnsi="Times New Roman" w:cs="Times New Roman"/>
          <w:sz w:val="24"/>
          <w:szCs w:val="24"/>
          <w:lang w:val="en-US"/>
        </w:rPr>
        <w:t>1</w:t>
      </w:r>
      <w:r w:rsidR="001C3DEE" w:rsidRPr="001C3DEE">
        <w:rPr>
          <w:rFonts w:ascii="Times New Roman" w:hAnsi="Times New Roman" w:cs="Times New Roman"/>
          <w:sz w:val="24"/>
          <w:szCs w:val="24"/>
          <w:lang w:val="en-US"/>
        </w:rPr>
        <w:t>-3</w:t>
      </w:r>
      <w:r w:rsidR="00F113A9">
        <w:rPr>
          <w:rFonts w:ascii="Times New Roman" w:hAnsi="Times New Roman" w:cs="Times New Roman"/>
          <w:sz w:val="24"/>
          <w:szCs w:val="24"/>
          <w:lang w:val="en-US"/>
        </w:rPr>
        <w:t>5</w:t>
      </w:r>
      <w:r w:rsidR="001C3DEE" w:rsidRPr="001C3DEE">
        <w:rPr>
          <w:rFonts w:ascii="Times New Roman" w:hAnsi="Times New Roman" w:cs="Times New Roman"/>
          <w:sz w:val="24"/>
          <w:szCs w:val="24"/>
          <w:lang w:val="en-US"/>
        </w:rPr>
        <w:t>].</w:t>
      </w:r>
    </w:p>
    <w:p w14:paraId="21176115" w14:textId="5D713BF1" w:rsidR="000118AC" w:rsidRPr="006A6EB6"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Modern frameworks emphasize that digital competence is not a fixed or static ability but one that continuously evolves over time. Teachers are required to adapt to emerging technologies, update their knowledge, and engage in lifelong learning. This dynamic nature reflects the rapidly changing technological landscape, where new tools, platforms, and methodologies constantly reshape educational practices and expectations</w:t>
      </w:r>
      <w:r w:rsidR="00F113A9">
        <w:rPr>
          <w:rFonts w:ascii="Times New Roman" w:hAnsi="Times New Roman" w:cs="Times New Roman"/>
          <w:sz w:val="24"/>
          <w:szCs w:val="24"/>
          <w:lang w:val="en-US"/>
        </w:rPr>
        <w:t xml:space="preserve"> </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4</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8</w:t>
      </w:r>
      <w:r w:rsidR="00F113A9" w:rsidRPr="00F113A9">
        <w:rPr>
          <w:rFonts w:ascii="Times New Roman" w:hAnsi="Times New Roman" w:cs="Times New Roman"/>
          <w:sz w:val="24"/>
          <w:szCs w:val="24"/>
          <w:lang w:val="en-US"/>
        </w:rPr>
        <w:t>].</w:t>
      </w:r>
    </w:p>
    <w:p w14:paraId="18F4288A" w14:textId="19C56C73" w:rsidR="000118AC" w:rsidRPr="000118AC"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Research indicates that teachers with higher levels of digital competence are more likely to implement innovative and student-centered teaching practices. They are better equipped to integrate advanced technologies, including artificial intelligence tools, into their lessons. Furthermore, they can design interactive and engaging learning environments, differentiate instruction, and effectively support the diverse needs and learning styles of their students</w:t>
      </w:r>
      <w:r w:rsidR="00F113A9">
        <w:rPr>
          <w:rFonts w:ascii="Times New Roman" w:hAnsi="Times New Roman" w:cs="Times New Roman"/>
          <w:sz w:val="24"/>
          <w:szCs w:val="24"/>
          <w:lang w:val="en-US"/>
        </w:rPr>
        <w:t xml:space="preserve"> </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6</w:t>
      </w:r>
      <w:r w:rsidR="00F113A9" w:rsidRPr="00F113A9">
        <w:rPr>
          <w:rFonts w:ascii="Times New Roman" w:hAnsi="Times New Roman" w:cs="Times New Roman"/>
          <w:sz w:val="24"/>
          <w:szCs w:val="24"/>
          <w:lang w:val="en-US"/>
        </w:rPr>
        <w:t>-38].</w:t>
      </w:r>
    </w:p>
    <w:p w14:paraId="68EC3D3B" w14:textId="68835588" w:rsidR="007B77D6" w:rsidRPr="00524E58" w:rsidRDefault="000118AC" w:rsidP="000118AC">
      <w:pPr>
        <w:jc w:val="both"/>
        <w:rPr>
          <w:rFonts w:ascii="Times New Roman" w:hAnsi="Times New Roman" w:cs="Times New Roman"/>
          <w:sz w:val="24"/>
          <w:szCs w:val="24"/>
          <w:lang w:val="en-US"/>
        </w:rPr>
      </w:pPr>
      <w:r w:rsidRPr="000118AC">
        <w:rPr>
          <w:rFonts w:ascii="Times New Roman" w:hAnsi="Times New Roman" w:cs="Times New Roman"/>
          <w:sz w:val="24"/>
          <w:szCs w:val="24"/>
          <w:lang w:val="en-US"/>
        </w:rPr>
        <w:t>Nevertheless, the development of digital competence is often hindered by systemic barriers. These may include limited access to high-quality professional development, insufficient institutional support, lack of time, and resistance to change among educators. Addressing these challenges requires coordinated efforts at both institutional and policy levels, including sustained investment in training, supportive leadership, and the creation of a culture that values continuous professional growth and innovation</w:t>
      </w:r>
      <w:r w:rsidR="00F113A9" w:rsidRPr="00F113A9">
        <w:rPr>
          <w:lang w:val="en-US"/>
        </w:rPr>
        <w:t xml:space="preserve"> </w:t>
      </w:r>
      <w:r w:rsidR="00F113A9" w:rsidRPr="00F113A9">
        <w:rPr>
          <w:rFonts w:ascii="Times New Roman" w:hAnsi="Times New Roman" w:cs="Times New Roman"/>
          <w:sz w:val="24"/>
          <w:szCs w:val="24"/>
          <w:lang w:val="en-US"/>
        </w:rPr>
        <w:t>[3</w:t>
      </w:r>
      <w:r w:rsidR="00F113A9">
        <w:rPr>
          <w:rFonts w:ascii="Times New Roman" w:hAnsi="Times New Roman" w:cs="Times New Roman"/>
          <w:sz w:val="24"/>
          <w:szCs w:val="24"/>
          <w:lang w:val="en-US"/>
        </w:rPr>
        <w:t>7</w:t>
      </w:r>
      <w:r w:rsidR="00F113A9" w:rsidRPr="00F113A9">
        <w:rPr>
          <w:rFonts w:ascii="Times New Roman" w:hAnsi="Times New Roman" w:cs="Times New Roman"/>
          <w:sz w:val="24"/>
          <w:szCs w:val="24"/>
          <w:lang w:val="en-US"/>
        </w:rPr>
        <w:t>-</w:t>
      </w:r>
      <w:r w:rsidR="00F113A9">
        <w:rPr>
          <w:rFonts w:ascii="Times New Roman" w:hAnsi="Times New Roman" w:cs="Times New Roman"/>
          <w:sz w:val="24"/>
          <w:szCs w:val="24"/>
          <w:lang w:val="en-US"/>
        </w:rPr>
        <w:t>41</w:t>
      </w:r>
      <w:r w:rsidR="00F113A9" w:rsidRPr="00F113A9">
        <w:rPr>
          <w:rFonts w:ascii="Times New Roman" w:hAnsi="Times New Roman" w:cs="Times New Roman"/>
          <w:sz w:val="24"/>
          <w:szCs w:val="24"/>
          <w:lang w:val="en-US"/>
        </w:rPr>
        <w:t>].</w:t>
      </w:r>
    </w:p>
    <w:p w14:paraId="45058F48" w14:textId="77777777" w:rsidR="00947B41" w:rsidRPr="006A6EB6" w:rsidRDefault="00947B41" w:rsidP="007B77D6">
      <w:pPr>
        <w:jc w:val="both"/>
        <w:rPr>
          <w:rFonts w:ascii="Times New Roman" w:hAnsi="Times New Roman" w:cs="Times New Roman"/>
          <w:b/>
          <w:bCs/>
          <w:sz w:val="24"/>
          <w:szCs w:val="24"/>
          <w:lang w:val="en-US"/>
        </w:rPr>
      </w:pPr>
    </w:p>
    <w:p w14:paraId="49F5EEBA" w14:textId="6D0DC9DA" w:rsidR="007B77D6" w:rsidRPr="00524E58" w:rsidRDefault="007B77D6" w:rsidP="007B77D6">
      <w:pPr>
        <w:jc w:val="both"/>
        <w:rPr>
          <w:rFonts w:ascii="Times New Roman" w:hAnsi="Times New Roman" w:cs="Times New Roman"/>
          <w:b/>
          <w:bCs/>
          <w:sz w:val="24"/>
          <w:szCs w:val="24"/>
          <w:lang w:val="en-US"/>
        </w:rPr>
      </w:pPr>
      <w:r w:rsidRPr="00524E58">
        <w:rPr>
          <w:rFonts w:ascii="Times New Roman" w:hAnsi="Times New Roman" w:cs="Times New Roman"/>
          <w:b/>
          <w:bCs/>
          <w:sz w:val="24"/>
          <w:szCs w:val="24"/>
          <w:lang w:val="en-US"/>
        </w:rPr>
        <w:t>V. Transformational Leadership in Education</w:t>
      </w:r>
    </w:p>
    <w:p w14:paraId="7AD43DCB" w14:textId="77777777" w:rsidR="007B77D6" w:rsidRPr="00524E58" w:rsidRDefault="007B77D6" w:rsidP="007B77D6">
      <w:pPr>
        <w:jc w:val="both"/>
        <w:rPr>
          <w:rFonts w:ascii="Times New Roman" w:hAnsi="Times New Roman" w:cs="Times New Roman"/>
          <w:sz w:val="24"/>
          <w:szCs w:val="24"/>
          <w:lang w:val="en-US"/>
        </w:rPr>
      </w:pPr>
    </w:p>
    <w:p w14:paraId="5CCBCBEA" w14:textId="133F9D60" w:rsidR="00947B41"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Transformational leadership is widely recognized as a key factor in educational change. In the context of digital transformation, leaders are expected not only to manage resources effectively but also to inspire, guide, and empower all stakeholders involved in the educational process. By fostering trust and a shared sense of purpose, leaders can create an environment in which innovation is encouraged and resistance to change is minimized</w:t>
      </w:r>
      <w:r w:rsidR="001D1EB0">
        <w:rPr>
          <w:rFonts w:ascii="Times New Roman" w:hAnsi="Times New Roman" w:cs="Times New Roman"/>
          <w:sz w:val="24"/>
          <w:szCs w:val="24"/>
          <w:lang w:val="en-US"/>
        </w:rPr>
        <w:t xml:space="preserve"> </w:t>
      </w:r>
      <w:r w:rsidR="001D1EB0" w:rsidRPr="001D1EB0">
        <w:rPr>
          <w:rFonts w:ascii="Times New Roman" w:hAnsi="Times New Roman" w:cs="Times New Roman"/>
          <w:sz w:val="24"/>
          <w:szCs w:val="24"/>
          <w:lang w:val="en-US"/>
        </w:rPr>
        <w:t>[3</w:t>
      </w:r>
      <w:r w:rsidR="001D1EB0">
        <w:rPr>
          <w:rFonts w:ascii="Times New Roman" w:hAnsi="Times New Roman" w:cs="Times New Roman"/>
          <w:sz w:val="24"/>
          <w:szCs w:val="24"/>
          <w:lang w:val="en-US"/>
        </w:rPr>
        <w:t>9</w:t>
      </w:r>
      <w:r w:rsidR="001D1EB0" w:rsidRPr="001D1EB0">
        <w:rPr>
          <w:rFonts w:ascii="Times New Roman" w:hAnsi="Times New Roman" w:cs="Times New Roman"/>
          <w:sz w:val="24"/>
          <w:szCs w:val="24"/>
          <w:lang w:val="en-US"/>
        </w:rPr>
        <w:t>-</w:t>
      </w:r>
      <w:r w:rsidR="001D1EB0">
        <w:rPr>
          <w:rFonts w:ascii="Times New Roman" w:hAnsi="Times New Roman" w:cs="Times New Roman"/>
          <w:sz w:val="24"/>
          <w:szCs w:val="24"/>
          <w:lang w:val="en-US"/>
        </w:rPr>
        <w:t>41</w:t>
      </w:r>
      <w:r w:rsidR="001D1EB0" w:rsidRPr="001D1EB0">
        <w:rPr>
          <w:rFonts w:ascii="Times New Roman" w:hAnsi="Times New Roman" w:cs="Times New Roman"/>
          <w:sz w:val="24"/>
          <w:szCs w:val="24"/>
          <w:lang w:val="en-US"/>
        </w:rPr>
        <w:t>].</w:t>
      </w:r>
    </w:p>
    <w:p w14:paraId="617FD57B" w14:textId="4E5CAA57" w:rsidR="00947B41"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Effective leaders articulate a clear and compelling vision for digital innovation. They ensure that organizational goals are aligned with technological initiatives, creating coherence between strategy and practice. At the same time, they promote a culture of collaboration, encouraging participation and shared responsibility among teachers, students, and administrators. Through open communication and inclusive decision-</w:t>
      </w:r>
      <w:r w:rsidRPr="00947B41">
        <w:rPr>
          <w:rFonts w:ascii="Times New Roman" w:hAnsi="Times New Roman" w:cs="Times New Roman"/>
          <w:sz w:val="24"/>
          <w:szCs w:val="24"/>
          <w:lang w:val="en-US"/>
        </w:rPr>
        <w:lastRenderedPageBreak/>
        <w:t>making, leaders help build commitment and engagement across the organization</w:t>
      </w:r>
      <w:r w:rsidR="001D1EB0" w:rsidRPr="001D1EB0">
        <w:rPr>
          <w:rFonts w:ascii="Times New Roman" w:hAnsi="Times New Roman" w:cs="Times New Roman"/>
          <w:sz w:val="24"/>
          <w:szCs w:val="24"/>
          <w:lang w:val="en-US"/>
        </w:rPr>
        <w:t xml:space="preserve"> [39-41].</w:t>
      </w:r>
    </w:p>
    <w:p w14:paraId="75233073" w14:textId="01A67626" w:rsidR="00947B41"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Additionally, leaders play a crucial role in supporting teachers throughout the transition to digital environments. This includes providing continuous professional development opportunities, ensuring access to appropriate resources, and creating conditions that enable teachers to experiment with and adopt new technologies confidently. By recognizing individual needs and differences in digital competence, leaders can tailor support strategies that enhance both confidence and effectiveness in technology use</w:t>
      </w:r>
      <w:r w:rsidR="001D1EB0">
        <w:rPr>
          <w:rFonts w:ascii="Times New Roman" w:hAnsi="Times New Roman" w:cs="Times New Roman"/>
          <w:sz w:val="24"/>
          <w:szCs w:val="24"/>
          <w:lang w:val="en-US"/>
        </w:rPr>
        <w:t xml:space="preserve"> </w:t>
      </w:r>
      <w:r w:rsidR="001D1EB0" w:rsidRPr="001D1EB0">
        <w:rPr>
          <w:rFonts w:ascii="Times New Roman" w:hAnsi="Times New Roman" w:cs="Times New Roman"/>
          <w:sz w:val="24"/>
          <w:szCs w:val="24"/>
          <w:lang w:val="en-US"/>
        </w:rPr>
        <w:t>[3</w:t>
      </w:r>
      <w:r w:rsidR="00EE5228">
        <w:rPr>
          <w:rFonts w:ascii="Times New Roman" w:hAnsi="Times New Roman" w:cs="Times New Roman"/>
          <w:sz w:val="24"/>
          <w:szCs w:val="24"/>
          <w:lang w:val="en-US"/>
        </w:rPr>
        <w:t>9</w:t>
      </w:r>
      <w:r w:rsidR="001D1EB0" w:rsidRPr="001D1EB0">
        <w:rPr>
          <w:rFonts w:ascii="Times New Roman" w:hAnsi="Times New Roman" w:cs="Times New Roman"/>
          <w:sz w:val="24"/>
          <w:szCs w:val="24"/>
          <w:lang w:val="en-US"/>
        </w:rPr>
        <w:t>-4</w:t>
      </w:r>
      <w:r w:rsidR="00EE5228">
        <w:rPr>
          <w:rFonts w:ascii="Times New Roman" w:hAnsi="Times New Roman" w:cs="Times New Roman"/>
          <w:sz w:val="24"/>
          <w:szCs w:val="24"/>
          <w:lang w:val="en-US"/>
        </w:rPr>
        <w:t>4</w:t>
      </w:r>
      <w:r w:rsidR="001D1EB0" w:rsidRPr="001D1EB0">
        <w:rPr>
          <w:rFonts w:ascii="Times New Roman" w:hAnsi="Times New Roman" w:cs="Times New Roman"/>
          <w:sz w:val="24"/>
          <w:szCs w:val="24"/>
          <w:lang w:val="en-US"/>
        </w:rPr>
        <w:t>].</w:t>
      </w:r>
    </w:p>
    <w:p w14:paraId="3B72A5C4" w14:textId="70B82699" w:rsidR="007B77D6" w:rsidRPr="006A6EB6" w:rsidRDefault="00947B41" w:rsidP="00947B41">
      <w:pPr>
        <w:jc w:val="both"/>
        <w:rPr>
          <w:rFonts w:ascii="Times New Roman" w:hAnsi="Times New Roman" w:cs="Times New Roman"/>
          <w:sz w:val="24"/>
          <w:szCs w:val="24"/>
          <w:lang w:val="en-US"/>
        </w:rPr>
      </w:pPr>
      <w:r w:rsidRPr="00947B41">
        <w:rPr>
          <w:rFonts w:ascii="Times New Roman" w:hAnsi="Times New Roman" w:cs="Times New Roman"/>
          <w:sz w:val="24"/>
          <w:szCs w:val="24"/>
          <w:lang w:val="en-US"/>
        </w:rPr>
        <w:t>The literature highlights that leadership impacts technology integration both directly and indirectly. Direct effects include decisions related to policies, infrastructure, and resource allocation, which determine the availability and quality of digital tools. Indirectly, leadership shapes teachers’ attitudes, motivation, and overall readiness for change by cultivating a positive school climate and encouraging innovation. Ultimately, strong leadership is essential for sustaining long-term digital transformation and ensuring meaningful improvements in teaching and learning outcomes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w:t>
      </w:r>
      <w:r w:rsidR="00EE5228">
        <w:rPr>
          <w:rFonts w:ascii="Times New Roman" w:hAnsi="Times New Roman" w:cs="Times New Roman"/>
          <w:sz w:val="24"/>
          <w:szCs w:val="24"/>
          <w:lang w:val="en-US"/>
        </w:rPr>
        <w:t>42</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6</w:t>
      </w:r>
      <w:r w:rsidR="00EE5228" w:rsidRPr="00EE5228">
        <w:rPr>
          <w:rFonts w:ascii="Times New Roman" w:hAnsi="Times New Roman" w:cs="Times New Roman"/>
          <w:sz w:val="24"/>
          <w:szCs w:val="24"/>
          <w:lang w:val="en-US"/>
        </w:rPr>
        <w:t>].</w:t>
      </w:r>
    </w:p>
    <w:p w14:paraId="37A72834" w14:textId="77777777" w:rsidR="00947B41" w:rsidRPr="006A6EB6" w:rsidRDefault="00947B41" w:rsidP="00947B41">
      <w:pPr>
        <w:jc w:val="both"/>
        <w:rPr>
          <w:rFonts w:ascii="Times New Roman" w:hAnsi="Times New Roman" w:cs="Times New Roman"/>
          <w:sz w:val="24"/>
          <w:szCs w:val="24"/>
          <w:lang w:val="en-US"/>
        </w:rPr>
      </w:pPr>
    </w:p>
    <w:p w14:paraId="384E18F6" w14:textId="77777777" w:rsidR="007B77D6" w:rsidRPr="006A6EB6" w:rsidRDefault="007B77D6" w:rsidP="007B77D6">
      <w:pPr>
        <w:jc w:val="both"/>
        <w:rPr>
          <w:rFonts w:ascii="Times New Roman" w:hAnsi="Times New Roman" w:cs="Times New Roman"/>
          <w:b/>
          <w:bCs/>
          <w:sz w:val="24"/>
          <w:szCs w:val="24"/>
          <w:lang w:val="en-US"/>
        </w:rPr>
      </w:pPr>
      <w:r w:rsidRPr="00947B41">
        <w:rPr>
          <w:rFonts w:ascii="Times New Roman" w:hAnsi="Times New Roman" w:cs="Times New Roman"/>
          <w:b/>
          <w:bCs/>
          <w:sz w:val="24"/>
          <w:szCs w:val="24"/>
          <w:lang w:val="en-US"/>
        </w:rPr>
        <w:t>VI. Interrelationship of Core Factors</w:t>
      </w:r>
    </w:p>
    <w:p w14:paraId="3C7C0DB8" w14:textId="77777777" w:rsidR="00D54789" w:rsidRPr="006A6EB6" w:rsidRDefault="00D54789" w:rsidP="007B77D6">
      <w:pPr>
        <w:jc w:val="both"/>
        <w:rPr>
          <w:rFonts w:ascii="Times New Roman" w:hAnsi="Times New Roman" w:cs="Times New Roman"/>
          <w:b/>
          <w:bCs/>
          <w:sz w:val="24"/>
          <w:szCs w:val="24"/>
          <w:lang w:val="en-US"/>
        </w:rPr>
      </w:pPr>
    </w:p>
    <w:p w14:paraId="44D8E699" w14:textId="78EBB426" w:rsidR="00D54789" w:rsidRPr="00D54789"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The integration of artificial intelligence in education cannot be understood in isolation. Rather, it forms part of a broader and dynamic ecosystem that includes both teacher competence and leadership practices. These elements are deeply interconnected, shaping not only how technology is adopted but also how effectively it is used to enhance teaching and learning processes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5</w:t>
      </w:r>
      <w:r w:rsidR="00EE5228" w:rsidRPr="00EE5228">
        <w:rPr>
          <w:rFonts w:ascii="Times New Roman" w:hAnsi="Times New Roman" w:cs="Times New Roman"/>
          <w:sz w:val="24"/>
          <w:szCs w:val="24"/>
          <w:lang w:val="en-US"/>
        </w:rPr>
        <w:t>-46].</w:t>
      </w:r>
    </w:p>
    <w:p w14:paraId="11D4D57E" w14:textId="47D5BE68" w:rsidR="00D54789" w:rsidRPr="006A6EB6"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Within this ecosystem, the interaction between leadership and teacher competence is particularly significant. Leadership plays a crucial role in guiding and supporting teacher development, while teachers act as the primary agents who implement technological innovations in the classroom. At the same time, the introduction of new technologies, such as AI, reshapes educational practices, influencing both instructional strategies and learning outcomes</w:t>
      </w:r>
      <w:r w:rsidR="00EE5228" w:rsidRPr="00EE5228">
        <w:rPr>
          <w:lang w:val="en-US"/>
        </w:rPr>
        <w:t xml:space="preserve"> </w:t>
      </w:r>
      <w:r w:rsidR="00EE5228" w:rsidRPr="00EE5228">
        <w:rPr>
          <w:rFonts w:ascii="Times New Roman" w:hAnsi="Times New Roman" w:cs="Times New Roman"/>
          <w:sz w:val="24"/>
          <w:szCs w:val="24"/>
          <w:lang w:val="en-US"/>
        </w:rPr>
        <w:t>[45-46].</w:t>
      </w:r>
    </w:p>
    <w:p w14:paraId="35EC5A2D" w14:textId="28B6FC4E" w:rsidR="00D54789" w:rsidRPr="006A6EB6"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These elements interact in complex and mutually reinforcing ways. Effective leadership fosters professional growth and encourages experimentation, which in turn strengthens teachers’ ability to integrate technology meaningfully. As teachers become more competent and confident in using digital tools, they contribute to a more innovative and adaptive educational environment, further supporting the overall vision set by leadership</w:t>
      </w:r>
      <w:r w:rsidR="00EE5228" w:rsidRPr="00EE5228">
        <w:rPr>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6</w:t>
      </w:r>
      <w:r w:rsidR="00EE5228" w:rsidRPr="00EE5228">
        <w:rPr>
          <w:rFonts w:ascii="Times New Roman" w:hAnsi="Times New Roman" w:cs="Times New Roman"/>
          <w:sz w:val="24"/>
          <w:szCs w:val="24"/>
          <w:lang w:val="en-US"/>
        </w:rPr>
        <w:t>].</w:t>
      </w:r>
    </w:p>
    <w:p w14:paraId="27205728" w14:textId="4C036A2E" w:rsidR="007B77D6" w:rsidRPr="006A6EB6" w:rsidRDefault="00D54789" w:rsidP="00D54789">
      <w:pPr>
        <w:jc w:val="both"/>
        <w:rPr>
          <w:rFonts w:ascii="Times New Roman" w:hAnsi="Times New Roman" w:cs="Times New Roman"/>
          <w:sz w:val="24"/>
          <w:szCs w:val="24"/>
          <w:lang w:val="en-US"/>
        </w:rPr>
      </w:pPr>
      <w:r w:rsidRPr="00D54789">
        <w:rPr>
          <w:rFonts w:ascii="Times New Roman" w:hAnsi="Times New Roman" w:cs="Times New Roman"/>
          <w:sz w:val="24"/>
          <w:szCs w:val="24"/>
          <w:lang w:val="en-US"/>
        </w:rPr>
        <w:t>This interconnected system highlights the importance of adopting a holistic approach to educational transformation. Policymakers and educational institutions must consider leadership, teacher competence, and technological development as part of a unified strategy. Only through coordinated and systemic efforts can the full potential of AI in education be realized, leading to sustainable and meaningful improvements in teaching and learning</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7</w:t>
      </w:r>
      <w:r w:rsidR="00EE5228" w:rsidRPr="00EE5228">
        <w:rPr>
          <w:rFonts w:ascii="Times New Roman" w:hAnsi="Times New Roman" w:cs="Times New Roman"/>
          <w:sz w:val="24"/>
          <w:szCs w:val="24"/>
          <w:lang w:val="en-US"/>
        </w:rPr>
        <w:t>].</w:t>
      </w:r>
    </w:p>
    <w:p w14:paraId="3D1470CF" w14:textId="77777777" w:rsidR="00D54789" w:rsidRPr="006A6EB6" w:rsidRDefault="00D54789" w:rsidP="00D54789">
      <w:pPr>
        <w:jc w:val="both"/>
        <w:rPr>
          <w:rFonts w:ascii="Times New Roman" w:hAnsi="Times New Roman" w:cs="Times New Roman"/>
          <w:sz w:val="24"/>
          <w:szCs w:val="24"/>
          <w:lang w:val="en-US"/>
        </w:rPr>
      </w:pPr>
    </w:p>
    <w:p w14:paraId="2AD9F041" w14:textId="77777777" w:rsidR="007B77D6" w:rsidRPr="00D54789" w:rsidRDefault="007B77D6" w:rsidP="007B77D6">
      <w:pPr>
        <w:jc w:val="both"/>
        <w:rPr>
          <w:rFonts w:ascii="Times New Roman" w:hAnsi="Times New Roman" w:cs="Times New Roman"/>
          <w:b/>
          <w:bCs/>
          <w:sz w:val="24"/>
          <w:szCs w:val="24"/>
          <w:lang w:val="en-US"/>
        </w:rPr>
      </w:pPr>
      <w:r w:rsidRPr="00D54789">
        <w:rPr>
          <w:rFonts w:ascii="Times New Roman" w:hAnsi="Times New Roman" w:cs="Times New Roman"/>
          <w:b/>
          <w:bCs/>
          <w:sz w:val="24"/>
          <w:szCs w:val="24"/>
          <w:lang w:val="en-US"/>
        </w:rPr>
        <w:t>VII. Discussion</w:t>
      </w:r>
    </w:p>
    <w:p w14:paraId="019D891D" w14:textId="2F49456D" w:rsidR="00981184" w:rsidRPr="00E83EB8"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The findings of this review emphasize that digital transformation in education is fundamentally a human-centered process. While artificial intelligence offers powerful tools and opportunities, its effectiveness ultimately depends on the people who use it and the systems within which it operates. Human factors</w:t>
      </w:r>
      <w:r w:rsidR="00E83EB8" w:rsidRPr="00E83EB8">
        <w:rPr>
          <w:rFonts w:ascii="Times New Roman" w:hAnsi="Times New Roman" w:cs="Times New Roman"/>
          <w:sz w:val="24"/>
          <w:szCs w:val="24"/>
          <w:lang w:val="en-US"/>
        </w:rPr>
        <w:t xml:space="preserve">, </w:t>
      </w:r>
      <w:r w:rsidRPr="00981184">
        <w:rPr>
          <w:rFonts w:ascii="Times New Roman" w:hAnsi="Times New Roman" w:cs="Times New Roman"/>
          <w:sz w:val="24"/>
          <w:szCs w:val="24"/>
          <w:lang w:val="en-US"/>
        </w:rPr>
        <w:t>such as beliefs, skills, and collaboration</w:t>
      </w:r>
      <w:r w:rsidR="00E83EB8" w:rsidRPr="00E83EB8">
        <w:rPr>
          <w:rFonts w:ascii="Times New Roman" w:hAnsi="Times New Roman" w:cs="Times New Roman"/>
          <w:sz w:val="24"/>
          <w:szCs w:val="24"/>
          <w:lang w:val="en-US"/>
        </w:rPr>
        <w:t xml:space="preserve">, </w:t>
      </w:r>
      <w:r w:rsidRPr="00981184">
        <w:rPr>
          <w:rFonts w:ascii="Times New Roman" w:hAnsi="Times New Roman" w:cs="Times New Roman"/>
          <w:sz w:val="24"/>
          <w:szCs w:val="24"/>
          <w:lang w:val="en-US"/>
        </w:rPr>
        <w:t>play a decisive role in determining whether technological innovations lead to meaningful educational improvements</w:t>
      </w:r>
      <w:r w:rsidR="00EE5228" w:rsidRPr="00EE5228">
        <w:rPr>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2</w:t>
      </w:r>
      <w:r w:rsidR="00EE5228" w:rsidRPr="00EE5228">
        <w:rPr>
          <w:rFonts w:ascii="Times New Roman" w:hAnsi="Times New Roman" w:cs="Times New Roman"/>
          <w:sz w:val="24"/>
          <w:szCs w:val="24"/>
          <w:lang w:val="en-US"/>
        </w:rPr>
        <w:t>-46].</w:t>
      </w:r>
    </w:p>
    <w:p w14:paraId="42AB2874" w14:textId="05E8656B" w:rsidR="00981184" w:rsidRPr="006A6EB6"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A critical insight from the literature is that technological readiness alone does not guarantee successful implementation. Educational institutions may possess advanced infrastructure and access to cutting-edge tools, yet still struggle to achieve meaningful integration. This often occurs when leadership is weak or when teachers are not adequately prepared, highlighting the importance of capacity building alongside technological investment</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[42-46].</w:t>
      </w:r>
    </w:p>
    <w:p w14:paraId="7C497371" w14:textId="73537FDA" w:rsidR="00981184" w:rsidRPr="006A6EB6"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Moreover, the review underscores the importance of alignment across different components of the educational system. Successful digital transformation requires coherence between policy frameworks, leadership practices, teacher competence, and the availability of technological resources. When these elements are disconnected or developed in isolation, efforts tend to remain fragmented and are unlikely to produce sustainable or scalable outcomes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[42-46].</w:t>
      </w:r>
    </w:p>
    <w:p w14:paraId="05E2C296" w14:textId="5658A160" w:rsidR="007B77D6" w:rsidRPr="00981184" w:rsidRDefault="00981184" w:rsidP="00981184">
      <w:pPr>
        <w:jc w:val="both"/>
        <w:rPr>
          <w:rFonts w:ascii="Times New Roman" w:hAnsi="Times New Roman" w:cs="Times New Roman"/>
          <w:sz w:val="24"/>
          <w:szCs w:val="24"/>
          <w:lang w:val="en-US"/>
        </w:rPr>
      </w:pPr>
      <w:r w:rsidRPr="00981184">
        <w:rPr>
          <w:rFonts w:ascii="Times New Roman" w:hAnsi="Times New Roman" w:cs="Times New Roman"/>
          <w:sz w:val="24"/>
          <w:szCs w:val="24"/>
          <w:lang w:val="en-US"/>
        </w:rPr>
        <w:t>Finally, the discussion points to the need for a broader shift in educational paradigms. Traditional models of teaching and learning must evolve to reflect new realities shaped by digital technologies and artificial intelligence. This transformation involves adopting more student-centered approaches, promoting critical thinking and creativity, and integrating interdisciplinary skills that prepare learners for complex, real-world challenges in a rapidly changing digital society</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3</w:t>
      </w:r>
      <w:r w:rsidR="00EE5228" w:rsidRPr="00EE5228">
        <w:rPr>
          <w:rFonts w:ascii="Times New Roman" w:hAnsi="Times New Roman" w:cs="Times New Roman"/>
          <w:sz w:val="24"/>
          <w:szCs w:val="24"/>
          <w:lang w:val="en-US"/>
        </w:rPr>
        <w:t>].</w:t>
      </w:r>
    </w:p>
    <w:p w14:paraId="345572C2" w14:textId="77777777" w:rsidR="007B77D6" w:rsidRPr="00524E58" w:rsidRDefault="007B77D6" w:rsidP="007B77D6">
      <w:pPr>
        <w:jc w:val="both"/>
        <w:rPr>
          <w:rFonts w:ascii="Times New Roman" w:hAnsi="Times New Roman" w:cs="Times New Roman"/>
          <w:sz w:val="24"/>
          <w:szCs w:val="24"/>
          <w:lang w:val="en-US"/>
        </w:rPr>
      </w:pPr>
    </w:p>
    <w:p w14:paraId="4D205A36" w14:textId="77777777" w:rsidR="007B77D6" w:rsidRPr="00E83EB8" w:rsidRDefault="007B77D6" w:rsidP="007B77D6">
      <w:pPr>
        <w:jc w:val="both"/>
        <w:rPr>
          <w:rFonts w:ascii="Times New Roman" w:hAnsi="Times New Roman" w:cs="Times New Roman"/>
          <w:b/>
          <w:bCs/>
          <w:sz w:val="24"/>
          <w:szCs w:val="24"/>
          <w:lang w:val="en-US"/>
        </w:rPr>
      </w:pPr>
      <w:r w:rsidRPr="00E83EB8">
        <w:rPr>
          <w:rFonts w:ascii="Times New Roman" w:hAnsi="Times New Roman" w:cs="Times New Roman"/>
          <w:b/>
          <w:bCs/>
          <w:sz w:val="24"/>
          <w:szCs w:val="24"/>
          <w:lang w:val="en-US"/>
        </w:rPr>
        <w:t>VIII. Conclusion</w:t>
      </w:r>
    </w:p>
    <w:p w14:paraId="6D31AC5F" w14:textId="77777777" w:rsidR="007B77D6" w:rsidRPr="00524E58" w:rsidRDefault="007B77D6" w:rsidP="007B77D6">
      <w:pPr>
        <w:jc w:val="both"/>
        <w:rPr>
          <w:rFonts w:ascii="Times New Roman" w:hAnsi="Times New Roman" w:cs="Times New Roman"/>
          <w:sz w:val="24"/>
          <w:szCs w:val="24"/>
          <w:lang w:val="en-US"/>
        </w:rPr>
      </w:pPr>
    </w:p>
    <w:p w14:paraId="5C5CC5BE" w14:textId="13532701" w:rsidR="000A55C8" w:rsidRPr="006A6EB6"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This study provides a comprehensive synthesis of the literature on artificial intelligence, teachers’ digital competence, and transformational leadership in education. The findings highlight the importance of adopting a holistic and integrated approach to digital transformation, where technological innovation is closely connected with human capacity and organizational practices. Such an approach ensures that changes are not superficial but deeply embedded within educational systems</w:t>
      </w:r>
      <w:r w:rsidR="00EE5228" w:rsidRPr="00EE5228">
        <w:rPr>
          <w:lang w:val="en-US"/>
        </w:rPr>
        <w:t xml:space="preserve"> </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6</w:t>
      </w:r>
      <w:r w:rsidR="00EE5228" w:rsidRPr="00EE5228">
        <w:rPr>
          <w:rFonts w:ascii="Times New Roman" w:hAnsi="Times New Roman" w:cs="Times New Roman"/>
          <w:sz w:val="24"/>
          <w:szCs w:val="24"/>
          <w:lang w:val="en-US"/>
        </w:rPr>
        <w:t>-4</w:t>
      </w:r>
      <w:r w:rsidR="00EE5228">
        <w:rPr>
          <w:rFonts w:ascii="Times New Roman" w:hAnsi="Times New Roman" w:cs="Times New Roman"/>
          <w:sz w:val="24"/>
          <w:szCs w:val="24"/>
          <w:lang w:val="en-US"/>
        </w:rPr>
        <w:t>8</w:t>
      </w:r>
      <w:r w:rsidR="00EE5228" w:rsidRPr="00EE5228">
        <w:rPr>
          <w:rFonts w:ascii="Times New Roman" w:hAnsi="Times New Roman" w:cs="Times New Roman"/>
          <w:sz w:val="24"/>
          <w:szCs w:val="24"/>
          <w:lang w:val="en-US"/>
        </w:rPr>
        <w:t>].</w:t>
      </w:r>
    </w:p>
    <w:p w14:paraId="1CC3577F" w14:textId="754C9FED" w:rsidR="000A55C8" w:rsidRPr="006A6EB6"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 xml:space="preserve">The analysis demonstrates that the successful implementation of AI in education depends on the interaction between multiple factors. Teachers must possess the necessary digital competencies to effectively use new technologies, while leaders must create supportive environments that encourage innovation and continuous professional growth. In this context, leadership and teacher development are not separate dimensions </w:t>
      </w:r>
      <w:r w:rsidRPr="000A55C8">
        <w:rPr>
          <w:rFonts w:ascii="Times New Roman" w:hAnsi="Times New Roman" w:cs="Times New Roman"/>
          <w:sz w:val="24"/>
          <w:szCs w:val="24"/>
          <w:lang w:val="en-US"/>
        </w:rPr>
        <w:lastRenderedPageBreak/>
        <w:t>but mutually reinforcing elements that shape the overall success of digital initiatives</w:t>
      </w:r>
      <w:r w:rsidR="00EE5228">
        <w:rPr>
          <w:rFonts w:ascii="Times New Roman" w:hAnsi="Times New Roman" w:cs="Times New Roman"/>
          <w:sz w:val="24"/>
          <w:szCs w:val="24"/>
          <w:lang w:val="en-US"/>
        </w:rPr>
        <w:t xml:space="preserve"> </w:t>
      </w:r>
      <w:r w:rsidR="00EE5228" w:rsidRPr="00EE5228">
        <w:rPr>
          <w:rFonts w:ascii="Times New Roman" w:hAnsi="Times New Roman" w:cs="Times New Roman"/>
          <w:sz w:val="24"/>
          <w:szCs w:val="24"/>
          <w:lang w:val="en-US"/>
        </w:rPr>
        <w:t>[46-48].</w:t>
      </w:r>
    </w:p>
    <w:p w14:paraId="64493133" w14:textId="7B2B3D9D" w:rsidR="000A55C8" w:rsidRPr="006A6EB6"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Furthermore, the study emphasizes that sustainable transformation requires long-term commitment and strategic planning. Educational institutions must invest not only in infrastructure but also in ongoing training, collaboration, and reflective practices. By fostering a culture that values adaptability and learning, schools can better respond to emerging challenges and opportunities associated with technological change</w:t>
      </w:r>
      <w:r w:rsidR="00EE5228" w:rsidRPr="00EE5228">
        <w:rPr>
          <w:rFonts w:ascii="Times New Roman" w:hAnsi="Times New Roman" w:cs="Times New Roman"/>
          <w:sz w:val="24"/>
          <w:szCs w:val="24"/>
          <w:lang w:val="en-US"/>
        </w:rPr>
        <w:t xml:space="preserve"> [48</w:t>
      </w:r>
      <w:r w:rsidR="00EE5228">
        <w:rPr>
          <w:rFonts w:ascii="Times New Roman" w:hAnsi="Times New Roman" w:cs="Times New Roman"/>
          <w:sz w:val="24"/>
          <w:szCs w:val="24"/>
          <w:lang w:val="en-US"/>
        </w:rPr>
        <w:t>-49</w:t>
      </w:r>
      <w:r w:rsidR="00EE5228" w:rsidRPr="00EE5228">
        <w:rPr>
          <w:rFonts w:ascii="Times New Roman" w:hAnsi="Times New Roman" w:cs="Times New Roman"/>
          <w:sz w:val="24"/>
          <w:szCs w:val="24"/>
          <w:lang w:val="en-US"/>
        </w:rPr>
        <w:t>].</w:t>
      </w:r>
    </w:p>
    <w:p w14:paraId="7DC3FCE2" w14:textId="5970FBAF" w:rsidR="007E5962" w:rsidRDefault="000A55C8" w:rsidP="000A55C8">
      <w:pPr>
        <w:jc w:val="both"/>
        <w:rPr>
          <w:rFonts w:ascii="Times New Roman" w:hAnsi="Times New Roman" w:cs="Times New Roman"/>
          <w:sz w:val="24"/>
          <w:szCs w:val="24"/>
          <w:lang w:val="en-US"/>
        </w:rPr>
      </w:pPr>
      <w:r w:rsidRPr="000A55C8">
        <w:rPr>
          <w:rFonts w:ascii="Times New Roman" w:hAnsi="Times New Roman" w:cs="Times New Roman"/>
          <w:sz w:val="24"/>
          <w:szCs w:val="24"/>
          <w:lang w:val="en-US"/>
        </w:rPr>
        <w:t>Ultimately, the future of education depends not only on technological advancements but also on the capacity of educators and leaders to adapt, innovate, and collaborate. By aligning these elements within a coherent framework, educational systems can fully harness the potential of artificial intelligence and create more effective, inclusive, and forward-looking learning environments</w:t>
      </w:r>
      <w:r w:rsidR="00EE5228" w:rsidRPr="00EE5228">
        <w:rPr>
          <w:rFonts w:ascii="Times New Roman" w:hAnsi="Times New Roman" w:cs="Times New Roman"/>
          <w:sz w:val="24"/>
          <w:szCs w:val="24"/>
          <w:lang w:val="en-US"/>
        </w:rPr>
        <w:t xml:space="preserve"> [</w:t>
      </w:r>
      <w:r w:rsidR="00EE5228">
        <w:rPr>
          <w:rFonts w:ascii="Times New Roman" w:hAnsi="Times New Roman" w:cs="Times New Roman"/>
          <w:sz w:val="24"/>
          <w:szCs w:val="24"/>
          <w:lang w:val="en-US"/>
        </w:rPr>
        <w:t>5</w:t>
      </w:r>
      <w:r w:rsidR="00036E0F">
        <w:rPr>
          <w:rFonts w:ascii="Times New Roman" w:hAnsi="Times New Roman" w:cs="Times New Roman"/>
          <w:sz w:val="24"/>
          <w:szCs w:val="24"/>
          <w:lang w:val="en-US"/>
        </w:rPr>
        <w:t>0</w:t>
      </w:r>
      <w:r w:rsidR="00EE5228" w:rsidRPr="00EE5228">
        <w:rPr>
          <w:rFonts w:ascii="Times New Roman" w:hAnsi="Times New Roman" w:cs="Times New Roman"/>
          <w:sz w:val="24"/>
          <w:szCs w:val="24"/>
          <w:lang w:val="en-US"/>
        </w:rPr>
        <w:t>-</w:t>
      </w:r>
      <w:r w:rsidR="00036E0F">
        <w:rPr>
          <w:rFonts w:ascii="Times New Roman" w:hAnsi="Times New Roman" w:cs="Times New Roman"/>
          <w:sz w:val="24"/>
          <w:szCs w:val="24"/>
          <w:lang w:val="en-US"/>
        </w:rPr>
        <w:t>52</w:t>
      </w:r>
      <w:r w:rsidR="00EE5228" w:rsidRPr="00EE5228">
        <w:rPr>
          <w:rFonts w:ascii="Times New Roman" w:hAnsi="Times New Roman" w:cs="Times New Roman"/>
          <w:sz w:val="24"/>
          <w:szCs w:val="24"/>
          <w:lang w:val="en-US"/>
        </w:rPr>
        <w:t>].</w:t>
      </w:r>
    </w:p>
    <w:p w14:paraId="7220FA67" w14:textId="77777777" w:rsidR="00C572DD" w:rsidRDefault="00C572DD" w:rsidP="000A55C8">
      <w:pPr>
        <w:jc w:val="both"/>
        <w:rPr>
          <w:rFonts w:ascii="Times New Roman" w:hAnsi="Times New Roman" w:cs="Times New Roman"/>
          <w:sz w:val="24"/>
          <w:szCs w:val="24"/>
          <w:lang w:val="en-US"/>
        </w:rPr>
      </w:pPr>
    </w:p>
    <w:p w14:paraId="2507DDED" w14:textId="77777777" w:rsidR="00C572DD" w:rsidRDefault="00C572DD" w:rsidP="000A55C8">
      <w:pPr>
        <w:jc w:val="both"/>
        <w:rPr>
          <w:rFonts w:ascii="Times New Roman" w:hAnsi="Times New Roman" w:cs="Times New Roman"/>
          <w:sz w:val="24"/>
          <w:szCs w:val="24"/>
          <w:lang w:val="en-US"/>
        </w:rPr>
      </w:pPr>
    </w:p>
    <w:p w14:paraId="3EF1B893" w14:textId="77777777" w:rsidR="00C572DD" w:rsidRPr="00C572DD" w:rsidRDefault="00C572DD" w:rsidP="00C572DD">
      <w:pPr>
        <w:jc w:val="both"/>
        <w:rPr>
          <w:rFonts w:ascii="Times New Roman" w:hAnsi="Times New Roman" w:cs="Times New Roman"/>
          <w:sz w:val="24"/>
          <w:szCs w:val="24"/>
          <w:lang w:val="en-US"/>
        </w:rPr>
      </w:pPr>
    </w:p>
    <w:p w14:paraId="5A42BB7D" w14:textId="77777777" w:rsidR="00C572DD" w:rsidRP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COMPETING INTERESTS DISCLAIMER</w:t>
      </w:r>
    </w:p>
    <w:p w14:paraId="4D1F8D51" w14:textId="77777777" w:rsidR="00C572DD" w:rsidRP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4E7D2D46" w14:textId="77777777" w:rsidR="00C572DD" w:rsidRPr="00C572DD" w:rsidRDefault="00C572DD" w:rsidP="00C572DD">
      <w:pPr>
        <w:jc w:val="both"/>
        <w:rPr>
          <w:rFonts w:ascii="Times New Roman" w:hAnsi="Times New Roman" w:cs="Times New Roman"/>
          <w:sz w:val="24"/>
          <w:szCs w:val="24"/>
          <w:lang w:val="en-US"/>
        </w:rPr>
      </w:pPr>
    </w:p>
    <w:p w14:paraId="333EAFE5" w14:textId="77777777" w:rsidR="00C572DD" w:rsidRP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Disclaimer (Artificial intelligence)</w:t>
      </w:r>
    </w:p>
    <w:p w14:paraId="6D959A7A" w14:textId="06EEB964" w:rsidR="00C572DD" w:rsidRDefault="00C572DD" w:rsidP="00C572DD">
      <w:pPr>
        <w:jc w:val="both"/>
        <w:rPr>
          <w:rFonts w:ascii="Times New Roman" w:hAnsi="Times New Roman" w:cs="Times New Roman"/>
          <w:sz w:val="24"/>
          <w:szCs w:val="24"/>
          <w:lang w:val="en-US"/>
        </w:rPr>
      </w:pPr>
      <w:r w:rsidRPr="00C572DD">
        <w:rPr>
          <w:rFonts w:ascii="Times New Roman" w:hAnsi="Times New Roman" w:cs="Times New Roman"/>
          <w:sz w:val="24"/>
          <w:szCs w:val="24"/>
          <w:lang w:val="en-US"/>
        </w:rPr>
        <w:t>Author(s) hereby declare that NO generative AI technologies such as Large Language Models (ChatGPT, COPILOT, etc.) and text-to-image generators have been used during the writing or editing of this manuscript.</w:t>
      </w:r>
    </w:p>
    <w:p w14:paraId="2AF088D9" w14:textId="77777777" w:rsidR="006A6EB6" w:rsidRDefault="006A6EB6" w:rsidP="000A55C8">
      <w:pPr>
        <w:jc w:val="both"/>
        <w:rPr>
          <w:rFonts w:ascii="Times New Roman" w:hAnsi="Times New Roman" w:cs="Times New Roman"/>
          <w:b/>
          <w:bCs/>
          <w:sz w:val="24"/>
          <w:szCs w:val="24"/>
          <w:lang w:val="en-US"/>
        </w:rPr>
      </w:pPr>
    </w:p>
    <w:p w14:paraId="2F9EB99C" w14:textId="170B3DC9" w:rsidR="004C07F6" w:rsidRPr="004C07F6" w:rsidRDefault="006A6EB6" w:rsidP="004C07F6">
      <w:pPr>
        <w:jc w:val="both"/>
        <w:rPr>
          <w:rFonts w:ascii="Times New Roman" w:hAnsi="Times New Roman" w:cs="Times New Roman"/>
          <w:b/>
          <w:bCs/>
          <w:sz w:val="24"/>
          <w:szCs w:val="24"/>
          <w:lang w:val="en-US"/>
        </w:rPr>
      </w:pPr>
      <w:r w:rsidRPr="006A6EB6">
        <w:rPr>
          <w:rFonts w:ascii="Times New Roman" w:hAnsi="Times New Roman" w:cs="Times New Roman"/>
          <w:b/>
          <w:bCs/>
          <w:sz w:val="24"/>
          <w:szCs w:val="24"/>
          <w:lang w:val="en-US"/>
        </w:rPr>
        <w:t>References</w:t>
      </w:r>
    </w:p>
    <w:p w14:paraId="77436013" w14:textId="77777777" w:rsidR="004C07F6" w:rsidRPr="004C07F6" w:rsidRDefault="004C07F6" w:rsidP="004C07F6">
      <w:pPr>
        <w:jc w:val="both"/>
        <w:rPr>
          <w:rFonts w:ascii="Times New Roman" w:hAnsi="Times New Roman" w:cs="Times New Roman"/>
          <w:b/>
          <w:bCs/>
          <w:sz w:val="24"/>
          <w:szCs w:val="24"/>
          <w:lang w:val="en-US"/>
        </w:rPr>
      </w:pPr>
    </w:p>
    <w:p w14:paraId="6EC9A0E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w:t>
      </w:r>
      <w:r w:rsidRPr="004C07F6">
        <w:rPr>
          <w:rFonts w:ascii="Times New Roman" w:hAnsi="Times New Roman" w:cs="Times New Roman"/>
          <w:sz w:val="24"/>
          <w:szCs w:val="24"/>
          <w:lang w:val="en-US"/>
        </w:rPr>
        <w:tab/>
        <w:t xml:space="preserve">Giotopoulos, K. (2024). A systematic review in digital entrepreneurship ecosystems.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Social Sciences Journal, 61(1), 279–297. https://doi.org/10.47577/tssj.v61i1.11562</w:t>
      </w:r>
    </w:p>
    <w:p w14:paraId="482E9C4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w:t>
      </w:r>
      <w:r w:rsidRPr="004C07F6">
        <w:rPr>
          <w:rFonts w:ascii="Times New Roman" w:hAnsi="Times New Roman" w:cs="Times New Roman"/>
          <w:sz w:val="24"/>
          <w:szCs w:val="24"/>
          <w:lang w:val="en-US"/>
        </w:rPr>
        <w:tab/>
        <w:t xml:space="preserve">Antonopoulou, H. (2024). </w:t>
      </w:r>
      <w:proofErr w:type="spellStart"/>
      <w:r w:rsidRPr="004C07F6">
        <w:rPr>
          <w:rFonts w:ascii="Times New Roman" w:hAnsi="Times New Roman" w:cs="Times New Roman"/>
          <w:sz w:val="24"/>
          <w:szCs w:val="24"/>
          <w:lang w:val="en-US"/>
        </w:rPr>
        <w:t>Neuroleadership</w:t>
      </w:r>
      <w:proofErr w:type="spellEnd"/>
      <w:r w:rsidRPr="004C07F6">
        <w:rPr>
          <w:rFonts w:ascii="Times New Roman" w:hAnsi="Times New Roman" w:cs="Times New Roman"/>
          <w:sz w:val="24"/>
          <w:szCs w:val="24"/>
          <w:lang w:val="en-US"/>
        </w:rPr>
        <w:t xml:space="preserve"> and Its Role in Educational Settings: A Review of Current Practices.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10, 143–154. https://doi.org/10.47577/teh.v10i.11976</w:t>
      </w:r>
    </w:p>
    <w:p w14:paraId="3F2D3777"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w:t>
      </w:r>
      <w:r w:rsidRPr="004C07F6">
        <w:rPr>
          <w:rFonts w:ascii="Times New Roman" w:hAnsi="Times New Roman" w:cs="Times New Roman"/>
          <w:sz w:val="24"/>
          <w:szCs w:val="24"/>
          <w:lang w:val="en-US"/>
        </w:rPr>
        <w:tab/>
        <w:t xml:space="preserve">Antonopoulou, H. (2024). The Role of Gamification in Enhancing Cognitive and Neuropsychological Learning: A Review. Tech. </w:t>
      </w:r>
      <w:proofErr w:type="spellStart"/>
      <w:r w:rsidRPr="004C07F6">
        <w:rPr>
          <w:rFonts w:ascii="Times New Roman" w:hAnsi="Times New Roman" w:cs="Times New Roman"/>
          <w:sz w:val="24"/>
          <w:szCs w:val="24"/>
          <w:lang w:val="en-US"/>
        </w:rPr>
        <w:t>BioChemMed</w:t>
      </w:r>
      <w:proofErr w:type="spellEnd"/>
      <w:r w:rsidRPr="004C07F6">
        <w:rPr>
          <w:rFonts w:ascii="Times New Roman" w:hAnsi="Times New Roman" w:cs="Times New Roman"/>
          <w:sz w:val="24"/>
          <w:szCs w:val="24"/>
          <w:lang w:val="en-US"/>
        </w:rPr>
        <w:t>, 11, 45–46.</w:t>
      </w:r>
    </w:p>
    <w:p w14:paraId="44B59F8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4.</w:t>
      </w:r>
      <w:r w:rsidRPr="004C07F6">
        <w:rPr>
          <w:rFonts w:ascii="Times New Roman" w:hAnsi="Times New Roman" w:cs="Times New Roman"/>
          <w:sz w:val="24"/>
          <w:szCs w:val="24"/>
          <w:lang w:val="en-US"/>
        </w:rPr>
        <w:tab/>
        <w:t>Black, P., &amp;amp; Wiliam, D. (2009). Developing the theory of formative assessment. Educational Assessment, Evaluation and Accountability, 21(1), 5–31. https://doi.org/10.1007/s11092-008-9068-5</w:t>
      </w:r>
    </w:p>
    <w:p w14:paraId="06B4F87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w:t>
      </w:r>
      <w:r w:rsidRPr="004C07F6">
        <w:rPr>
          <w:rFonts w:ascii="Times New Roman" w:hAnsi="Times New Roman" w:cs="Times New Roman"/>
          <w:sz w:val="24"/>
          <w:szCs w:val="24"/>
          <w:lang w:val="en-US"/>
        </w:rPr>
        <w:tab/>
        <w:t>Bond, M., Zawacki-Richter, O., &amp;amp; Nichols, M. (2020). Revisiting five decades of educational technology research. British Journal of Educational Technology, 51(4), 1131–1148.https://doi.org/10.1111/bjet.12921</w:t>
      </w:r>
    </w:p>
    <w:p w14:paraId="67AC0C6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6.</w:t>
      </w:r>
      <w:r w:rsidRPr="004C07F6">
        <w:rPr>
          <w:rFonts w:ascii="Times New Roman" w:hAnsi="Times New Roman" w:cs="Times New Roman"/>
          <w:sz w:val="24"/>
          <w:szCs w:val="24"/>
          <w:lang w:val="en-US"/>
        </w:rPr>
        <w:tab/>
        <w:t>Dede, C., Richards, J., &amp;amp; Saxberg, B. (2019). Learning engineering for online education. Educational Technology, 59(2), 13–21. https://doi.org/10.1007/978-3-030-11212-1</w:t>
      </w:r>
    </w:p>
    <w:p w14:paraId="4E65715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7.</w:t>
      </w:r>
      <w:r w:rsidRPr="004C07F6">
        <w:rPr>
          <w:rFonts w:ascii="Times New Roman" w:hAnsi="Times New Roman" w:cs="Times New Roman"/>
          <w:sz w:val="24"/>
          <w:szCs w:val="24"/>
          <w:lang w:val="en-US"/>
        </w:rPr>
        <w:tab/>
        <w:t>Ertmer, P. A., &amp;amp; Ottenbreit-Leftwich, A. T. (2013). Teacher technology change. Journal of Research on Technology in Education, 45(3), 255–284. https://doi.org/10.1080/15391523.2012.10782536</w:t>
      </w:r>
    </w:p>
    <w:p w14:paraId="24BAC65E"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8.</w:t>
      </w:r>
      <w:r w:rsidRPr="004C07F6">
        <w:rPr>
          <w:rFonts w:ascii="Times New Roman" w:hAnsi="Times New Roman" w:cs="Times New Roman"/>
          <w:sz w:val="24"/>
          <w:szCs w:val="24"/>
          <w:lang w:val="en-US"/>
        </w:rPr>
        <w:tab/>
        <w:t>Florian, L., &amp;amp; Black-Hawkins, K. (2011). Exploring inclusive pedagogy. Cambridge Journal of Education, 41 (4), 441–459. https://doi.org/10.1080/0305764X.2011.618205</w:t>
      </w:r>
    </w:p>
    <w:p w14:paraId="2C58C5D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9.</w:t>
      </w:r>
      <w:r w:rsidRPr="004C07F6">
        <w:rPr>
          <w:rFonts w:ascii="Times New Roman" w:hAnsi="Times New Roman" w:cs="Times New Roman"/>
          <w:sz w:val="24"/>
          <w:szCs w:val="24"/>
          <w:lang w:val="en-US"/>
        </w:rPr>
        <w:tab/>
        <w:t>Gee, J. P. (2007). What video games have to teach us about learning and literacy. Palgrave Macmillan. https://doi.org/10.1057/9780230601994</w:t>
      </w:r>
    </w:p>
    <w:p w14:paraId="64AB6E39"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10.</w:t>
      </w:r>
      <w:r w:rsidRPr="004C07F6">
        <w:rPr>
          <w:rFonts w:ascii="Times New Roman" w:hAnsi="Times New Roman" w:cs="Times New Roman"/>
          <w:sz w:val="24"/>
          <w:szCs w:val="24"/>
          <w:lang w:val="en-US"/>
        </w:rPr>
        <w:tab/>
        <w:t xml:space="preserve">Giotopoulos, K. C., Michalopoulos, D., </w:t>
      </w:r>
      <w:proofErr w:type="spellStart"/>
      <w:r w:rsidRPr="004C07F6">
        <w:rPr>
          <w:rFonts w:ascii="Times New Roman" w:hAnsi="Times New Roman" w:cs="Times New Roman"/>
          <w:sz w:val="24"/>
          <w:szCs w:val="24"/>
          <w:lang w:val="en-US"/>
        </w:rPr>
        <w:t>Vonitsanos</w:t>
      </w:r>
      <w:proofErr w:type="spellEnd"/>
      <w:r w:rsidRPr="004C07F6">
        <w:rPr>
          <w:rFonts w:ascii="Times New Roman" w:hAnsi="Times New Roman" w:cs="Times New Roman"/>
          <w:sz w:val="24"/>
          <w:szCs w:val="24"/>
          <w:lang w:val="en-US"/>
        </w:rPr>
        <w:t xml:space="preserve">, G., Papadopoulos, D., </w:t>
      </w:r>
      <w:proofErr w:type="spellStart"/>
      <w:r w:rsidRPr="004C07F6">
        <w:rPr>
          <w:rFonts w:ascii="Times New Roman" w:hAnsi="Times New Roman" w:cs="Times New Roman"/>
          <w:sz w:val="24"/>
          <w:szCs w:val="24"/>
          <w:lang w:val="en-US"/>
        </w:rPr>
        <w:t>Giannoukou</w:t>
      </w:r>
      <w:proofErr w:type="spellEnd"/>
      <w:r w:rsidRPr="004C07F6">
        <w:rPr>
          <w:rFonts w:ascii="Times New Roman" w:hAnsi="Times New Roman" w:cs="Times New Roman"/>
          <w:sz w:val="24"/>
          <w:szCs w:val="24"/>
          <w:lang w:val="en-US"/>
        </w:rPr>
        <w:t xml:space="preserve">, I., &amp; </w:t>
      </w:r>
      <w:proofErr w:type="spellStart"/>
      <w:r w:rsidRPr="004C07F6">
        <w:rPr>
          <w:rFonts w:ascii="Times New Roman" w:hAnsi="Times New Roman" w:cs="Times New Roman"/>
          <w:sz w:val="24"/>
          <w:szCs w:val="24"/>
          <w:lang w:val="en-US"/>
        </w:rPr>
        <w:t>Sioutas</w:t>
      </w:r>
      <w:proofErr w:type="spellEnd"/>
      <w:r w:rsidRPr="004C07F6">
        <w:rPr>
          <w:rFonts w:ascii="Times New Roman" w:hAnsi="Times New Roman" w:cs="Times New Roman"/>
          <w:sz w:val="24"/>
          <w:szCs w:val="24"/>
          <w:lang w:val="en-US"/>
        </w:rPr>
        <w:t>, S. (2024). Dynamic workload management system in the public sector. Information, 15(6), 335. https://doi.org/10.3390/info15060335</w:t>
      </w:r>
    </w:p>
    <w:p w14:paraId="1FB070BA"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11.</w:t>
      </w:r>
      <w:r w:rsidRPr="004C07F6">
        <w:rPr>
          <w:rFonts w:ascii="Times New Roman" w:hAnsi="Times New Roman" w:cs="Times New Roman"/>
          <w:sz w:val="24"/>
          <w:szCs w:val="24"/>
          <w:lang w:val="en-US"/>
        </w:rPr>
        <w:tab/>
        <w:t xml:space="preserve">Giotopoulos, K., </w:t>
      </w:r>
      <w:proofErr w:type="spellStart"/>
      <w:r w:rsidRPr="004C07F6">
        <w:rPr>
          <w:rFonts w:ascii="Times New Roman" w:hAnsi="Times New Roman" w:cs="Times New Roman"/>
          <w:sz w:val="24"/>
          <w:szCs w:val="24"/>
          <w:lang w:val="en-US"/>
        </w:rPr>
        <w:t>Halkiopoulos</w:t>
      </w:r>
      <w:proofErr w:type="spellEnd"/>
      <w:r w:rsidRPr="004C07F6">
        <w:rPr>
          <w:rFonts w:ascii="Times New Roman" w:hAnsi="Times New Roman" w:cs="Times New Roman"/>
          <w:sz w:val="24"/>
          <w:szCs w:val="24"/>
          <w:lang w:val="en-US"/>
        </w:rPr>
        <w:t>, C., Papadopoulos, D., &amp; Antonopoulou, H. (2019). Towards Bring Your Own Device marketing policy. International Journal of Technology Marketing, 13(2), 156–164.</w:t>
      </w:r>
    </w:p>
    <w:p w14:paraId="4EE15840"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12.</w:t>
      </w:r>
      <w:r w:rsidRPr="004C07F6">
        <w:rPr>
          <w:rFonts w:ascii="Times New Roman" w:hAnsi="Times New Roman" w:cs="Times New Roman"/>
          <w:sz w:val="24"/>
          <w:szCs w:val="24"/>
          <w:lang w:val="en-US"/>
        </w:rPr>
        <w:tab/>
        <w:t>Hamari, J., Koivisto, J., &amp;amp; Sarsa, H. (2016). Does gamification work? Computers in Human Behavior, 54, 170–179. https://doi.org/10.1016/j.chb.2015.07.047</w:t>
      </w:r>
    </w:p>
    <w:p w14:paraId="3603706F"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13.</w:t>
      </w:r>
      <w:r w:rsidRPr="004C07F6">
        <w:rPr>
          <w:rFonts w:ascii="Times New Roman" w:hAnsi="Times New Roman" w:cs="Times New Roman"/>
          <w:sz w:val="24"/>
          <w:szCs w:val="24"/>
          <w:lang w:val="en-US"/>
        </w:rPr>
        <w:tab/>
        <w:t>Hattie, J. (2017). Visible learning. Routledge. https://doi.org/10.4324/9781315709133</w:t>
      </w:r>
    </w:p>
    <w:p w14:paraId="3CFD1C5B"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14.</w:t>
      </w:r>
      <w:r w:rsidRPr="004C07F6">
        <w:rPr>
          <w:rFonts w:ascii="Times New Roman" w:hAnsi="Times New Roman" w:cs="Times New Roman"/>
          <w:sz w:val="24"/>
          <w:szCs w:val="24"/>
          <w:lang w:val="en-US"/>
        </w:rPr>
        <w:tab/>
        <w:t>Holmes, W., Bialik, M., &amp;amp; Fadel, C. (2019). Artificial intelligence in education. OECD Publishing. https://doi.org/10.1787/9789264316149-en</w:t>
      </w:r>
    </w:p>
    <w:p w14:paraId="55359437"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15.</w:t>
      </w:r>
      <w:r w:rsidRPr="004C07F6">
        <w:rPr>
          <w:rFonts w:ascii="Times New Roman" w:hAnsi="Times New Roman" w:cs="Times New Roman"/>
          <w:sz w:val="24"/>
          <w:szCs w:val="24"/>
          <w:lang w:val="en-US"/>
        </w:rPr>
        <w:tab/>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xml:space="preserve">, I., &amp; Antonopoulou, H. (2024). Behavioral Insights into Shopping Addiction: Emotional and Cognitive Drivers.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Romanian Journal of Applied Sciences and Technology, 24, 103–120. https://doi.org/10.47577/technium.v24i.11972</w:t>
      </w:r>
    </w:p>
    <w:p w14:paraId="0383F4E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16.</w:t>
      </w:r>
      <w:r w:rsidRPr="004C07F6">
        <w:rPr>
          <w:rFonts w:ascii="Times New Roman" w:hAnsi="Times New Roman" w:cs="Times New Roman"/>
          <w:sz w:val="24"/>
          <w:szCs w:val="24"/>
          <w:lang w:val="en-US"/>
        </w:rPr>
        <w:tab/>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xml:space="preserve">, I., &amp; Antonopoulou, H. (2025). The influence of emotional intelligence on consumer decision-making: Insights from recent studies.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 Sci. J., 67, 451.</w:t>
      </w:r>
    </w:p>
    <w:p w14:paraId="7857CDA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17.</w:t>
      </w:r>
      <w:r w:rsidRPr="004C07F6">
        <w:rPr>
          <w:rFonts w:ascii="Times New Roman" w:hAnsi="Times New Roman" w:cs="Times New Roman"/>
          <w:sz w:val="24"/>
          <w:szCs w:val="24"/>
          <w:lang w:val="en-US"/>
        </w:rPr>
        <w:tab/>
        <w:t>Kalogeratos, G., &amp; Pierrakeas, C. (2021). The COVID-19 pandemic as a reason for accelerating the transformation of the Greek primary school into a learning organization. In EDULEARN21 Proceedings (pp. 10333–10340). IATED.</w:t>
      </w:r>
    </w:p>
    <w:p w14:paraId="5B78C02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18.</w:t>
      </w:r>
      <w:r w:rsidRPr="004C07F6">
        <w:rPr>
          <w:rFonts w:ascii="Times New Roman" w:hAnsi="Times New Roman" w:cs="Times New Roman"/>
          <w:sz w:val="24"/>
          <w:szCs w:val="24"/>
          <w:lang w:val="en-US"/>
        </w:rPr>
        <w:tab/>
        <w:t xml:space="preserve">Kalogeratos, G., &amp; Pierrakeas, C. (2024). Use of learning theories and visual programming (scratch) in education.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10, 41–54. https://doi.org/10.47577/teh.v10i.11688</w:t>
      </w:r>
    </w:p>
    <w:p w14:paraId="426F8AA1"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19.</w:t>
      </w:r>
      <w:r w:rsidRPr="004C07F6">
        <w:rPr>
          <w:rFonts w:ascii="Times New Roman" w:hAnsi="Times New Roman" w:cs="Times New Roman"/>
          <w:sz w:val="24"/>
          <w:szCs w:val="24"/>
          <w:lang w:val="en-US"/>
        </w:rPr>
        <w:tab/>
        <w:t>Kalogeratos, G., Alexandropoulou, A., &amp; Pierrakeas, C. (2023, July). Digital and socio-emotional benefits of the students and the teachers from the implementation of a STEAM education project. In 2023 14th International Conference on Information, Intelligence, Systems &amp; Applications (IISA) (pp. 1–8). IEEE.</w:t>
      </w:r>
    </w:p>
    <w:p w14:paraId="4C2617C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20.</w:t>
      </w:r>
      <w:r w:rsidRPr="004C07F6">
        <w:rPr>
          <w:rFonts w:ascii="Times New Roman" w:hAnsi="Times New Roman" w:cs="Times New Roman"/>
          <w:sz w:val="24"/>
          <w:szCs w:val="24"/>
          <w:lang w:val="en-US"/>
        </w:rPr>
        <w:tab/>
        <w:t xml:space="preserve">Kalogeratos, G., Anastasopoulou, E., &amp; Pierrakeas, C. (2024). </w:t>
      </w:r>
      <w:proofErr w:type="spellStart"/>
      <w:r w:rsidRPr="004C07F6">
        <w:rPr>
          <w:rFonts w:ascii="Times New Roman" w:hAnsi="Times New Roman" w:cs="Times New Roman"/>
          <w:sz w:val="24"/>
          <w:szCs w:val="24"/>
          <w:lang w:val="en-US"/>
        </w:rPr>
        <w:t>Myschool</w:t>
      </w:r>
      <w:proofErr w:type="spellEnd"/>
      <w:r w:rsidRPr="004C07F6">
        <w:rPr>
          <w:rFonts w:ascii="Times New Roman" w:hAnsi="Times New Roman" w:cs="Times New Roman"/>
          <w:sz w:val="24"/>
          <w:szCs w:val="24"/>
          <w:lang w:val="en-US"/>
        </w:rPr>
        <w:t>: The key role of the information system in the Greek public school. A case study on the prefecture of Achaia. In EDULEARN24 Proceedings (pp. 9700–9706). IATED.</w:t>
      </w:r>
    </w:p>
    <w:p w14:paraId="6C6A3C1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21.</w:t>
      </w:r>
      <w:r w:rsidRPr="004C07F6">
        <w:rPr>
          <w:rFonts w:ascii="Times New Roman" w:hAnsi="Times New Roman" w:cs="Times New Roman"/>
          <w:sz w:val="24"/>
          <w:szCs w:val="24"/>
          <w:lang w:val="en-US"/>
        </w:rPr>
        <w:tab/>
        <w:t>Kalogeratos, G., Anastasopoulou, E., &amp; Pierrakeas, C. (2024). Novel technologies using educational scenarios for elementary school and kindergarten students. EDULEARN24 Proceedings, 9682–9693.</w:t>
      </w:r>
    </w:p>
    <w:p w14:paraId="428F937F"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22.</w:t>
      </w:r>
      <w:r w:rsidRPr="004C07F6">
        <w:rPr>
          <w:rFonts w:ascii="Times New Roman" w:hAnsi="Times New Roman" w:cs="Times New Roman"/>
          <w:sz w:val="24"/>
          <w:szCs w:val="24"/>
          <w:lang w:val="en-US"/>
        </w:rPr>
        <w:tab/>
        <w:t xml:space="preserve">Kalogeratos, G., Anastasopoulou, E., </w:t>
      </w:r>
      <w:proofErr w:type="spellStart"/>
      <w:r w:rsidRPr="004C07F6">
        <w:rPr>
          <w:rFonts w:ascii="Times New Roman" w:hAnsi="Times New Roman" w:cs="Times New Roman"/>
          <w:sz w:val="24"/>
          <w:szCs w:val="24"/>
          <w:lang w:val="en-US"/>
        </w:rPr>
        <w:t>Stavrogiannopoulos</w:t>
      </w:r>
      <w:proofErr w:type="spellEnd"/>
      <w:r w:rsidRPr="004C07F6">
        <w:rPr>
          <w:rFonts w:ascii="Times New Roman" w:hAnsi="Times New Roman" w:cs="Times New Roman"/>
          <w:sz w:val="24"/>
          <w:szCs w:val="24"/>
          <w:lang w:val="en-US"/>
        </w:rPr>
        <w:t xml:space="preserve">, A., Tsagri, A., Tsogka, D., &amp; Lourida, K. (2023). Enhancing emotional intelligence in pervasive developmental disorders: The autism paradigm.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6, 61–69.</w:t>
      </w:r>
    </w:p>
    <w:p w14:paraId="191A4CE0"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23.</w:t>
      </w:r>
      <w:r w:rsidRPr="004C07F6">
        <w:rPr>
          <w:rFonts w:ascii="Times New Roman" w:hAnsi="Times New Roman" w:cs="Times New Roman"/>
          <w:sz w:val="24"/>
          <w:szCs w:val="24"/>
          <w:lang w:val="en-US"/>
        </w:rPr>
        <w:tab/>
        <w:t xml:space="preserve">Kalogeratos, G., Anastasopoulou, E., Tsagri, A., Tseremegklis, C., &amp; </w:t>
      </w:r>
      <w:proofErr w:type="spellStart"/>
      <w:r w:rsidRPr="004C07F6">
        <w:rPr>
          <w:rFonts w:ascii="Times New Roman" w:hAnsi="Times New Roman" w:cs="Times New Roman"/>
          <w:sz w:val="24"/>
          <w:szCs w:val="24"/>
          <w:lang w:val="en-US"/>
        </w:rPr>
        <w:t>Kriparopoulou</w:t>
      </w:r>
      <w:proofErr w:type="spellEnd"/>
      <w:r w:rsidRPr="004C07F6">
        <w:rPr>
          <w:rFonts w:ascii="Times New Roman" w:hAnsi="Times New Roman" w:cs="Times New Roman"/>
          <w:sz w:val="24"/>
          <w:szCs w:val="24"/>
          <w:lang w:val="en-US"/>
        </w:rPr>
        <w:t xml:space="preserve">, A. (2024). </w:t>
      </w:r>
      <w:proofErr w:type="spellStart"/>
      <w:r w:rsidRPr="004C07F6">
        <w:rPr>
          <w:rFonts w:ascii="Times New Roman" w:hAnsi="Times New Roman" w:cs="Times New Roman"/>
          <w:sz w:val="24"/>
          <w:szCs w:val="24"/>
          <w:lang w:val="en-US"/>
        </w:rPr>
        <w:t>Psychotraumatic</w:t>
      </w:r>
      <w:proofErr w:type="spellEnd"/>
      <w:r w:rsidRPr="004C07F6">
        <w:rPr>
          <w:rFonts w:ascii="Times New Roman" w:hAnsi="Times New Roman" w:cs="Times New Roman"/>
          <w:sz w:val="24"/>
          <w:szCs w:val="24"/>
          <w:lang w:val="en-US"/>
        </w:rPr>
        <w:t xml:space="preserve"> childhood experiences and anxiety in educational settings.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7, 29–41.</w:t>
      </w:r>
    </w:p>
    <w:p w14:paraId="2103E9C5"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24.</w:t>
      </w:r>
      <w:r w:rsidRPr="004C07F6">
        <w:rPr>
          <w:rFonts w:ascii="Times New Roman" w:hAnsi="Times New Roman" w:cs="Times New Roman"/>
          <w:sz w:val="24"/>
          <w:szCs w:val="24"/>
          <w:lang w:val="en-US"/>
        </w:rPr>
        <w:tab/>
        <w:t xml:space="preserve">Kalogeratos, G., Anastasopoulou, E., Tsagri, A., Tseremegklis, C., &amp; Asimakopoulou, S. (2023). Interpersonal skills with a focus on creativity in attention deficit hyperactivity disorder.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 Sci. J., 52, 197.</w:t>
      </w:r>
    </w:p>
    <w:p w14:paraId="2E2BED7B"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25.</w:t>
      </w:r>
      <w:r w:rsidRPr="004C07F6">
        <w:rPr>
          <w:rFonts w:ascii="Times New Roman" w:hAnsi="Times New Roman" w:cs="Times New Roman"/>
          <w:sz w:val="24"/>
          <w:szCs w:val="24"/>
          <w:lang w:val="en-US"/>
        </w:rPr>
        <w:tab/>
        <w:t xml:space="preserve">Kalogeratos, G., Anastasopoulou, E., Tsagri, A., Tseremegklis, C., Tsogka, D., Lourida, K., &amp; Drongitis, A. (2024). Adolescent Trauma and Impact of the COVID-19 Pandemic in the School Context.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 Sci. J., 55, 262.</w:t>
      </w:r>
    </w:p>
    <w:p w14:paraId="6642430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26.</w:t>
      </w:r>
      <w:r w:rsidRPr="004C07F6">
        <w:rPr>
          <w:rFonts w:ascii="Times New Roman" w:hAnsi="Times New Roman" w:cs="Times New Roman"/>
          <w:sz w:val="24"/>
          <w:szCs w:val="24"/>
          <w:lang w:val="en-US"/>
        </w:rPr>
        <w:tab/>
        <w:t xml:space="preserve">Kalogeratos, G., Anastasopoulou, E., Tseremegklis, C., &amp; </w:t>
      </w:r>
      <w:proofErr w:type="spellStart"/>
      <w:r w:rsidRPr="004C07F6">
        <w:rPr>
          <w:rFonts w:ascii="Times New Roman" w:hAnsi="Times New Roman" w:cs="Times New Roman"/>
          <w:sz w:val="24"/>
          <w:szCs w:val="24"/>
          <w:lang w:val="en-US"/>
        </w:rPr>
        <w:t>Avramidi</w:t>
      </w:r>
      <w:proofErr w:type="spellEnd"/>
      <w:r w:rsidRPr="004C07F6">
        <w:rPr>
          <w:rFonts w:ascii="Times New Roman" w:hAnsi="Times New Roman" w:cs="Times New Roman"/>
          <w:sz w:val="24"/>
          <w:szCs w:val="24"/>
          <w:lang w:val="en-US"/>
        </w:rPr>
        <w:t xml:space="preserve">, E. (2024). Enhancing quality of life for caregivers of adolescents with emotional disorders through digital skills.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Education and Humanities, 8, 58–77.</w:t>
      </w:r>
    </w:p>
    <w:p w14:paraId="171237F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27.</w:t>
      </w:r>
      <w:r w:rsidRPr="004C07F6">
        <w:rPr>
          <w:rFonts w:ascii="Times New Roman" w:hAnsi="Times New Roman" w:cs="Times New Roman"/>
          <w:sz w:val="24"/>
          <w:szCs w:val="24"/>
          <w:lang w:val="en-US"/>
        </w:rPr>
        <w:tab/>
        <w:t>Kalogeratos, G., Gkekas, K., Tseremegklis, C., Anastasopoulou, E., &amp; Pierrakeas, C. (2024). The contribution of Erasmus+ KA2 to improvement of educational work: The case of the school units of the region of Western Greece. In ICERI2024 Proceedings (pp. 4258–4263). IATED.</w:t>
      </w:r>
    </w:p>
    <w:p w14:paraId="30FAB39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28.</w:t>
      </w:r>
      <w:r w:rsidRPr="004C07F6">
        <w:rPr>
          <w:rFonts w:ascii="Times New Roman" w:hAnsi="Times New Roman" w:cs="Times New Roman"/>
          <w:sz w:val="24"/>
          <w:szCs w:val="24"/>
          <w:lang w:val="en-US"/>
        </w:rPr>
        <w:tab/>
        <w:t>Kalogeratos, G., Lourida, K., Anastasopoulou, E., Tsogka, D., &amp; Pierrakeas, C. (2024). Information systems usage in the Greek primary school: The case of the Prefecture of Achaia. INTED2024 Proceedings, 1652–1657.</w:t>
      </w:r>
    </w:p>
    <w:p w14:paraId="1CC850B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29.</w:t>
      </w:r>
      <w:r w:rsidRPr="004C07F6">
        <w:rPr>
          <w:rFonts w:ascii="Times New Roman" w:hAnsi="Times New Roman" w:cs="Times New Roman"/>
          <w:sz w:val="24"/>
          <w:szCs w:val="24"/>
          <w:lang w:val="en-US"/>
        </w:rPr>
        <w:tab/>
        <w:t>Kalogeratos, G., Travlou, C., Tseremegklis, C., Anastasopoulou, E., Gkika, K., &amp; Pierrakeas, C. (2025). Cognitive foundations of effective educational leadership: A comprehensive review. In EDULEARN25 Proceedings (pp. 5915–5925). IATED.</w:t>
      </w:r>
    </w:p>
    <w:p w14:paraId="4BCC6FEA"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30.</w:t>
      </w:r>
      <w:r w:rsidRPr="004C07F6">
        <w:rPr>
          <w:rFonts w:ascii="Times New Roman" w:hAnsi="Times New Roman" w:cs="Times New Roman"/>
          <w:sz w:val="24"/>
          <w:szCs w:val="24"/>
          <w:lang w:val="en-US"/>
        </w:rPr>
        <w:tab/>
        <w:t>Kalogeratos, G., Travlou, C., Tseremegklis, C., Anastasopoulou, E., Gkika, K., &amp; Pierrakeas, C. (2025). The interplay of cognitive and non-cognitive skills in educational leadership: A systematic review of leadership effectiveness. In EDULEARN25 Proceedings (pp. 5854–5864). IATED.</w:t>
      </w:r>
    </w:p>
    <w:p w14:paraId="7CEE472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31.</w:t>
      </w:r>
      <w:r w:rsidRPr="004C07F6">
        <w:rPr>
          <w:rFonts w:ascii="Times New Roman" w:hAnsi="Times New Roman" w:cs="Times New Roman"/>
          <w:sz w:val="24"/>
          <w:szCs w:val="24"/>
          <w:lang w:val="en-US"/>
        </w:rPr>
        <w:tab/>
        <w:t>Kalogeratos, G., Travlou, C., Tseremegklis, C., Anastasopoulou, E., Lourida, K., &amp; Pierrakeas, C. (2025). Enhancing educational outcomes through digital skills: Addressing lifelong learning and distance education challenges. INTED2025 Proceedings, 6720–6730.</w:t>
      </w:r>
    </w:p>
    <w:p w14:paraId="5C2BEF77"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32.</w:t>
      </w:r>
      <w:r w:rsidRPr="004C07F6">
        <w:rPr>
          <w:rFonts w:ascii="Times New Roman" w:hAnsi="Times New Roman" w:cs="Times New Roman"/>
          <w:sz w:val="24"/>
          <w:szCs w:val="24"/>
          <w:lang w:val="en-US"/>
        </w:rPr>
        <w:tab/>
        <w:t>Kalogeratos, G., Travlou, C., Tseremegklis, C., Anastasopoulou, E., Lourida, K., &amp; Pierrakeas, C. (2025). The interplay of cognitive and non-cognitive skills in educational leadership: A systematic review of leadership effectiveness. INTED2025 Proceedings, 5854–5864.</w:t>
      </w:r>
    </w:p>
    <w:p w14:paraId="1C8E9BD9"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33.</w:t>
      </w:r>
      <w:r w:rsidRPr="004C07F6">
        <w:rPr>
          <w:rFonts w:ascii="Times New Roman" w:hAnsi="Times New Roman" w:cs="Times New Roman"/>
          <w:sz w:val="24"/>
          <w:szCs w:val="24"/>
          <w:lang w:val="en-US"/>
        </w:rPr>
        <w:tab/>
        <w:t>Kalogeratos, G., Travlou, C., Tseremegklis, C., Anastasopoulou, E., Gkika, K., &amp; Pierrakeas, C. (2025). The interplay of cognitive and non-cognitive skills in educational leadership: A systematic review of leadership effectiveness. EDULEARN25 Proceedings, 5854–5864.</w:t>
      </w:r>
    </w:p>
    <w:p w14:paraId="25FD91BA"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34.</w:t>
      </w:r>
      <w:r w:rsidRPr="004C07F6">
        <w:rPr>
          <w:rFonts w:ascii="Times New Roman" w:hAnsi="Times New Roman" w:cs="Times New Roman"/>
          <w:sz w:val="24"/>
          <w:szCs w:val="24"/>
          <w:lang w:val="en-US"/>
        </w:rPr>
        <w:tab/>
        <w:t>Kalogeratos, G., Travlou, C., Tseremegklis, C., Anastasopoulou, E., Gkika, K., &amp; Pierrakeas, C. (2025). Cognitive foundations of effective educational leadership: A comprehensive review. EDULEARN25 Proceedings, 5915–5925.</w:t>
      </w:r>
    </w:p>
    <w:p w14:paraId="0BCC416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35.</w:t>
      </w:r>
      <w:r w:rsidRPr="004C07F6">
        <w:rPr>
          <w:rFonts w:ascii="Times New Roman" w:hAnsi="Times New Roman" w:cs="Times New Roman"/>
          <w:sz w:val="24"/>
          <w:szCs w:val="24"/>
          <w:lang w:val="en-US"/>
        </w:rPr>
        <w:tab/>
        <w:t>Kalogeratos, G., Travlou, C., Tseremegklis, C., Anastasopoulou, E., Lourida, K., &amp; Pierrakeas, C. (2025). Enhancing educational leadership through gamification: Theory and practice in primary schools. INTED2025 Proceedings, 6690–6700.</w:t>
      </w:r>
    </w:p>
    <w:p w14:paraId="35F59BB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36.</w:t>
      </w:r>
      <w:r w:rsidRPr="004C07F6">
        <w:rPr>
          <w:rFonts w:ascii="Times New Roman" w:hAnsi="Times New Roman" w:cs="Times New Roman"/>
          <w:sz w:val="24"/>
          <w:szCs w:val="24"/>
          <w:lang w:val="en-US"/>
        </w:rPr>
        <w:tab/>
        <w:t>Kalogeratos, G., Travlou, C., Tseremegklis, C., Anastasopoulou, E., Lourida, K., &amp; Pierrakeas, C. (2025). Enhancing educational outcomes through digital skills: Addressing lifelong learning and distance education challenges. INTED2025 Proceedings, 6720–6730.</w:t>
      </w:r>
    </w:p>
    <w:p w14:paraId="2A63245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37.</w:t>
      </w:r>
      <w:r w:rsidRPr="004C07F6">
        <w:rPr>
          <w:rFonts w:ascii="Times New Roman" w:hAnsi="Times New Roman" w:cs="Times New Roman"/>
          <w:sz w:val="24"/>
          <w:szCs w:val="24"/>
          <w:lang w:val="en-US"/>
        </w:rPr>
        <w:tab/>
        <w:t>Kalogeratos, G., Tsogka, D., Tseremegklis, C., Anastasopoulou, E., &amp; Pierrakeas, C. (2024). Digital skills in education: Bridging the gap between traditional learning and modern technology. ICERI2024 Proceedings, 4409–4418.</w:t>
      </w:r>
    </w:p>
    <w:p w14:paraId="38757F7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38.</w:t>
      </w:r>
      <w:r w:rsidRPr="004C07F6">
        <w:rPr>
          <w:rFonts w:ascii="Times New Roman" w:hAnsi="Times New Roman" w:cs="Times New Roman"/>
          <w:sz w:val="24"/>
          <w:szCs w:val="24"/>
          <w:lang w:val="en-US"/>
        </w:rPr>
        <w:tab/>
        <w:t>Kalogeratos, G., Tsogka, D., Tseremegklis, C., Anastasopoulou, E., &amp; Pierrakeas, C. (2024). The contribution of Erasmus+ KA2 to improvement of educational work: The case of the school units of the region of Western Greece. ICERI2024 Proceedings, 4258–4263.</w:t>
      </w:r>
    </w:p>
    <w:p w14:paraId="0EA8912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39.</w:t>
      </w:r>
      <w:r w:rsidRPr="004C07F6">
        <w:rPr>
          <w:rFonts w:ascii="Times New Roman" w:hAnsi="Times New Roman" w:cs="Times New Roman"/>
          <w:sz w:val="24"/>
          <w:szCs w:val="24"/>
          <w:lang w:val="en-US"/>
        </w:rPr>
        <w:tab/>
        <w:t xml:space="preserve">Karras, A., </w:t>
      </w:r>
      <w:proofErr w:type="spellStart"/>
      <w:r w:rsidRPr="004C07F6">
        <w:rPr>
          <w:rFonts w:ascii="Times New Roman" w:hAnsi="Times New Roman" w:cs="Times New Roman"/>
          <w:sz w:val="24"/>
          <w:szCs w:val="24"/>
          <w:lang w:val="en-US"/>
        </w:rPr>
        <w:t>Giannaros</w:t>
      </w:r>
      <w:proofErr w:type="spellEnd"/>
      <w:r w:rsidRPr="004C07F6">
        <w:rPr>
          <w:rFonts w:ascii="Times New Roman" w:hAnsi="Times New Roman" w:cs="Times New Roman"/>
          <w:sz w:val="24"/>
          <w:szCs w:val="24"/>
          <w:lang w:val="en-US"/>
        </w:rPr>
        <w:t xml:space="preserve">, A., Theodorakopoulos, L., </w:t>
      </w:r>
      <w:proofErr w:type="spellStart"/>
      <w:r w:rsidRPr="004C07F6">
        <w:rPr>
          <w:rFonts w:ascii="Times New Roman" w:hAnsi="Times New Roman" w:cs="Times New Roman"/>
          <w:sz w:val="24"/>
          <w:szCs w:val="24"/>
          <w:lang w:val="en-US"/>
        </w:rPr>
        <w:t>Krimpas</w:t>
      </w:r>
      <w:proofErr w:type="spellEnd"/>
      <w:r w:rsidRPr="004C07F6">
        <w:rPr>
          <w:rFonts w:ascii="Times New Roman" w:hAnsi="Times New Roman" w:cs="Times New Roman"/>
          <w:sz w:val="24"/>
          <w:szCs w:val="24"/>
          <w:lang w:val="en-US"/>
        </w:rPr>
        <w:t xml:space="preserve">, G. A., Kalogeratos, G., Karras, C., &amp; </w:t>
      </w:r>
      <w:proofErr w:type="spellStart"/>
      <w:r w:rsidRPr="004C07F6">
        <w:rPr>
          <w:rFonts w:ascii="Times New Roman" w:hAnsi="Times New Roman" w:cs="Times New Roman"/>
          <w:sz w:val="24"/>
          <w:szCs w:val="24"/>
          <w:lang w:val="en-US"/>
        </w:rPr>
        <w:t>Sioutas</w:t>
      </w:r>
      <w:proofErr w:type="spellEnd"/>
      <w:r w:rsidRPr="004C07F6">
        <w:rPr>
          <w:rFonts w:ascii="Times New Roman" w:hAnsi="Times New Roman" w:cs="Times New Roman"/>
          <w:sz w:val="24"/>
          <w:szCs w:val="24"/>
          <w:lang w:val="en-US"/>
        </w:rPr>
        <w:t>, S. (2023). FLIBD: A federated learning-based IoT big data management approach for privacy-preserving over Apache Spark with FATE. Electronics, 12(22), 4633.</w:t>
      </w:r>
    </w:p>
    <w:p w14:paraId="73D4C46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40.</w:t>
      </w:r>
      <w:r w:rsidRPr="004C07F6">
        <w:rPr>
          <w:rFonts w:ascii="Times New Roman" w:hAnsi="Times New Roman" w:cs="Times New Roman"/>
          <w:sz w:val="24"/>
          <w:szCs w:val="24"/>
          <w:lang w:val="en-US"/>
        </w:rPr>
        <w:tab/>
        <w:t xml:space="preserve">Karras, A., Karras, C., Giotopoulos, K. C., Tsolis, D., Oikonomou, K., &amp; </w:t>
      </w:r>
      <w:proofErr w:type="spellStart"/>
      <w:r w:rsidRPr="004C07F6">
        <w:rPr>
          <w:rFonts w:ascii="Times New Roman" w:hAnsi="Times New Roman" w:cs="Times New Roman"/>
          <w:sz w:val="24"/>
          <w:szCs w:val="24"/>
          <w:lang w:val="en-US"/>
        </w:rPr>
        <w:t>Sioutas</w:t>
      </w:r>
      <w:proofErr w:type="spellEnd"/>
      <w:r w:rsidRPr="004C07F6">
        <w:rPr>
          <w:rFonts w:ascii="Times New Roman" w:hAnsi="Times New Roman" w:cs="Times New Roman"/>
          <w:sz w:val="24"/>
          <w:szCs w:val="24"/>
          <w:lang w:val="en-US"/>
        </w:rPr>
        <w:t>, S. (2023). Federated edge intelligence and edge caching mechanisms. Information, 14(7), 414. https://doi.org/10.3390/info14070414</w:t>
      </w:r>
    </w:p>
    <w:p w14:paraId="44808C3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41.</w:t>
      </w:r>
      <w:r w:rsidRPr="004C07F6">
        <w:rPr>
          <w:rFonts w:ascii="Times New Roman" w:hAnsi="Times New Roman" w:cs="Times New Roman"/>
          <w:sz w:val="24"/>
          <w:szCs w:val="24"/>
          <w:lang w:val="en-US"/>
        </w:rPr>
        <w:tab/>
        <w:t>Karras, A., Theodorakopoulos, L., Karras, C., &amp; Antonopoulou, H. (2024, December). Cyber Threat Intelligence in Smart Cities: Bayesian Inference and Energy Optimization in LoRa Networks for Big Data Applications. In 2024 IEEE International Conference on Big Data (</w:t>
      </w:r>
      <w:proofErr w:type="spellStart"/>
      <w:r w:rsidRPr="004C07F6">
        <w:rPr>
          <w:rFonts w:ascii="Times New Roman" w:hAnsi="Times New Roman" w:cs="Times New Roman"/>
          <w:sz w:val="24"/>
          <w:szCs w:val="24"/>
          <w:lang w:val="en-US"/>
        </w:rPr>
        <w:t>BigData</w:t>
      </w:r>
      <w:proofErr w:type="spellEnd"/>
      <w:r w:rsidRPr="004C07F6">
        <w:rPr>
          <w:rFonts w:ascii="Times New Roman" w:hAnsi="Times New Roman" w:cs="Times New Roman"/>
          <w:sz w:val="24"/>
          <w:szCs w:val="24"/>
          <w:lang w:val="en-US"/>
        </w:rPr>
        <w:t>) (pp. 2635–2644). IEEE.</w:t>
      </w:r>
    </w:p>
    <w:p w14:paraId="128F4B16"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42.</w:t>
      </w:r>
      <w:r w:rsidRPr="004C07F6">
        <w:rPr>
          <w:rFonts w:ascii="Times New Roman" w:hAnsi="Times New Roman" w:cs="Times New Roman"/>
          <w:sz w:val="24"/>
          <w:szCs w:val="24"/>
          <w:lang w:val="en-US"/>
        </w:rPr>
        <w:tab/>
        <w:t xml:space="preserve">Karras, A., Theodorakopoulos, L., Karras, C., Theodoropoulou, A., </w:t>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I., &amp; Kalogeratos, G. (2025). LLMs for cybersecurity in the big data era: A comprehensive review of applications, challenges, and future directions. Information, 16(11), 957.</w:t>
      </w:r>
    </w:p>
    <w:p w14:paraId="1E403435"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43.</w:t>
      </w:r>
      <w:r w:rsidRPr="004C07F6">
        <w:rPr>
          <w:rFonts w:ascii="Times New Roman" w:hAnsi="Times New Roman" w:cs="Times New Roman"/>
          <w:sz w:val="24"/>
          <w:szCs w:val="24"/>
          <w:lang w:val="en-US"/>
        </w:rPr>
        <w:tab/>
        <w:t>Makransky, G., &amp; Petersen, G. B. (2019). Immersive virtual reality and learning. Educational Psychology Review, 31(4), 1013–1034. https://doi.org/10.1007/s10648-019-09482-9</w:t>
      </w:r>
    </w:p>
    <w:p w14:paraId="201F84FC"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44.</w:t>
      </w:r>
      <w:r w:rsidRPr="004C07F6">
        <w:rPr>
          <w:rFonts w:ascii="Times New Roman" w:hAnsi="Times New Roman" w:cs="Times New Roman"/>
          <w:sz w:val="24"/>
          <w:szCs w:val="24"/>
          <w:lang w:val="en-US"/>
        </w:rPr>
        <w:tab/>
        <w:t>Mishra, P., &amp; Koehler, M. J. (2006). Technological pedagogical content knowledge. Teachers College Record, 108(6), 1017–1054. https://doi.org/10.1111/j.1467- 9620.2006.00684.</w:t>
      </w:r>
    </w:p>
    <w:p w14:paraId="743D8612"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45.</w:t>
      </w:r>
      <w:r w:rsidRPr="004C07F6">
        <w:rPr>
          <w:rFonts w:ascii="Times New Roman" w:hAnsi="Times New Roman" w:cs="Times New Roman"/>
          <w:sz w:val="24"/>
          <w:szCs w:val="24"/>
          <w:lang w:val="en-US"/>
        </w:rPr>
        <w:tab/>
        <w:t xml:space="preserve">Mourelatos, E., </w:t>
      </w:r>
      <w:proofErr w:type="spellStart"/>
      <w:r w:rsidRPr="004C07F6">
        <w:rPr>
          <w:rFonts w:ascii="Times New Roman" w:hAnsi="Times New Roman" w:cs="Times New Roman"/>
          <w:sz w:val="24"/>
          <w:szCs w:val="24"/>
          <w:lang w:val="en-US"/>
        </w:rPr>
        <w:t>Krimpas</w:t>
      </w:r>
      <w:proofErr w:type="spellEnd"/>
      <w:r w:rsidRPr="004C07F6">
        <w:rPr>
          <w:rFonts w:ascii="Times New Roman" w:hAnsi="Times New Roman" w:cs="Times New Roman"/>
          <w:sz w:val="24"/>
          <w:szCs w:val="24"/>
          <w:lang w:val="en-US"/>
        </w:rPr>
        <w:t xml:space="preserve">, G., &amp; </w:t>
      </w:r>
      <w:proofErr w:type="spellStart"/>
      <w:r w:rsidRPr="004C07F6">
        <w:rPr>
          <w:rFonts w:ascii="Times New Roman" w:hAnsi="Times New Roman" w:cs="Times New Roman"/>
          <w:sz w:val="24"/>
          <w:szCs w:val="24"/>
          <w:lang w:val="en-US"/>
        </w:rPr>
        <w:t>Giotopoulos</w:t>
      </w:r>
      <w:proofErr w:type="spellEnd"/>
      <w:r w:rsidRPr="004C07F6">
        <w:rPr>
          <w:rFonts w:ascii="Times New Roman" w:hAnsi="Times New Roman" w:cs="Times New Roman"/>
          <w:sz w:val="24"/>
          <w:szCs w:val="24"/>
          <w:lang w:val="en-US"/>
        </w:rPr>
        <w:t>, K. (2024). Sexual identity and gender gap in political leadership ambition: An experiment. Review of Behavioral Economics, 11(1), 73–121. http://dx.doi.org/10.1561/105.00000181</w:t>
      </w:r>
    </w:p>
    <w:p w14:paraId="774D4829"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46.</w:t>
      </w:r>
      <w:r w:rsidRPr="004C07F6">
        <w:rPr>
          <w:rFonts w:ascii="Times New Roman" w:hAnsi="Times New Roman" w:cs="Times New Roman"/>
          <w:sz w:val="24"/>
          <w:szCs w:val="24"/>
          <w:lang w:val="en-US"/>
        </w:rPr>
        <w:tab/>
        <w:t>Papadopoulos, D. F. (2024). A parametric six-step method for second-order IVPs with oscillating solutions. Mathematics, 12(23), 3824. https://doi.org/10.3390/math12233824</w:t>
      </w:r>
    </w:p>
    <w:p w14:paraId="6AD65530"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47.</w:t>
      </w:r>
      <w:r w:rsidRPr="004C07F6">
        <w:rPr>
          <w:rFonts w:ascii="Times New Roman" w:hAnsi="Times New Roman" w:cs="Times New Roman"/>
          <w:sz w:val="24"/>
          <w:szCs w:val="24"/>
          <w:lang w:val="en-US"/>
        </w:rPr>
        <w:tab/>
        <w:t xml:space="preserve">Petropoulou, A., Antonopoulou, H., </w:t>
      </w:r>
      <w:proofErr w:type="spellStart"/>
      <w:r w:rsidRPr="004C07F6">
        <w:rPr>
          <w:rFonts w:ascii="Times New Roman" w:hAnsi="Times New Roman" w:cs="Times New Roman"/>
          <w:sz w:val="24"/>
          <w:szCs w:val="24"/>
          <w:lang w:val="en-US"/>
        </w:rPr>
        <w:t>Vlachou</w:t>
      </w:r>
      <w:proofErr w:type="spellEnd"/>
      <w:r w:rsidRPr="004C07F6">
        <w:rPr>
          <w:rFonts w:ascii="Times New Roman" w:hAnsi="Times New Roman" w:cs="Times New Roman"/>
          <w:sz w:val="24"/>
          <w:szCs w:val="24"/>
          <w:lang w:val="en-US"/>
        </w:rPr>
        <w:t xml:space="preserve">, A. A., </w:t>
      </w:r>
      <w:proofErr w:type="spellStart"/>
      <w:r w:rsidRPr="004C07F6">
        <w:rPr>
          <w:rFonts w:ascii="Times New Roman" w:hAnsi="Times New Roman" w:cs="Times New Roman"/>
          <w:sz w:val="24"/>
          <w:szCs w:val="24"/>
          <w:lang w:val="en-US"/>
        </w:rPr>
        <w:t>Gkintoni</w:t>
      </w:r>
      <w:proofErr w:type="spellEnd"/>
      <w:r w:rsidRPr="004C07F6">
        <w:rPr>
          <w:rFonts w:ascii="Times New Roman" w:hAnsi="Times New Roman" w:cs="Times New Roman"/>
          <w:sz w:val="24"/>
          <w:szCs w:val="24"/>
          <w:lang w:val="en-US"/>
        </w:rPr>
        <w:t xml:space="preserve">, E., &amp; </w:t>
      </w:r>
      <w:proofErr w:type="spellStart"/>
      <w:r w:rsidRPr="004C07F6">
        <w:rPr>
          <w:rFonts w:ascii="Times New Roman" w:hAnsi="Times New Roman" w:cs="Times New Roman"/>
          <w:sz w:val="24"/>
          <w:szCs w:val="24"/>
          <w:lang w:val="en-US"/>
        </w:rPr>
        <w:t>Halkiopoulos</w:t>
      </w:r>
      <w:proofErr w:type="spellEnd"/>
      <w:r w:rsidRPr="004C07F6">
        <w:rPr>
          <w:rFonts w:ascii="Times New Roman" w:hAnsi="Times New Roman" w:cs="Times New Roman"/>
          <w:sz w:val="24"/>
          <w:szCs w:val="24"/>
          <w:lang w:val="en-US"/>
        </w:rPr>
        <w:t>, C. (2025). Social–Cognitive Factors in Antisocial Behavior and School Violence: A Cross-Sectional Analysis of Greek Vocational Students. Children, 12(12), 1647.</w:t>
      </w:r>
    </w:p>
    <w:p w14:paraId="3B8EFBDD"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48.</w:t>
      </w:r>
      <w:r w:rsidRPr="004C07F6">
        <w:rPr>
          <w:rFonts w:ascii="Times New Roman" w:hAnsi="Times New Roman" w:cs="Times New Roman"/>
          <w:sz w:val="24"/>
          <w:szCs w:val="24"/>
          <w:lang w:val="en-US"/>
        </w:rPr>
        <w:tab/>
        <w:t>Ryan, R. M., &amp; Deci, E. L. (2000). Intrinsic and extrinsic motivations. Contemporary Educational Psychology, 25(1), 54–67. https://doi.org/10.1006/ceps.1999.1020</w:t>
      </w:r>
    </w:p>
    <w:p w14:paraId="776116A3"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49.</w:t>
      </w:r>
      <w:r w:rsidRPr="004C07F6">
        <w:rPr>
          <w:rFonts w:ascii="Times New Roman" w:hAnsi="Times New Roman" w:cs="Times New Roman"/>
          <w:sz w:val="24"/>
          <w:szCs w:val="24"/>
          <w:lang w:val="en-US"/>
        </w:rPr>
        <w:tab/>
        <w:t xml:space="preserve">Theodorakopoulos, L., </w:t>
      </w:r>
      <w:proofErr w:type="spellStart"/>
      <w:r w:rsidRPr="004C07F6">
        <w:rPr>
          <w:rFonts w:ascii="Times New Roman" w:hAnsi="Times New Roman" w:cs="Times New Roman"/>
          <w:sz w:val="24"/>
          <w:szCs w:val="24"/>
          <w:lang w:val="en-US"/>
        </w:rPr>
        <w:t>Kalliampakou</w:t>
      </w:r>
      <w:proofErr w:type="spellEnd"/>
      <w:r w:rsidRPr="004C07F6">
        <w:rPr>
          <w:rFonts w:ascii="Times New Roman" w:hAnsi="Times New Roman" w:cs="Times New Roman"/>
          <w:sz w:val="24"/>
          <w:szCs w:val="24"/>
          <w:lang w:val="en-US"/>
        </w:rPr>
        <w:t xml:space="preserve">, I., Theodoropoulou, A., &amp; Kalogeratos, G. (2025). Pandemic-driven innovations: Utilizing online learning and big data analysis for decision-making in educational environments. In Y. </w:t>
      </w:r>
      <w:proofErr w:type="spellStart"/>
      <w:r w:rsidRPr="004C07F6">
        <w:rPr>
          <w:rFonts w:ascii="Times New Roman" w:hAnsi="Times New Roman" w:cs="Times New Roman"/>
          <w:sz w:val="24"/>
          <w:szCs w:val="24"/>
          <w:lang w:val="en-US"/>
        </w:rPr>
        <w:t>Dimotikalis</w:t>
      </w:r>
      <w:proofErr w:type="spellEnd"/>
      <w:r w:rsidRPr="004C07F6">
        <w:rPr>
          <w:rFonts w:ascii="Times New Roman" w:hAnsi="Times New Roman" w:cs="Times New Roman"/>
          <w:sz w:val="24"/>
          <w:szCs w:val="24"/>
          <w:lang w:val="en-US"/>
        </w:rPr>
        <w:t xml:space="preserve"> &amp; C. H. Skiadas (Eds.), Data Analysis and Related Applications 5 (pp. 259–279). Wiley. https://doi.org/10.1002/9781394401604.ch18</w:t>
      </w:r>
    </w:p>
    <w:p w14:paraId="62AE64BF"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50.</w:t>
      </w:r>
      <w:r w:rsidRPr="004C07F6">
        <w:rPr>
          <w:rFonts w:ascii="Times New Roman" w:hAnsi="Times New Roman" w:cs="Times New Roman"/>
          <w:sz w:val="24"/>
          <w:szCs w:val="24"/>
          <w:lang w:val="en-US"/>
        </w:rPr>
        <w:tab/>
        <w:t>Van Dijk, J. (2020). The digital divide. Polity Press. https://doi.org/10.1002/9781119243092</w:t>
      </w:r>
    </w:p>
    <w:p w14:paraId="575BE534"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t>51.</w:t>
      </w:r>
      <w:r w:rsidRPr="004C07F6">
        <w:rPr>
          <w:rFonts w:ascii="Times New Roman" w:hAnsi="Times New Roman" w:cs="Times New Roman"/>
          <w:sz w:val="24"/>
          <w:szCs w:val="24"/>
          <w:lang w:val="en-US"/>
        </w:rPr>
        <w:tab/>
        <w:t xml:space="preserve">Vasilopoulos, Ch., Theodorakopoulos, L. L., &amp; </w:t>
      </w:r>
      <w:proofErr w:type="spellStart"/>
      <w:r w:rsidRPr="004C07F6">
        <w:rPr>
          <w:rFonts w:ascii="Times New Roman" w:hAnsi="Times New Roman" w:cs="Times New Roman"/>
          <w:sz w:val="24"/>
          <w:szCs w:val="24"/>
          <w:lang w:val="en-US"/>
        </w:rPr>
        <w:t>Giotopoulos</w:t>
      </w:r>
      <w:proofErr w:type="spellEnd"/>
      <w:r w:rsidRPr="004C07F6">
        <w:rPr>
          <w:rFonts w:ascii="Times New Roman" w:hAnsi="Times New Roman" w:cs="Times New Roman"/>
          <w:sz w:val="24"/>
          <w:szCs w:val="24"/>
          <w:lang w:val="en-US"/>
        </w:rPr>
        <w:t xml:space="preserve">, K. K. (2023). The promise and peril of big data in driving consumer engagement. </w:t>
      </w:r>
      <w:proofErr w:type="spellStart"/>
      <w:r w:rsidRPr="004C07F6">
        <w:rPr>
          <w:rFonts w:ascii="Times New Roman" w:hAnsi="Times New Roman" w:cs="Times New Roman"/>
          <w:sz w:val="24"/>
          <w:szCs w:val="24"/>
          <w:lang w:val="en-US"/>
        </w:rPr>
        <w:t>Technium</w:t>
      </w:r>
      <w:proofErr w:type="spellEnd"/>
      <w:r w:rsidRPr="004C07F6">
        <w:rPr>
          <w:rFonts w:ascii="Times New Roman" w:hAnsi="Times New Roman" w:cs="Times New Roman"/>
          <w:sz w:val="24"/>
          <w:szCs w:val="24"/>
          <w:lang w:val="en-US"/>
        </w:rPr>
        <w:t xml:space="preserve"> Social Sciences Journal, 45, 489–499.</w:t>
      </w:r>
    </w:p>
    <w:p w14:paraId="7B74D25B" w14:textId="77777777" w:rsidR="004C07F6" w:rsidRPr="004C07F6" w:rsidRDefault="004C07F6" w:rsidP="004C07F6">
      <w:pPr>
        <w:jc w:val="both"/>
        <w:rPr>
          <w:rFonts w:ascii="Times New Roman" w:hAnsi="Times New Roman" w:cs="Times New Roman"/>
          <w:sz w:val="24"/>
          <w:szCs w:val="24"/>
          <w:lang w:val="en-US"/>
        </w:rPr>
      </w:pPr>
      <w:r w:rsidRPr="004C07F6">
        <w:rPr>
          <w:rFonts w:ascii="Times New Roman" w:hAnsi="Times New Roman" w:cs="Times New Roman"/>
          <w:sz w:val="24"/>
          <w:szCs w:val="24"/>
          <w:lang w:val="en-US"/>
        </w:rPr>
        <w:lastRenderedPageBreak/>
        <w:t>52.</w:t>
      </w:r>
      <w:r w:rsidRPr="004C07F6">
        <w:rPr>
          <w:rFonts w:ascii="Times New Roman" w:hAnsi="Times New Roman" w:cs="Times New Roman"/>
          <w:sz w:val="24"/>
          <w:szCs w:val="24"/>
          <w:lang w:val="en-US"/>
        </w:rPr>
        <w:tab/>
        <w:t>Williamson, B. (2017). Big data in education. SAGE. https://doi.org/10.4135/9781529714920</w:t>
      </w:r>
    </w:p>
    <w:p w14:paraId="4BB6DE6D" w14:textId="77777777" w:rsidR="004C07F6" w:rsidRPr="004C07F6" w:rsidRDefault="004C07F6" w:rsidP="004C07F6">
      <w:pPr>
        <w:jc w:val="both"/>
        <w:rPr>
          <w:rFonts w:ascii="Times New Roman" w:hAnsi="Times New Roman" w:cs="Times New Roman"/>
          <w:b/>
          <w:bCs/>
          <w:sz w:val="24"/>
          <w:szCs w:val="24"/>
          <w:lang w:val="en-US"/>
        </w:rPr>
      </w:pPr>
    </w:p>
    <w:p w14:paraId="417FCEB2" w14:textId="77777777" w:rsidR="004C07F6" w:rsidRPr="004C07F6" w:rsidRDefault="004C07F6" w:rsidP="004C07F6">
      <w:pPr>
        <w:jc w:val="both"/>
        <w:rPr>
          <w:rFonts w:ascii="Times New Roman" w:hAnsi="Times New Roman" w:cs="Times New Roman"/>
          <w:b/>
          <w:bCs/>
          <w:sz w:val="24"/>
          <w:szCs w:val="24"/>
          <w:lang w:val="en-US"/>
        </w:rPr>
      </w:pPr>
    </w:p>
    <w:p w14:paraId="5F2946FF" w14:textId="77777777" w:rsidR="004C07F6" w:rsidRPr="004C07F6" w:rsidRDefault="004C07F6" w:rsidP="004C07F6">
      <w:pPr>
        <w:jc w:val="both"/>
        <w:rPr>
          <w:rFonts w:ascii="Times New Roman" w:hAnsi="Times New Roman" w:cs="Times New Roman"/>
          <w:b/>
          <w:bCs/>
          <w:sz w:val="24"/>
          <w:szCs w:val="24"/>
          <w:lang w:val="en-US"/>
        </w:rPr>
      </w:pPr>
    </w:p>
    <w:p w14:paraId="46BA9C6F" w14:textId="77777777" w:rsidR="005506EE" w:rsidRPr="006A6EB6" w:rsidRDefault="005506EE" w:rsidP="000A55C8">
      <w:pPr>
        <w:jc w:val="both"/>
        <w:rPr>
          <w:rFonts w:ascii="Times New Roman" w:hAnsi="Times New Roman" w:cs="Times New Roman"/>
          <w:b/>
          <w:bCs/>
          <w:sz w:val="24"/>
          <w:szCs w:val="24"/>
          <w:lang w:val="en-US"/>
        </w:rPr>
      </w:pPr>
    </w:p>
    <w:sectPr w:rsidR="005506EE" w:rsidRPr="006A6EB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7C33" w14:textId="77777777" w:rsidR="003C76F4" w:rsidRDefault="003C76F4" w:rsidP="00B26E49">
      <w:pPr>
        <w:spacing w:after="0" w:line="240" w:lineRule="auto"/>
      </w:pPr>
      <w:r>
        <w:separator/>
      </w:r>
    </w:p>
  </w:endnote>
  <w:endnote w:type="continuationSeparator" w:id="0">
    <w:p w14:paraId="662FCEBC" w14:textId="77777777" w:rsidR="003C76F4" w:rsidRDefault="003C76F4" w:rsidP="00B2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8A969" w14:textId="77777777" w:rsidR="00B26E49" w:rsidRDefault="00B26E4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9D1D6" w14:textId="77777777" w:rsidR="00B26E49" w:rsidRDefault="00B26E4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E37E" w14:textId="77777777" w:rsidR="00B26E49" w:rsidRDefault="00B26E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8E63" w14:textId="77777777" w:rsidR="003C76F4" w:rsidRDefault="003C76F4" w:rsidP="00B26E49">
      <w:pPr>
        <w:spacing w:after="0" w:line="240" w:lineRule="auto"/>
      </w:pPr>
      <w:r>
        <w:separator/>
      </w:r>
    </w:p>
  </w:footnote>
  <w:footnote w:type="continuationSeparator" w:id="0">
    <w:p w14:paraId="06914945" w14:textId="77777777" w:rsidR="003C76F4" w:rsidRDefault="003C76F4" w:rsidP="00B26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548F6" w14:textId="65756B23" w:rsidR="00B26E49" w:rsidRDefault="003C76F4">
    <w:pPr>
      <w:pStyle w:val="a6"/>
    </w:pPr>
    <w:r>
      <w:rPr>
        <w:noProof/>
      </w:rPr>
      <w:pict w14:anchorId="192CC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50501" o:spid="_x0000_s1026"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A6E9" w14:textId="4A6F5F4B" w:rsidR="00B26E49" w:rsidRDefault="003C76F4">
    <w:pPr>
      <w:pStyle w:val="a6"/>
    </w:pPr>
    <w:r>
      <w:rPr>
        <w:noProof/>
      </w:rPr>
      <w:pict w14:anchorId="4D2CC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50502" o:spid="_x0000_s1027"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1D66" w14:textId="413FF008" w:rsidR="00B26E49" w:rsidRDefault="003C76F4">
    <w:pPr>
      <w:pStyle w:val="a6"/>
    </w:pPr>
    <w:r>
      <w:rPr>
        <w:noProof/>
      </w:rPr>
      <w:pict w14:anchorId="13E48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950500" o:spid="_x0000_s1025"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D6"/>
    <w:rsid w:val="000118AC"/>
    <w:rsid w:val="00036E0F"/>
    <w:rsid w:val="000A55C8"/>
    <w:rsid w:val="00144A79"/>
    <w:rsid w:val="001C3DEE"/>
    <w:rsid w:val="001D1EB0"/>
    <w:rsid w:val="001E59A0"/>
    <w:rsid w:val="002360D0"/>
    <w:rsid w:val="00247C24"/>
    <w:rsid w:val="00276174"/>
    <w:rsid w:val="00282B09"/>
    <w:rsid w:val="002921A0"/>
    <w:rsid w:val="003C76F4"/>
    <w:rsid w:val="003E771F"/>
    <w:rsid w:val="00427D1C"/>
    <w:rsid w:val="0044271A"/>
    <w:rsid w:val="004C07F6"/>
    <w:rsid w:val="00524E58"/>
    <w:rsid w:val="005506EE"/>
    <w:rsid w:val="00577147"/>
    <w:rsid w:val="00690581"/>
    <w:rsid w:val="006A6EB6"/>
    <w:rsid w:val="006F0AD3"/>
    <w:rsid w:val="00714046"/>
    <w:rsid w:val="007B77D6"/>
    <w:rsid w:val="007E5962"/>
    <w:rsid w:val="00903DAE"/>
    <w:rsid w:val="00947B41"/>
    <w:rsid w:val="00981184"/>
    <w:rsid w:val="009A011F"/>
    <w:rsid w:val="009D0D8F"/>
    <w:rsid w:val="00A3091F"/>
    <w:rsid w:val="00A467CA"/>
    <w:rsid w:val="00A4742A"/>
    <w:rsid w:val="00A937CC"/>
    <w:rsid w:val="00AC0997"/>
    <w:rsid w:val="00B26E49"/>
    <w:rsid w:val="00BE5D7B"/>
    <w:rsid w:val="00C40040"/>
    <w:rsid w:val="00C572DD"/>
    <w:rsid w:val="00D34E62"/>
    <w:rsid w:val="00D54789"/>
    <w:rsid w:val="00D71F07"/>
    <w:rsid w:val="00E83EB8"/>
    <w:rsid w:val="00EE5228"/>
    <w:rsid w:val="00F113A9"/>
    <w:rsid w:val="00F169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2DAC"/>
  <w15:chartTrackingRefBased/>
  <w15:docId w15:val="{59FABCA7-1692-4B7E-BB0D-07CBEBAF7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E59A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1E59A0"/>
    <w:rPr>
      <w:b/>
      <w:bCs/>
    </w:rPr>
  </w:style>
  <w:style w:type="character" w:styleId="a4">
    <w:name w:val="Emphasis"/>
    <w:basedOn w:val="a0"/>
    <w:uiPriority w:val="20"/>
    <w:qFormat/>
    <w:rsid w:val="001E59A0"/>
    <w:rPr>
      <w:i/>
      <w:iCs/>
    </w:rPr>
  </w:style>
  <w:style w:type="character" w:styleId="-">
    <w:name w:val="Hyperlink"/>
    <w:basedOn w:val="a0"/>
    <w:uiPriority w:val="99"/>
    <w:unhideWhenUsed/>
    <w:rsid w:val="00144A79"/>
    <w:rPr>
      <w:color w:val="0563C1" w:themeColor="hyperlink"/>
      <w:u w:val="single"/>
    </w:rPr>
  </w:style>
  <w:style w:type="character" w:styleId="a5">
    <w:name w:val="Unresolved Mention"/>
    <w:basedOn w:val="a0"/>
    <w:uiPriority w:val="99"/>
    <w:semiHidden/>
    <w:unhideWhenUsed/>
    <w:rsid w:val="00144A79"/>
    <w:rPr>
      <w:color w:val="605E5C"/>
      <w:shd w:val="clear" w:color="auto" w:fill="E1DFDD"/>
    </w:rPr>
  </w:style>
  <w:style w:type="paragraph" w:styleId="a6">
    <w:name w:val="header"/>
    <w:basedOn w:val="a"/>
    <w:link w:val="Char"/>
    <w:uiPriority w:val="99"/>
    <w:unhideWhenUsed/>
    <w:rsid w:val="00B26E49"/>
    <w:pPr>
      <w:tabs>
        <w:tab w:val="center" w:pos="4680"/>
        <w:tab w:val="right" w:pos="9360"/>
      </w:tabs>
      <w:spacing w:after="0" w:line="240" w:lineRule="auto"/>
    </w:pPr>
  </w:style>
  <w:style w:type="character" w:customStyle="1" w:styleId="Char">
    <w:name w:val="Κεφαλίδα Char"/>
    <w:basedOn w:val="a0"/>
    <w:link w:val="a6"/>
    <w:uiPriority w:val="99"/>
    <w:rsid w:val="00B26E49"/>
  </w:style>
  <w:style w:type="paragraph" w:styleId="a7">
    <w:name w:val="footer"/>
    <w:basedOn w:val="a"/>
    <w:link w:val="Char0"/>
    <w:uiPriority w:val="99"/>
    <w:unhideWhenUsed/>
    <w:rsid w:val="00B26E49"/>
    <w:pPr>
      <w:tabs>
        <w:tab w:val="center" w:pos="4680"/>
        <w:tab w:val="right" w:pos="9360"/>
      </w:tabs>
      <w:spacing w:after="0" w:line="240" w:lineRule="auto"/>
    </w:pPr>
  </w:style>
  <w:style w:type="character" w:customStyle="1" w:styleId="Char0">
    <w:name w:val="Υποσέλιδο Char"/>
    <w:basedOn w:val="a0"/>
    <w:link w:val="a7"/>
    <w:uiPriority w:val="99"/>
    <w:rsid w:val="00B2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8571">
      <w:bodyDiv w:val="1"/>
      <w:marLeft w:val="0"/>
      <w:marRight w:val="0"/>
      <w:marTop w:val="0"/>
      <w:marBottom w:val="0"/>
      <w:divBdr>
        <w:top w:val="none" w:sz="0" w:space="0" w:color="auto"/>
        <w:left w:val="none" w:sz="0" w:space="0" w:color="auto"/>
        <w:bottom w:val="none" w:sz="0" w:space="0" w:color="auto"/>
        <w:right w:val="none" w:sz="0" w:space="0" w:color="auto"/>
      </w:divBdr>
    </w:div>
    <w:div w:id="114342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4855</Words>
  <Characters>26217</Characters>
  <Application>Microsoft Office Word</Application>
  <DocSecurity>0</DocSecurity>
  <Lines>218</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GERASIMOS KALOGERATOS</cp:lastModifiedBy>
  <cp:revision>2</cp:revision>
  <dcterms:created xsi:type="dcterms:W3CDTF">2026-04-09T17:29:00Z</dcterms:created>
  <dcterms:modified xsi:type="dcterms:W3CDTF">2026-04-09T17:29:00Z</dcterms:modified>
</cp:coreProperties>
</file>