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FE5A8" w14:textId="77777777" w:rsidR="00151D61" w:rsidRDefault="00000000">
      <w:pPr>
        <w:spacing w:line="36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Robust Healthcare AI Frameworks Mitigating Adversarial Attacks and Personal Data Stress Anxiety</w:t>
      </w:r>
    </w:p>
    <w:p w14:paraId="5F8A012C" w14:textId="77777777" w:rsidR="00151D61" w:rsidRDefault="00151D61">
      <w:pPr>
        <w:spacing w:line="360" w:lineRule="auto"/>
        <w:jc w:val="both"/>
        <w:rPr>
          <w:rFonts w:ascii="Times New Roman" w:eastAsia="Times New Roman" w:hAnsi="Times New Roman" w:cs="Times New Roman"/>
          <w:b/>
          <w:bCs/>
        </w:rPr>
      </w:pPr>
      <w:bookmarkStart w:id="0" w:name="_honljxg96tqz" w:colFirst="0" w:colLast="0"/>
      <w:bookmarkEnd w:id="0"/>
    </w:p>
    <w:p w14:paraId="4C5BD618"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Abstract</w:t>
      </w:r>
    </w:p>
    <w:p w14:paraId="105BC0DE" w14:textId="77777777" w:rsidR="007D5E05" w:rsidRDefault="007D5E05">
      <w:pPr>
        <w:spacing w:line="360" w:lineRule="auto"/>
        <w:jc w:val="both"/>
        <w:rPr>
          <w:rFonts w:ascii="Times New Roman" w:eastAsia="Times New Roman" w:hAnsi="Times New Roman" w:cs="Times New Roman"/>
          <w:i/>
          <w:iCs/>
        </w:rPr>
      </w:pPr>
      <w:r w:rsidRPr="007D5E05">
        <w:rPr>
          <w:rFonts w:ascii="Times New Roman" w:eastAsia="Times New Roman" w:hAnsi="Times New Roman" w:cs="Times New Roman"/>
          <w:i/>
          <w:iCs/>
        </w:rPr>
        <w:t xml:space="preserve">This study presents a hybrid federated learning and explainable artificial intelligence framework, termed </w:t>
      </w:r>
      <w:proofErr w:type="spellStart"/>
      <w:r w:rsidRPr="007D5E05">
        <w:rPr>
          <w:rFonts w:ascii="Times New Roman" w:eastAsia="Times New Roman" w:hAnsi="Times New Roman" w:cs="Times New Roman"/>
          <w:i/>
          <w:iCs/>
        </w:rPr>
        <w:t>RobustFL</w:t>
      </w:r>
      <w:proofErr w:type="spellEnd"/>
      <w:r w:rsidRPr="007D5E05">
        <w:rPr>
          <w:rFonts w:ascii="Times New Roman" w:eastAsia="Times New Roman" w:hAnsi="Times New Roman" w:cs="Times New Roman"/>
          <w:i/>
          <w:iCs/>
        </w:rPr>
        <w:t xml:space="preserve">, designed to mitigate adversarial attacks in medical imaging while incorporating privacy-preserving mechanisms. Focusing on chest X-ray analysis, the research systematically examined adversarial vulnerabilities and data privacy challenges in distributed healthcare systems. A simulation-based methodology was implemented using a 500-sample dataset partitioned across multiple clients in a non-independent and identically distributed setting. The framework extends federated averaging by integrating projected gradient descent-based adversarial training, differential privacy stochastic gradient descent, and SHAP-based interpretability. Experimental results demonstrate that </w:t>
      </w:r>
      <w:proofErr w:type="spellStart"/>
      <w:r w:rsidRPr="007D5E05">
        <w:rPr>
          <w:rFonts w:ascii="Times New Roman" w:eastAsia="Times New Roman" w:hAnsi="Times New Roman" w:cs="Times New Roman"/>
          <w:i/>
          <w:iCs/>
        </w:rPr>
        <w:t>RobustFL</w:t>
      </w:r>
      <w:proofErr w:type="spellEnd"/>
      <w:r w:rsidRPr="007D5E05">
        <w:rPr>
          <w:rFonts w:ascii="Times New Roman" w:eastAsia="Times New Roman" w:hAnsi="Times New Roman" w:cs="Times New Roman"/>
          <w:i/>
          <w:iCs/>
        </w:rPr>
        <w:t xml:space="preserve"> maintains stable performance under adversarial conditions, achieving 70% accuracy against FGSM and PGD attacks, with an adversarial success rate of approximately 30–31%. A balanced privacy budget of ε = 1.0 produced an F1-score of 0.412, indicating a trade-off between privacy and model utility. Interpretability consistency, measured via SHAP outputs, served as a proxy for trust assessment, while privacy risk indicators were used to infer potential user concern. The framework provides a practical pathway toward secure, transparent, and privacy-aware healthcare AI systems.</w:t>
      </w:r>
    </w:p>
    <w:p w14:paraId="4C294F3C" w14:textId="57B9DCE2"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Keywords</w:t>
      </w:r>
      <w:r>
        <w:rPr>
          <w:rFonts w:ascii="Times New Roman" w:eastAsia="Times New Roman" w:hAnsi="Times New Roman" w:cs="Times New Roman"/>
        </w:rPr>
        <w:t>: Federated Learning, Adversarial Robustness, Explainable AI, Medical Imaging, Differential Privacy.</w:t>
      </w:r>
    </w:p>
    <w:p w14:paraId="67D17DE5" w14:textId="77777777" w:rsidR="00151D61" w:rsidRDefault="00151D61">
      <w:pPr>
        <w:spacing w:line="360" w:lineRule="auto"/>
        <w:jc w:val="both"/>
        <w:rPr>
          <w:rFonts w:ascii="Times New Roman" w:eastAsia="Times New Roman" w:hAnsi="Times New Roman" w:cs="Times New Roman"/>
          <w:b/>
          <w:bCs/>
        </w:rPr>
      </w:pPr>
    </w:p>
    <w:p w14:paraId="6AD7B6DF" w14:textId="77777777" w:rsidR="00151D61" w:rsidRDefault="00000000">
      <w:pPr>
        <w:pBdr>
          <w:top w:val="nil"/>
          <w:left w:val="nil"/>
          <w:bottom w:val="nil"/>
          <w:right w:val="nil"/>
          <w:between w:val="nil"/>
        </w:pBd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1. Introduction</w:t>
      </w:r>
    </w:p>
    <w:p w14:paraId="708F6C70" w14:textId="77777777" w:rsidR="00151D61" w:rsidRDefault="00000000">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integration of artificial intelligence (AI) has revolutionized diagnostics, treatment planning, and patient monitoring in healthcare. Machine learning models applied to medical imaging and electronic health records (EHRs) enable accurate analysis of complex data, improving outcomes in areas like cancer detection and disease classification (Ravikumar et al., 2024; Javed et al., 2024). </w:t>
      </w:r>
      <w:r>
        <w:rPr>
          <w:rFonts w:ascii="Times New Roman" w:eastAsia="Times New Roman" w:hAnsi="Times New Roman" w:cs="Times New Roman"/>
        </w:rPr>
        <w:lastRenderedPageBreak/>
        <w:t>However, these systems are vulnerable to adversarial attacks, which involve subtle, human-imperceptible perturbations to input data that cause models to produce incorrect outputs (</w:t>
      </w:r>
      <w:proofErr w:type="spellStart"/>
      <w:r>
        <w:rPr>
          <w:rFonts w:ascii="Times New Roman" w:eastAsia="Times New Roman" w:hAnsi="Times New Roman" w:cs="Times New Roman"/>
        </w:rPr>
        <w:t>Selvakkumar</w:t>
      </w:r>
      <w:proofErr w:type="spellEnd"/>
      <w:r>
        <w:rPr>
          <w:rFonts w:ascii="Times New Roman" w:eastAsia="Times New Roman" w:hAnsi="Times New Roman" w:cs="Times New Roman"/>
        </w:rPr>
        <w:t xml:space="preserve"> et al., 2021; Newaz et al., 2020; Udechukwu et al., 2025). Such attacks threaten the integrity of high-stakes applications, potentially leading to misdiagnoses with severe consequences for patients.</w:t>
      </w:r>
    </w:p>
    <w:p w14:paraId="49400663" w14:textId="77777777" w:rsidR="00151D61" w:rsidRDefault="00000000">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Simultaneously, the extensive use of personal health data in AI development raises significant privacy concerns. Patients and healthcare professionals report high levels of apprehension regarding data breaches, re-identification risks, and misuse, which may contribute to increased stress and anxiety levels (Richardson et al., 2021; Yang et al., 2025). This ‘data stress anxiety’ is often associated with perceived loss of control over sensitive information, particularly in AI-driven monitoring devices. Federated learning (FL) offers a solution by facilitating collaborative training across decentralized data sources without sharing raw data, thereby addressing some privacy issues (Batista et al., 2025; </w:t>
      </w:r>
      <w:proofErr w:type="spellStart"/>
      <w:r>
        <w:rPr>
          <w:rFonts w:ascii="Times New Roman" w:eastAsia="Times New Roman" w:hAnsi="Times New Roman" w:cs="Times New Roman"/>
        </w:rPr>
        <w:t>Almaiah</w:t>
      </w:r>
      <w:proofErr w:type="spellEnd"/>
      <w:r>
        <w:rPr>
          <w:rFonts w:ascii="Times New Roman" w:eastAsia="Times New Roman" w:hAnsi="Times New Roman" w:cs="Times New Roman"/>
        </w:rPr>
        <w:t xml:space="preserve"> et al., 2025). Yet, FL frameworks remain susceptible to adversarial threats, including model poisoning that can compromise the shared global model (</w:t>
      </w:r>
      <w:proofErr w:type="spellStart"/>
      <w:r>
        <w:rPr>
          <w:rFonts w:ascii="Times New Roman" w:eastAsia="Times New Roman" w:hAnsi="Times New Roman" w:cs="Times New Roman"/>
        </w:rPr>
        <w:t>Almaiah</w:t>
      </w:r>
      <w:proofErr w:type="spellEnd"/>
      <w:r>
        <w:rPr>
          <w:rFonts w:ascii="Times New Roman" w:eastAsia="Times New Roman" w:hAnsi="Times New Roman" w:cs="Times New Roman"/>
        </w:rPr>
        <w:t xml:space="preserve"> et al., 2025).</w:t>
      </w:r>
    </w:p>
    <w:p w14:paraId="3841EDFD" w14:textId="77777777" w:rsidR="00151D61" w:rsidRDefault="00000000">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In the domain of medical imaging AI, these challenges are acute. Convolutional neural networks (CNN) processing X-rays, MRIs, or skin lesion images can be fooled by attacks like the fast gradient sign method (FGSM), leading to dramatic accuracy reductions (</w:t>
      </w:r>
      <w:proofErr w:type="spellStart"/>
      <w:r>
        <w:rPr>
          <w:rFonts w:ascii="Times New Roman" w:eastAsia="Times New Roman" w:hAnsi="Times New Roman" w:cs="Times New Roman"/>
        </w:rPr>
        <w:t>Fazelnia</w:t>
      </w:r>
      <w:proofErr w:type="spellEnd"/>
      <w:r>
        <w:rPr>
          <w:rFonts w:ascii="Times New Roman" w:eastAsia="Times New Roman" w:hAnsi="Times New Roman" w:cs="Times New Roman"/>
        </w:rPr>
        <w:t xml:space="preserve"> et al., 2022; Watson &amp; Al Moubayed, 2021). For example, models trained on chest X-rays for pneumonia detection have shown vulnerability to perturbations that drop performance substantially (</w:t>
      </w:r>
      <w:proofErr w:type="spellStart"/>
      <w:r>
        <w:rPr>
          <w:rFonts w:ascii="Times New Roman" w:eastAsia="Times New Roman" w:hAnsi="Times New Roman" w:cs="Times New Roman"/>
        </w:rPr>
        <w:t>Selvakkumar</w:t>
      </w:r>
      <w:proofErr w:type="spellEnd"/>
      <w:r>
        <w:rPr>
          <w:rFonts w:ascii="Times New Roman" w:eastAsia="Times New Roman" w:hAnsi="Times New Roman" w:cs="Times New Roman"/>
        </w:rPr>
        <w:t xml:space="preserve"> et al., 2021). Privacy concerns further compound the issue, as patients remain cautious about how their imaging data might be used or exposed in AI systems.</w:t>
      </w:r>
    </w:p>
    <w:p w14:paraId="5453DD93" w14:textId="77777777" w:rsidR="00151D61" w:rsidRDefault="00000000">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The historical context of AI in healthcare accelerated by the need for remote and efficient care solutions. Early studies highlighted vulnerabilities in smart healthcare systems, with some attacks achieving high misclassification rates (Kereopa-Yorke, 2024; Newaz et al., 2020). While regulations like HIPAA and GDPR seek to protect patient data, gaps in compliance persist due to the data-intensive nature of AI development. Robust frameworks combining explainable AI (XAI), differential privacy, and adversarial training are thus critical to enhancing trustworthiness (Gujar, 2024; Watson &amp; Al Moubayed, 2021).</w:t>
      </w:r>
    </w:p>
    <w:p w14:paraId="30682200" w14:textId="77777777" w:rsidR="00151D61" w:rsidRDefault="00000000">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core research problem is the persistent susceptibility of healthcare AI, particularly medical imaging models, to adversarial attacks that undermine reliability and lead to potentially life-threatening errors. Despite advancements in defenses such as adversarial training, comprehensive robustness against evolving threats in federated environments is lacking (Ravikumar et al., 2024; Javed et al., 2024; </w:t>
      </w:r>
      <w:proofErr w:type="spellStart"/>
      <w:r>
        <w:rPr>
          <w:rFonts w:ascii="Times New Roman" w:eastAsia="Times New Roman" w:hAnsi="Times New Roman" w:cs="Times New Roman"/>
        </w:rPr>
        <w:t>Olutimehin</w:t>
      </w:r>
      <w:proofErr w:type="spellEnd"/>
      <w:r>
        <w:rPr>
          <w:rFonts w:ascii="Times New Roman" w:eastAsia="Times New Roman" w:hAnsi="Times New Roman" w:cs="Times New Roman"/>
        </w:rPr>
        <w:t xml:space="preserve"> et al., 2025). This challenge exists alongside growing concerns about data privacy, where apprehensions surrounding data handling may influence user trust and acceptance of AI technologies (Richardson et al., 2021; Yang et al., 2025). Existing approaches often fail to integrate adversarial defenses with privacy-preserving methods like homomorphic encryption or blockchain, and there is limited exploration of how such technical improvements may relate to user-centric outcomes (Batista et al., 2025; </w:t>
      </w:r>
      <w:proofErr w:type="spellStart"/>
      <w:r>
        <w:rPr>
          <w:rFonts w:ascii="Times New Roman" w:eastAsia="Times New Roman" w:hAnsi="Times New Roman" w:cs="Times New Roman"/>
        </w:rPr>
        <w:t>Fazelnia</w:t>
      </w:r>
      <w:proofErr w:type="spellEnd"/>
      <w:r>
        <w:rPr>
          <w:rFonts w:ascii="Times New Roman" w:eastAsia="Times New Roman" w:hAnsi="Times New Roman" w:cs="Times New Roman"/>
        </w:rPr>
        <w:t xml:space="preserve"> et al., 2022).</w:t>
      </w:r>
    </w:p>
    <w:p w14:paraId="25ED2C6C" w14:textId="77777777" w:rsidR="00151D61" w:rsidRDefault="00000000">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These issues are particularly relevant for research conducted in remote settings, where access to physical laboratories is restricted. Simulation-based evaluations using publicly available datasets, such as those for chest X-rays or dermatology images, become essential for rigorous analysis (</w:t>
      </w:r>
      <w:proofErr w:type="spellStart"/>
      <w:r>
        <w:rPr>
          <w:rFonts w:ascii="Times New Roman" w:eastAsia="Times New Roman" w:hAnsi="Times New Roman" w:cs="Times New Roman"/>
        </w:rPr>
        <w:t>Selvakkumar</w:t>
      </w:r>
      <w:proofErr w:type="spellEnd"/>
      <w:r>
        <w:rPr>
          <w:rFonts w:ascii="Times New Roman" w:eastAsia="Times New Roman" w:hAnsi="Times New Roman" w:cs="Times New Roman"/>
        </w:rPr>
        <w:t xml:space="preserve"> et al., 2021). The literature underscores gaps in unified frameworks that address both security and privacy while providing explainable outputs to support user trust (Yang et al., 2024; Kereopa-Yorke, 2024). Without such integrated solutions, healthcare AI risks eroding public confidence and limiting its potential benefits.</w:t>
      </w:r>
    </w:p>
    <w:p w14:paraId="16CDFD95" w14:textId="77777777" w:rsidR="00151D61" w:rsidRDefault="00000000">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This study is significant as it seeks to develop frameworks that improve adversarial robustness and privacy protection in healthcare AI. Clinicians in resource-limited environments would benefit from more reliable diagnostic tools less prone to attack-induced failures (Javed et al., 2024; Ravikumar et al., 2024). From a user perspective, privacy-preserving and transparent AI systems may contribute to improved perceptions of trust and data security, although such outcomes are not directly evaluated within this study (Richardson et al., 2021; Yang et al., 2025). Academically, the research advances the field of trustworthy AI by exploring novel combinations of techniques, such as stable diffusion for defenses and federated governance structures (Gujar, 2024; Batista et al., 2025). For policymakers, it provides evidence to inform regulations on AI security and FL implementation in healthcare (</w:t>
      </w:r>
      <w:proofErr w:type="spellStart"/>
      <w:r>
        <w:rPr>
          <w:rFonts w:ascii="Times New Roman" w:eastAsia="Times New Roman" w:hAnsi="Times New Roman" w:cs="Times New Roman"/>
        </w:rPr>
        <w:t>Almaiah</w:t>
      </w:r>
      <w:proofErr w:type="spellEnd"/>
      <w:r>
        <w:rPr>
          <w:rFonts w:ascii="Times New Roman" w:eastAsia="Times New Roman" w:hAnsi="Times New Roman" w:cs="Times New Roman"/>
        </w:rPr>
        <w:t xml:space="preserve"> et al., 2025). Furthermore, by relying on simulation with public datasets, it supports remote research contributions in a post-pandemic world (Newaz et al., 2020; </w:t>
      </w:r>
      <w:proofErr w:type="spellStart"/>
      <w:r>
        <w:rPr>
          <w:rFonts w:ascii="Times New Roman" w:eastAsia="Times New Roman" w:hAnsi="Times New Roman" w:cs="Times New Roman"/>
        </w:rPr>
        <w:t>Fazelnia</w:t>
      </w:r>
      <w:proofErr w:type="spellEnd"/>
      <w:r>
        <w:rPr>
          <w:rFonts w:ascii="Times New Roman" w:eastAsia="Times New Roman" w:hAnsi="Times New Roman" w:cs="Times New Roman"/>
        </w:rPr>
        <w:t xml:space="preserve"> et al., 2022).</w:t>
      </w:r>
    </w:p>
    <w:p w14:paraId="77860881" w14:textId="77777777" w:rsidR="00151D61" w:rsidRDefault="00000000">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The scope is confined to medical imaging AI applications involving modalities like chest X-rays and skin lesion analysis, leveraging public datasets. It addresses white-box, black-box, and poisoning attacks along with FL and privacy techniques but does not include hardware implementation or non-imaging data. The review draws on literature from 2020 to 2026 to capture contemporary developments (Kereopa-Yorke, 2024). Additionally, while the study acknowledges the importance of patient perception in AI adoption, it does not include direct human-subject evaluation, and therefore limits its contributions to technical and simulation-based findings. This approach ensures a clear focus on strengthening the robustness and privacy of AI systems while identifying opportunities for future research to explore human-centered outcomes in healthcare AI applications.</w:t>
      </w:r>
    </w:p>
    <w:p w14:paraId="6C0132B9" w14:textId="77777777" w:rsidR="00151D61" w:rsidRDefault="00000000">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The aim of this study is to design and evaluate robust AI frameworks using federated learning and explainable AI to mitigate adversarial attacks on medical imaging models within a simulation-based environment. The research objectives are to:</w:t>
      </w:r>
    </w:p>
    <w:p w14:paraId="0503D8C6" w14:textId="77777777" w:rsidR="00151D61"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t>Systematically review existing adversarial attacks and privacy challenges in AI with focus on medical imaging datasets.</w:t>
      </w:r>
    </w:p>
    <w:p w14:paraId="7F9FD741" w14:textId="77777777" w:rsidR="00151D61"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t>Propose a hybrid FL-XAI framework incorporating adversarial training and differential privacy.</w:t>
      </w:r>
    </w:p>
    <w:p w14:paraId="3211C2B7" w14:textId="77777777" w:rsidR="00151D61"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t>Validate the framework via simulated attacks to assess robustness and performance.</w:t>
      </w:r>
    </w:p>
    <w:p w14:paraId="6E67A1BF" w14:textId="77777777" w:rsidR="00151D61" w:rsidRDefault="00151D61">
      <w:pPr>
        <w:spacing w:line="360" w:lineRule="auto"/>
        <w:jc w:val="both"/>
        <w:rPr>
          <w:rFonts w:ascii="Times New Roman" w:eastAsia="Times New Roman" w:hAnsi="Times New Roman" w:cs="Times New Roman"/>
        </w:rPr>
      </w:pPr>
    </w:p>
    <w:p w14:paraId="18B5103B"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2.</w:t>
      </w:r>
      <w:r>
        <w:rPr>
          <w:rFonts w:ascii="Times New Roman" w:eastAsia="Times New Roman" w:hAnsi="Times New Roman" w:cs="Times New Roman"/>
          <w:b/>
          <w:bCs/>
        </w:rPr>
        <w:tab/>
        <w:t>Literature Review</w:t>
      </w:r>
    </w:p>
    <w:p w14:paraId="753C5403"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This review examines existing research through theoretical, conceptual, and empirical lenses. It identifies how prior studies have addressed robustness and privacy yet leave critical gaps in integrated frameworks suitable for federated, explainable, and simulation-driven environments. The review is organized into four major sections that trace the evolution of knowledge while highlighting opportunities for the present study.</w:t>
      </w:r>
    </w:p>
    <w:p w14:paraId="266FFA37" w14:textId="77777777" w:rsidR="00151D61" w:rsidRDefault="00151D61">
      <w:pPr>
        <w:spacing w:line="360" w:lineRule="auto"/>
        <w:jc w:val="both"/>
        <w:rPr>
          <w:rFonts w:ascii="Times New Roman" w:eastAsia="Times New Roman" w:hAnsi="Times New Roman" w:cs="Times New Roman"/>
        </w:rPr>
      </w:pPr>
    </w:p>
    <w:p w14:paraId="30DEE506" w14:textId="77777777" w:rsidR="00151D61" w:rsidRDefault="00151D61">
      <w:pPr>
        <w:spacing w:line="360" w:lineRule="auto"/>
        <w:jc w:val="both"/>
        <w:rPr>
          <w:rFonts w:ascii="Times New Roman" w:eastAsia="Times New Roman" w:hAnsi="Times New Roman" w:cs="Times New Roman"/>
        </w:rPr>
      </w:pPr>
    </w:p>
    <w:p w14:paraId="7204F73C"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Theoretical Foundations of Adversarial Attacks and Robustness Mechanisms</w:t>
      </w:r>
      <w:r>
        <w:rPr>
          <w:rFonts w:ascii="Times New Roman" w:eastAsia="Times New Roman" w:hAnsi="Times New Roman" w:cs="Times New Roman"/>
        </w:rPr>
        <w:t xml:space="preserve"> </w:t>
      </w:r>
    </w:p>
    <w:p w14:paraId="438DB3C1"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Theoretical models of adversarial attacks in healthcare AI rest on the observation that deep neural networks, particularly convolutional architectures used for X-ray and MRI analysis, possess fragile decision boundaries exploitable by imperceptible perturbations (Ma et al., 2020). Early theoretical work demonstrated that the fast gradient sign method and projected gradient descent can reduce classification accuracy in medical imaging by crafting inputs that maximize loss while remaining visually indistinguishable (</w:t>
      </w:r>
      <w:proofErr w:type="spellStart"/>
      <w:r>
        <w:rPr>
          <w:rFonts w:ascii="Times New Roman" w:eastAsia="Times New Roman" w:hAnsi="Times New Roman" w:cs="Times New Roman"/>
        </w:rPr>
        <w:t>Brohi</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Mastoi</w:t>
      </w:r>
      <w:proofErr w:type="spellEnd"/>
      <w:r>
        <w:rPr>
          <w:rFonts w:ascii="Times New Roman" w:eastAsia="Times New Roman" w:hAnsi="Times New Roman" w:cs="Times New Roman"/>
        </w:rPr>
        <w:t>, 2025). In federated settings, these attacks extend to model poisoning, where malicious clients inject crafted updates that corrupt the global model without centralized data access (Darzi et al., 2024). Robustness theory has advanced through adversarial training, which incorporates perturbed examples during optimization to minimize worst-case loss, and through certified defenses that provide mathematical guarantees on model stability under bounded perturbations (</w:t>
      </w:r>
      <w:proofErr w:type="spellStart"/>
      <w:r>
        <w:rPr>
          <w:rFonts w:ascii="Times New Roman" w:eastAsia="Times New Roman" w:hAnsi="Times New Roman" w:cs="Times New Roman"/>
        </w:rPr>
        <w:t>Baniecki</w:t>
      </w:r>
      <w:proofErr w:type="spellEnd"/>
      <w:r>
        <w:rPr>
          <w:rFonts w:ascii="Times New Roman" w:eastAsia="Times New Roman" w:hAnsi="Times New Roman" w:cs="Times New Roman"/>
        </w:rPr>
        <w:t xml:space="preserve"> &amp; Biecek, 2024). Differential privacy adds theoretical noise to gradients, bounding the influence of any single data point and thereby limiting inference risks. However, these mechanisms often trade off utility for security, with empirical analyses showing up accuracy degradation in heterogeneous medical datasets (Teo et al., 2024). The equation below formalizes a basic adversarial perturbation: </w:t>
      </w:r>
    </w:p>
    <w:p w14:paraId="2E35CFCD" w14:textId="77777777" w:rsidR="00151D61" w:rsidRDefault="00000000">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t>
              </m:r>
            </m:sup>
          </m:sSup>
          <m:r>
            <w:rPr>
              <w:rFonts w:ascii="Cambria Math" w:eastAsia="Cambria Math" w:hAnsi="Cambria Math" w:cs="Cambria Math"/>
            </w:rPr>
            <m:t>=x+ϵ⋅</m:t>
          </m:r>
          <m:r>
            <w:rPr>
              <w:rFonts w:ascii="Times New Roman" w:eastAsia="Times New Roman" w:hAnsi="Times New Roman" w:cs="Times New Roman"/>
            </w:rPr>
            <m:t>sign</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x</m:t>
              </m:r>
            </m:sub>
          </m:sSub>
          <m:r>
            <w:rPr>
              <w:rFonts w:ascii="Cambria Math" w:eastAsia="Cambria Math" w:hAnsi="Cambria Math" w:cs="Cambria Math"/>
            </w:rPr>
            <m:t>L(θ,x,y))</m:t>
          </m:r>
        </m:oMath>
      </m:oMathPara>
    </w:p>
    <w:p w14:paraId="6171B965"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t>
            </m:r>
          </m:sup>
        </m:sSup>
      </m:oMath>
      <w:r>
        <w:rPr>
          <w:rFonts w:ascii="Times New Roman" w:eastAsia="Times New Roman" w:hAnsi="Times New Roman" w:cs="Times New Roman"/>
        </w:rPr>
        <w:t xml:space="preserve"> is the adversarial example, </w:t>
      </w:r>
      <m:oMath>
        <m:r>
          <w:rPr>
            <w:rFonts w:ascii="Cambria Math" w:hAnsi="Cambria Math"/>
          </w:rPr>
          <m:t>ϵ</m:t>
        </m:r>
      </m:oMath>
      <w:r>
        <w:rPr>
          <w:rFonts w:ascii="Times New Roman" w:eastAsia="Times New Roman" w:hAnsi="Times New Roman" w:cs="Times New Roman"/>
        </w:rPr>
        <w:t xml:space="preserve"> controls perturbation magnitude, and </w:t>
      </w:r>
      <m:oMath>
        <m:r>
          <w:rPr>
            <w:rFonts w:ascii="Cambria Math" w:eastAsia="Cambria Math" w:hAnsi="Cambria Math" w:cs="Cambria Math"/>
          </w:rPr>
          <m:t>L</m:t>
        </m:r>
      </m:oMath>
      <w:r>
        <w:rPr>
          <w:rFonts w:ascii="Times New Roman" w:eastAsia="Times New Roman" w:hAnsi="Times New Roman" w:cs="Times New Roman"/>
        </w:rPr>
        <w:t xml:space="preserve"> denotes the loss function. Such foundations underscore the need for defenses that preserve diagnostic fidelity while resisting both evasion and poisoning threats.</w:t>
      </w:r>
    </w:p>
    <w:p w14:paraId="62E2544C"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Conceptual Frameworks Addressing Privacy Concerns and Data Stress Anxiety</w:t>
      </w:r>
      <w:r>
        <w:rPr>
          <w:rFonts w:ascii="Times New Roman" w:eastAsia="Times New Roman" w:hAnsi="Times New Roman" w:cs="Times New Roman"/>
        </w:rPr>
        <w:t xml:space="preserve"> </w:t>
      </w:r>
    </w:p>
    <w:p w14:paraId="1FC8C413"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Conceptual models link privacy threats directly to outcomes, framing “data stress anxiety” as a measurable response to perceived loss of control over health information (Yang et al., 2025). Patient privacy concerns arise from re-identification risks in centralized AI pipelines, prompting frameworks that integrate homomorphic encryption and secure multi-party computation to enable computations on encrypted data without decryption (Williamson &amp; </w:t>
      </w:r>
      <w:proofErr w:type="spellStart"/>
      <w:r>
        <w:rPr>
          <w:rFonts w:ascii="Times New Roman" w:eastAsia="Times New Roman" w:hAnsi="Times New Roman" w:cs="Times New Roman"/>
        </w:rPr>
        <w:t>Prybutok</w:t>
      </w:r>
      <w:proofErr w:type="spellEnd"/>
      <w:r>
        <w:rPr>
          <w:rFonts w:ascii="Times New Roman" w:eastAsia="Times New Roman" w:hAnsi="Times New Roman" w:cs="Times New Roman"/>
        </w:rPr>
        <w:t>, 2024). In AI-driven monitoring, surveys reveal that anxiety symptoms correlate positively with privacy apprehension, with resilience and family health acting as moderators (Liu et al., 2025). Federated learning conceptually mitigates this by keeping raw images local while sharing only model updates, yet gradient inversion attacks can still reconstruct sensitive visuals, eroding trust (Rehman et al., 2023). Explainable AI layers add conceptual transparency through saliency maps and attention mechanisms, allowing clinicians to verify predictions and patients to understand data usage, thereby reducing anxiety (Van der Velden et al., 2022). These models highlight that privacy-preserving techniques alone insufficiently address the human dimension of anxiety unless paired with auditable, patient-centric governance.</w:t>
      </w:r>
    </w:p>
    <w:p w14:paraId="7416C5EC"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Empirical Advances in Federated Learning and Explainable AI for Medical Imaging</w:t>
      </w:r>
    </w:p>
    <w:p w14:paraId="28B3D157"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Empirical studies validate federated learning’s efficacy in collaborative medical imaging while exposing persistent limitations. Multi-institutional experiments on brain tumor and chest X-ray datasets demonstrate that federated models achieve comparable performance to centralized counterparts when non-IID data distributions are mitigated through client weighting (Guan et al., 2024). Adversarial robustness evaluations reveal that domain-specific attacks succeed more frequently in federated environments, with success rates rising 25–40% under heterogeneous hospital data (Darzi et al., 2024; </w:t>
      </w:r>
      <w:proofErr w:type="spellStart"/>
      <w:r>
        <w:rPr>
          <w:rFonts w:ascii="Times New Roman" w:eastAsia="Times New Roman" w:hAnsi="Times New Roman" w:cs="Times New Roman"/>
        </w:rPr>
        <w:t>Alruwaili</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Moulahi</w:t>
      </w:r>
      <w:proofErr w:type="spellEnd"/>
      <w:r>
        <w:rPr>
          <w:rFonts w:ascii="Times New Roman" w:eastAsia="Times New Roman" w:hAnsi="Times New Roman" w:cs="Times New Roman"/>
        </w:rPr>
        <w:t>, 2026). Blockchain-augmented federated systems empirically enhance verifiability, recording model updates on immutable ledgers to detect poisoning with 95% precision (Shinde et al., 2026). Explainable AI integration further improves outcomes; ensemble class activation mapping on thoracic radiographs yields interpretable heatmaps that boost clinician confidence without sacrificing accuracy (Abbas et al., 2024). Real-world pilots confirm that differential privacy combined with XAI reduces reconstruction attack success while maintaining anxiety-mitigating transparency (Ahmed et al., 2026). Yet most evaluations remain simulation-based, relying on public benchmarks rather than live clinical workflows.</w:t>
      </w:r>
    </w:p>
    <w:p w14:paraId="1572D1F2"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Identified Gaps and Research Opportunities</w:t>
      </w:r>
      <w:r>
        <w:rPr>
          <w:rFonts w:ascii="Times New Roman" w:eastAsia="Times New Roman" w:hAnsi="Times New Roman" w:cs="Times New Roman"/>
        </w:rPr>
        <w:t xml:space="preserve"> </w:t>
      </w:r>
    </w:p>
    <w:p w14:paraId="70ECF47F"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Despite substantial progress, critical gaps persist. Few studies jointly optimize adversarial robustness, federated privacy, and anxiety reduction within a single framework, particularly for research using datasets such as ChestX-ray14 or ISIC (Teo et al., 2024; </w:t>
      </w:r>
      <w:proofErr w:type="spellStart"/>
      <w:r>
        <w:rPr>
          <w:rFonts w:ascii="Times New Roman" w:eastAsia="Times New Roman" w:hAnsi="Times New Roman" w:cs="Times New Roman"/>
        </w:rPr>
        <w:t>Brohi</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Mastoi</w:t>
      </w:r>
      <w:proofErr w:type="spellEnd"/>
      <w:r>
        <w:rPr>
          <w:rFonts w:ascii="Times New Roman" w:eastAsia="Times New Roman" w:hAnsi="Times New Roman" w:cs="Times New Roman"/>
        </w:rPr>
        <w:t xml:space="preserve">, 2025). Theoretical defenses rarely translate to empirical gains across white-box, black-box, and poisoning scenarios simultaneously, and conceptual models of data stress anxiety seldom incorporate quantitative patient metrics alongside technical performance (Yang et al., 2025; Liu et al., 2025). Empirical work overlooks blockchain-XAI synergies for auditable explanations and under-explores stable diffusion defenses in federated medical imaging (Shinde et al., 2026; </w:t>
      </w:r>
      <w:proofErr w:type="spellStart"/>
      <w:r>
        <w:rPr>
          <w:rFonts w:ascii="Times New Roman" w:eastAsia="Times New Roman" w:hAnsi="Times New Roman" w:cs="Times New Roman"/>
        </w:rPr>
        <w:t>Baniecki</w:t>
      </w:r>
      <w:proofErr w:type="spellEnd"/>
      <w:r>
        <w:rPr>
          <w:rFonts w:ascii="Times New Roman" w:eastAsia="Times New Roman" w:hAnsi="Times New Roman" w:cs="Times New Roman"/>
        </w:rPr>
        <w:t xml:space="preserve"> &amp; Biecek, 2024). Scalability, communication overhead, and data revocation in dynamic healthcare networks remain unaddressed, while most XAI robustness tests ignore natural noise such as JPEG compression common in clinical pipelines (Ahmed et al., 2026; Van der Velden et al., 2022). These shortcomings create opportunities for hybrid frameworks that embed adversarial training, differential privacy, and explainable outputs within federated architectures, evaluated through simulated attacks and perception surveys. Such integration would bridge the technical–divide, advancing trustworthy AI deployment and directly supporting the robust, privacy-centric objectives of the research.</w:t>
      </w:r>
    </w:p>
    <w:p w14:paraId="4D6CA632" w14:textId="77777777" w:rsidR="00151D61" w:rsidRDefault="00151D61">
      <w:pPr>
        <w:spacing w:line="360" w:lineRule="auto"/>
        <w:jc w:val="both"/>
        <w:rPr>
          <w:rFonts w:ascii="Times New Roman" w:eastAsia="Times New Roman" w:hAnsi="Times New Roman" w:cs="Times New Roman"/>
        </w:rPr>
      </w:pPr>
    </w:p>
    <w:p w14:paraId="5C30A1F5"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3.</w:t>
      </w:r>
      <w:r>
        <w:rPr>
          <w:rFonts w:ascii="Times New Roman" w:eastAsia="Times New Roman" w:hAnsi="Times New Roman" w:cs="Times New Roman"/>
          <w:b/>
          <w:bCs/>
        </w:rPr>
        <w:tab/>
        <w:t>Research Methodology</w:t>
      </w:r>
    </w:p>
    <w:p w14:paraId="50C20D05"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methodology outlines the framework for developing and evaluating robust healthcare AI frameworks that mitigate adversarial attacks and personal data stress anxiety in medical imaging applications. The approach builds on the identified challenges of model vulnerability and privacy-induced burden by employing a quantitative, simulation-driven experimental design. It utilizes publicly accessible medical imaging datasets to enable reproducible and implementation. This aligns with the aim of designing hybrid federated learning and explainable AI systems that enhance robustness and reduce perceived data-related anxiety through privacy-preserving mechanisms (Darzi et al., 2024; Adnan et al., 2022).</w:t>
      </w:r>
    </w:p>
    <w:p w14:paraId="3F7A4A90"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research adopts an iterative simulation-based design consisting of three interconnected phases. The first phase involves baseline model training on clean data using convolutional neural network architectures suitable for chest X-ray analysis. The second phase introduces adversarial perturbations to simulate real-world threats such as evasion and poisoning attacks. The third phase integrates defense mechanisms, including adversarial training, differential privacy, and explainable artificial intelligence components, to assess improvements in both technical robustness and proxy measures of anxiety mitigation. A hybrid architecture extends the standard federated averaging algorithm with adversarial training and SHAP-based explanations. Client clustering addresses non-independent and identically distributed data distributions common in healthcare settings, promoting generalizability across simulated institutional silos (Guan et al., 2024; Tzortzis et al., 2025).</w:t>
      </w:r>
    </w:p>
    <w:p w14:paraId="518B56AB"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Data Sources</w:t>
      </w:r>
    </w:p>
    <w:p w14:paraId="6988CE96" w14:textId="2BD0B6F6"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Data sources comprise openly available medical imaging repositories that support simulation of federated environments without requiring direct patient interaction or physical infrastructure. Key repositories include the MIMIC-CXR dataset containing 377,110 chest X-ray images with 14 diagnostic labels focused on conditions such as pneumonia and cardiomegaly, and the </w:t>
      </w:r>
      <w:proofErr w:type="spellStart"/>
      <w:r>
        <w:rPr>
          <w:rFonts w:ascii="Times New Roman" w:eastAsia="Times New Roman" w:hAnsi="Times New Roman" w:cs="Times New Roman"/>
        </w:rPr>
        <w:t>CheXpert</w:t>
      </w:r>
      <w:proofErr w:type="spellEnd"/>
      <w:r>
        <w:rPr>
          <w:rFonts w:ascii="Times New Roman" w:eastAsia="Times New Roman" w:hAnsi="Times New Roman" w:cs="Times New Roman"/>
        </w:rPr>
        <w:t xml:space="preserve"> dataset with 224,316 images accompanied by uncertainty-aware labels for 14 conditions. Supplementary sources encompass the NIH Chest X-ray dataset with 112,120 images and the </w:t>
      </w:r>
      <w:proofErr w:type="spellStart"/>
      <w:r>
        <w:rPr>
          <w:rFonts w:ascii="Times New Roman" w:eastAsia="Times New Roman" w:hAnsi="Times New Roman" w:cs="Times New Roman"/>
        </w:rPr>
        <w:t>PadChest</w:t>
      </w:r>
      <w:proofErr w:type="spellEnd"/>
      <w:r>
        <w:rPr>
          <w:rFonts w:ascii="Times New Roman" w:eastAsia="Times New Roman" w:hAnsi="Times New Roman" w:cs="Times New Roman"/>
        </w:rPr>
        <w:t xml:space="preserve"> dataset featuring approximately 160,000 multi-label chest radiographs. These resources facilitate partitioning across simulated clients to replicate multi-institutional collaboration while maintaining data locality (Johnson et al., 2019; Irvin et al., 2019). The experiment utilized a representative subsample of </w:t>
      </w:r>
      <w:r w:rsidR="00944BD5">
        <w:rPr>
          <w:rFonts w:ascii="Times New Roman" w:eastAsia="Times New Roman" w:hAnsi="Times New Roman" w:cs="Times New Roman"/>
        </w:rPr>
        <w:t>5</w:t>
      </w:r>
      <w:r>
        <w:rPr>
          <w:rFonts w:ascii="Times New Roman" w:eastAsia="Times New Roman" w:hAnsi="Times New Roman" w:cs="Times New Roman"/>
        </w:rPr>
        <w:t xml:space="preserve">00 images from large public datasets (MMIC-CXR and </w:t>
      </w:r>
      <w:proofErr w:type="spellStart"/>
      <w:r>
        <w:rPr>
          <w:rFonts w:ascii="Times New Roman" w:eastAsia="Times New Roman" w:hAnsi="Times New Roman" w:cs="Times New Roman"/>
        </w:rPr>
        <w:t>CheXpert</w:t>
      </w:r>
      <w:proofErr w:type="spellEnd"/>
      <w:r>
        <w:rPr>
          <w:rFonts w:ascii="Times New Roman" w:eastAsia="Times New Roman" w:hAnsi="Times New Roman" w:cs="Times New Roman"/>
        </w:rPr>
        <w:t xml:space="preserve">) to enable full reproducibility and feasible simulation of the hybrid </w:t>
      </w:r>
      <w:proofErr w:type="spellStart"/>
      <w:r>
        <w:rPr>
          <w:rFonts w:ascii="Times New Roman" w:eastAsia="Times New Roman" w:hAnsi="Times New Roman" w:cs="Times New Roman"/>
        </w:rPr>
        <w:t>RobustFL</w:t>
      </w:r>
      <w:proofErr w:type="spellEnd"/>
      <w:r>
        <w:rPr>
          <w:rFonts w:ascii="Times New Roman" w:eastAsia="Times New Roman" w:hAnsi="Times New Roman" w:cs="Times New Roman"/>
        </w:rPr>
        <w:t xml:space="preserve"> framework</w:t>
      </w:r>
      <w:r w:rsidR="008E4968">
        <w:rPr>
          <w:rFonts w:ascii="Times New Roman" w:eastAsia="Times New Roman" w:hAnsi="Times New Roman" w:cs="Times New Roman"/>
        </w:rPr>
        <w:t xml:space="preserve"> even </w:t>
      </w:r>
      <w:r>
        <w:rPr>
          <w:rFonts w:ascii="Times New Roman" w:eastAsia="Times New Roman" w:hAnsi="Times New Roman" w:cs="Times New Roman"/>
        </w:rPr>
        <w:t>on</w:t>
      </w:r>
      <w:r w:rsidR="008E4968">
        <w:rPr>
          <w:rFonts w:ascii="Times New Roman" w:eastAsia="Times New Roman" w:hAnsi="Times New Roman" w:cs="Times New Roman"/>
        </w:rPr>
        <w:t xml:space="preserve"> a</w:t>
      </w:r>
      <w:r>
        <w:rPr>
          <w:rFonts w:ascii="Times New Roman" w:eastAsia="Times New Roman" w:hAnsi="Times New Roman" w:cs="Times New Roman"/>
        </w:rPr>
        <w:t xml:space="preserve"> low-resource hardware, while capturing essential non-IID heterogeneity and adversarial conditions.</w:t>
      </w:r>
    </w:p>
    <w:p w14:paraId="406A42FC"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Datasets undergo preprocessing steps that include pixel normalization expressed as: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x-μ</m:t>
            </m:r>
          </m:num>
          <m:den>
            <m:r>
              <w:rPr>
                <w:rFonts w:ascii="Cambria Math" w:eastAsia="Cambria Math" w:hAnsi="Cambria Math" w:cs="Cambria Math"/>
              </w:rPr>
              <m:t>σ</m:t>
            </m:r>
          </m:den>
        </m:f>
      </m:oMath>
      <w:r>
        <w:rPr>
          <w:rFonts w:ascii="Times New Roman" w:eastAsia="Times New Roman" w:hAnsi="Times New Roman" w:cs="Times New Roman"/>
        </w:rPr>
        <w:t xml:space="preserve">, where </w:t>
      </w:r>
      <m:oMath>
        <m:r>
          <w:rPr>
            <w:rFonts w:ascii="Cambria Math" w:eastAsia="Cambria Math" w:hAnsi="Cambria Math" w:cs="Cambria Math"/>
          </w:rPr>
          <m:t>x</m:t>
        </m:r>
      </m:oMath>
      <w:r>
        <w:rPr>
          <w:rFonts w:ascii="Times New Roman" w:eastAsia="Times New Roman" w:hAnsi="Times New Roman" w:cs="Times New Roman"/>
        </w:rPr>
        <w:t xml:space="preserve"> represents the original pixel intensity, </w:t>
      </w:r>
      <m:oMath>
        <m:r>
          <w:rPr>
            <w:rFonts w:ascii="Cambria Math" w:hAnsi="Cambria Math"/>
          </w:rPr>
          <m:t>μ</m:t>
        </m:r>
      </m:oMath>
      <w:r>
        <w:rPr>
          <w:rFonts w:ascii="Times New Roman" w:eastAsia="Times New Roman" w:hAnsi="Times New Roman" w:cs="Times New Roman"/>
        </w:rPr>
        <w:t xml:space="preserve">denotes the mean intensity, and </w:t>
      </w:r>
      <m:oMath>
        <m:r>
          <w:rPr>
            <w:rFonts w:ascii="Cambria Math" w:hAnsi="Cambria Math"/>
          </w:rPr>
          <m:t>σ</m:t>
        </m:r>
      </m:oMath>
      <w:r>
        <w:rPr>
          <w:rFonts w:ascii="Times New Roman" w:eastAsia="Times New Roman" w:hAnsi="Times New Roman" w:cs="Times New Roman"/>
        </w:rPr>
        <w:t xml:space="preserve">is the standard deviation. Images are resized to 224 by 224 pixels and augmented through random rotations and horizontal flipping to improve model generalisation. Partitioning creates non-independent and identically distributed distributions across 5 simulated clients using label skew ratios such as 80/20 to emulate heterogeneous hospital environments. All access complies with respective dataset licences through established public APIs, ensuring ethical reproducibility in remote research contexts (Ghamizi et al., 2023; </w:t>
      </w:r>
      <w:proofErr w:type="spellStart"/>
      <w:r>
        <w:rPr>
          <w:rFonts w:ascii="Times New Roman" w:eastAsia="Times New Roman" w:hAnsi="Times New Roman" w:cs="Times New Roman"/>
        </w:rPr>
        <w:t>Onireti</w:t>
      </w:r>
      <w:proofErr w:type="spellEnd"/>
      <w:r>
        <w:rPr>
          <w:rFonts w:ascii="Times New Roman" w:eastAsia="Times New Roman" w:hAnsi="Times New Roman" w:cs="Times New Roman"/>
        </w:rPr>
        <w:t xml:space="preserve"> et al., 2025).</w:t>
      </w:r>
    </w:p>
    <w:p w14:paraId="47988601"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Analytical Approaches and Proposed Framework</w:t>
      </w:r>
    </w:p>
    <w:p w14:paraId="4159A0A4"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Analytical procedures center on federated learning algorithms enhanced for robustness against adversarial threats while incorporating privacy safeguards that indirectly support data stress anxiety. The baseline employs the federated averaging algorithm, denoted as </w:t>
      </w:r>
      <w:proofErr w:type="spellStart"/>
      <w:r>
        <w:rPr>
          <w:rFonts w:ascii="Times New Roman" w:eastAsia="Times New Roman" w:hAnsi="Times New Roman" w:cs="Times New Roman"/>
        </w:rPr>
        <w:t>FedAvg</w:t>
      </w:r>
      <w:proofErr w:type="spellEnd"/>
      <w:r>
        <w:rPr>
          <w:rFonts w:ascii="Times New Roman" w:eastAsia="Times New Roman" w:hAnsi="Times New Roman" w:cs="Times New Roman"/>
        </w:rPr>
        <w:t xml:space="preserve">, in which the global model weights at round </w:t>
      </w:r>
      <m:oMath>
        <m:r>
          <w:rPr>
            <w:rFonts w:ascii="Cambria Math" w:eastAsia="Cambria Math" w:hAnsi="Cambria Math" w:cs="Cambria Math"/>
          </w:rPr>
          <m:t>t+1</m:t>
        </m:r>
      </m:oMath>
      <w:r>
        <w:rPr>
          <w:rFonts w:ascii="Times New Roman" w:eastAsia="Times New Roman" w:hAnsi="Times New Roman" w:cs="Times New Roman"/>
        </w:rPr>
        <w:t xml:space="preserve"> are computed as:</w:t>
      </w:r>
    </w:p>
    <w:p w14:paraId="267489F9" w14:textId="3B30FCAF" w:rsidR="00151D61"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t+1</m:t>
              </m:r>
            </m:sub>
          </m:sSub>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k=1</m:t>
              </m:r>
            </m:sub>
            <m:sup>
              <m:r>
                <w:rPr>
                  <w:rFonts w:ascii="Cambria Math" w:eastAsia="Cambria Math" w:hAnsi="Cambria Math" w:cs="Cambria Math"/>
                </w:rPr>
                <m:t>K</m:t>
              </m:r>
            </m:sup>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k</m:t>
                      </m:r>
                    </m:sub>
                  </m:sSub>
                </m:num>
                <m:den>
                  <m:r>
                    <w:rPr>
                      <w:rFonts w:ascii="Cambria Math" w:eastAsia="Cambria Math" w:hAnsi="Cambria Math" w:cs="Cambria Math"/>
                    </w:rPr>
                    <m:t>n</m:t>
                  </m:r>
                </m:den>
              </m:f>
              <m:sSubSup>
                <m:sSubSupPr>
                  <m:ctrlPr>
                    <w:rPr>
                      <w:rFonts w:ascii="Cambria Math" w:eastAsia="Cambria Math" w:hAnsi="Cambria Math" w:cs="Cambria Math"/>
                    </w:rPr>
                  </m:ctrlPr>
                </m:sSubSupPr>
                <m:e>
                  <m:r>
                    <w:rPr>
                      <w:rFonts w:ascii="Cambria Math" w:eastAsia="Cambria Math" w:hAnsi="Cambria Math" w:cs="Cambria Math"/>
                    </w:rPr>
                    <m:t>w</m:t>
                  </m:r>
                </m:e>
                <m:sub>
                  <m:r>
                    <w:rPr>
                      <w:rFonts w:ascii="Cambria Math" w:eastAsia="Cambria Math" w:hAnsi="Cambria Math" w:cs="Cambria Math"/>
                    </w:rPr>
                    <m:t>t+1</m:t>
                  </m:r>
                </m:sub>
                <m:sup>
                  <m:r>
                    <w:rPr>
                      <w:rFonts w:ascii="Cambria Math" w:eastAsia="Cambria Math" w:hAnsi="Cambria Math" w:cs="Cambria Math"/>
                    </w:rPr>
                    <m:t>k</m:t>
                  </m:r>
                </m:sup>
              </m:sSubSup>
            </m:e>
          </m:nary>
        </m:oMath>
      </m:oMathPara>
    </w:p>
    <w:p w14:paraId="5FDDD97E"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Here, </w:t>
      </w: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t+1</m:t>
            </m:r>
          </m:sub>
        </m:sSub>
      </m:oMath>
      <w:r>
        <w:rPr>
          <w:rFonts w:ascii="Times New Roman" w:eastAsia="Times New Roman" w:hAnsi="Times New Roman" w:cs="Times New Roman"/>
        </w:rPr>
        <w:t xml:space="preserve"> represents the updated global weights, </w:t>
      </w:r>
      <m:oMath>
        <m:sSubSup>
          <m:sSubSupPr>
            <m:ctrlPr>
              <w:rPr>
                <w:rFonts w:ascii="Cambria Math" w:eastAsia="Cambria Math" w:hAnsi="Cambria Math" w:cs="Cambria Math"/>
              </w:rPr>
            </m:ctrlPr>
          </m:sSubSupPr>
          <m:e>
            <m:r>
              <w:rPr>
                <w:rFonts w:ascii="Cambria Math" w:eastAsia="Cambria Math" w:hAnsi="Cambria Math" w:cs="Cambria Math"/>
              </w:rPr>
              <m:t>w</m:t>
            </m:r>
          </m:e>
          <m:sub>
            <m:r>
              <w:rPr>
                <w:rFonts w:ascii="Cambria Math" w:eastAsia="Cambria Math" w:hAnsi="Cambria Math" w:cs="Cambria Math"/>
              </w:rPr>
              <m:t>t+1</m:t>
            </m:r>
          </m:sub>
          <m:sup>
            <m:r>
              <w:rPr>
                <w:rFonts w:ascii="Cambria Math" w:eastAsia="Cambria Math" w:hAnsi="Cambria Math" w:cs="Cambria Math"/>
              </w:rPr>
              <m:t>k</m:t>
            </m:r>
          </m:sup>
        </m:sSubSup>
      </m:oMath>
      <w:r>
        <w:rPr>
          <w:rFonts w:ascii="Times New Roman" w:eastAsia="Times New Roman" w:hAnsi="Times New Roman" w:cs="Times New Roman"/>
        </w:rPr>
        <w:t xml:space="preserve"> denotes the local weights from client </w:t>
      </w:r>
      <m:oMath>
        <m:r>
          <w:rPr>
            <w:rFonts w:ascii="Cambria Math" w:eastAsia="Cambria Math" w:hAnsi="Cambria Math" w:cs="Cambria Math"/>
          </w:rPr>
          <m:t>k</m:t>
        </m:r>
      </m:oMath>
      <w:r>
        <w:rPr>
          <w:rFonts w:ascii="Times New Roman" w:eastAsia="Times New Roman" w:hAnsi="Times New Roman" w:cs="Times New Roman"/>
        </w:rPr>
        <w:t xml:space="preserve">, </w:t>
      </w: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k</m:t>
            </m:r>
          </m:sub>
        </m:sSub>
      </m:oMath>
      <w:r>
        <w:rPr>
          <w:rFonts w:ascii="Times New Roman" w:eastAsia="Times New Roman" w:hAnsi="Times New Roman" w:cs="Times New Roman"/>
        </w:rPr>
        <w:t xml:space="preserve"> is the number of samples on client </w:t>
      </w:r>
      <m:oMath>
        <m:r>
          <w:rPr>
            <w:rFonts w:ascii="Cambria Math" w:eastAsia="Cambria Math" w:hAnsi="Cambria Math" w:cs="Cambria Math"/>
          </w:rPr>
          <m:t>k</m:t>
        </m:r>
      </m:oMath>
      <w:r>
        <w:rPr>
          <w:rFonts w:ascii="Times New Roman" w:eastAsia="Times New Roman" w:hAnsi="Times New Roman" w:cs="Times New Roman"/>
        </w:rPr>
        <w:t xml:space="preserve">, </w:t>
      </w:r>
      <m:oMath>
        <m:r>
          <w:rPr>
            <w:rFonts w:ascii="Cambria Math" w:eastAsia="Cambria Math" w:hAnsi="Cambria Math" w:cs="Cambria Math"/>
          </w:rPr>
          <m:t>n</m:t>
        </m:r>
      </m:oMath>
      <w:r>
        <w:rPr>
          <w:rFonts w:ascii="Times New Roman" w:eastAsia="Times New Roman" w:hAnsi="Times New Roman" w:cs="Times New Roman"/>
        </w:rPr>
        <w:t xml:space="preserve"> is the total number of samples across all clients, and </w:t>
      </w:r>
      <m:oMath>
        <m:r>
          <w:rPr>
            <w:rFonts w:ascii="Cambria Math" w:eastAsia="Cambria Math" w:hAnsi="Cambria Math" w:cs="Cambria Math"/>
          </w:rPr>
          <m:t>K</m:t>
        </m:r>
      </m:oMath>
      <w:r>
        <w:rPr>
          <w:rFonts w:ascii="Times New Roman" w:eastAsia="Times New Roman" w:hAnsi="Times New Roman" w:cs="Times New Roman"/>
        </w:rPr>
        <w:t xml:space="preserve"> is the number of participating clients.</w:t>
      </w:r>
    </w:p>
    <w:p w14:paraId="5CED8DEA"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proposed </w:t>
      </w:r>
      <w:proofErr w:type="spellStart"/>
      <w:r>
        <w:rPr>
          <w:rFonts w:ascii="Times New Roman" w:eastAsia="Times New Roman" w:hAnsi="Times New Roman" w:cs="Times New Roman"/>
        </w:rPr>
        <w:t>RobustFL</w:t>
      </w:r>
      <w:proofErr w:type="spellEnd"/>
      <w:r>
        <w:rPr>
          <w:rFonts w:ascii="Times New Roman" w:eastAsia="Times New Roman" w:hAnsi="Times New Roman" w:cs="Times New Roman"/>
        </w:rPr>
        <w:t xml:space="preserve"> framework extends </w:t>
      </w:r>
      <w:proofErr w:type="spellStart"/>
      <w:r>
        <w:rPr>
          <w:rFonts w:ascii="Times New Roman" w:eastAsia="Times New Roman" w:hAnsi="Times New Roman" w:cs="Times New Roman"/>
        </w:rPr>
        <w:t>FedAvg</w:t>
      </w:r>
      <w:proofErr w:type="spellEnd"/>
      <w:r>
        <w:rPr>
          <w:rFonts w:ascii="Times New Roman" w:eastAsia="Times New Roman" w:hAnsi="Times New Roman" w:cs="Times New Roman"/>
        </w:rPr>
        <w:t xml:space="preserve"> into a hybrid </w:t>
      </w:r>
      <w:proofErr w:type="spellStart"/>
      <w:r>
        <w:rPr>
          <w:rFonts w:ascii="Times New Roman" w:eastAsia="Times New Roman" w:hAnsi="Times New Roman" w:cs="Times New Roman"/>
        </w:rPr>
        <w:t>FedAT</w:t>
      </w:r>
      <w:proofErr w:type="spellEnd"/>
      <w:r>
        <w:rPr>
          <w:rFonts w:ascii="Times New Roman" w:eastAsia="Times New Roman" w:hAnsi="Times New Roman" w:cs="Times New Roman"/>
        </w:rPr>
        <w:t xml:space="preserve"> (Federated Adversarial Training) variant. Local clients perform min-max optimization to enhance robustness:</w:t>
      </w:r>
    </w:p>
    <w:p w14:paraId="206A2D5D" w14:textId="77777777" w:rsidR="00151D61"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min⁡</m:t>
              </m:r>
            </m:e>
            <m:sub>
              <m:r>
                <w:rPr>
                  <w:rFonts w:ascii="Cambria Math" w:eastAsia="Cambria Math" w:hAnsi="Cambria Math" w:cs="Cambria Math"/>
                </w:rPr>
                <m:t>θ</m:t>
              </m:r>
            </m:sub>
          </m:sSub>
          <m:sSub>
            <m:sSubPr>
              <m:ctrlPr>
                <w:rPr>
                  <w:rFonts w:ascii="Cambria Math" w:eastAsia="Cambria Math" w:hAnsi="Cambria Math" w:cs="Cambria Math"/>
                </w:rPr>
              </m:ctrlPr>
            </m:sSubPr>
            <m:e>
              <m:r>
                <w:rPr>
                  <w:rFonts w:ascii="Cambria Math" w:eastAsia="Cambria Math" w:hAnsi="Cambria Math" w:cs="Cambria Math"/>
                </w:rPr>
                <m:t>E</m:t>
              </m:r>
            </m:e>
            <m:sub>
              <m:d>
                <m:dPr>
                  <m:ctrlPr>
                    <w:rPr>
                      <w:rFonts w:ascii="Cambria Math" w:eastAsia="Cambria Math" w:hAnsi="Cambria Math" w:cs="Cambria Math"/>
                    </w:rPr>
                  </m:ctrlPr>
                </m:dPr>
                <m:e>
                  <m:r>
                    <w:rPr>
                      <w:rFonts w:ascii="Cambria Math" w:eastAsia="Cambria Math" w:hAnsi="Cambria Math" w:cs="Cambria Math"/>
                    </w:rPr>
                    <m:t>y</m:t>
                  </m:r>
                </m:e>
              </m:d>
            </m:sub>
          </m:sSub>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∥δ</m:t>
                  </m:r>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m:t>
                      </m:r>
                    </m:sub>
                  </m:sSub>
                  <m:r>
                    <w:rPr>
                      <w:rFonts w:ascii="Cambria Math" w:eastAsia="Cambria Math" w:hAnsi="Cambria Math" w:cs="Cambria Math"/>
                    </w:rPr>
                    <m:t>≤ϵ</m:t>
                  </m:r>
                </m:sub>
              </m:sSub>
              <m:r>
                <w:rPr>
                  <w:rFonts w:ascii="Cambria Math" w:eastAsia="Cambria Math" w:hAnsi="Cambria Math" w:cs="Cambria Math"/>
                </w:rPr>
                <m:t>L(</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θ</m:t>
                  </m:r>
                </m:sub>
              </m:sSub>
              <m:r>
                <w:rPr>
                  <w:rFonts w:ascii="Cambria Math" w:eastAsia="Cambria Math" w:hAnsi="Cambria Math" w:cs="Cambria Math"/>
                </w:rPr>
                <m:t>(x+δ),y)</m:t>
              </m:r>
            </m:e>
          </m:d>
        </m:oMath>
      </m:oMathPara>
    </w:p>
    <w:p w14:paraId="245B1D15"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 this formulation, </w:t>
      </w:r>
      <m:oMath>
        <m:r>
          <w:rPr>
            <w:rFonts w:ascii="Cambria Math" w:hAnsi="Cambria Math"/>
          </w:rPr>
          <m:t>θ</m:t>
        </m:r>
      </m:oMath>
      <w:r>
        <w:rPr>
          <w:rFonts w:ascii="Times New Roman" w:eastAsia="Times New Roman" w:hAnsi="Times New Roman" w:cs="Times New Roman"/>
        </w:rPr>
        <w:t xml:space="preserve"> stands for model parameters, </w:t>
      </w:r>
      <m:oMath>
        <m:r>
          <w:rPr>
            <w:rFonts w:ascii="Cambria Math" w:eastAsia="Cambria Math" w:hAnsi="Cambria Math" w:cs="Cambria Math"/>
          </w:rPr>
          <m:t>E</m:t>
        </m:r>
      </m:oMath>
      <w:r>
        <w:rPr>
          <w:rFonts w:ascii="Times New Roman" w:eastAsia="Times New Roman" w:hAnsi="Times New Roman" w:cs="Times New Roman"/>
        </w:rPr>
        <w:t xml:space="preserve"> indicates expectation over data distribution, </w:t>
      </w:r>
      <m:oMath>
        <m:r>
          <w:rPr>
            <w:rFonts w:ascii="Cambria Math" w:hAnsi="Cambria Math"/>
          </w:rPr>
          <m:t>δ</m:t>
        </m:r>
      </m:oMath>
      <w:r>
        <w:rPr>
          <w:rFonts w:ascii="Times New Roman" w:eastAsia="Times New Roman" w:hAnsi="Times New Roman" w:cs="Times New Roman"/>
        </w:rPr>
        <w:t xml:space="preserve"> is the adversarial perturbation bounded by </w:t>
      </w:r>
      <m:oMath>
        <m:r>
          <w:rPr>
            <w:rFonts w:ascii="Cambria Math" w:hAnsi="Cambria Math"/>
          </w:rPr>
          <m:t>ϵ</m:t>
        </m:r>
      </m:oMath>
      <w:r>
        <w:rPr>
          <w:rFonts w:ascii="Times New Roman" w:eastAsia="Times New Roman" w:hAnsi="Times New Roman" w:cs="Times New Roman"/>
        </w:rPr>
        <w:t xml:space="preserve"> in the infinity norm, </w:t>
      </w:r>
      <m:oMath>
        <m:r>
          <w:rPr>
            <w:rFonts w:ascii="Cambria Math" w:eastAsia="Cambria Math" w:hAnsi="Cambria Math" w:cs="Cambria Math"/>
          </w:rPr>
          <m:t>L</m:t>
        </m:r>
      </m:oMath>
      <w:r>
        <w:rPr>
          <w:rFonts w:ascii="Times New Roman" w:eastAsia="Times New Roman" w:hAnsi="Times New Roman" w:cs="Times New Roman"/>
        </w:rPr>
        <w:t xml:space="preserve"> is the loss function,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θ</m:t>
            </m:r>
          </m:sub>
        </m:sSub>
      </m:oMath>
      <w:r>
        <w:rPr>
          <w:rFonts w:ascii="Times New Roman" w:eastAsia="Times New Roman" w:hAnsi="Times New Roman" w:cs="Times New Roman"/>
        </w:rPr>
        <w:t xml:space="preserve"> is the model prediction, and </w:t>
      </w:r>
      <m:oMath>
        <m:r>
          <w:rPr>
            <w:rFonts w:ascii="Cambria Math" w:eastAsia="Cambria Math" w:hAnsi="Cambria Math" w:cs="Cambria Math"/>
          </w:rPr>
          <m:t>x,y</m:t>
        </m:r>
      </m:oMath>
      <w:r>
        <w:rPr>
          <w:rFonts w:ascii="Times New Roman" w:eastAsia="Times New Roman" w:hAnsi="Times New Roman" w:cs="Times New Roman"/>
        </w:rPr>
        <w:t xml:space="preserve"> are input images and labels respectively. Projected gradient descent with 20 inner steps and </w:t>
      </w:r>
      <m:oMath>
        <m:r>
          <w:rPr>
            <w:rFonts w:ascii="Cambria Math" w:eastAsia="Cambria Math" w:hAnsi="Cambria Math" w:cs="Cambria Math"/>
          </w:rPr>
          <m:t>ϵ=8/255</m:t>
        </m:r>
      </m:oMath>
      <w:r>
        <w:rPr>
          <w:rFonts w:ascii="Times New Roman" w:eastAsia="Times New Roman" w:hAnsi="Times New Roman" w:cs="Times New Roman"/>
        </w:rPr>
        <w:t xml:space="preserve"> generates perturbations during local training (Darzi et al., 2024; Darzi et al., 2023).</w:t>
      </w:r>
    </w:p>
    <w:p w14:paraId="56776F5E"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Differential privacy is incorporated via Differentially Private Stochastic Gradient Descent (DP-SGD), where gradients are clipped to a maximum norm </w:t>
      </w:r>
      <m:oMath>
        <m:r>
          <w:rPr>
            <w:rFonts w:ascii="Cambria Math" w:eastAsia="Cambria Math" w:hAnsi="Cambria Math" w:cs="Cambria Math"/>
          </w:rPr>
          <m:t>C=1</m:t>
        </m:r>
      </m:oMath>
      <w:r>
        <w:rPr>
          <w:rFonts w:ascii="Times New Roman" w:eastAsia="Times New Roman" w:hAnsi="Times New Roman" w:cs="Times New Roman"/>
        </w:rPr>
        <w:t xml:space="preserve"> and Gaussian noise is added:</w:t>
      </w:r>
    </w:p>
    <w:p w14:paraId="3EF84097" w14:textId="77777777" w:rsidR="00151D61" w:rsidRDefault="00000000">
      <w:pPr>
        <w:jc w:val="center"/>
        <w:rPr>
          <w:rFonts w:ascii="Cambria Math" w:eastAsia="Cambria Math" w:hAnsi="Cambria Math" w:cs="Cambria Math"/>
        </w:rPr>
      </w:pPr>
      <m:oMathPara>
        <m:oMath>
          <m:acc>
            <m:accPr>
              <m:chr m:val="̃"/>
              <m:ctrlPr>
                <w:rPr>
                  <w:rFonts w:ascii="Cambria Math" w:eastAsia="Cambria Math" w:hAnsi="Cambria Math" w:cs="Cambria Math"/>
                </w:rPr>
              </m:ctrlPr>
            </m:accPr>
            <m:e>
              <m:r>
                <w:rPr>
                  <w:rFonts w:ascii="Cambria Math" w:eastAsia="Cambria Math" w:hAnsi="Cambria Math" w:cs="Cambria Math"/>
                </w:rPr>
                <m:t>g</m:t>
              </m:r>
            </m:e>
          </m:acc>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g</m:t>
              </m:r>
            </m:num>
            <m:den>
              <m:r>
                <w:rPr>
                  <w:rFonts w:ascii="Cambria Math" w:eastAsia="Cambria Math" w:hAnsi="Cambria Math" w:cs="Cambria Math"/>
                </w:rPr>
                <m:t>max⁡(1,∥g</m:t>
              </m:r>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2</m:t>
                  </m:r>
                </m:sub>
              </m:sSub>
              <m:r>
                <w:rPr>
                  <w:rFonts w:ascii="Cambria Math" w:eastAsia="Cambria Math" w:hAnsi="Cambria Math" w:cs="Cambria Math"/>
                </w:rPr>
                <m:t>/C)</m:t>
              </m:r>
            </m:den>
          </m:f>
          <m:r>
            <w:rPr>
              <w:rFonts w:ascii="Cambria Math" w:eastAsia="Cambria Math" w:hAnsi="Cambria Math" w:cs="Cambria Math"/>
            </w:rPr>
            <m:t>+N(0,</m:t>
          </m:r>
          <m:sSup>
            <m:sSupPr>
              <m:ctrlPr>
                <w:rPr>
                  <w:rFonts w:ascii="Cambria Math" w:eastAsia="Cambria Math" w:hAnsi="Cambria Math" w:cs="Cambria Math"/>
                </w:rPr>
              </m:ctrlPr>
            </m:sSupPr>
            <m:e>
              <m:r>
                <w:rPr>
                  <w:rFonts w:ascii="Cambria Math" w:eastAsia="Cambria Math" w:hAnsi="Cambria Math" w:cs="Cambria Math"/>
                </w:rPr>
                <m:t>σ</m:t>
              </m:r>
            </m:e>
            <m:sup>
              <m:r>
                <w:rPr>
                  <w:rFonts w:ascii="Cambria Math" w:eastAsia="Cambria Math" w:hAnsi="Cambria Math" w:cs="Cambria Math"/>
                </w:rPr>
                <m:t>2</m:t>
              </m:r>
            </m:sup>
          </m:sSup>
          <m:sSup>
            <m:sSupPr>
              <m:ctrlPr>
                <w:rPr>
                  <w:rFonts w:ascii="Cambria Math" w:eastAsia="Cambria Math" w:hAnsi="Cambria Math" w:cs="Cambria Math"/>
                </w:rPr>
              </m:ctrlPr>
            </m:sSupPr>
            <m:e>
              <m:r>
                <w:rPr>
                  <w:rFonts w:ascii="Cambria Math" w:eastAsia="Cambria Math" w:hAnsi="Cambria Math" w:cs="Cambria Math"/>
                </w:rPr>
                <m:t>C</m:t>
              </m:r>
            </m:e>
            <m:sup>
              <m:r>
                <w:rPr>
                  <w:rFonts w:ascii="Cambria Math" w:eastAsia="Cambria Math" w:hAnsi="Cambria Math" w:cs="Cambria Math"/>
                </w:rPr>
                <m:t>2</m:t>
              </m:r>
            </m:sup>
          </m:sSup>
          <m:r>
            <w:rPr>
              <w:rFonts w:ascii="Cambria Math" w:eastAsia="Cambria Math" w:hAnsi="Cambria Math" w:cs="Cambria Math"/>
            </w:rPr>
            <m:t>I)</m:t>
          </m:r>
        </m:oMath>
      </m:oMathPara>
    </w:p>
    <w:p w14:paraId="54D2B9B8"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with noise scale </w:t>
      </w:r>
      <m:oMath>
        <m:r>
          <w:rPr>
            <w:rFonts w:ascii="Cambria Math" w:eastAsia="Cambria Math" w:hAnsi="Cambria Math" w:cs="Cambria Math"/>
          </w:rPr>
          <m:t>σ=0.5</m:t>
        </m:r>
      </m:oMath>
      <w:r>
        <w:rPr>
          <w:rFonts w:ascii="Times New Roman" w:eastAsia="Times New Roman" w:hAnsi="Times New Roman" w:cs="Times New Roman"/>
        </w:rPr>
        <w:t xml:space="preserve">, privacy budget </w:t>
      </w:r>
      <m:oMath>
        <m:r>
          <w:rPr>
            <w:rFonts w:ascii="Cambria Math" w:eastAsia="Cambria Math" w:hAnsi="Cambria Math" w:cs="Cambria Math"/>
          </w:rPr>
          <m:t>ϵ=1</m:t>
        </m:r>
      </m:oMath>
      <w:r>
        <w:rPr>
          <w:rFonts w:ascii="Times New Roman" w:eastAsia="Times New Roman" w:hAnsi="Times New Roman" w:cs="Times New Roman"/>
        </w:rPr>
        <w:t xml:space="preserve">, and failure probability </w:t>
      </w:r>
      <m:oMath>
        <m:r>
          <w:rPr>
            <w:rFonts w:ascii="Cambria Math" w:eastAsia="Cambria Math" w:hAnsi="Cambria Math" w:cs="Cambria Math"/>
          </w:rPr>
          <m:t>δ=</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-5</m:t>
            </m:r>
          </m:sup>
        </m:sSup>
      </m:oMath>
      <w:r>
        <w:rPr>
          <w:rFonts w:ascii="Times New Roman" w:eastAsia="Times New Roman" w:hAnsi="Times New Roman" w:cs="Times New Roman"/>
        </w:rPr>
        <w:t>. This mechanism bounds the influence of individual data points, contributing to privacy guarantees that help alleviate patient concerns over data misuse (Adnan et al., 2022; Shukla et al., 2025).</w:t>
      </w:r>
    </w:p>
    <w:p w14:paraId="332BB205"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Explainable artificial intelligence integration utilizes SHAP values for feature attributions. The SHAP value for feature </w:t>
      </w:r>
      <m:oMath>
        <m:r>
          <w:rPr>
            <w:rFonts w:ascii="Cambria Math" w:eastAsia="Cambria Math" w:hAnsi="Cambria Math" w:cs="Cambria Math"/>
          </w:rPr>
          <m:t>i</m:t>
        </m:r>
      </m:oMath>
      <w:r>
        <w:rPr>
          <w:rFonts w:ascii="Times New Roman" w:eastAsia="Times New Roman" w:hAnsi="Times New Roman" w:cs="Times New Roman"/>
        </w:rPr>
        <w:t>is calculated as:</w:t>
      </w:r>
    </w:p>
    <w:p w14:paraId="2E592C0E" w14:textId="553D5E46" w:rsidR="00151D61"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hAnsi="Cambria Math"/>
                </w:rPr>
                <m:t>ϕ</m:t>
              </m:r>
            </m:e>
            <m:sub>
              <m:r>
                <w:rPr>
                  <w:rFonts w:ascii="Cambria Math" w:eastAsia="Cambria Math" w:hAnsi="Cambria Math" w:cs="Cambria Math"/>
                </w:rPr>
                <m:t>i</m:t>
              </m:r>
            </m:sub>
          </m:sSub>
          <m:r>
            <w:rPr>
              <w:rFonts w:ascii="Cambria Math" w:eastAsia="Cambria Math" w:hAnsi="Cambria Math" w:cs="Cambria Math"/>
            </w:rPr>
            <m:t>=</m:t>
          </m:r>
          <m:nary>
            <m:naryPr>
              <m:chr m:val="∑"/>
              <m:limLoc m:val="undOvr"/>
              <m:supHide m:val="1"/>
              <m:ctrlPr>
                <w:rPr>
                  <w:rFonts w:ascii="Cambria Math" w:eastAsia="Cambria Math" w:hAnsi="Cambria Math" w:cs="Cambria Math"/>
                  <w:i/>
                </w:rPr>
              </m:ctrlPr>
            </m:naryPr>
            <m:sub>
              <m:r>
                <w:rPr>
                  <w:rFonts w:ascii="Cambria Math" w:eastAsia="Cambria Math" w:hAnsi="Cambria Math" w:cs="Cambria Math"/>
                </w:rPr>
                <m:t>S⊆M∖{i}</m:t>
              </m:r>
            </m:sub>
            <m:sup/>
            <m:e>
              <m:f>
                <m:fPr>
                  <m:ctrlPr>
                    <w:rPr>
                      <w:rFonts w:ascii="Cambria Math" w:eastAsia="Cambria Math" w:hAnsi="Cambria Math" w:cs="Cambria Math"/>
                    </w:rPr>
                  </m:ctrlPr>
                </m:fPr>
                <m:num>
                  <m:r>
                    <w:rPr>
                      <w:rFonts w:ascii="Cambria Math" w:eastAsia="Cambria Math" w:hAnsi="Cambria Math" w:cs="Cambria Math"/>
                    </w:rPr>
                    <m:t>∣S∣!(∣M∣-∣S∣-1)!</m:t>
                  </m:r>
                </m:num>
                <m:den>
                  <m:r>
                    <w:rPr>
                      <w:rFonts w:ascii="Cambria Math" w:eastAsia="Cambria Math" w:hAnsi="Cambria Math" w:cs="Cambria Math"/>
                    </w:rPr>
                    <m:t>∣M∣!</m:t>
                  </m:r>
                </m:den>
              </m:f>
              <m:r>
                <w:rPr>
                  <w:rFonts w:ascii="Cambria Math" w:eastAsia="Cambria Math" w:hAnsi="Cambria Math" w:cs="Cambria Math"/>
                </w:rPr>
                <m:t>[v(S∪{i})-v(S)]</m:t>
              </m:r>
            </m:e>
          </m:nary>
        </m:oMath>
      </m:oMathPara>
    </w:p>
    <w:p w14:paraId="2DFBDE71"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m:oMath>
        <m:r>
          <w:rPr>
            <w:rFonts w:ascii="Cambria Math" w:eastAsia="Cambria Math" w:hAnsi="Cambria Math" w:cs="Cambria Math"/>
          </w:rPr>
          <m:t>M</m:t>
        </m:r>
      </m:oMath>
      <w:r>
        <w:rPr>
          <w:rFonts w:ascii="Times New Roman" w:eastAsia="Times New Roman" w:hAnsi="Times New Roman" w:cs="Times New Roman"/>
        </w:rPr>
        <w:t xml:space="preserve"> is the set of all features, </w:t>
      </w:r>
      <m:oMath>
        <m:r>
          <w:rPr>
            <w:rFonts w:ascii="Cambria Math" w:eastAsia="Cambria Math" w:hAnsi="Cambria Math" w:cs="Cambria Math"/>
          </w:rPr>
          <m:t>S</m:t>
        </m:r>
      </m:oMath>
      <w:r>
        <w:rPr>
          <w:rFonts w:ascii="Times New Roman" w:eastAsia="Times New Roman" w:hAnsi="Times New Roman" w:cs="Times New Roman"/>
        </w:rPr>
        <w:t xml:space="preserve"> represents a subset of features, and </w:t>
      </w:r>
      <m:oMath>
        <m:r>
          <w:rPr>
            <w:rFonts w:ascii="Cambria Math" w:eastAsia="Cambria Math" w:hAnsi="Cambria Math" w:cs="Cambria Math"/>
          </w:rPr>
          <m:t>v</m:t>
        </m:r>
      </m:oMath>
      <w:r>
        <w:rPr>
          <w:rFonts w:ascii="Times New Roman" w:eastAsia="Times New Roman" w:hAnsi="Times New Roman" w:cs="Times New Roman"/>
        </w:rPr>
        <w:t xml:space="preserve"> denotes the value function measuring model output contribution. Local interpretable model-agnostic explanations provide surrogate approximations for individual predictions. These techniques generate interpretable outputs that enhance transparency, indirectly supporting trust, strictly as technical proxy indicators (Repetto et al., 2025).</w:t>
      </w:r>
    </w:p>
    <w:p w14:paraId="32916839"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framework is implemented in </w:t>
      </w:r>
      <w:proofErr w:type="spellStart"/>
      <w:r>
        <w:rPr>
          <w:rFonts w:ascii="Times New Roman" w:eastAsia="Times New Roman" w:hAnsi="Times New Roman" w:cs="Times New Roman"/>
        </w:rPr>
        <w:t>PyTorch</w:t>
      </w:r>
      <w:proofErr w:type="spellEnd"/>
      <w:r>
        <w:rPr>
          <w:rFonts w:ascii="Times New Roman" w:eastAsia="Times New Roman" w:hAnsi="Times New Roman" w:cs="Times New Roman"/>
        </w:rPr>
        <w:t xml:space="preserve"> with the Flower library for federated simulation. Pseudocode proceeds as follows: initialize global model </w:t>
      </w: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0</m:t>
            </m:r>
          </m:sub>
        </m:sSub>
      </m:oMath>
      <w:r>
        <w:rPr>
          <w:rFonts w:ascii="Times New Roman" w:eastAsia="Times New Roman" w:hAnsi="Times New Roman" w:cs="Times New Roman"/>
        </w:rPr>
        <w:t xml:space="preserve">; for each communication round </w:t>
      </w:r>
      <m:oMath>
        <m:r>
          <w:rPr>
            <w:rFonts w:ascii="Cambria Math" w:eastAsia="Cambria Math" w:hAnsi="Cambria Math" w:cs="Cambria Math"/>
          </w:rPr>
          <m:t>t=1</m:t>
        </m:r>
      </m:oMath>
      <w:r>
        <w:rPr>
          <w:rFonts w:ascii="Times New Roman" w:eastAsia="Times New Roman" w:hAnsi="Times New Roman" w:cs="Times New Roman"/>
        </w:rPr>
        <w:t xml:space="preserve"> to </w:t>
      </w:r>
      <m:oMath>
        <m:r>
          <w:rPr>
            <w:rFonts w:ascii="Cambria Math" w:eastAsia="Cambria Math" w:hAnsi="Cambria Math" w:cs="Cambria Math"/>
          </w:rPr>
          <m:t>T</m:t>
        </m:r>
      </m:oMath>
      <w:r>
        <w:rPr>
          <w:rFonts w:ascii="Times New Roman" w:eastAsia="Times New Roman" w:hAnsi="Times New Roman" w:cs="Times New Roman"/>
        </w:rPr>
        <w:t xml:space="preserve">, select clients </w:t>
      </w:r>
      <m:oMath>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t</m:t>
            </m:r>
          </m:sub>
        </m:sSub>
      </m:oMath>
      <w:r>
        <w:rPr>
          <w:rFonts w:ascii="Times New Roman" w:eastAsia="Times New Roman" w:hAnsi="Times New Roman" w:cs="Times New Roman"/>
        </w:rPr>
        <w:t>; each client performs local training with projected gradient descent adversarial training and DP-SGD; the server aggregates updates via federated averaging; finally, SHAP explanations are computed on a held-out validation set.</w:t>
      </w:r>
    </w:p>
    <w:p w14:paraId="0F581E03"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Performance Metrics and Validation</w:t>
      </w:r>
    </w:p>
    <w:p w14:paraId="4284219F"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Performance evaluation encompasses classification accuracy, robustness, privacy, and explainability metrics. Clean accuracy is defined as:</w:t>
      </w:r>
    </w:p>
    <w:p w14:paraId="620AA401" w14:textId="77777777" w:rsidR="00151D61" w:rsidRDefault="00000000">
      <w:pPr>
        <w:jc w:val="center"/>
        <w:rPr>
          <w:rFonts w:ascii="Times New Roman" w:eastAsia="Times New Roman" w:hAnsi="Times New Roman" w:cs="Times New Roman"/>
        </w:rPr>
      </w:pPr>
      <m:oMathPara>
        <m:oMath>
          <m:r>
            <w:rPr>
              <w:rFonts w:ascii="Times New Roman" w:eastAsia="Times New Roman" w:hAnsi="Times New Roman" w:cs="Times New Roman"/>
            </w:rPr>
            <m:t>Acc</m:t>
          </m:r>
          <m:r>
            <w:rPr>
              <w:rFonts w:ascii="Cambria Math" w:eastAsia="Cambria Math" w:hAnsi="Cambria Math" w:cs="Cambria Math"/>
            </w:rPr>
            <m:t>uracy=</m:t>
          </m:r>
          <m:f>
            <m:fPr>
              <m:ctrlPr>
                <w:rPr>
                  <w:rFonts w:ascii="Times New Roman" w:eastAsia="Times New Roman" w:hAnsi="Times New Roman" w:cs="Times New Roman"/>
                </w:rPr>
              </m:ctrlPr>
            </m:fPr>
            <m:num>
              <m:r>
                <w:rPr>
                  <w:rFonts w:ascii="Times New Roman" w:eastAsia="Times New Roman" w:hAnsi="Times New Roman" w:cs="Times New Roman"/>
                </w:rPr>
                <m:t>TP</m:t>
              </m:r>
              <m:r>
                <w:rPr>
                  <w:rFonts w:ascii="Cambria Math" w:eastAsia="Cambria Math" w:hAnsi="Cambria Math" w:cs="Cambria Math"/>
                </w:rPr>
                <m:t>+</m:t>
              </m:r>
              <m:r>
                <w:rPr>
                  <w:rFonts w:ascii="Times New Roman" w:eastAsia="Times New Roman" w:hAnsi="Times New Roman" w:cs="Times New Roman"/>
                </w:rPr>
                <m:t>TN</m:t>
              </m:r>
            </m:num>
            <m:den>
              <m:r>
                <w:rPr>
                  <w:rFonts w:ascii="Times New Roman" w:eastAsia="Times New Roman" w:hAnsi="Times New Roman" w:cs="Times New Roman"/>
                </w:rPr>
                <m:t>TP</m:t>
              </m:r>
              <m:r>
                <w:rPr>
                  <w:rFonts w:ascii="Cambria Math" w:eastAsia="Cambria Math" w:hAnsi="Cambria Math" w:cs="Cambria Math"/>
                </w:rPr>
                <m:t>+</m:t>
              </m:r>
              <m:r>
                <w:rPr>
                  <w:rFonts w:ascii="Times New Roman" w:eastAsia="Times New Roman" w:hAnsi="Times New Roman" w:cs="Times New Roman"/>
                </w:rPr>
                <m:t>TN</m:t>
              </m:r>
              <m:r>
                <w:rPr>
                  <w:rFonts w:ascii="Cambria Math" w:eastAsia="Cambria Math" w:hAnsi="Cambria Math" w:cs="Cambria Math"/>
                </w:rPr>
                <m:t>+</m:t>
              </m:r>
              <m:r>
                <w:rPr>
                  <w:rFonts w:ascii="Times New Roman" w:eastAsia="Times New Roman" w:hAnsi="Times New Roman" w:cs="Times New Roman"/>
                </w:rPr>
                <m:t>FP</m:t>
              </m:r>
              <m:r>
                <w:rPr>
                  <w:rFonts w:ascii="Cambria Math" w:eastAsia="Cambria Math" w:hAnsi="Cambria Math" w:cs="Cambria Math"/>
                </w:rPr>
                <m:t>+</m:t>
              </m:r>
              <m:r>
                <w:rPr>
                  <w:rFonts w:ascii="Times New Roman" w:eastAsia="Times New Roman" w:hAnsi="Times New Roman" w:cs="Times New Roman"/>
                </w:rPr>
                <m:t>FN</m:t>
              </m:r>
            </m:den>
          </m:f>
        </m:oMath>
      </m:oMathPara>
    </w:p>
    <w:p w14:paraId="4D42B2FF"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where TP, TN, FP, and FN represent true positives, true negatives, false positives, and false negatives respectively. For multi-label scenarios, macro-averaged F1-score is computed as:</w:t>
      </w:r>
    </w:p>
    <w:p w14:paraId="12D9CB6A" w14:textId="77777777" w:rsidR="00151D61" w:rsidRDefault="00000000">
      <w:pPr>
        <w:jc w:val="center"/>
        <w:rPr>
          <w:rFonts w:ascii="Times New Roman" w:eastAsia="Times New Roman" w:hAnsi="Times New Roman" w:cs="Times New Roman"/>
        </w:rPr>
      </w:pPr>
      <m:oMathPara>
        <m:oMath>
          <m:r>
            <w:rPr>
              <w:rFonts w:ascii="Cambria Math" w:eastAsia="Cambria Math" w:hAnsi="Cambria Math" w:cs="Cambria Math"/>
            </w:rPr>
            <m:t>F1=2⋅</m:t>
          </m:r>
          <m:f>
            <m:fPr>
              <m:ctrlPr>
                <w:rPr>
                  <w:rFonts w:ascii="Times New Roman" w:eastAsia="Times New Roman" w:hAnsi="Times New Roman" w:cs="Times New Roman"/>
                </w:rPr>
              </m:ctrlPr>
            </m:fPr>
            <m:num>
              <m:r>
                <w:rPr>
                  <w:rFonts w:ascii="Times New Roman" w:eastAsia="Times New Roman" w:hAnsi="Times New Roman" w:cs="Times New Roman"/>
                </w:rPr>
                <m:t>Precision⋅Recall</m:t>
              </m:r>
            </m:num>
            <m:den>
              <m:r>
                <w:rPr>
                  <w:rFonts w:ascii="Times New Roman" w:eastAsia="Times New Roman" w:hAnsi="Times New Roman" w:cs="Times New Roman"/>
                </w:rPr>
                <m:t>Precision</m:t>
              </m:r>
              <m:r>
                <w:rPr>
                  <w:rFonts w:ascii="Cambria Math" w:eastAsia="Cambria Math" w:hAnsi="Cambria Math" w:cs="Cambria Math"/>
                </w:rPr>
                <m:t>+</m:t>
              </m:r>
              <m:r>
                <w:rPr>
                  <w:rFonts w:ascii="Times New Roman" w:eastAsia="Times New Roman" w:hAnsi="Times New Roman" w:cs="Times New Roman"/>
                </w:rPr>
                <m:t>Recall</m:t>
              </m:r>
            </m:den>
          </m:f>
          <m:r>
            <w:rPr>
              <w:rFonts w:ascii="Cambria Math" w:eastAsia="Cambria Math" w:hAnsi="Cambria Math" w:cs="Cambria Math"/>
            </w:rPr>
            <m:t xml:space="preserve">, </m:t>
          </m:r>
          <m:r>
            <w:rPr>
              <w:rFonts w:ascii="Times New Roman" w:eastAsia="Times New Roman" w:hAnsi="Times New Roman" w:cs="Times New Roman"/>
            </w:rPr>
            <m:t>Prec</m:t>
          </m:r>
          <m:r>
            <w:rPr>
              <w:rFonts w:ascii="Cambria Math" w:eastAsia="Cambria Math" w:hAnsi="Cambria Math" w:cs="Cambria Math"/>
            </w:rPr>
            <m:t>ision=</m:t>
          </m:r>
          <m:f>
            <m:fPr>
              <m:ctrlPr>
                <w:rPr>
                  <w:rFonts w:ascii="Times New Roman" w:eastAsia="Times New Roman" w:hAnsi="Times New Roman" w:cs="Times New Roman"/>
                </w:rPr>
              </m:ctrlPr>
            </m:fPr>
            <m:num>
              <m:r>
                <w:rPr>
                  <w:rFonts w:ascii="Times New Roman" w:eastAsia="Times New Roman" w:hAnsi="Times New Roman" w:cs="Times New Roman"/>
                </w:rPr>
                <m:t>TP</m:t>
              </m:r>
            </m:num>
            <m:den>
              <m:r>
                <w:rPr>
                  <w:rFonts w:ascii="Times New Roman" w:eastAsia="Times New Roman" w:hAnsi="Times New Roman" w:cs="Times New Roman"/>
                </w:rPr>
                <m:t>TP</m:t>
              </m:r>
              <m:r>
                <w:rPr>
                  <w:rFonts w:ascii="Cambria Math" w:eastAsia="Cambria Math" w:hAnsi="Cambria Math" w:cs="Cambria Math"/>
                </w:rPr>
                <m:t>+</m:t>
              </m:r>
              <m:r>
                <w:rPr>
                  <w:rFonts w:ascii="Times New Roman" w:eastAsia="Times New Roman" w:hAnsi="Times New Roman" w:cs="Times New Roman"/>
                </w:rPr>
                <m:t>FP</m:t>
              </m:r>
            </m:den>
          </m:f>
          <m:r>
            <w:rPr>
              <w:rFonts w:ascii="Cambria Math" w:eastAsia="Cambria Math" w:hAnsi="Cambria Math" w:cs="Cambria Math"/>
            </w:rPr>
            <m:t xml:space="preserve">, </m:t>
          </m:r>
          <m:r>
            <w:rPr>
              <w:rFonts w:ascii="Times New Roman" w:eastAsia="Times New Roman" w:hAnsi="Times New Roman" w:cs="Times New Roman"/>
            </w:rPr>
            <m:t>Rec</m:t>
          </m:r>
          <m:r>
            <w:rPr>
              <w:rFonts w:ascii="Cambria Math" w:eastAsia="Cambria Math" w:hAnsi="Cambria Math" w:cs="Cambria Math"/>
            </w:rPr>
            <m:t>all=</m:t>
          </m:r>
          <m:f>
            <m:fPr>
              <m:ctrlPr>
                <w:rPr>
                  <w:rFonts w:ascii="Times New Roman" w:eastAsia="Times New Roman" w:hAnsi="Times New Roman" w:cs="Times New Roman"/>
                </w:rPr>
              </m:ctrlPr>
            </m:fPr>
            <m:num>
              <m:r>
                <w:rPr>
                  <w:rFonts w:ascii="Times New Roman" w:eastAsia="Times New Roman" w:hAnsi="Times New Roman" w:cs="Times New Roman"/>
                </w:rPr>
                <m:t>TP</m:t>
              </m:r>
            </m:num>
            <m:den>
              <m:r>
                <w:rPr>
                  <w:rFonts w:ascii="Times New Roman" w:eastAsia="Times New Roman" w:hAnsi="Times New Roman" w:cs="Times New Roman"/>
                </w:rPr>
                <m:t>TP</m:t>
              </m:r>
              <m:r>
                <w:rPr>
                  <w:rFonts w:ascii="Cambria Math" w:eastAsia="Cambria Math" w:hAnsi="Cambria Math" w:cs="Cambria Math"/>
                </w:rPr>
                <m:t>+</m:t>
              </m:r>
              <m:r>
                <w:rPr>
                  <w:rFonts w:ascii="Times New Roman" w:eastAsia="Times New Roman" w:hAnsi="Times New Roman" w:cs="Times New Roman"/>
                </w:rPr>
                <m:t>FN</m:t>
              </m:r>
            </m:den>
          </m:f>
        </m:oMath>
      </m:oMathPara>
    </w:p>
    <w:p w14:paraId="485D4EC4"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Area under the receiver operating characteristic curve employs trapezoidal integration. Adversarial success rate measures attack efficacy as the percentage of successful misclassifications under perturbation. Robust accuracy quantifies performance under attack conditions. Privacy is assessed through the differential privacy budget, </w:t>
      </w:r>
      <m:oMath>
        <m:r>
          <w:rPr>
            <w:rFonts w:ascii="Cambria Math" w:hAnsi="Cambria Math"/>
          </w:rPr>
          <m:t>ϵ</m:t>
        </m:r>
      </m:oMath>
      <w:r>
        <w:rPr>
          <w:rFonts w:ascii="Times New Roman" w:eastAsia="Times New Roman" w:hAnsi="Times New Roman" w:cs="Times New Roman"/>
        </w:rPr>
        <w:t xml:space="preserve"> and empirical membership inference risk. Explanation consistency evaluates Pearson correlation between attributions on clean and adversarial inputs, targeting values above 0.8 for fidelity. Additional segmentation-oriented metrics for relevant tasks include the Dice coefficient:</w:t>
      </w:r>
    </w:p>
    <w:p w14:paraId="3EA383F4" w14:textId="77777777" w:rsidR="00151D61" w:rsidRDefault="00000000">
      <w:pPr>
        <w:jc w:val="center"/>
        <w:rPr>
          <w:rFonts w:ascii="Cambria Math" w:eastAsia="Cambria Math" w:hAnsi="Cambria Math" w:cs="Cambria Math"/>
        </w:rPr>
      </w:pPr>
      <m:oMathPara>
        <m:oMath>
          <m:r>
            <w:rPr>
              <w:rFonts w:ascii="Times New Roman" w:eastAsia="Times New Roman" w:hAnsi="Times New Roman" w:cs="Times New Roman"/>
            </w:rPr>
            <m:t>Dice</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2∣Y∩</m:t>
              </m:r>
              <m:acc>
                <m:accPr>
                  <m:ctrlPr>
                    <w:rPr>
                      <w:rFonts w:ascii="Cambria Math" w:eastAsia="Cambria Math" w:hAnsi="Cambria Math" w:cs="Cambria Math"/>
                    </w:rPr>
                  </m:ctrlPr>
                </m:accPr>
                <m:e>
                  <m:r>
                    <w:rPr>
                      <w:rFonts w:ascii="Cambria Math" w:eastAsia="Cambria Math" w:hAnsi="Cambria Math" w:cs="Cambria Math"/>
                    </w:rPr>
                    <m:t>Y</m:t>
                  </m:r>
                </m:e>
              </m:acc>
              <m:r>
                <w:rPr>
                  <w:rFonts w:ascii="Cambria Math" w:eastAsia="Cambria Math" w:hAnsi="Cambria Math" w:cs="Cambria Math"/>
                </w:rPr>
                <m:t>∣</m:t>
              </m:r>
            </m:num>
            <m:den>
              <m:r>
                <w:rPr>
                  <w:rFonts w:ascii="Cambria Math" w:eastAsia="Cambria Math" w:hAnsi="Cambria Math" w:cs="Cambria Math"/>
                </w:rPr>
                <m:t>∣Y∣+∣</m:t>
              </m:r>
              <m:acc>
                <m:accPr>
                  <m:ctrlPr>
                    <w:rPr>
                      <w:rFonts w:ascii="Cambria Math" w:eastAsia="Cambria Math" w:hAnsi="Cambria Math" w:cs="Cambria Math"/>
                    </w:rPr>
                  </m:ctrlPr>
                </m:accPr>
                <m:e>
                  <m:r>
                    <w:rPr>
                      <w:rFonts w:ascii="Cambria Math" w:eastAsia="Cambria Math" w:hAnsi="Cambria Math" w:cs="Cambria Math"/>
                    </w:rPr>
                    <m:t>Y</m:t>
                  </m:r>
                </m:e>
              </m:acc>
              <m:r>
                <w:rPr>
                  <w:rFonts w:ascii="Cambria Math" w:eastAsia="Cambria Math" w:hAnsi="Cambria Math" w:cs="Cambria Math"/>
                </w:rPr>
                <m:t>∣</m:t>
              </m:r>
            </m:den>
          </m:f>
        </m:oMath>
      </m:oMathPara>
    </w:p>
    <w:p w14:paraId="2209FDCF"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and intersection over union:</w:t>
      </w:r>
    </w:p>
    <w:p w14:paraId="745AC3B1" w14:textId="77777777" w:rsidR="00151D61" w:rsidRDefault="00000000">
      <w:pPr>
        <w:jc w:val="center"/>
        <w:rPr>
          <w:rFonts w:ascii="Cambria Math" w:eastAsia="Cambria Math" w:hAnsi="Cambria Math" w:cs="Cambria Math"/>
        </w:rPr>
      </w:pPr>
      <m:oMathPara>
        <m:oMath>
          <m:r>
            <w:rPr>
              <w:rFonts w:ascii="Times New Roman" w:eastAsia="Times New Roman" w:hAnsi="Times New Roman" w:cs="Times New Roman"/>
            </w:rPr>
            <m:t>IoU</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∣Y∩</m:t>
              </m:r>
              <m:acc>
                <m:accPr>
                  <m:ctrlPr>
                    <w:rPr>
                      <w:rFonts w:ascii="Cambria Math" w:eastAsia="Cambria Math" w:hAnsi="Cambria Math" w:cs="Cambria Math"/>
                    </w:rPr>
                  </m:ctrlPr>
                </m:accPr>
                <m:e>
                  <m:r>
                    <w:rPr>
                      <w:rFonts w:ascii="Cambria Math" w:eastAsia="Cambria Math" w:hAnsi="Cambria Math" w:cs="Cambria Math"/>
                    </w:rPr>
                    <m:t>Y</m:t>
                  </m:r>
                </m:e>
              </m:acc>
              <m:r>
                <w:rPr>
                  <w:rFonts w:ascii="Cambria Math" w:eastAsia="Cambria Math" w:hAnsi="Cambria Math" w:cs="Cambria Math"/>
                </w:rPr>
                <m:t>∣</m:t>
              </m:r>
            </m:num>
            <m:den>
              <m:r>
                <w:rPr>
                  <w:rFonts w:ascii="Cambria Math" w:eastAsia="Cambria Math" w:hAnsi="Cambria Math" w:cs="Cambria Math"/>
                </w:rPr>
                <m:t>∣Y∪</m:t>
              </m:r>
              <m:acc>
                <m:accPr>
                  <m:ctrlPr>
                    <w:rPr>
                      <w:rFonts w:ascii="Cambria Math" w:eastAsia="Cambria Math" w:hAnsi="Cambria Math" w:cs="Cambria Math"/>
                    </w:rPr>
                  </m:ctrlPr>
                </m:accPr>
                <m:e>
                  <m:r>
                    <w:rPr>
                      <w:rFonts w:ascii="Cambria Math" w:eastAsia="Cambria Math" w:hAnsi="Cambria Math" w:cs="Cambria Math"/>
                    </w:rPr>
                    <m:t>Y</m:t>
                  </m:r>
                </m:e>
              </m:acc>
              <m:r>
                <w:rPr>
                  <w:rFonts w:ascii="Cambria Math" w:eastAsia="Cambria Math" w:hAnsi="Cambria Math" w:cs="Cambria Math"/>
                </w:rPr>
                <m:t>∣</m:t>
              </m:r>
            </m:den>
          </m:f>
        </m:oMath>
      </m:oMathPara>
    </w:p>
    <w:p w14:paraId="591240CE"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 trust score proxy for anxiety mitigation is formulated as 1 minus the variance of privacy loss across simulations, reflecting perceived control over data handling (Ghamizi et al., 2023; Zheng et al., 2025).</w:t>
      </w:r>
    </w:p>
    <w:p w14:paraId="453BCFCD" w14:textId="46F0B555" w:rsidR="00EE1AA0"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Validation utilizes 5-fold stratified cross-validation per client with 70/15/15 train/validation/test splits. Hyperparameters include learning rate 0.001 with the Adam optimizer, 50 local epochs, 3 global rounds, and batch size 32. Attacks simulated encompass fast gradient sign method, projected gradient descent with step size 0.01, and Carlini-Wagner with confidence 10. Robustness is further verified using the </w:t>
      </w:r>
      <w:proofErr w:type="spellStart"/>
      <w:r>
        <w:rPr>
          <w:rFonts w:ascii="Times New Roman" w:eastAsia="Times New Roman" w:hAnsi="Times New Roman" w:cs="Times New Roman"/>
        </w:rPr>
        <w:t>AutoAttack</w:t>
      </w:r>
      <w:proofErr w:type="spellEnd"/>
      <w:r>
        <w:rPr>
          <w:rFonts w:ascii="Times New Roman" w:eastAsia="Times New Roman" w:hAnsi="Times New Roman" w:cs="Times New Roman"/>
        </w:rPr>
        <w:t xml:space="preserve"> ensemble. Statistical analysis applies paired t-tests at significance level </w:t>
      </w:r>
      <m:oMath>
        <m:r>
          <w:rPr>
            <w:rFonts w:ascii="Cambria Math" w:eastAsia="Cambria Math" w:hAnsi="Cambria Math" w:cs="Cambria Math"/>
          </w:rPr>
          <m:t xml:space="preserve">p&lt;0.05 </m:t>
        </m:r>
      </m:oMath>
      <w:r>
        <w:rPr>
          <w:rFonts w:ascii="Times New Roman" w:eastAsia="Times New Roman" w:hAnsi="Times New Roman" w:cs="Times New Roman"/>
        </w:rPr>
        <w:t xml:space="preserve">and Cohen’s </w:t>
      </w:r>
      <w:r>
        <w:rPr>
          <w:rFonts w:ascii="Times New Roman" w:eastAsia="Times New Roman" w:hAnsi="Times New Roman" w:cs="Times New Roman"/>
          <w:i/>
          <w:iCs/>
        </w:rPr>
        <w:t>d</w:t>
      </w:r>
      <w:r>
        <w:rPr>
          <w:rFonts w:ascii="Times New Roman" w:eastAsia="Times New Roman" w:hAnsi="Times New Roman" w:cs="Times New Roman"/>
        </w:rPr>
        <w:t xml:space="preserve"> effect sizes exceeding 0.8 for practical significance. Ablation studies vary differential privacy noise levels from 0.1 to 1.0 and privacy budgets from 0.1 to 10. Simulations run on single GPU environments with fixed random seeds for reproducibility (Darzi et al., 2024; </w:t>
      </w:r>
      <w:proofErr w:type="spellStart"/>
      <w:r>
        <w:rPr>
          <w:rFonts w:ascii="Times New Roman" w:eastAsia="Times New Roman" w:hAnsi="Times New Roman" w:cs="Times New Roman"/>
        </w:rPr>
        <w:t>Nanekaran</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Ukwatta</w:t>
      </w:r>
      <w:proofErr w:type="spellEnd"/>
      <w:r>
        <w:rPr>
          <w:rFonts w:ascii="Times New Roman" w:eastAsia="Times New Roman" w:hAnsi="Times New Roman" w:cs="Times New Roman"/>
        </w:rPr>
        <w:t>, 2025).</w:t>
      </w:r>
      <w:r w:rsidR="00EE1AA0">
        <w:rPr>
          <w:rFonts w:ascii="Times New Roman" w:eastAsia="Times New Roman" w:hAnsi="Times New Roman" w:cs="Times New Roman"/>
        </w:rPr>
        <w:t xml:space="preserve"> </w:t>
      </w:r>
      <w:r w:rsidR="00EE1AA0" w:rsidRPr="00EE1AA0">
        <w:rPr>
          <w:rFonts w:ascii="Times New Roman" w:eastAsia="Times New Roman" w:hAnsi="Times New Roman" w:cs="Times New Roman"/>
        </w:rPr>
        <w:t xml:space="preserve">500 samples </w:t>
      </w:r>
      <w:r w:rsidR="00EE1AA0">
        <w:rPr>
          <w:rFonts w:ascii="Times New Roman" w:eastAsia="Times New Roman" w:hAnsi="Times New Roman" w:cs="Times New Roman"/>
        </w:rPr>
        <w:t xml:space="preserve">were </w:t>
      </w:r>
      <w:r w:rsidR="00EE1AA0" w:rsidRPr="00EE1AA0">
        <w:rPr>
          <w:rFonts w:ascii="Times New Roman" w:eastAsia="Times New Roman" w:hAnsi="Times New Roman" w:cs="Times New Roman"/>
        </w:rPr>
        <w:t>extracted from UCSD-AI4H/CXR Hugging Face dataset with lines 10-510, preprocessed to 64×64 RGB, 29.8% pneumonia prevalence, non-IID split across 5 clients</w:t>
      </w:r>
      <w:r w:rsidR="00EE1AA0">
        <w:rPr>
          <w:rFonts w:ascii="Times New Roman" w:eastAsia="Times New Roman" w:hAnsi="Times New Roman" w:cs="Times New Roman"/>
        </w:rPr>
        <w:t xml:space="preserve">. </w:t>
      </w:r>
      <w:r w:rsidR="00EE1AA0" w:rsidRPr="00EE1AA0">
        <w:rPr>
          <w:rFonts w:ascii="Times New Roman" w:eastAsia="Times New Roman" w:hAnsi="Times New Roman" w:cs="Times New Roman"/>
        </w:rPr>
        <w:t>5-fold cross-validation, accuracy/F1/ASR metrics with ε=1.0 differential privacy, seed=42 for reproducibility</w:t>
      </w:r>
    </w:p>
    <w:p w14:paraId="212EC80A"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Ethical Considerations and Limitations</w:t>
      </w:r>
    </w:p>
    <w:p w14:paraId="1ABCD976"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Ethical considerations prioritize bias mitigation through fairness metrics such as demographic parity across simulated subgroups. Computational overhead from differential privacy is managed via early stopping, typically resulting in approximately twofold increase in training time. The methodology focuses exclusively on simulation to ensure full implementation in resource-constrained settings while directly addressing the project’s emphasis on robust healthcare AI frameworks that simultaneously counter adversarial attacks and alleviate personal data stress anxiety through transparent, privacy-enhanced mechanisms and strictly as technical proxy indicators. Limitations include potential underestimation of real-world heterogeneity and absence of live clinical deployment, which future extensions could address through blockchain-augmented auditing.</w:t>
      </w:r>
    </w:p>
    <w:p w14:paraId="59EF55B0" w14:textId="77777777" w:rsidR="00151D61" w:rsidRDefault="00151D61">
      <w:pPr>
        <w:spacing w:line="360" w:lineRule="auto"/>
        <w:jc w:val="both"/>
        <w:rPr>
          <w:rFonts w:ascii="Times New Roman" w:eastAsia="Times New Roman" w:hAnsi="Times New Roman" w:cs="Times New Roman"/>
        </w:rPr>
      </w:pPr>
    </w:p>
    <w:p w14:paraId="4DB72843"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4.</w:t>
      </w:r>
      <w:r>
        <w:rPr>
          <w:rFonts w:ascii="Times New Roman" w:eastAsia="Times New Roman" w:hAnsi="Times New Roman" w:cs="Times New Roman"/>
          <w:b/>
          <w:bCs/>
        </w:rPr>
        <w:tab/>
        <w:t>Presentation of Results</w:t>
      </w:r>
    </w:p>
    <w:p w14:paraId="06907EB1"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implementation of the </w:t>
      </w:r>
      <w:proofErr w:type="spellStart"/>
      <w:r>
        <w:rPr>
          <w:rFonts w:ascii="Times New Roman" w:eastAsia="Times New Roman" w:hAnsi="Times New Roman" w:cs="Times New Roman"/>
        </w:rPr>
        <w:t>RobustFL</w:t>
      </w:r>
      <w:proofErr w:type="spellEnd"/>
      <w:r>
        <w:rPr>
          <w:rFonts w:ascii="Times New Roman" w:eastAsia="Times New Roman" w:hAnsi="Times New Roman" w:cs="Times New Roman"/>
        </w:rPr>
        <w:t xml:space="preserve"> framework, as detailed in the research methodology, produced consistent outcomes across the simulation phases using publicly available medical imaging sources partitioned in a non-independent and identically distributed manner. The framework leveraged a </w:t>
      </w:r>
      <w:proofErr w:type="spellStart"/>
      <w:r>
        <w:rPr>
          <w:rFonts w:ascii="Times New Roman" w:eastAsia="Times New Roman" w:hAnsi="Times New Roman" w:cs="Times New Roman"/>
        </w:rPr>
        <w:t>TinyResNet</w:t>
      </w:r>
      <w:proofErr w:type="spellEnd"/>
      <w:r>
        <w:rPr>
          <w:rFonts w:ascii="Times New Roman" w:eastAsia="Times New Roman" w:hAnsi="Times New Roman" w:cs="Times New Roman"/>
        </w:rPr>
        <w:t xml:space="preserve"> architecture with approximately 1.05 million parameters to ensure computational feasibility on low-resource hardware. After three federated communication rounds, the baseline clean performance reached an accuracy of 70.0 percent with a macro-averaged F1-score of 0.412</w:t>
      </w:r>
    </w:p>
    <w:p w14:paraId="7058F270" w14:textId="55CF9B90"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These metrics reflect the challenges posed by the simulated dataset size of </w:t>
      </w:r>
      <w:r w:rsidR="00BB37A8">
        <w:rPr>
          <w:rFonts w:ascii="Times New Roman" w:eastAsia="Times New Roman" w:hAnsi="Times New Roman" w:cs="Times New Roman"/>
        </w:rPr>
        <w:t>5</w:t>
      </w:r>
      <w:r>
        <w:rPr>
          <w:rFonts w:ascii="Times New Roman" w:eastAsia="Times New Roman" w:hAnsi="Times New Roman" w:cs="Times New Roman"/>
        </w:rPr>
        <w:t>00 samples, including 1</w:t>
      </w:r>
      <w:r w:rsidR="00BB37A8">
        <w:rPr>
          <w:rFonts w:ascii="Times New Roman" w:eastAsia="Times New Roman" w:hAnsi="Times New Roman" w:cs="Times New Roman"/>
        </w:rPr>
        <w:t>49</w:t>
      </w:r>
      <w:r>
        <w:rPr>
          <w:rFonts w:ascii="Times New Roman" w:eastAsia="Times New Roman" w:hAnsi="Times New Roman" w:cs="Times New Roman"/>
        </w:rPr>
        <w:t xml:space="preserve"> positive cases representing a 29.8 percent prevalence rate typical in pneumonia detection tasks, alongside label imbalance and client heterogeneity.</w:t>
      </w:r>
    </w:p>
    <w:p w14:paraId="1F599DFD"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Table 1 presents the client-wise data distribution under non-IID partitioning across five simulated clients. Client 1 exhibited the highest positive case rate at 40.0 percent, while Client 5 showed the lowest at 25.0 percent, yielding an average skew factor of 1.06 relative to the global rate. This distribution effectively mirrored real-world hospital-level variations in diagnostic label prevalence.</w:t>
      </w:r>
    </w:p>
    <w:p w14:paraId="4C0EAA95" w14:textId="77777777" w:rsidR="00151D61"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Table 1 </w:t>
      </w:r>
    </w:p>
    <w:p w14:paraId="69B2EE64" w14:textId="77777777" w:rsidR="00151D61" w:rsidRDefault="00000000">
      <w:pPr>
        <w:spacing w:line="240" w:lineRule="auto"/>
        <w:jc w:val="both"/>
        <w:rPr>
          <w:rFonts w:ascii="Times New Roman" w:eastAsia="Times New Roman" w:hAnsi="Times New Roman" w:cs="Times New Roman"/>
          <w:i/>
          <w:iCs/>
        </w:rPr>
      </w:pPr>
      <w:r>
        <w:rPr>
          <w:rFonts w:ascii="Times New Roman" w:eastAsia="Times New Roman" w:hAnsi="Times New Roman" w:cs="Times New Roman"/>
          <w:i/>
          <w:iCs/>
        </w:rPr>
        <w:t>Client-Wise Data Distribution (Non-IID Partition)</w:t>
      </w:r>
    </w:p>
    <w:tbl>
      <w:tblPr>
        <w:tblStyle w:val="a"/>
        <w:tblW w:w="9343" w:type="dxa"/>
        <w:tblInd w:w="0" w:type="dxa"/>
        <w:tblLayout w:type="fixed"/>
        <w:tblLook w:val="0400" w:firstRow="0" w:lastRow="0" w:firstColumn="0" w:lastColumn="0" w:noHBand="0" w:noVBand="1"/>
      </w:tblPr>
      <w:tblGrid>
        <w:gridCol w:w="1212"/>
        <w:gridCol w:w="1773"/>
        <w:gridCol w:w="1782"/>
        <w:gridCol w:w="2201"/>
        <w:gridCol w:w="2375"/>
      </w:tblGrid>
      <w:tr w:rsidR="00151D61" w14:paraId="146A3439" w14:textId="77777777">
        <w:trPr>
          <w:trHeight w:val="589"/>
          <w:tblHeader/>
        </w:trPr>
        <w:tc>
          <w:tcPr>
            <w:tcW w:w="1212" w:type="dxa"/>
            <w:tcBorders>
              <w:top w:val="single" w:sz="4" w:space="0" w:color="000000"/>
              <w:bottom w:val="single" w:sz="4" w:space="0" w:color="000000"/>
            </w:tcBorders>
            <w:vAlign w:val="center"/>
          </w:tcPr>
          <w:p w14:paraId="1070717C" w14:textId="77777777" w:rsidR="00151D61"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Client ID</w:t>
            </w:r>
          </w:p>
        </w:tc>
        <w:tc>
          <w:tcPr>
            <w:tcW w:w="1773" w:type="dxa"/>
            <w:tcBorders>
              <w:top w:val="single" w:sz="4" w:space="0" w:color="000000"/>
              <w:bottom w:val="single" w:sz="4" w:space="0" w:color="000000"/>
            </w:tcBorders>
            <w:vAlign w:val="center"/>
          </w:tcPr>
          <w:p w14:paraId="44BE5EE4" w14:textId="77777777" w:rsidR="00151D6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Total Samples</w:t>
            </w:r>
          </w:p>
        </w:tc>
        <w:tc>
          <w:tcPr>
            <w:tcW w:w="1782" w:type="dxa"/>
            <w:tcBorders>
              <w:top w:val="single" w:sz="4" w:space="0" w:color="000000"/>
              <w:bottom w:val="single" w:sz="4" w:space="0" w:color="000000"/>
            </w:tcBorders>
            <w:vAlign w:val="center"/>
          </w:tcPr>
          <w:p w14:paraId="564B172F" w14:textId="77777777" w:rsidR="00151D6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Positive Cases</w:t>
            </w:r>
          </w:p>
        </w:tc>
        <w:tc>
          <w:tcPr>
            <w:tcW w:w="2201" w:type="dxa"/>
            <w:tcBorders>
              <w:top w:val="single" w:sz="4" w:space="0" w:color="000000"/>
              <w:bottom w:val="single" w:sz="4" w:space="0" w:color="000000"/>
            </w:tcBorders>
            <w:vAlign w:val="center"/>
          </w:tcPr>
          <w:p w14:paraId="19C5556C" w14:textId="77777777" w:rsidR="00151D6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Positive Rate (%)</w:t>
            </w:r>
          </w:p>
        </w:tc>
        <w:tc>
          <w:tcPr>
            <w:tcW w:w="2375" w:type="dxa"/>
            <w:tcBorders>
              <w:top w:val="single" w:sz="4" w:space="0" w:color="000000"/>
              <w:bottom w:val="single" w:sz="4" w:space="0" w:color="000000"/>
            </w:tcBorders>
            <w:vAlign w:val="center"/>
          </w:tcPr>
          <w:p w14:paraId="426AC090" w14:textId="77777777" w:rsidR="00151D6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Label Skew Factor</w:t>
            </w:r>
          </w:p>
        </w:tc>
      </w:tr>
      <w:tr w:rsidR="00151D61" w14:paraId="6F850690" w14:textId="77777777">
        <w:trPr>
          <w:trHeight w:val="576"/>
        </w:trPr>
        <w:tc>
          <w:tcPr>
            <w:tcW w:w="1212" w:type="dxa"/>
            <w:vAlign w:val="center"/>
          </w:tcPr>
          <w:p w14:paraId="4962355D" w14:textId="77777777" w:rsidR="00151D61"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Client 1</w:t>
            </w:r>
          </w:p>
        </w:tc>
        <w:tc>
          <w:tcPr>
            <w:tcW w:w="1773" w:type="dxa"/>
            <w:vAlign w:val="center"/>
          </w:tcPr>
          <w:p w14:paraId="57A615A3" w14:textId="3010E7EC" w:rsidR="00151D61" w:rsidRDefault="00BB37A8">
            <w:pPr>
              <w:spacing w:line="240" w:lineRule="auto"/>
              <w:jc w:val="center"/>
              <w:rPr>
                <w:rFonts w:ascii="Times New Roman" w:eastAsia="Times New Roman" w:hAnsi="Times New Roman" w:cs="Times New Roman"/>
              </w:rPr>
            </w:pPr>
            <w:r>
              <w:rPr>
                <w:rFonts w:ascii="Times New Roman" w:eastAsia="Times New Roman" w:hAnsi="Times New Roman" w:cs="Times New Roman"/>
              </w:rPr>
              <w:t>10</w:t>
            </w:r>
            <w:r w:rsidR="00000000">
              <w:rPr>
                <w:rFonts w:ascii="Times New Roman" w:eastAsia="Times New Roman" w:hAnsi="Times New Roman" w:cs="Times New Roman"/>
              </w:rPr>
              <w:t>0</w:t>
            </w:r>
          </w:p>
        </w:tc>
        <w:tc>
          <w:tcPr>
            <w:tcW w:w="1782" w:type="dxa"/>
            <w:vAlign w:val="center"/>
          </w:tcPr>
          <w:p w14:paraId="1998FACA" w14:textId="1E422D1A"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w:t>
            </w:r>
            <w:r w:rsidR="00BB37A8">
              <w:rPr>
                <w:rFonts w:ascii="Times New Roman" w:eastAsia="Times New Roman" w:hAnsi="Times New Roman" w:cs="Times New Roman"/>
              </w:rPr>
              <w:t>6</w:t>
            </w:r>
          </w:p>
        </w:tc>
        <w:tc>
          <w:tcPr>
            <w:tcW w:w="2201" w:type="dxa"/>
            <w:vAlign w:val="center"/>
          </w:tcPr>
          <w:p w14:paraId="1CD9D26E"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40.0</w:t>
            </w:r>
          </w:p>
        </w:tc>
        <w:tc>
          <w:tcPr>
            <w:tcW w:w="2375" w:type="dxa"/>
            <w:vAlign w:val="center"/>
          </w:tcPr>
          <w:p w14:paraId="6B6A7E88"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1.34</w:t>
            </w:r>
          </w:p>
        </w:tc>
      </w:tr>
      <w:tr w:rsidR="00151D61" w14:paraId="34BCFF8C" w14:textId="77777777">
        <w:trPr>
          <w:trHeight w:val="589"/>
        </w:trPr>
        <w:tc>
          <w:tcPr>
            <w:tcW w:w="1212" w:type="dxa"/>
            <w:vAlign w:val="center"/>
          </w:tcPr>
          <w:p w14:paraId="5D59B686" w14:textId="77777777" w:rsidR="00151D61"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Client 2</w:t>
            </w:r>
          </w:p>
        </w:tc>
        <w:tc>
          <w:tcPr>
            <w:tcW w:w="1773" w:type="dxa"/>
            <w:vAlign w:val="center"/>
          </w:tcPr>
          <w:p w14:paraId="55BC2864" w14:textId="5CBB52F0" w:rsidR="00151D61" w:rsidRDefault="00BB37A8">
            <w:pPr>
              <w:spacing w:line="240" w:lineRule="auto"/>
              <w:jc w:val="center"/>
              <w:rPr>
                <w:rFonts w:ascii="Times New Roman" w:eastAsia="Times New Roman" w:hAnsi="Times New Roman" w:cs="Times New Roman"/>
              </w:rPr>
            </w:pPr>
            <w:r>
              <w:rPr>
                <w:rFonts w:ascii="Times New Roman" w:eastAsia="Times New Roman" w:hAnsi="Times New Roman" w:cs="Times New Roman"/>
              </w:rPr>
              <w:t>10</w:t>
            </w:r>
            <w:r w:rsidR="00000000">
              <w:rPr>
                <w:rFonts w:ascii="Times New Roman" w:eastAsia="Times New Roman" w:hAnsi="Times New Roman" w:cs="Times New Roman"/>
              </w:rPr>
              <w:t>0</w:t>
            </w:r>
          </w:p>
        </w:tc>
        <w:tc>
          <w:tcPr>
            <w:tcW w:w="1782" w:type="dxa"/>
            <w:vAlign w:val="center"/>
          </w:tcPr>
          <w:p w14:paraId="2E666BE1" w14:textId="01C22648" w:rsidR="00151D61" w:rsidRDefault="00BB37A8">
            <w:pPr>
              <w:spacing w:line="240" w:lineRule="auto"/>
              <w:jc w:val="center"/>
              <w:rPr>
                <w:rFonts w:ascii="Times New Roman" w:eastAsia="Times New Roman" w:hAnsi="Times New Roman" w:cs="Times New Roman"/>
              </w:rPr>
            </w:pPr>
            <w:r>
              <w:rPr>
                <w:rFonts w:ascii="Times New Roman" w:eastAsia="Times New Roman" w:hAnsi="Times New Roman" w:cs="Times New Roman"/>
              </w:rPr>
              <w:t>32</w:t>
            </w:r>
          </w:p>
        </w:tc>
        <w:tc>
          <w:tcPr>
            <w:tcW w:w="2201" w:type="dxa"/>
            <w:vAlign w:val="center"/>
          </w:tcPr>
          <w:p w14:paraId="2A4571A1"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35.0</w:t>
            </w:r>
          </w:p>
        </w:tc>
        <w:tc>
          <w:tcPr>
            <w:tcW w:w="2375" w:type="dxa"/>
            <w:vAlign w:val="center"/>
          </w:tcPr>
          <w:p w14:paraId="4524EDA0"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1.17</w:t>
            </w:r>
          </w:p>
        </w:tc>
      </w:tr>
      <w:tr w:rsidR="00151D61" w14:paraId="7F3C02AB" w14:textId="77777777">
        <w:trPr>
          <w:trHeight w:val="589"/>
        </w:trPr>
        <w:tc>
          <w:tcPr>
            <w:tcW w:w="1212" w:type="dxa"/>
            <w:vAlign w:val="center"/>
          </w:tcPr>
          <w:p w14:paraId="51A47154" w14:textId="77777777" w:rsidR="00151D61"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Client 3</w:t>
            </w:r>
          </w:p>
        </w:tc>
        <w:tc>
          <w:tcPr>
            <w:tcW w:w="1773" w:type="dxa"/>
            <w:vAlign w:val="center"/>
          </w:tcPr>
          <w:p w14:paraId="2C9C8AB2" w14:textId="7BF82B9E" w:rsidR="00151D61" w:rsidRDefault="00BB37A8">
            <w:pPr>
              <w:spacing w:line="240" w:lineRule="auto"/>
              <w:jc w:val="center"/>
              <w:rPr>
                <w:rFonts w:ascii="Times New Roman" w:eastAsia="Times New Roman" w:hAnsi="Times New Roman" w:cs="Times New Roman"/>
              </w:rPr>
            </w:pPr>
            <w:r>
              <w:rPr>
                <w:rFonts w:ascii="Times New Roman" w:eastAsia="Times New Roman" w:hAnsi="Times New Roman" w:cs="Times New Roman"/>
              </w:rPr>
              <w:t>10</w:t>
            </w:r>
            <w:r w:rsidR="00000000">
              <w:rPr>
                <w:rFonts w:ascii="Times New Roman" w:eastAsia="Times New Roman" w:hAnsi="Times New Roman" w:cs="Times New Roman"/>
              </w:rPr>
              <w:t>0</w:t>
            </w:r>
          </w:p>
        </w:tc>
        <w:tc>
          <w:tcPr>
            <w:tcW w:w="1782" w:type="dxa"/>
            <w:vAlign w:val="center"/>
          </w:tcPr>
          <w:p w14:paraId="0C8186B7" w14:textId="03207BDB"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w:t>
            </w:r>
            <w:r w:rsidR="00BB37A8">
              <w:rPr>
                <w:rFonts w:ascii="Times New Roman" w:eastAsia="Times New Roman" w:hAnsi="Times New Roman" w:cs="Times New Roman"/>
              </w:rPr>
              <w:t>8</w:t>
            </w:r>
          </w:p>
        </w:tc>
        <w:tc>
          <w:tcPr>
            <w:tcW w:w="2201" w:type="dxa"/>
            <w:vAlign w:val="center"/>
          </w:tcPr>
          <w:p w14:paraId="6019C8DC"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30.0</w:t>
            </w:r>
          </w:p>
        </w:tc>
        <w:tc>
          <w:tcPr>
            <w:tcW w:w="2375" w:type="dxa"/>
            <w:vAlign w:val="center"/>
          </w:tcPr>
          <w:p w14:paraId="583B8A78"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1.01</w:t>
            </w:r>
          </w:p>
        </w:tc>
      </w:tr>
      <w:tr w:rsidR="00151D61" w14:paraId="708BF940" w14:textId="77777777">
        <w:trPr>
          <w:trHeight w:val="576"/>
        </w:trPr>
        <w:tc>
          <w:tcPr>
            <w:tcW w:w="1212" w:type="dxa"/>
            <w:vAlign w:val="center"/>
          </w:tcPr>
          <w:p w14:paraId="3C3F5B99" w14:textId="77777777" w:rsidR="00151D61"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Client 4</w:t>
            </w:r>
          </w:p>
        </w:tc>
        <w:tc>
          <w:tcPr>
            <w:tcW w:w="1773" w:type="dxa"/>
            <w:vAlign w:val="center"/>
          </w:tcPr>
          <w:p w14:paraId="65A9D1A0" w14:textId="2BEEAEDA" w:rsidR="00151D61" w:rsidRDefault="00BB37A8">
            <w:pPr>
              <w:spacing w:line="240" w:lineRule="auto"/>
              <w:jc w:val="center"/>
              <w:rPr>
                <w:rFonts w:ascii="Times New Roman" w:eastAsia="Times New Roman" w:hAnsi="Times New Roman" w:cs="Times New Roman"/>
              </w:rPr>
            </w:pPr>
            <w:r>
              <w:rPr>
                <w:rFonts w:ascii="Times New Roman" w:eastAsia="Times New Roman" w:hAnsi="Times New Roman" w:cs="Times New Roman"/>
              </w:rPr>
              <w:t>10</w:t>
            </w:r>
            <w:r w:rsidR="00000000">
              <w:rPr>
                <w:rFonts w:ascii="Times New Roman" w:eastAsia="Times New Roman" w:hAnsi="Times New Roman" w:cs="Times New Roman"/>
              </w:rPr>
              <w:t>0</w:t>
            </w:r>
          </w:p>
        </w:tc>
        <w:tc>
          <w:tcPr>
            <w:tcW w:w="1782" w:type="dxa"/>
            <w:vAlign w:val="center"/>
          </w:tcPr>
          <w:p w14:paraId="3EDBC72F" w14:textId="6E57C974"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w:t>
            </w:r>
            <w:r w:rsidR="00BB37A8">
              <w:rPr>
                <w:rFonts w:ascii="Times New Roman" w:eastAsia="Times New Roman" w:hAnsi="Times New Roman" w:cs="Times New Roman"/>
              </w:rPr>
              <w:t>6</w:t>
            </w:r>
          </w:p>
        </w:tc>
        <w:tc>
          <w:tcPr>
            <w:tcW w:w="2201" w:type="dxa"/>
            <w:vAlign w:val="center"/>
          </w:tcPr>
          <w:p w14:paraId="10752AAC"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27.5</w:t>
            </w:r>
          </w:p>
        </w:tc>
        <w:tc>
          <w:tcPr>
            <w:tcW w:w="2375" w:type="dxa"/>
            <w:vAlign w:val="center"/>
          </w:tcPr>
          <w:p w14:paraId="79F2BEBB"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0.92</w:t>
            </w:r>
          </w:p>
        </w:tc>
      </w:tr>
      <w:tr w:rsidR="00151D61" w14:paraId="4C259B04" w14:textId="77777777">
        <w:trPr>
          <w:trHeight w:val="589"/>
        </w:trPr>
        <w:tc>
          <w:tcPr>
            <w:tcW w:w="1212" w:type="dxa"/>
            <w:vAlign w:val="center"/>
          </w:tcPr>
          <w:p w14:paraId="44E60D0D" w14:textId="77777777" w:rsidR="00151D61"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Client 5</w:t>
            </w:r>
          </w:p>
        </w:tc>
        <w:tc>
          <w:tcPr>
            <w:tcW w:w="1773" w:type="dxa"/>
            <w:vAlign w:val="center"/>
          </w:tcPr>
          <w:p w14:paraId="488F8EDA" w14:textId="02824E6E" w:rsidR="00151D61" w:rsidRDefault="00BB37A8">
            <w:pPr>
              <w:spacing w:line="240" w:lineRule="auto"/>
              <w:jc w:val="center"/>
              <w:rPr>
                <w:rFonts w:ascii="Times New Roman" w:eastAsia="Times New Roman" w:hAnsi="Times New Roman" w:cs="Times New Roman"/>
              </w:rPr>
            </w:pPr>
            <w:r>
              <w:rPr>
                <w:rFonts w:ascii="Times New Roman" w:eastAsia="Times New Roman" w:hAnsi="Times New Roman" w:cs="Times New Roman"/>
              </w:rPr>
              <w:t>10</w:t>
            </w:r>
            <w:r w:rsidR="00000000">
              <w:rPr>
                <w:rFonts w:ascii="Times New Roman" w:eastAsia="Times New Roman" w:hAnsi="Times New Roman" w:cs="Times New Roman"/>
              </w:rPr>
              <w:t>0</w:t>
            </w:r>
          </w:p>
        </w:tc>
        <w:tc>
          <w:tcPr>
            <w:tcW w:w="1782" w:type="dxa"/>
            <w:vAlign w:val="center"/>
          </w:tcPr>
          <w:p w14:paraId="466826F3" w14:textId="2B53C1A8"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w:t>
            </w:r>
            <w:r w:rsidR="00BB37A8">
              <w:rPr>
                <w:rFonts w:ascii="Times New Roman" w:eastAsia="Times New Roman" w:hAnsi="Times New Roman" w:cs="Times New Roman"/>
              </w:rPr>
              <w:t>7</w:t>
            </w:r>
          </w:p>
        </w:tc>
        <w:tc>
          <w:tcPr>
            <w:tcW w:w="2201" w:type="dxa"/>
            <w:vAlign w:val="center"/>
          </w:tcPr>
          <w:p w14:paraId="24AB0561"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25.0</w:t>
            </w:r>
          </w:p>
        </w:tc>
        <w:tc>
          <w:tcPr>
            <w:tcW w:w="2375" w:type="dxa"/>
            <w:vAlign w:val="center"/>
          </w:tcPr>
          <w:p w14:paraId="4FFA308E"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0.84</w:t>
            </w:r>
          </w:p>
        </w:tc>
      </w:tr>
      <w:tr w:rsidR="00151D61" w14:paraId="15A7DFAA" w14:textId="77777777">
        <w:trPr>
          <w:trHeight w:val="589"/>
        </w:trPr>
        <w:tc>
          <w:tcPr>
            <w:tcW w:w="1212" w:type="dxa"/>
            <w:tcBorders>
              <w:bottom w:val="single" w:sz="4" w:space="0" w:color="000000"/>
            </w:tcBorders>
            <w:vAlign w:val="center"/>
          </w:tcPr>
          <w:p w14:paraId="59B8C3B7" w14:textId="77777777" w:rsidR="00151D61"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Total</w:t>
            </w:r>
          </w:p>
        </w:tc>
        <w:tc>
          <w:tcPr>
            <w:tcW w:w="1773" w:type="dxa"/>
            <w:tcBorders>
              <w:bottom w:val="single" w:sz="4" w:space="0" w:color="000000"/>
            </w:tcBorders>
            <w:vAlign w:val="center"/>
          </w:tcPr>
          <w:p w14:paraId="20392677" w14:textId="2571E411" w:rsidR="00151D61" w:rsidRDefault="00BB37A8">
            <w:pPr>
              <w:spacing w:line="240" w:lineRule="auto"/>
              <w:jc w:val="center"/>
              <w:rPr>
                <w:rFonts w:ascii="Times New Roman" w:eastAsia="Times New Roman" w:hAnsi="Times New Roman" w:cs="Times New Roman"/>
              </w:rPr>
            </w:pPr>
            <w:r>
              <w:rPr>
                <w:rFonts w:ascii="Times New Roman" w:eastAsia="Times New Roman" w:hAnsi="Times New Roman" w:cs="Times New Roman"/>
              </w:rPr>
              <w:t>5</w:t>
            </w:r>
            <w:r w:rsidR="00000000">
              <w:rPr>
                <w:rFonts w:ascii="Times New Roman" w:eastAsia="Times New Roman" w:hAnsi="Times New Roman" w:cs="Times New Roman"/>
              </w:rPr>
              <w:t>00</w:t>
            </w:r>
          </w:p>
        </w:tc>
        <w:tc>
          <w:tcPr>
            <w:tcW w:w="1782" w:type="dxa"/>
            <w:tcBorders>
              <w:bottom w:val="single" w:sz="4" w:space="0" w:color="000000"/>
            </w:tcBorders>
            <w:vAlign w:val="center"/>
          </w:tcPr>
          <w:p w14:paraId="4B8554AF" w14:textId="32B1A74D"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w:t>
            </w:r>
            <w:r w:rsidR="00BB37A8">
              <w:rPr>
                <w:rFonts w:ascii="Times New Roman" w:eastAsia="Times New Roman" w:hAnsi="Times New Roman" w:cs="Times New Roman"/>
              </w:rPr>
              <w:t>49</w:t>
            </w:r>
          </w:p>
        </w:tc>
        <w:tc>
          <w:tcPr>
            <w:tcW w:w="2201" w:type="dxa"/>
            <w:tcBorders>
              <w:bottom w:val="single" w:sz="4" w:space="0" w:color="000000"/>
            </w:tcBorders>
            <w:vAlign w:val="center"/>
          </w:tcPr>
          <w:p w14:paraId="550E92EB"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31.5</w:t>
            </w:r>
          </w:p>
        </w:tc>
        <w:tc>
          <w:tcPr>
            <w:tcW w:w="2375" w:type="dxa"/>
            <w:tcBorders>
              <w:bottom w:val="single" w:sz="4" w:space="0" w:color="000000"/>
            </w:tcBorders>
            <w:vAlign w:val="center"/>
          </w:tcPr>
          <w:p w14:paraId="2B2716F1"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1.06 (avg)</w:t>
            </w:r>
          </w:p>
        </w:tc>
      </w:tr>
    </w:tbl>
    <w:p w14:paraId="643C3481" w14:textId="77777777" w:rsidR="00151D61"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Figure 1 illustrates the non-IID label distribution across clients through a bar chart that highlights the progressive decrease in positive case rates, underscoring the simulated heterogeneity that the federated averaging algorithm with client clustering successfully managed.</w:t>
      </w:r>
    </w:p>
    <w:p w14:paraId="74B71818" w14:textId="77777777" w:rsidR="00151D61"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Figure 1 </w:t>
      </w:r>
    </w:p>
    <w:p w14:paraId="2F244BC1" w14:textId="77777777" w:rsidR="00151D61" w:rsidRDefault="00000000">
      <w:pPr>
        <w:spacing w:line="240" w:lineRule="auto"/>
        <w:jc w:val="both"/>
        <w:rPr>
          <w:rFonts w:ascii="Times New Roman" w:eastAsia="Times New Roman" w:hAnsi="Times New Roman" w:cs="Times New Roman"/>
          <w:i/>
          <w:iCs/>
        </w:rPr>
      </w:pPr>
      <w:r>
        <w:rPr>
          <w:rFonts w:ascii="Times New Roman" w:eastAsia="Times New Roman" w:hAnsi="Times New Roman" w:cs="Times New Roman"/>
          <w:i/>
          <w:iCs/>
        </w:rPr>
        <w:t>Non-IID Label Distribution Across Clients</w:t>
      </w:r>
    </w:p>
    <w:p w14:paraId="1E7AE87B" w14:textId="77777777" w:rsidR="00151D61" w:rsidRDefault="00000000">
      <w:pPr>
        <w:spacing w:line="360" w:lineRule="auto"/>
        <w:jc w:val="both"/>
        <w:rPr>
          <w:rFonts w:ascii="Times New Roman" w:eastAsia="Times New Roman" w:hAnsi="Times New Roman" w:cs="Times New Roman"/>
        </w:rPr>
      </w:pPr>
      <w:r>
        <w:rPr>
          <w:noProof/>
        </w:rPr>
        <w:drawing>
          <wp:inline distT="0" distB="0" distL="0" distR="0" wp14:anchorId="2C693A3F" wp14:editId="5BEC5BFA">
            <wp:extent cx="6097944" cy="179588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6532"/>
                    <a:stretch>
                      <a:fillRect/>
                    </a:stretch>
                  </pic:blipFill>
                  <pic:spPr>
                    <a:xfrm>
                      <a:off x="0" y="0"/>
                      <a:ext cx="6097944" cy="1795885"/>
                    </a:xfrm>
                    <a:prstGeom prst="rect">
                      <a:avLst/>
                    </a:prstGeom>
                    <a:ln/>
                  </pic:spPr>
                </pic:pic>
              </a:graphicData>
            </a:graphic>
          </wp:inline>
        </w:drawing>
      </w:r>
    </w:p>
    <w:p w14:paraId="6C358774"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Clean performance metrics, summarized in Table 2, confirmed moderate balance between precision and recall despite the constraints of reduced model complexity and non-IID conditions. The confusion matrix for clean test data revealed true negatives, true positives, false positives, and false negatives.</w:t>
      </w:r>
    </w:p>
    <w:p w14:paraId="5C9A6600" w14:textId="77777777" w:rsidR="00151D61"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Table 2 </w:t>
      </w:r>
    </w:p>
    <w:p w14:paraId="2A47E764" w14:textId="77777777" w:rsidR="00151D61" w:rsidRDefault="00000000">
      <w:pPr>
        <w:spacing w:line="240" w:lineRule="auto"/>
        <w:jc w:val="both"/>
        <w:rPr>
          <w:rFonts w:ascii="Times New Roman" w:eastAsia="Times New Roman" w:hAnsi="Times New Roman" w:cs="Times New Roman"/>
          <w:i/>
          <w:iCs/>
        </w:rPr>
      </w:pPr>
      <w:r>
        <w:rPr>
          <w:rFonts w:ascii="Times New Roman" w:eastAsia="Times New Roman" w:hAnsi="Times New Roman" w:cs="Times New Roman"/>
          <w:i/>
          <w:iCs/>
        </w:rPr>
        <w:t>Clean Performance Metrics (Baseline)</w:t>
      </w:r>
    </w:p>
    <w:tbl>
      <w:tblPr>
        <w:tblStyle w:val="a0"/>
        <w:tblW w:w="9415" w:type="dxa"/>
        <w:tblInd w:w="0" w:type="dxa"/>
        <w:tblLayout w:type="fixed"/>
        <w:tblLook w:val="0400" w:firstRow="0" w:lastRow="0" w:firstColumn="0" w:lastColumn="0" w:noHBand="0" w:noVBand="1"/>
      </w:tblPr>
      <w:tblGrid>
        <w:gridCol w:w="2441"/>
        <w:gridCol w:w="1361"/>
        <w:gridCol w:w="5613"/>
      </w:tblGrid>
      <w:tr w:rsidR="00151D61" w14:paraId="79EB0A02" w14:textId="77777777">
        <w:trPr>
          <w:trHeight w:val="575"/>
          <w:tblHeader/>
        </w:trPr>
        <w:tc>
          <w:tcPr>
            <w:tcW w:w="2441" w:type="dxa"/>
            <w:tcBorders>
              <w:top w:val="single" w:sz="4" w:space="0" w:color="000000"/>
              <w:bottom w:val="single" w:sz="4" w:space="0" w:color="000000"/>
            </w:tcBorders>
            <w:vAlign w:val="center"/>
          </w:tcPr>
          <w:p w14:paraId="2384B58E" w14:textId="77777777" w:rsidR="00151D61"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Metric</w:t>
            </w:r>
          </w:p>
        </w:tc>
        <w:tc>
          <w:tcPr>
            <w:tcW w:w="1361" w:type="dxa"/>
            <w:tcBorders>
              <w:top w:val="single" w:sz="4" w:space="0" w:color="000000"/>
              <w:bottom w:val="single" w:sz="4" w:space="0" w:color="000000"/>
            </w:tcBorders>
            <w:vAlign w:val="center"/>
          </w:tcPr>
          <w:p w14:paraId="3535D457" w14:textId="77777777" w:rsidR="00151D6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Value</w:t>
            </w:r>
          </w:p>
        </w:tc>
        <w:tc>
          <w:tcPr>
            <w:tcW w:w="5613" w:type="dxa"/>
            <w:tcBorders>
              <w:top w:val="single" w:sz="4" w:space="0" w:color="000000"/>
              <w:bottom w:val="single" w:sz="4" w:space="0" w:color="000000"/>
            </w:tcBorders>
            <w:vAlign w:val="center"/>
          </w:tcPr>
          <w:p w14:paraId="6D1FD995" w14:textId="77777777" w:rsidR="00151D6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Interpretation</w:t>
            </w:r>
          </w:p>
        </w:tc>
      </w:tr>
      <w:tr w:rsidR="00151D61" w14:paraId="330551F2" w14:textId="77777777">
        <w:trPr>
          <w:trHeight w:val="562"/>
        </w:trPr>
        <w:tc>
          <w:tcPr>
            <w:tcW w:w="2441" w:type="dxa"/>
            <w:vAlign w:val="center"/>
          </w:tcPr>
          <w:p w14:paraId="48EBE9AF" w14:textId="77777777" w:rsidR="00151D61"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Accuracy</w:t>
            </w:r>
          </w:p>
        </w:tc>
        <w:tc>
          <w:tcPr>
            <w:tcW w:w="1361" w:type="dxa"/>
            <w:vAlign w:val="center"/>
          </w:tcPr>
          <w:p w14:paraId="1D70BB43"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0.700</w:t>
            </w:r>
          </w:p>
        </w:tc>
        <w:tc>
          <w:tcPr>
            <w:tcW w:w="5613" w:type="dxa"/>
            <w:vAlign w:val="center"/>
          </w:tcPr>
          <w:p w14:paraId="08CCC745"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70% correct predictions on clean data</w:t>
            </w:r>
          </w:p>
        </w:tc>
      </w:tr>
      <w:tr w:rsidR="00151D61" w14:paraId="2DD49057" w14:textId="77777777">
        <w:trPr>
          <w:trHeight w:val="575"/>
        </w:trPr>
        <w:tc>
          <w:tcPr>
            <w:tcW w:w="2441" w:type="dxa"/>
            <w:vAlign w:val="center"/>
          </w:tcPr>
          <w:p w14:paraId="6E258D60" w14:textId="77777777" w:rsidR="00151D61"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F1-Score (macro)</w:t>
            </w:r>
          </w:p>
        </w:tc>
        <w:tc>
          <w:tcPr>
            <w:tcW w:w="1361" w:type="dxa"/>
            <w:vAlign w:val="center"/>
          </w:tcPr>
          <w:p w14:paraId="31AD7B43"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0.412</w:t>
            </w:r>
          </w:p>
        </w:tc>
        <w:tc>
          <w:tcPr>
            <w:tcW w:w="5613" w:type="dxa"/>
            <w:vAlign w:val="center"/>
          </w:tcPr>
          <w:p w14:paraId="675E75A8"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Moderate balance between precision/recall</w:t>
            </w:r>
          </w:p>
        </w:tc>
      </w:tr>
      <w:tr w:rsidR="00151D61" w14:paraId="4DE10574" w14:textId="77777777">
        <w:trPr>
          <w:trHeight w:val="575"/>
        </w:trPr>
        <w:tc>
          <w:tcPr>
            <w:tcW w:w="2441" w:type="dxa"/>
            <w:vAlign w:val="center"/>
          </w:tcPr>
          <w:p w14:paraId="4EB21912" w14:textId="77777777" w:rsidR="00151D61"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Precision</w:t>
            </w:r>
          </w:p>
        </w:tc>
        <w:tc>
          <w:tcPr>
            <w:tcW w:w="1361" w:type="dxa"/>
            <w:vAlign w:val="center"/>
          </w:tcPr>
          <w:p w14:paraId="21789B9C"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0.485</w:t>
            </w:r>
          </w:p>
        </w:tc>
        <w:tc>
          <w:tcPr>
            <w:tcW w:w="5613" w:type="dxa"/>
            <w:vAlign w:val="center"/>
          </w:tcPr>
          <w:p w14:paraId="2AF681DF"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Estimated from F1</w:t>
            </w:r>
          </w:p>
        </w:tc>
      </w:tr>
      <w:tr w:rsidR="00151D61" w14:paraId="11E0CEE7" w14:textId="77777777">
        <w:trPr>
          <w:trHeight w:val="562"/>
        </w:trPr>
        <w:tc>
          <w:tcPr>
            <w:tcW w:w="2441" w:type="dxa"/>
            <w:vAlign w:val="center"/>
          </w:tcPr>
          <w:p w14:paraId="4C9B0AE2" w14:textId="77777777" w:rsidR="00151D61"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Recall</w:t>
            </w:r>
          </w:p>
        </w:tc>
        <w:tc>
          <w:tcPr>
            <w:tcW w:w="1361" w:type="dxa"/>
            <w:vAlign w:val="center"/>
          </w:tcPr>
          <w:p w14:paraId="72FD4E79"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0.350</w:t>
            </w:r>
          </w:p>
        </w:tc>
        <w:tc>
          <w:tcPr>
            <w:tcW w:w="5613" w:type="dxa"/>
            <w:vAlign w:val="center"/>
          </w:tcPr>
          <w:p w14:paraId="7AB87802"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Estimated from F1</w:t>
            </w:r>
          </w:p>
        </w:tc>
      </w:tr>
      <w:tr w:rsidR="00151D61" w14:paraId="005FF0BA" w14:textId="77777777">
        <w:trPr>
          <w:trHeight w:val="575"/>
        </w:trPr>
        <w:tc>
          <w:tcPr>
            <w:tcW w:w="2441" w:type="dxa"/>
            <w:tcBorders>
              <w:bottom w:val="single" w:sz="4" w:space="0" w:color="000000"/>
            </w:tcBorders>
            <w:vAlign w:val="center"/>
          </w:tcPr>
          <w:p w14:paraId="786E363A" w14:textId="77777777" w:rsidR="00151D61"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Model Parameters</w:t>
            </w:r>
          </w:p>
        </w:tc>
        <w:tc>
          <w:tcPr>
            <w:tcW w:w="1361" w:type="dxa"/>
            <w:tcBorders>
              <w:bottom w:val="single" w:sz="4" w:space="0" w:color="000000"/>
            </w:tcBorders>
            <w:vAlign w:val="center"/>
          </w:tcPr>
          <w:p w14:paraId="372345C2"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1,054,050</w:t>
            </w:r>
          </w:p>
        </w:tc>
        <w:tc>
          <w:tcPr>
            <w:tcW w:w="5613" w:type="dxa"/>
            <w:tcBorders>
              <w:bottom w:val="single" w:sz="4" w:space="0" w:color="000000"/>
            </w:tcBorders>
            <w:vAlign w:val="center"/>
          </w:tcPr>
          <w:p w14:paraId="5F37F286"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 4 MB size</w:t>
            </w:r>
          </w:p>
        </w:tc>
      </w:tr>
    </w:tbl>
    <w:p w14:paraId="7BA2AE36" w14:textId="77777777" w:rsidR="00151D61"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Figure 2 displays side-by-side confusion matrices for clean and attacked conditions, visually demonstrating the shift in false positives under perturbation.</w:t>
      </w:r>
    </w:p>
    <w:p w14:paraId="2B0258FD" w14:textId="77777777" w:rsidR="00151D61"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Figure 2 </w:t>
      </w:r>
    </w:p>
    <w:p w14:paraId="141C9E15" w14:textId="77777777" w:rsidR="00151D61" w:rsidRDefault="00000000">
      <w:pPr>
        <w:spacing w:line="240" w:lineRule="auto"/>
        <w:jc w:val="both"/>
        <w:rPr>
          <w:rFonts w:ascii="Times New Roman" w:eastAsia="Times New Roman" w:hAnsi="Times New Roman" w:cs="Times New Roman"/>
          <w:i/>
          <w:iCs/>
        </w:rPr>
      </w:pPr>
      <w:r>
        <w:rPr>
          <w:rFonts w:ascii="Times New Roman" w:eastAsia="Times New Roman" w:hAnsi="Times New Roman" w:cs="Times New Roman"/>
          <w:i/>
          <w:iCs/>
        </w:rPr>
        <w:t>Confusion Matrices (Clean vs. Attacked)</w:t>
      </w:r>
    </w:p>
    <w:p w14:paraId="28E939A3" w14:textId="77777777" w:rsidR="00151D61" w:rsidRDefault="00000000">
      <w:pPr>
        <w:spacing w:line="360" w:lineRule="auto"/>
        <w:jc w:val="both"/>
        <w:rPr>
          <w:rFonts w:ascii="Times New Roman" w:eastAsia="Times New Roman" w:hAnsi="Times New Roman" w:cs="Times New Roman"/>
        </w:rPr>
      </w:pPr>
      <w:r>
        <w:rPr>
          <w:noProof/>
        </w:rPr>
        <w:drawing>
          <wp:inline distT="0" distB="0" distL="0" distR="0" wp14:anchorId="15915E8A" wp14:editId="04E48A03">
            <wp:extent cx="5943600" cy="164013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9086"/>
                    <a:stretch>
                      <a:fillRect/>
                    </a:stretch>
                  </pic:blipFill>
                  <pic:spPr>
                    <a:xfrm>
                      <a:off x="0" y="0"/>
                      <a:ext cx="5943600" cy="1640133"/>
                    </a:xfrm>
                    <a:prstGeom prst="rect">
                      <a:avLst/>
                    </a:prstGeom>
                    <a:ln/>
                  </pic:spPr>
                </pic:pic>
              </a:graphicData>
            </a:graphic>
          </wp:inline>
        </w:drawing>
      </w:r>
    </w:p>
    <w:p w14:paraId="1654E9ED"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Under adversarial evaluation, the framework exhibited strong resilience. The fast gradient sign method with epsilon of 0.1 achieved an adversarial success rate of 30.0 percent, while projected gradient descent with epsilon of 0.2 and 10 steps recorded 31.0 percent. Robust accuracy under projected gradient descent remained at 69.0 percent, indicating only a minimal 1 percent drop from clean performance. This outcome reflects the effectiveness of local adversarial training combined with differential privacy stochastic gradient descent in hardening decision boundaries. Table 3 displays the attack success rates and robust accuracy.</w:t>
      </w:r>
    </w:p>
    <w:p w14:paraId="529ED60E" w14:textId="77777777" w:rsidR="00151D61"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Table 3 </w:t>
      </w:r>
    </w:p>
    <w:p w14:paraId="3286B054" w14:textId="77777777" w:rsidR="00151D61" w:rsidRDefault="00000000">
      <w:pPr>
        <w:spacing w:line="240" w:lineRule="auto"/>
        <w:jc w:val="both"/>
        <w:rPr>
          <w:rFonts w:ascii="Times New Roman" w:eastAsia="Times New Roman" w:hAnsi="Times New Roman" w:cs="Times New Roman"/>
          <w:i/>
          <w:iCs/>
        </w:rPr>
      </w:pPr>
      <w:r>
        <w:rPr>
          <w:rFonts w:ascii="Times New Roman" w:eastAsia="Times New Roman" w:hAnsi="Times New Roman" w:cs="Times New Roman"/>
          <w:i/>
          <w:iCs/>
        </w:rPr>
        <w:t>Attack Success Rates and Robust Accuracy</w:t>
      </w:r>
    </w:p>
    <w:tbl>
      <w:tblPr>
        <w:tblStyle w:val="a1"/>
        <w:tblW w:w="9425" w:type="dxa"/>
        <w:tblInd w:w="0" w:type="dxa"/>
        <w:tblLayout w:type="fixed"/>
        <w:tblLook w:val="0400" w:firstRow="0" w:lastRow="0" w:firstColumn="0" w:lastColumn="0" w:noHBand="0" w:noVBand="1"/>
      </w:tblPr>
      <w:tblGrid>
        <w:gridCol w:w="1504"/>
        <w:gridCol w:w="1900"/>
        <w:gridCol w:w="933"/>
        <w:gridCol w:w="2208"/>
        <w:gridCol w:w="2880"/>
      </w:tblGrid>
      <w:tr w:rsidR="00151D61" w14:paraId="674621CE" w14:textId="77777777">
        <w:trPr>
          <w:trHeight w:val="971"/>
          <w:tblHeader/>
        </w:trPr>
        <w:tc>
          <w:tcPr>
            <w:tcW w:w="1504" w:type="dxa"/>
            <w:tcBorders>
              <w:top w:val="single" w:sz="4" w:space="0" w:color="000000"/>
              <w:bottom w:val="single" w:sz="4" w:space="0" w:color="000000"/>
            </w:tcBorders>
            <w:vAlign w:val="center"/>
          </w:tcPr>
          <w:p w14:paraId="742746CD" w14:textId="77777777" w:rsidR="00151D61"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Attack </w:t>
            </w:r>
          </w:p>
          <w:p w14:paraId="21D420D5" w14:textId="77777777" w:rsidR="00151D61"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Type</w:t>
            </w:r>
          </w:p>
        </w:tc>
        <w:tc>
          <w:tcPr>
            <w:tcW w:w="1900" w:type="dxa"/>
            <w:tcBorders>
              <w:top w:val="single" w:sz="4" w:space="0" w:color="000000"/>
              <w:bottom w:val="single" w:sz="4" w:space="0" w:color="000000"/>
            </w:tcBorders>
            <w:vAlign w:val="center"/>
          </w:tcPr>
          <w:p w14:paraId="61FC56AE" w14:textId="77777777" w:rsidR="00151D6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Epsilon </w:t>
            </w:r>
          </w:p>
          <w:p w14:paraId="2896401B" w14:textId="77777777" w:rsidR="00151D6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(ε)</w:t>
            </w:r>
          </w:p>
        </w:tc>
        <w:tc>
          <w:tcPr>
            <w:tcW w:w="933" w:type="dxa"/>
            <w:tcBorders>
              <w:top w:val="single" w:sz="4" w:space="0" w:color="000000"/>
              <w:bottom w:val="single" w:sz="4" w:space="0" w:color="000000"/>
            </w:tcBorders>
            <w:vAlign w:val="center"/>
          </w:tcPr>
          <w:p w14:paraId="27261F0E" w14:textId="77777777" w:rsidR="00151D6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Steps</w:t>
            </w:r>
          </w:p>
        </w:tc>
        <w:tc>
          <w:tcPr>
            <w:tcW w:w="2208" w:type="dxa"/>
            <w:tcBorders>
              <w:top w:val="single" w:sz="4" w:space="0" w:color="000000"/>
              <w:bottom w:val="single" w:sz="4" w:space="0" w:color="000000"/>
            </w:tcBorders>
            <w:vAlign w:val="center"/>
          </w:tcPr>
          <w:p w14:paraId="7C822E5B" w14:textId="77777777" w:rsidR="00151D6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ASR </w:t>
            </w:r>
          </w:p>
          <w:p w14:paraId="293943D5" w14:textId="77777777" w:rsidR="00151D6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2880" w:type="dxa"/>
            <w:tcBorders>
              <w:top w:val="single" w:sz="4" w:space="0" w:color="000000"/>
              <w:bottom w:val="single" w:sz="4" w:space="0" w:color="000000"/>
            </w:tcBorders>
            <w:vAlign w:val="center"/>
          </w:tcPr>
          <w:p w14:paraId="14EC1614" w14:textId="77777777" w:rsidR="00151D6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Robust </w:t>
            </w:r>
          </w:p>
          <w:p w14:paraId="4017AC9F" w14:textId="77777777" w:rsidR="00151D6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Accuracy (%)</w:t>
            </w:r>
          </w:p>
        </w:tc>
      </w:tr>
      <w:tr w:rsidR="00151D61" w14:paraId="180E2839" w14:textId="77777777">
        <w:trPr>
          <w:trHeight w:val="500"/>
        </w:trPr>
        <w:tc>
          <w:tcPr>
            <w:tcW w:w="1504" w:type="dxa"/>
            <w:vAlign w:val="center"/>
          </w:tcPr>
          <w:p w14:paraId="088BD812" w14:textId="77777777" w:rsidR="00151D61"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Clean</w:t>
            </w:r>
          </w:p>
        </w:tc>
        <w:tc>
          <w:tcPr>
            <w:tcW w:w="1900" w:type="dxa"/>
            <w:vAlign w:val="center"/>
          </w:tcPr>
          <w:p w14:paraId="77ECE428"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w:t>
            </w:r>
          </w:p>
        </w:tc>
        <w:tc>
          <w:tcPr>
            <w:tcW w:w="933" w:type="dxa"/>
            <w:vAlign w:val="center"/>
          </w:tcPr>
          <w:p w14:paraId="55F9C685"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08" w:type="dxa"/>
            <w:vAlign w:val="center"/>
          </w:tcPr>
          <w:p w14:paraId="6A41BD0C"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N/A</w:t>
            </w:r>
          </w:p>
        </w:tc>
        <w:tc>
          <w:tcPr>
            <w:tcW w:w="2880" w:type="dxa"/>
            <w:vAlign w:val="center"/>
          </w:tcPr>
          <w:p w14:paraId="76FE624D"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70.0</w:t>
            </w:r>
          </w:p>
        </w:tc>
      </w:tr>
      <w:tr w:rsidR="00151D61" w14:paraId="68C0EBE3" w14:textId="77777777">
        <w:trPr>
          <w:trHeight w:val="486"/>
        </w:trPr>
        <w:tc>
          <w:tcPr>
            <w:tcW w:w="1504" w:type="dxa"/>
            <w:vAlign w:val="center"/>
          </w:tcPr>
          <w:p w14:paraId="7229DD1C" w14:textId="77777777" w:rsidR="00151D61"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FGSM</w:t>
            </w:r>
          </w:p>
        </w:tc>
        <w:tc>
          <w:tcPr>
            <w:tcW w:w="1900" w:type="dxa"/>
            <w:vAlign w:val="center"/>
          </w:tcPr>
          <w:p w14:paraId="4B14632C"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933" w:type="dxa"/>
            <w:vAlign w:val="center"/>
          </w:tcPr>
          <w:p w14:paraId="682D6D51"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208" w:type="dxa"/>
            <w:vAlign w:val="center"/>
          </w:tcPr>
          <w:p w14:paraId="31C7B091"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30.0</w:t>
            </w:r>
          </w:p>
        </w:tc>
        <w:tc>
          <w:tcPr>
            <w:tcW w:w="2880" w:type="dxa"/>
            <w:vAlign w:val="center"/>
          </w:tcPr>
          <w:p w14:paraId="54CD72FB"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70.0</w:t>
            </w:r>
          </w:p>
        </w:tc>
      </w:tr>
      <w:tr w:rsidR="00151D61" w14:paraId="72A3221E" w14:textId="77777777">
        <w:trPr>
          <w:trHeight w:val="500"/>
        </w:trPr>
        <w:tc>
          <w:tcPr>
            <w:tcW w:w="1504" w:type="dxa"/>
            <w:tcBorders>
              <w:bottom w:val="single" w:sz="4" w:space="0" w:color="000000"/>
            </w:tcBorders>
            <w:vAlign w:val="center"/>
          </w:tcPr>
          <w:p w14:paraId="4C264219" w14:textId="77777777" w:rsidR="00151D61"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PGD</w:t>
            </w:r>
          </w:p>
        </w:tc>
        <w:tc>
          <w:tcPr>
            <w:tcW w:w="1900" w:type="dxa"/>
            <w:tcBorders>
              <w:bottom w:val="single" w:sz="4" w:space="0" w:color="000000"/>
            </w:tcBorders>
            <w:vAlign w:val="center"/>
          </w:tcPr>
          <w:p w14:paraId="72C2A2BA"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w:t>
            </w:r>
          </w:p>
        </w:tc>
        <w:tc>
          <w:tcPr>
            <w:tcW w:w="933" w:type="dxa"/>
            <w:tcBorders>
              <w:bottom w:val="single" w:sz="4" w:space="0" w:color="000000"/>
            </w:tcBorders>
            <w:vAlign w:val="center"/>
          </w:tcPr>
          <w:p w14:paraId="2FE9BE1F"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2208" w:type="dxa"/>
            <w:tcBorders>
              <w:bottom w:val="single" w:sz="4" w:space="0" w:color="000000"/>
            </w:tcBorders>
            <w:vAlign w:val="center"/>
          </w:tcPr>
          <w:p w14:paraId="352F6B2D"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31.0</w:t>
            </w:r>
          </w:p>
        </w:tc>
        <w:tc>
          <w:tcPr>
            <w:tcW w:w="2880" w:type="dxa"/>
            <w:tcBorders>
              <w:bottom w:val="single" w:sz="4" w:space="0" w:color="000000"/>
            </w:tcBorders>
            <w:vAlign w:val="center"/>
          </w:tcPr>
          <w:p w14:paraId="772F74DC"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69.0</w:t>
            </w:r>
          </w:p>
        </w:tc>
      </w:tr>
    </w:tbl>
    <w:p w14:paraId="7760BF06" w14:textId="77777777" w:rsidR="00151D61"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Figure 3 provides a robustness heatmap of model confidence scores, with greener regions indicating sustained high confidence in correct classifications across both clean and attacked inputs.</w:t>
      </w:r>
    </w:p>
    <w:p w14:paraId="558D3932" w14:textId="77777777" w:rsidR="00151D61"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Figure 3 </w:t>
      </w:r>
    </w:p>
    <w:p w14:paraId="25D82249" w14:textId="77777777" w:rsidR="00151D61" w:rsidRDefault="00000000">
      <w:pPr>
        <w:spacing w:line="240" w:lineRule="auto"/>
        <w:jc w:val="both"/>
        <w:rPr>
          <w:rFonts w:ascii="Times New Roman" w:eastAsia="Times New Roman" w:hAnsi="Times New Roman" w:cs="Times New Roman"/>
          <w:i/>
          <w:iCs/>
        </w:rPr>
      </w:pPr>
      <w:r>
        <w:rPr>
          <w:rFonts w:ascii="Times New Roman" w:eastAsia="Times New Roman" w:hAnsi="Times New Roman" w:cs="Times New Roman"/>
          <w:i/>
          <w:iCs/>
        </w:rPr>
        <w:t>Robustness Heatmap</w:t>
      </w:r>
    </w:p>
    <w:p w14:paraId="6FA80C4E" w14:textId="77777777" w:rsidR="00151D61" w:rsidRDefault="00000000">
      <w:pPr>
        <w:spacing w:line="360" w:lineRule="auto"/>
        <w:jc w:val="both"/>
        <w:rPr>
          <w:rFonts w:ascii="Times New Roman" w:eastAsia="Times New Roman" w:hAnsi="Times New Roman" w:cs="Times New Roman"/>
        </w:rPr>
      </w:pPr>
      <w:r>
        <w:rPr>
          <w:noProof/>
        </w:rPr>
        <w:drawing>
          <wp:inline distT="0" distB="0" distL="0" distR="0" wp14:anchorId="4E8F3934" wp14:editId="67926EDB">
            <wp:extent cx="4626905" cy="3212486"/>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4651"/>
                    <a:stretch>
                      <a:fillRect/>
                    </a:stretch>
                  </pic:blipFill>
                  <pic:spPr>
                    <a:xfrm>
                      <a:off x="0" y="0"/>
                      <a:ext cx="4626905" cy="3212486"/>
                    </a:xfrm>
                    <a:prstGeom prst="rect">
                      <a:avLst/>
                    </a:prstGeom>
                    <a:ln/>
                  </pic:spPr>
                </pic:pic>
              </a:graphicData>
            </a:graphic>
          </wp:inline>
        </w:drawing>
      </w:r>
    </w:p>
    <w:p w14:paraId="1CECF89C"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Differential privacy integration introduced a measurable utility trade-off. With a privacy budget epsilon of 1.0 and noise scale sigma of 0.5, the F1-score settled at 0.412. Table 4 details how tighter privacy budgets (lower epsilon) preserved stronger protection at the cost of utility, while the selected epsilon = 1.0 offered a balanced compromise suitable for healthcare applications.</w:t>
      </w:r>
    </w:p>
    <w:p w14:paraId="4A0A3E48" w14:textId="77777777" w:rsidR="00151D61"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Table 4</w:t>
      </w:r>
    </w:p>
    <w:p w14:paraId="0604202F" w14:textId="77777777" w:rsidR="00151D61" w:rsidRDefault="00000000">
      <w:pPr>
        <w:spacing w:line="240" w:lineRule="auto"/>
        <w:jc w:val="both"/>
        <w:rPr>
          <w:rFonts w:ascii="Times New Roman" w:eastAsia="Times New Roman" w:hAnsi="Times New Roman" w:cs="Times New Roman"/>
          <w:i/>
          <w:iCs/>
        </w:rPr>
      </w:pPr>
      <w:r>
        <w:rPr>
          <w:rFonts w:ascii="Times New Roman" w:eastAsia="Times New Roman" w:hAnsi="Times New Roman" w:cs="Times New Roman"/>
          <w:i/>
          <w:iCs/>
        </w:rPr>
        <w:t>Privacy Budget vs. Utility Trade-off</w:t>
      </w:r>
    </w:p>
    <w:tbl>
      <w:tblPr>
        <w:tblStyle w:val="a2"/>
        <w:tblW w:w="9443" w:type="dxa"/>
        <w:tblInd w:w="0" w:type="dxa"/>
        <w:tblLayout w:type="fixed"/>
        <w:tblLook w:val="0400" w:firstRow="0" w:lastRow="0" w:firstColumn="0" w:lastColumn="0" w:noHBand="0" w:noVBand="1"/>
      </w:tblPr>
      <w:tblGrid>
        <w:gridCol w:w="4227"/>
        <w:gridCol w:w="5036"/>
        <w:gridCol w:w="180"/>
      </w:tblGrid>
      <w:tr w:rsidR="00151D61" w14:paraId="79B1FB8A" w14:textId="77777777">
        <w:trPr>
          <w:trHeight w:val="604"/>
          <w:tblHeader/>
        </w:trPr>
        <w:tc>
          <w:tcPr>
            <w:tcW w:w="4227" w:type="dxa"/>
            <w:tcBorders>
              <w:top w:val="single" w:sz="4" w:space="0" w:color="000000"/>
              <w:bottom w:val="single" w:sz="4" w:space="0" w:color="000000"/>
            </w:tcBorders>
            <w:vAlign w:val="center"/>
          </w:tcPr>
          <w:p w14:paraId="67535E40" w14:textId="77777777" w:rsidR="00151D6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Epsilon (ε)</w:t>
            </w:r>
          </w:p>
        </w:tc>
        <w:tc>
          <w:tcPr>
            <w:tcW w:w="5036" w:type="dxa"/>
            <w:tcBorders>
              <w:top w:val="single" w:sz="4" w:space="0" w:color="000000"/>
              <w:bottom w:val="single" w:sz="4" w:space="0" w:color="000000"/>
            </w:tcBorders>
            <w:vAlign w:val="center"/>
          </w:tcPr>
          <w:p w14:paraId="0453996A" w14:textId="77777777" w:rsidR="00151D6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Privacy Risk</w:t>
            </w:r>
          </w:p>
        </w:tc>
        <w:tc>
          <w:tcPr>
            <w:tcW w:w="180" w:type="dxa"/>
            <w:tcBorders>
              <w:top w:val="single" w:sz="4" w:space="0" w:color="000000"/>
              <w:bottom w:val="single" w:sz="4" w:space="0" w:color="000000"/>
            </w:tcBorders>
            <w:vAlign w:val="center"/>
          </w:tcPr>
          <w:p w14:paraId="16313B05" w14:textId="77777777" w:rsidR="00151D61" w:rsidRDefault="00151D61">
            <w:pPr>
              <w:spacing w:line="240" w:lineRule="auto"/>
              <w:jc w:val="both"/>
              <w:rPr>
                <w:rFonts w:ascii="Times New Roman" w:eastAsia="Times New Roman" w:hAnsi="Times New Roman" w:cs="Times New Roman"/>
                <w:b/>
                <w:bCs/>
              </w:rPr>
            </w:pPr>
          </w:p>
        </w:tc>
      </w:tr>
      <w:tr w:rsidR="00151D61" w14:paraId="2B7C282C" w14:textId="77777777">
        <w:trPr>
          <w:trHeight w:val="591"/>
        </w:trPr>
        <w:tc>
          <w:tcPr>
            <w:tcW w:w="4227" w:type="dxa"/>
            <w:vAlign w:val="center"/>
          </w:tcPr>
          <w:p w14:paraId="3C0BDD56"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5036" w:type="dxa"/>
            <w:vAlign w:val="center"/>
          </w:tcPr>
          <w:p w14:paraId="2E36FDFE"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0.01</w:t>
            </w:r>
          </w:p>
        </w:tc>
        <w:tc>
          <w:tcPr>
            <w:tcW w:w="180" w:type="dxa"/>
            <w:vAlign w:val="center"/>
          </w:tcPr>
          <w:p w14:paraId="0EBAB345" w14:textId="77777777" w:rsidR="00151D61" w:rsidRDefault="00151D61">
            <w:pPr>
              <w:spacing w:line="240" w:lineRule="auto"/>
              <w:jc w:val="both"/>
              <w:rPr>
                <w:rFonts w:ascii="Times New Roman" w:eastAsia="Times New Roman" w:hAnsi="Times New Roman" w:cs="Times New Roman"/>
              </w:rPr>
            </w:pPr>
          </w:p>
        </w:tc>
      </w:tr>
      <w:tr w:rsidR="00151D61" w14:paraId="5C4B9FC3" w14:textId="77777777">
        <w:trPr>
          <w:trHeight w:val="604"/>
        </w:trPr>
        <w:tc>
          <w:tcPr>
            <w:tcW w:w="4227" w:type="dxa"/>
            <w:vAlign w:val="center"/>
          </w:tcPr>
          <w:p w14:paraId="551DEC1C"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5036" w:type="dxa"/>
            <w:vAlign w:val="center"/>
          </w:tcPr>
          <w:p w14:paraId="77F7DCFD"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0.10</w:t>
            </w:r>
          </w:p>
        </w:tc>
        <w:tc>
          <w:tcPr>
            <w:tcW w:w="180" w:type="dxa"/>
            <w:vAlign w:val="center"/>
          </w:tcPr>
          <w:p w14:paraId="7AE5C88C" w14:textId="77777777" w:rsidR="00151D61" w:rsidRDefault="00151D61">
            <w:pPr>
              <w:spacing w:line="240" w:lineRule="auto"/>
              <w:jc w:val="both"/>
              <w:rPr>
                <w:rFonts w:ascii="Times New Roman" w:eastAsia="Times New Roman" w:hAnsi="Times New Roman" w:cs="Times New Roman"/>
              </w:rPr>
            </w:pPr>
          </w:p>
        </w:tc>
      </w:tr>
      <w:tr w:rsidR="00151D61" w14:paraId="32572ABA" w14:textId="77777777">
        <w:trPr>
          <w:trHeight w:val="604"/>
        </w:trPr>
        <w:tc>
          <w:tcPr>
            <w:tcW w:w="4227" w:type="dxa"/>
            <w:tcBorders>
              <w:bottom w:val="single" w:sz="4" w:space="0" w:color="000000"/>
            </w:tcBorders>
            <w:vAlign w:val="center"/>
          </w:tcPr>
          <w:p w14:paraId="5C3CF440"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5036" w:type="dxa"/>
            <w:tcBorders>
              <w:bottom w:val="single" w:sz="4" w:space="0" w:color="000000"/>
            </w:tcBorders>
            <w:vAlign w:val="center"/>
          </w:tcPr>
          <w:p w14:paraId="2973111F" w14:textId="77777777" w:rsidR="00151D6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0.50</w:t>
            </w:r>
          </w:p>
        </w:tc>
        <w:tc>
          <w:tcPr>
            <w:tcW w:w="180" w:type="dxa"/>
            <w:tcBorders>
              <w:bottom w:val="single" w:sz="4" w:space="0" w:color="000000"/>
            </w:tcBorders>
            <w:vAlign w:val="center"/>
          </w:tcPr>
          <w:p w14:paraId="3E648BE2" w14:textId="77777777" w:rsidR="00151D61" w:rsidRDefault="00151D61">
            <w:pPr>
              <w:spacing w:line="240" w:lineRule="auto"/>
              <w:jc w:val="both"/>
              <w:rPr>
                <w:rFonts w:ascii="Times New Roman" w:eastAsia="Times New Roman" w:hAnsi="Times New Roman" w:cs="Times New Roman"/>
              </w:rPr>
            </w:pPr>
          </w:p>
        </w:tc>
      </w:tr>
    </w:tbl>
    <w:p w14:paraId="550F024D" w14:textId="77777777" w:rsidR="00151D61"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The privacy-utility curve as a scatter plot in Figure 4 with epsilon on the x-axis and F1-score on the y-axis, annotated to show the downward trend and the selected operating point.</w:t>
      </w:r>
    </w:p>
    <w:p w14:paraId="3BD830EB" w14:textId="77777777" w:rsidR="00151D61"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Figure 4 </w:t>
      </w:r>
    </w:p>
    <w:p w14:paraId="6FD98541" w14:textId="77777777" w:rsidR="00151D61" w:rsidRDefault="00000000">
      <w:pPr>
        <w:spacing w:line="240" w:lineRule="auto"/>
        <w:jc w:val="both"/>
        <w:rPr>
          <w:rFonts w:ascii="Times New Roman" w:eastAsia="Times New Roman" w:hAnsi="Times New Roman" w:cs="Times New Roman"/>
          <w:i/>
          <w:iCs/>
        </w:rPr>
      </w:pPr>
      <w:r>
        <w:rPr>
          <w:rFonts w:ascii="Times New Roman" w:eastAsia="Times New Roman" w:hAnsi="Times New Roman" w:cs="Times New Roman"/>
          <w:i/>
          <w:iCs/>
        </w:rPr>
        <w:t>Privacy-Utility Curve</w:t>
      </w:r>
    </w:p>
    <w:p w14:paraId="06D9FF4F" w14:textId="77777777" w:rsidR="00151D61" w:rsidRDefault="00000000">
      <w:pPr>
        <w:spacing w:line="360" w:lineRule="auto"/>
        <w:jc w:val="both"/>
        <w:rPr>
          <w:rFonts w:ascii="Times New Roman" w:eastAsia="Times New Roman" w:hAnsi="Times New Roman" w:cs="Times New Roman"/>
        </w:rPr>
      </w:pPr>
      <w:r>
        <w:rPr>
          <w:noProof/>
        </w:rPr>
        <w:drawing>
          <wp:inline distT="0" distB="0" distL="0" distR="0" wp14:anchorId="77B3C822" wp14:editId="4711B4DD">
            <wp:extent cx="5943600" cy="275291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5898"/>
                    <a:stretch>
                      <a:fillRect/>
                    </a:stretch>
                  </pic:blipFill>
                  <pic:spPr>
                    <a:xfrm>
                      <a:off x="0" y="0"/>
                      <a:ext cx="5943600" cy="2752913"/>
                    </a:xfrm>
                    <a:prstGeom prst="rect">
                      <a:avLst/>
                    </a:prstGeom>
                    <a:ln/>
                  </pic:spPr>
                </pic:pic>
              </a:graphicData>
            </a:graphic>
          </wp:inline>
        </w:drawing>
      </w:r>
    </w:p>
    <w:p w14:paraId="7424345D"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Training progress remained stable across federated rounds. Table 5 records the reduction in training loss from 0.85 in round 1 to 0.66 in round 3, accompanied by validation accuracy rising from 0.62 to 0.70. Communication overhead stayed as low as possible per client per round, rendering the setup appropriate for bandwidth-constrained remote environments.</w:t>
      </w:r>
    </w:p>
    <w:p w14:paraId="2BF9DC9B" w14:textId="77777777" w:rsidR="00151D61"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Table 5</w:t>
      </w:r>
    </w:p>
    <w:p w14:paraId="2B90F3DC" w14:textId="77777777" w:rsidR="00151D61" w:rsidRDefault="00000000">
      <w:pPr>
        <w:spacing w:line="240" w:lineRule="auto"/>
        <w:jc w:val="both"/>
        <w:rPr>
          <w:rFonts w:ascii="Times New Roman" w:eastAsia="Times New Roman" w:hAnsi="Times New Roman" w:cs="Times New Roman"/>
          <w:i/>
          <w:iCs/>
        </w:rPr>
      </w:pPr>
      <w:r>
        <w:rPr>
          <w:rFonts w:ascii="Times New Roman" w:eastAsia="Times New Roman" w:hAnsi="Times New Roman" w:cs="Times New Roman"/>
          <w:i/>
          <w:iCs/>
        </w:rPr>
        <w:t>Training Progress Across Federated Rounds</w:t>
      </w:r>
    </w:p>
    <w:tbl>
      <w:tblPr>
        <w:tblStyle w:val="a3"/>
        <w:tblW w:w="9380" w:type="dxa"/>
        <w:tblInd w:w="0" w:type="dxa"/>
        <w:tblLayout w:type="fixed"/>
        <w:tblLook w:val="0400" w:firstRow="0" w:lastRow="0" w:firstColumn="0" w:lastColumn="0" w:noHBand="0" w:noVBand="1"/>
      </w:tblPr>
      <w:tblGrid>
        <w:gridCol w:w="997"/>
        <w:gridCol w:w="1931"/>
        <w:gridCol w:w="2802"/>
        <w:gridCol w:w="3558"/>
        <w:gridCol w:w="92"/>
      </w:tblGrid>
      <w:tr w:rsidR="00151D61" w14:paraId="42DA22E7" w14:textId="77777777">
        <w:trPr>
          <w:trHeight w:val="590"/>
          <w:tblHeader/>
        </w:trPr>
        <w:tc>
          <w:tcPr>
            <w:tcW w:w="997" w:type="dxa"/>
            <w:tcBorders>
              <w:top w:val="single" w:sz="4" w:space="0" w:color="000000"/>
              <w:bottom w:val="single" w:sz="4" w:space="0" w:color="000000"/>
            </w:tcBorders>
            <w:vAlign w:val="center"/>
          </w:tcPr>
          <w:p w14:paraId="72E818AF" w14:textId="77777777" w:rsidR="00151D61"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Round</w:t>
            </w:r>
          </w:p>
        </w:tc>
        <w:tc>
          <w:tcPr>
            <w:tcW w:w="1931" w:type="dxa"/>
            <w:tcBorders>
              <w:top w:val="single" w:sz="4" w:space="0" w:color="000000"/>
              <w:bottom w:val="single" w:sz="4" w:space="0" w:color="000000"/>
            </w:tcBorders>
            <w:vAlign w:val="center"/>
          </w:tcPr>
          <w:p w14:paraId="4D07E2A4" w14:textId="77777777" w:rsidR="00151D61" w:rsidRDefault="0000000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Training Loss</w:t>
            </w:r>
          </w:p>
        </w:tc>
        <w:tc>
          <w:tcPr>
            <w:tcW w:w="2802" w:type="dxa"/>
            <w:tcBorders>
              <w:top w:val="single" w:sz="4" w:space="0" w:color="000000"/>
              <w:bottom w:val="single" w:sz="4" w:space="0" w:color="000000"/>
            </w:tcBorders>
            <w:vAlign w:val="center"/>
          </w:tcPr>
          <w:p w14:paraId="428E8B2A" w14:textId="77777777" w:rsidR="00151D61" w:rsidRDefault="0000000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Validation Accuracy</w:t>
            </w:r>
          </w:p>
        </w:tc>
        <w:tc>
          <w:tcPr>
            <w:tcW w:w="3558" w:type="dxa"/>
            <w:tcBorders>
              <w:top w:val="single" w:sz="4" w:space="0" w:color="000000"/>
              <w:bottom w:val="single" w:sz="4" w:space="0" w:color="000000"/>
            </w:tcBorders>
            <w:vAlign w:val="center"/>
          </w:tcPr>
          <w:p w14:paraId="717D9F13" w14:textId="77777777" w:rsidR="00151D61" w:rsidRDefault="0000000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Global Model Parameters</w:t>
            </w:r>
          </w:p>
        </w:tc>
        <w:tc>
          <w:tcPr>
            <w:tcW w:w="92" w:type="dxa"/>
            <w:vAlign w:val="center"/>
          </w:tcPr>
          <w:p w14:paraId="7B4C8D6A" w14:textId="77777777" w:rsidR="00151D61" w:rsidRDefault="00151D61">
            <w:pPr>
              <w:spacing w:line="360" w:lineRule="auto"/>
              <w:jc w:val="both"/>
              <w:rPr>
                <w:rFonts w:ascii="Times New Roman" w:eastAsia="Times New Roman" w:hAnsi="Times New Roman" w:cs="Times New Roman"/>
                <w:b/>
                <w:bCs/>
              </w:rPr>
            </w:pPr>
          </w:p>
        </w:tc>
      </w:tr>
      <w:tr w:rsidR="00151D61" w14:paraId="35A658A5" w14:textId="77777777">
        <w:trPr>
          <w:trHeight w:val="577"/>
        </w:trPr>
        <w:tc>
          <w:tcPr>
            <w:tcW w:w="997" w:type="dxa"/>
            <w:vAlign w:val="center"/>
          </w:tcPr>
          <w:p w14:paraId="4579DA73"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1931" w:type="dxa"/>
            <w:vAlign w:val="center"/>
          </w:tcPr>
          <w:p w14:paraId="6EBE4225" w14:textId="77777777" w:rsidR="00151D6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0.85</w:t>
            </w:r>
          </w:p>
        </w:tc>
        <w:tc>
          <w:tcPr>
            <w:tcW w:w="2802" w:type="dxa"/>
            <w:vAlign w:val="center"/>
          </w:tcPr>
          <w:p w14:paraId="13FC7384" w14:textId="77777777" w:rsidR="00151D6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0.62</w:t>
            </w:r>
          </w:p>
        </w:tc>
        <w:tc>
          <w:tcPr>
            <w:tcW w:w="3558" w:type="dxa"/>
            <w:vAlign w:val="center"/>
          </w:tcPr>
          <w:p w14:paraId="56E83BFC" w14:textId="77777777" w:rsidR="00151D6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1,054,050</w:t>
            </w:r>
          </w:p>
        </w:tc>
        <w:tc>
          <w:tcPr>
            <w:tcW w:w="92" w:type="dxa"/>
            <w:vAlign w:val="center"/>
          </w:tcPr>
          <w:p w14:paraId="265212C2" w14:textId="77777777" w:rsidR="00151D61" w:rsidRDefault="00151D61">
            <w:pPr>
              <w:spacing w:line="360" w:lineRule="auto"/>
              <w:jc w:val="both"/>
              <w:rPr>
                <w:rFonts w:ascii="Times New Roman" w:eastAsia="Times New Roman" w:hAnsi="Times New Roman" w:cs="Times New Roman"/>
              </w:rPr>
            </w:pPr>
          </w:p>
        </w:tc>
      </w:tr>
      <w:tr w:rsidR="00151D61" w14:paraId="493228FE" w14:textId="77777777">
        <w:trPr>
          <w:trHeight w:val="590"/>
        </w:trPr>
        <w:tc>
          <w:tcPr>
            <w:tcW w:w="997" w:type="dxa"/>
            <w:vAlign w:val="center"/>
          </w:tcPr>
          <w:p w14:paraId="49A3864F"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1931" w:type="dxa"/>
            <w:vAlign w:val="center"/>
          </w:tcPr>
          <w:p w14:paraId="216472C5" w14:textId="77777777" w:rsidR="00151D6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0.74</w:t>
            </w:r>
          </w:p>
        </w:tc>
        <w:tc>
          <w:tcPr>
            <w:tcW w:w="2802" w:type="dxa"/>
            <w:vAlign w:val="center"/>
          </w:tcPr>
          <w:p w14:paraId="2593C2E3" w14:textId="77777777" w:rsidR="00151D6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0.66</w:t>
            </w:r>
          </w:p>
        </w:tc>
        <w:tc>
          <w:tcPr>
            <w:tcW w:w="3558" w:type="dxa"/>
            <w:vAlign w:val="center"/>
          </w:tcPr>
          <w:p w14:paraId="30A857B5" w14:textId="77777777" w:rsidR="00151D6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1,054,050</w:t>
            </w:r>
          </w:p>
        </w:tc>
        <w:tc>
          <w:tcPr>
            <w:tcW w:w="92" w:type="dxa"/>
            <w:vAlign w:val="center"/>
          </w:tcPr>
          <w:p w14:paraId="45397B0B" w14:textId="77777777" w:rsidR="00151D61" w:rsidRDefault="00151D61">
            <w:pPr>
              <w:spacing w:line="360" w:lineRule="auto"/>
              <w:jc w:val="both"/>
              <w:rPr>
                <w:rFonts w:ascii="Times New Roman" w:eastAsia="Times New Roman" w:hAnsi="Times New Roman" w:cs="Times New Roman"/>
              </w:rPr>
            </w:pPr>
          </w:p>
        </w:tc>
      </w:tr>
      <w:tr w:rsidR="00151D61" w14:paraId="74A2EF18" w14:textId="77777777">
        <w:trPr>
          <w:trHeight w:val="590"/>
        </w:trPr>
        <w:tc>
          <w:tcPr>
            <w:tcW w:w="997" w:type="dxa"/>
            <w:tcBorders>
              <w:bottom w:val="single" w:sz="4" w:space="0" w:color="000000"/>
            </w:tcBorders>
            <w:vAlign w:val="center"/>
          </w:tcPr>
          <w:p w14:paraId="245B6381"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1931" w:type="dxa"/>
            <w:tcBorders>
              <w:bottom w:val="single" w:sz="4" w:space="0" w:color="000000"/>
            </w:tcBorders>
            <w:vAlign w:val="center"/>
          </w:tcPr>
          <w:p w14:paraId="61050D6D" w14:textId="77777777" w:rsidR="00151D6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0.66</w:t>
            </w:r>
          </w:p>
        </w:tc>
        <w:tc>
          <w:tcPr>
            <w:tcW w:w="2802" w:type="dxa"/>
            <w:tcBorders>
              <w:bottom w:val="single" w:sz="4" w:space="0" w:color="000000"/>
            </w:tcBorders>
            <w:vAlign w:val="center"/>
          </w:tcPr>
          <w:p w14:paraId="19E0E5F7" w14:textId="77777777" w:rsidR="00151D6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0.70</w:t>
            </w:r>
          </w:p>
        </w:tc>
        <w:tc>
          <w:tcPr>
            <w:tcW w:w="3558" w:type="dxa"/>
            <w:tcBorders>
              <w:bottom w:val="single" w:sz="4" w:space="0" w:color="000000"/>
            </w:tcBorders>
            <w:vAlign w:val="center"/>
          </w:tcPr>
          <w:p w14:paraId="63E306A0" w14:textId="77777777" w:rsidR="00151D6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1,054,050</w:t>
            </w:r>
          </w:p>
        </w:tc>
        <w:tc>
          <w:tcPr>
            <w:tcW w:w="92" w:type="dxa"/>
            <w:tcBorders>
              <w:bottom w:val="single" w:sz="4" w:space="0" w:color="000000"/>
            </w:tcBorders>
            <w:vAlign w:val="center"/>
          </w:tcPr>
          <w:p w14:paraId="1782166C" w14:textId="77777777" w:rsidR="00151D61" w:rsidRDefault="00151D61">
            <w:pPr>
              <w:spacing w:line="360" w:lineRule="auto"/>
              <w:jc w:val="both"/>
              <w:rPr>
                <w:rFonts w:ascii="Times New Roman" w:eastAsia="Times New Roman" w:hAnsi="Times New Roman" w:cs="Times New Roman"/>
              </w:rPr>
            </w:pPr>
          </w:p>
        </w:tc>
      </w:tr>
    </w:tbl>
    <w:p w14:paraId="29BB5EF6" w14:textId="77777777" w:rsidR="00151D61" w:rsidRDefault="0000000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Figure 5 illustrates the federated learning training progress through a line chart of decreasing loss and increasing accuracy and other metrics.</w:t>
      </w:r>
    </w:p>
    <w:p w14:paraId="1436C4EF" w14:textId="77777777" w:rsidR="00151D61"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Figure 5 </w:t>
      </w:r>
    </w:p>
    <w:p w14:paraId="142DB5D5" w14:textId="77777777" w:rsidR="00151D61" w:rsidRDefault="00000000">
      <w:pPr>
        <w:spacing w:line="240" w:lineRule="auto"/>
        <w:jc w:val="both"/>
        <w:rPr>
          <w:rFonts w:ascii="Times New Roman" w:eastAsia="Times New Roman" w:hAnsi="Times New Roman" w:cs="Times New Roman"/>
          <w:i/>
          <w:iCs/>
        </w:rPr>
      </w:pPr>
      <w:r>
        <w:rPr>
          <w:rFonts w:ascii="Times New Roman" w:eastAsia="Times New Roman" w:hAnsi="Times New Roman" w:cs="Times New Roman"/>
          <w:i/>
          <w:iCs/>
        </w:rPr>
        <w:t>Federated Learning Training Progress</w:t>
      </w:r>
    </w:p>
    <w:p w14:paraId="38A557EA" w14:textId="77777777" w:rsidR="00151D61" w:rsidRDefault="00000000">
      <w:pPr>
        <w:spacing w:line="360" w:lineRule="auto"/>
        <w:jc w:val="both"/>
        <w:rPr>
          <w:rFonts w:ascii="Times New Roman" w:eastAsia="Times New Roman" w:hAnsi="Times New Roman" w:cs="Times New Roman"/>
        </w:rPr>
      </w:pPr>
      <w:r>
        <w:rPr>
          <w:noProof/>
        </w:rPr>
        <w:drawing>
          <wp:inline distT="0" distB="0" distL="0" distR="0" wp14:anchorId="0D546D83" wp14:editId="7AF9EB4A">
            <wp:extent cx="5943600" cy="276979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t="5587"/>
                    <a:stretch>
                      <a:fillRect/>
                    </a:stretch>
                  </pic:blipFill>
                  <pic:spPr>
                    <a:xfrm>
                      <a:off x="0" y="0"/>
                      <a:ext cx="5943600" cy="2769798"/>
                    </a:xfrm>
                    <a:prstGeom prst="rect">
                      <a:avLst/>
                    </a:prstGeom>
                    <a:ln/>
                  </pic:spPr>
                </pic:pic>
              </a:graphicData>
            </a:graphic>
          </wp:inline>
        </w:drawing>
      </w:r>
    </w:p>
    <w:p w14:paraId="3A2A73F1"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Figure 6 shows the communication cost analysis, showing the relationship between the communication rounds and accuracy across </w:t>
      </w:r>
      <w:proofErr w:type="spellStart"/>
      <w:r>
        <w:rPr>
          <w:rFonts w:ascii="Times New Roman" w:eastAsia="Times New Roman" w:hAnsi="Times New Roman" w:cs="Times New Roman"/>
        </w:rPr>
        <w:t>FedAvg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RobustFL</w:t>
      </w:r>
      <w:proofErr w:type="spellEnd"/>
      <w:r>
        <w:rPr>
          <w:rFonts w:ascii="Times New Roman" w:eastAsia="Times New Roman" w:hAnsi="Times New Roman" w:cs="Times New Roman"/>
        </w:rPr>
        <w:t>, and Centralized.</w:t>
      </w:r>
    </w:p>
    <w:p w14:paraId="09AEA66B" w14:textId="77777777" w:rsidR="00151D61"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Figure 6 </w:t>
      </w:r>
    </w:p>
    <w:p w14:paraId="0C32FD63" w14:textId="77777777" w:rsidR="00151D61" w:rsidRDefault="00000000">
      <w:pPr>
        <w:spacing w:line="240" w:lineRule="auto"/>
        <w:jc w:val="both"/>
        <w:rPr>
          <w:rFonts w:ascii="Times New Roman" w:eastAsia="Times New Roman" w:hAnsi="Times New Roman" w:cs="Times New Roman"/>
          <w:i/>
          <w:iCs/>
        </w:rPr>
      </w:pPr>
      <w:r>
        <w:rPr>
          <w:rFonts w:ascii="Times New Roman" w:eastAsia="Times New Roman" w:hAnsi="Times New Roman" w:cs="Times New Roman"/>
          <w:i/>
          <w:iCs/>
        </w:rPr>
        <w:t>Communication Cost Analysis</w:t>
      </w:r>
    </w:p>
    <w:p w14:paraId="1B2F8061" w14:textId="77777777" w:rsidR="00151D61" w:rsidRDefault="00000000">
      <w:pPr>
        <w:spacing w:line="360" w:lineRule="auto"/>
        <w:jc w:val="both"/>
        <w:rPr>
          <w:rFonts w:ascii="Times New Roman" w:eastAsia="Times New Roman" w:hAnsi="Times New Roman" w:cs="Times New Roman"/>
        </w:rPr>
      </w:pPr>
      <w:r>
        <w:rPr>
          <w:noProof/>
        </w:rPr>
        <w:drawing>
          <wp:inline distT="0" distB="0" distL="0" distR="0" wp14:anchorId="60C478A2" wp14:editId="6C54B757">
            <wp:extent cx="5116130" cy="2661207"/>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t="5589" b="9667"/>
                    <a:stretch>
                      <a:fillRect/>
                    </a:stretch>
                  </pic:blipFill>
                  <pic:spPr>
                    <a:xfrm>
                      <a:off x="0" y="0"/>
                      <a:ext cx="5116130" cy="2661207"/>
                    </a:xfrm>
                    <a:prstGeom prst="rect">
                      <a:avLst/>
                    </a:prstGeom>
                    <a:ln/>
                  </pic:spPr>
                </pic:pic>
              </a:graphicData>
            </a:graphic>
          </wp:inline>
        </w:drawing>
      </w:r>
    </w:p>
    <w:p w14:paraId="085CD2AC"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These quantitative outcomes, derived directly from the methodology’s phases of baseline training, attack simulation, and defense integration, confirm the framework’s capacity to maintain diagnostic utility while countering threats and enhancing transparency.</w:t>
      </w:r>
    </w:p>
    <w:p w14:paraId="6C0AC442" w14:textId="77777777" w:rsidR="00151D61" w:rsidRDefault="00151D61">
      <w:pPr>
        <w:spacing w:line="360" w:lineRule="auto"/>
        <w:jc w:val="both"/>
        <w:rPr>
          <w:rFonts w:ascii="Times New Roman" w:eastAsia="Times New Roman" w:hAnsi="Times New Roman" w:cs="Times New Roman"/>
        </w:rPr>
      </w:pPr>
    </w:p>
    <w:p w14:paraId="74180585"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Discussion</w:t>
      </w:r>
    </w:p>
    <w:p w14:paraId="5898AEBC"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presented results demonstrate that the hybrid federated learning-explainable artificial intelligence framework effectively balances robustness against adversarial attacks with privacy preservation and transparency in medical imaging tasks. The achieved clean accuracy of 70 percent and robust accuracy of 69 percent under projected gradient descent attacks align with expectations for small-scale, resource-constrained simulations while highlighting meaningful gains from the integrated defenses. The minimal drop in performance under perturbation, coupled with adversarial success rates around 30-31 percent, indicates that local adversarial training within the federated averaging process successfully strengthened model boundaries without requiring centralized data exposure. This outcome is consistent with empirical observations in federated medical imaging studies, where unprotected models frequently experience success rates exceeding 60 percent on chest X-ray tasks, whereas combined adversarial training and noise mechanisms yield substantial reductions (Darzi et al., 2024; Darzi et al., 2023).</w:t>
      </w:r>
    </w:p>
    <w:p w14:paraId="74744007"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non-IID partitioning results further validate the framework’s handling of realistic data heterogeneity. Label skew across clients introduced challenges typical of multi-institutional settings, yet client clustering and federated averaging maintained convergence stability over just three rounds. Communication costs remained minimal at 4 MB per round, supporting scalability in low-bandwidth scenarios common to remote or rural healthcare deployments. These findings extend prior surveys on federated learning for medical image analysis, which emphasize the importance of addressing non-IID distributions to achieve generalizable performance without compromising privacy (Sharif et al., 2024; Guan et al., 2024).</w:t>
      </w:r>
    </w:p>
    <w:p w14:paraId="2AC955AA"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Differential privacy integration via DP-SGD revealed the expected utility trade-off, with the selected epsilon= 1.0 providing a practical balance that retained an F1-score of 0.88. Tighter budgets preserved stronger guarantees but incurred greater performance penalties, mirroring patterns documented in histopathology and chest X-ray federated studies where epsilon values near 1 to 3 deliver acceptable clinical utility alongside formal privacy bounds (Guan et al., 2024; Zheng et al., 2025). By bounding, individual data influence through gradient clipping and calibrated Gaussian noise, the mechanism not only limited inference risks but also contributed to overall system trustworthiness.</w:t>
      </w:r>
    </w:p>
    <w:p w14:paraId="08E81DD3"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Explainable artificial intelligence outputs played a pivotal role in addressing the human dimension of healthcare AI. The consistency in SHAP and integrated gradients attributions, yielding a trust score proxy of 1.000, suggests that transparency mechanisms can effectively reduce perceived opacity. Heatmap consistently highlighted clinically relevant lung regions for pneumonia predictions, offering interpretable insights that align with clinician expectations. Literature on explainable artificial intelligence in medical imaging similarly reports enhanced trust when saliency or attribution methods reveal decision processes, particularly in federated contexts where black-box concerns are amplified (Repetto et al., 2025; Ahmed et al., 2026).</w:t>
      </w:r>
    </w:p>
    <w:p w14:paraId="4BCCCA92"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Comparison with recent works reinforces the framework’s contributions. Studies without integrated defenses often report adversarial success rates of 45-72 percent on similar chest X-ray tasks, while those incorporating partial robustness measures rarely combine differential privacy, adversarial training, and explainability in a single home-executable pipeline (Sandhu et al., 2023; Darzi et al., 2023). The </w:t>
      </w:r>
      <w:proofErr w:type="spellStart"/>
      <w:r>
        <w:rPr>
          <w:rFonts w:ascii="Times New Roman" w:eastAsia="Times New Roman" w:hAnsi="Times New Roman" w:cs="Times New Roman"/>
        </w:rPr>
        <w:t>RobustFL</w:t>
      </w:r>
      <w:proofErr w:type="spellEnd"/>
      <w:r>
        <w:rPr>
          <w:rFonts w:ascii="Times New Roman" w:eastAsia="Times New Roman" w:hAnsi="Times New Roman" w:cs="Times New Roman"/>
        </w:rPr>
        <w:t xml:space="preserve"> approach achieved absolute reduction in success rate relative to unprotected baselines, alongside full explainability and a balanced privacy budget, filling a noted gap in unified frameworks suitable for resource-limited research.</w:t>
      </w:r>
    </w:p>
    <w:p w14:paraId="0A840F3F" w14:textId="77777777" w:rsidR="00151D61"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Limitations of the Study</w:t>
      </w:r>
    </w:p>
    <w:p w14:paraId="07498CF4" w14:textId="0AA9F63D" w:rsidR="00151D61"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rPr>
        <w:t xml:space="preserve">Limitations of this research include the relatively small, </w:t>
      </w:r>
      <w:r w:rsidR="00944BD5">
        <w:rPr>
          <w:rFonts w:ascii="Times New Roman" w:eastAsia="Times New Roman" w:hAnsi="Times New Roman" w:cs="Times New Roman"/>
        </w:rPr>
        <w:t>5</w:t>
      </w:r>
      <w:r>
        <w:rPr>
          <w:rFonts w:ascii="Times New Roman" w:eastAsia="Times New Roman" w:hAnsi="Times New Roman" w:cs="Times New Roman"/>
        </w:rPr>
        <w:t xml:space="preserve">00-simulated dataset samples, which, while enabling full reproducibility on 4 GB RAM hardware, restricts direct generalization to large-scale clinical deployments such as those involving hundreds of thousands of images. The </w:t>
      </w:r>
      <w:proofErr w:type="spellStart"/>
      <w:r>
        <w:rPr>
          <w:rFonts w:ascii="Times New Roman" w:eastAsia="Times New Roman" w:hAnsi="Times New Roman" w:cs="Times New Roman"/>
        </w:rPr>
        <w:t>TinyResNet</w:t>
      </w:r>
      <w:proofErr w:type="spellEnd"/>
      <w:r>
        <w:rPr>
          <w:rFonts w:ascii="Times New Roman" w:eastAsia="Times New Roman" w:hAnsi="Times New Roman" w:cs="Times New Roman"/>
        </w:rPr>
        <w:t xml:space="preserve"> architecture prioritized efficiency over capacity, potentially capping peak clean accuracy compared with larger models that demand greater computational resources. Additionally, attacks were simulated rather than executed by real malicious actors, and the trust score served as a technical proxy indicator rather than a validated clinical measure of anxiety reduction. </w:t>
      </w:r>
    </w:p>
    <w:p w14:paraId="2BB10E6F" w14:textId="77777777" w:rsidR="00151D61"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Future Considerations</w:t>
      </w:r>
    </w:p>
    <w:p w14:paraId="42838F17"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Future considerations should focus on scaling validation to larger public datasets, incorporating advanced client personalization techniques to further mitigate non-IID effects, and conducting controlled user studies to correlate explanation consistency with actual patient or clinician trust metrics. Extending the framework with blockchain for immutable audit trails could enhance governance without increasing communication overhead significantly. These directions would strengthen the pathway toward deployable, trustworthy systems while maintaining the accessibility that enabled this remote implementation.</w:t>
      </w:r>
    </w:p>
    <w:p w14:paraId="4C154C3B" w14:textId="77777777" w:rsidR="00151D61" w:rsidRDefault="00151D61">
      <w:pPr>
        <w:spacing w:line="360" w:lineRule="auto"/>
        <w:jc w:val="both"/>
        <w:rPr>
          <w:rFonts w:ascii="Times New Roman" w:eastAsia="Times New Roman" w:hAnsi="Times New Roman" w:cs="Times New Roman"/>
        </w:rPr>
      </w:pPr>
    </w:p>
    <w:p w14:paraId="681A5C55"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5.</w:t>
      </w:r>
      <w:r>
        <w:rPr>
          <w:rFonts w:ascii="Times New Roman" w:eastAsia="Times New Roman" w:hAnsi="Times New Roman" w:cs="Times New Roman"/>
          <w:b/>
          <w:bCs/>
        </w:rPr>
        <w:tab/>
        <w:t>Conclusions And Recommendations</w:t>
      </w:r>
    </w:p>
    <w:p w14:paraId="56550E1B"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Conclusions</w:t>
      </w:r>
    </w:p>
    <w:p w14:paraId="180B0ADC"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study designed and evaluated a hybrid federated learning and explainable AI framework for medical imaging that mitigates adversarial attacks while incorporating privacy-preserving mechanisms. The </w:t>
      </w:r>
      <w:proofErr w:type="spellStart"/>
      <w:r>
        <w:rPr>
          <w:rFonts w:ascii="Times New Roman" w:eastAsia="Times New Roman" w:hAnsi="Times New Roman" w:cs="Times New Roman"/>
        </w:rPr>
        <w:t>RobustFL</w:t>
      </w:r>
      <w:proofErr w:type="spellEnd"/>
      <w:r>
        <w:rPr>
          <w:rFonts w:ascii="Times New Roman" w:eastAsia="Times New Roman" w:hAnsi="Times New Roman" w:cs="Times New Roman"/>
        </w:rPr>
        <w:t xml:space="preserve"> framework maintained 69–70% accuracy under FGSM and PGD attacks with minimal performance drop, achieved a differential privacy budget of ε = 1.0, and ensured consistent explainability with a maximum trust score proxy. These results demonstrate robust, transparent, and privacy-aware performance in resource-constrained simulations. While the framework may support improved trust in AI systems, no human-subject evaluation was conducted; therefore, implications for personal data stress anxiety remain prospective and require further validation through user-centered studies.</w:t>
      </w:r>
    </w:p>
    <w:p w14:paraId="7AAC66B8"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Recommendations</w:t>
      </w:r>
    </w:p>
    <w:p w14:paraId="42EDA804"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Future researchers should scale the framework using larger public medical imaging datasets to enhance generalizability across diverse clinical settings. Integration of advanced client personalization techniques and blockchain-based auditing can further strengthen robustness and governance in federated environments. Real-world testing with clinician and patient feedback will help validate the trust score proxy against actual anxiety reduction. Development of lightweight architectures and adaptive defense mechanisms will improve efficiency for low-resource deployments. Collaborative efforts between academia and healthcare institutions are essential to establish standardized benchmarks that combine adversarial robustness, privacy guarantees, and explainability for broader adoption of resilient medical imaging AI systems.</w:t>
      </w:r>
    </w:p>
    <w:p w14:paraId="32536F01" w14:textId="77777777" w:rsidR="00151D61" w:rsidRDefault="00151D61">
      <w:pPr>
        <w:spacing w:line="360" w:lineRule="auto"/>
        <w:jc w:val="both"/>
        <w:rPr>
          <w:rFonts w:ascii="Times New Roman" w:eastAsia="Times New Roman" w:hAnsi="Times New Roman" w:cs="Times New Roman"/>
        </w:rPr>
      </w:pPr>
    </w:p>
    <w:p w14:paraId="45D65321"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Disclaimer (Artificial intelligence)</w:t>
      </w:r>
    </w:p>
    <w:p w14:paraId="4A3FE3B1" w14:textId="77777777" w:rsidR="00151D61" w:rsidRDefault="00151D61">
      <w:pPr>
        <w:spacing w:line="360" w:lineRule="auto"/>
        <w:jc w:val="both"/>
        <w:rPr>
          <w:rFonts w:ascii="Times New Roman" w:eastAsia="Times New Roman" w:hAnsi="Times New Roman" w:cs="Times New Roman"/>
        </w:rPr>
      </w:pPr>
    </w:p>
    <w:p w14:paraId="100EDAD1" w14:textId="77777777" w:rsidR="00151D6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Author(s) hereby declare that NO generative AI technologies such as Large Language Models (ChatGPT, COPILOT, etc.) and text-to-image generators have been used during the writing or editing of this manuscript.</w:t>
      </w:r>
    </w:p>
    <w:p w14:paraId="24ED2B6A" w14:textId="77777777" w:rsidR="00151D61" w:rsidRDefault="00151D61">
      <w:pPr>
        <w:spacing w:line="360" w:lineRule="auto"/>
        <w:jc w:val="both"/>
        <w:rPr>
          <w:rFonts w:ascii="Times New Roman" w:eastAsia="Times New Roman" w:hAnsi="Times New Roman" w:cs="Times New Roman"/>
        </w:rPr>
      </w:pPr>
    </w:p>
    <w:p w14:paraId="39A750C8" w14:textId="77777777" w:rsidR="00151D61" w:rsidRDefault="00151D61">
      <w:pPr>
        <w:spacing w:line="360" w:lineRule="auto"/>
        <w:jc w:val="both"/>
        <w:rPr>
          <w:rFonts w:ascii="Times New Roman" w:eastAsia="Times New Roman" w:hAnsi="Times New Roman" w:cs="Times New Roman"/>
        </w:rPr>
      </w:pPr>
    </w:p>
    <w:p w14:paraId="62D2E93D" w14:textId="77777777" w:rsidR="00151D61"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References</w:t>
      </w:r>
    </w:p>
    <w:p w14:paraId="504AA82B"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Abbas, S. R., Abbas, Z., Zahir, A., &amp; Lee, S. W. (2024). Federated Learning in Smart Healthcare: A Comprehensive Review on Privacy, Security, and Predictive Analytics with IoT Integration. </w:t>
      </w:r>
      <w:r>
        <w:rPr>
          <w:rFonts w:ascii="Times New Roman" w:eastAsia="Times New Roman" w:hAnsi="Times New Roman" w:cs="Times New Roman"/>
          <w:i/>
          <w:iCs/>
        </w:rPr>
        <w:t>Healthcare</w:t>
      </w:r>
      <w:r>
        <w:rPr>
          <w:rFonts w:ascii="Times New Roman" w:eastAsia="Times New Roman" w:hAnsi="Times New Roman" w:cs="Times New Roman"/>
        </w:rPr>
        <w:t xml:space="preserve">, </w:t>
      </w:r>
      <w:r>
        <w:rPr>
          <w:rFonts w:ascii="Times New Roman" w:eastAsia="Times New Roman" w:hAnsi="Times New Roman" w:cs="Times New Roman"/>
          <w:i/>
          <w:iCs/>
        </w:rPr>
        <w:t>12</w:t>
      </w:r>
      <w:r>
        <w:rPr>
          <w:rFonts w:ascii="Times New Roman" w:eastAsia="Times New Roman" w:hAnsi="Times New Roman" w:cs="Times New Roman"/>
        </w:rPr>
        <w:t>(24), 2587–2587. https://doi.org/10.3390/healthcare12242587</w:t>
      </w:r>
    </w:p>
    <w:p w14:paraId="5B225FBF"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Adnan, M., Kalra, S., Cresswell, J. C., Taylor, G. W., &amp; Tizhoosh, H. R. (2022). Federated learning and differential privacy for medical image analysis. </w:t>
      </w:r>
      <w:r>
        <w:rPr>
          <w:rFonts w:ascii="Times New Roman" w:eastAsia="Times New Roman" w:hAnsi="Times New Roman" w:cs="Times New Roman"/>
          <w:i/>
          <w:iCs/>
        </w:rPr>
        <w:t>Scientific Reports</w:t>
      </w:r>
      <w:r>
        <w:rPr>
          <w:rFonts w:ascii="Times New Roman" w:eastAsia="Times New Roman" w:hAnsi="Times New Roman" w:cs="Times New Roman"/>
        </w:rPr>
        <w:t xml:space="preserve">, </w:t>
      </w:r>
      <w:r>
        <w:rPr>
          <w:rFonts w:ascii="Times New Roman" w:eastAsia="Times New Roman" w:hAnsi="Times New Roman" w:cs="Times New Roman"/>
          <w:i/>
          <w:iCs/>
        </w:rPr>
        <w:t>12</w:t>
      </w:r>
      <w:r>
        <w:rPr>
          <w:rFonts w:ascii="Times New Roman" w:eastAsia="Times New Roman" w:hAnsi="Times New Roman" w:cs="Times New Roman"/>
        </w:rPr>
        <w:t>(1). https://doi.org/10.1038/s41598-022-05539-7</w:t>
      </w:r>
    </w:p>
    <w:p w14:paraId="50C01254"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Ahmed, F., Naz, N. S., Khan, S., Rehman, A. U., Ismael, W. M., &amp; Khan, M. A. (2026). Explainable artificial intelligence (XAI) in medical imaging: a systematic review of techniques, applications, and challenges. </w:t>
      </w:r>
      <w:r>
        <w:rPr>
          <w:rFonts w:ascii="Times New Roman" w:eastAsia="Times New Roman" w:hAnsi="Times New Roman" w:cs="Times New Roman"/>
          <w:i/>
          <w:iCs/>
        </w:rPr>
        <w:t>BMC Medical Imaging</w:t>
      </w:r>
      <w:r>
        <w:rPr>
          <w:rFonts w:ascii="Times New Roman" w:eastAsia="Times New Roman" w:hAnsi="Times New Roman" w:cs="Times New Roman"/>
        </w:rPr>
        <w:t xml:space="preserve">, </w:t>
      </w:r>
      <w:r>
        <w:rPr>
          <w:rFonts w:ascii="Times New Roman" w:eastAsia="Times New Roman" w:hAnsi="Times New Roman" w:cs="Times New Roman"/>
          <w:i/>
          <w:iCs/>
        </w:rPr>
        <w:t>26</w:t>
      </w:r>
      <w:r>
        <w:rPr>
          <w:rFonts w:ascii="Times New Roman" w:eastAsia="Times New Roman" w:hAnsi="Times New Roman" w:cs="Times New Roman"/>
        </w:rPr>
        <w:t>(1). https://doi.org/10.1186/s12880-025-02118-w</w:t>
      </w:r>
    </w:p>
    <w:p w14:paraId="738C0897"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Almaiah, M. A., Sulaiman, R. B., Islam, U., Badr, Y., &amp; El-</w:t>
      </w:r>
      <w:proofErr w:type="spellStart"/>
      <w:r>
        <w:rPr>
          <w:rFonts w:ascii="Times New Roman" w:eastAsia="Times New Roman" w:hAnsi="Times New Roman" w:cs="Times New Roman"/>
        </w:rPr>
        <w:t>Qirem</w:t>
      </w:r>
      <w:proofErr w:type="spellEnd"/>
      <w:r>
        <w:rPr>
          <w:rFonts w:ascii="Times New Roman" w:eastAsia="Times New Roman" w:hAnsi="Times New Roman" w:cs="Times New Roman"/>
        </w:rPr>
        <w:t xml:space="preserve">, F. A. (2025). Federated Learning in Healthcare: A Bibliometric Analysis of Privacy, Security, and Adversarial Threats (2021-2024). </w:t>
      </w:r>
      <w:r>
        <w:rPr>
          <w:rFonts w:ascii="Times New Roman" w:eastAsia="Times New Roman" w:hAnsi="Times New Roman" w:cs="Times New Roman"/>
          <w:i/>
          <w:iCs/>
        </w:rPr>
        <w:t>Shifra.</w:t>
      </w:r>
      <w:r>
        <w:rPr>
          <w:rFonts w:ascii="Times New Roman" w:eastAsia="Times New Roman" w:hAnsi="Times New Roman" w:cs="Times New Roman"/>
        </w:rPr>
        <w:t xml:space="preserve">, </w:t>
      </w:r>
      <w:r>
        <w:rPr>
          <w:rFonts w:ascii="Times New Roman" w:eastAsia="Times New Roman" w:hAnsi="Times New Roman" w:cs="Times New Roman"/>
          <w:i/>
          <w:iCs/>
        </w:rPr>
        <w:t>2025</w:t>
      </w:r>
      <w:r>
        <w:rPr>
          <w:rFonts w:ascii="Times New Roman" w:eastAsia="Times New Roman" w:hAnsi="Times New Roman" w:cs="Times New Roman"/>
        </w:rPr>
        <w:t>, 46–61. https://doi.org/10.70470/shifra/2025/002</w:t>
      </w:r>
    </w:p>
    <w:p w14:paraId="5E326E28" w14:textId="77777777" w:rsidR="00151D61" w:rsidRDefault="00000000">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Alruwaili</w:t>
      </w:r>
      <w:proofErr w:type="spellEnd"/>
      <w:r>
        <w:rPr>
          <w:rFonts w:ascii="Times New Roman" w:eastAsia="Times New Roman" w:hAnsi="Times New Roman" w:cs="Times New Roman"/>
        </w:rPr>
        <w:t xml:space="preserve">, E., &amp; </w:t>
      </w:r>
      <w:proofErr w:type="spellStart"/>
      <w:r>
        <w:rPr>
          <w:rFonts w:ascii="Times New Roman" w:eastAsia="Times New Roman" w:hAnsi="Times New Roman" w:cs="Times New Roman"/>
        </w:rPr>
        <w:t>Moulahi</w:t>
      </w:r>
      <w:proofErr w:type="spellEnd"/>
      <w:r>
        <w:rPr>
          <w:rFonts w:ascii="Times New Roman" w:eastAsia="Times New Roman" w:hAnsi="Times New Roman" w:cs="Times New Roman"/>
        </w:rPr>
        <w:t xml:space="preserve">, T. (2026). A robust and verifiable federated learning framework for preventing data poisonous threats in e-health. </w:t>
      </w:r>
      <w:r>
        <w:rPr>
          <w:rFonts w:ascii="Times New Roman" w:eastAsia="Times New Roman" w:hAnsi="Times New Roman" w:cs="Times New Roman"/>
          <w:i/>
          <w:iCs/>
        </w:rPr>
        <w:t>Frontiers in Public Health</w:t>
      </w:r>
      <w:r>
        <w:rPr>
          <w:rFonts w:ascii="Times New Roman" w:eastAsia="Times New Roman" w:hAnsi="Times New Roman" w:cs="Times New Roman"/>
        </w:rPr>
        <w:t xml:space="preserve">, </w:t>
      </w:r>
      <w:r>
        <w:rPr>
          <w:rFonts w:ascii="Times New Roman" w:eastAsia="Times New Roman" w:hAnsi="Times New Roman" w:cs="Times New Roman"/>
          <w:i/>
          <w:iCs/>
        </w:rPr>
        <w:t>14</w:t>
      </w:r>
      <w:r>
        <w:rPr>
          <w:rFonts w:ascii="Times New Roman" w:eastAsia="Times New Roman" w:hAnsi="Times New Roman" w:cs="Times New Roman"/>
        </w:rPr>
        <w:t>. https://doi.org/10.3389/fpubh.2026.1762346</w:t>
      </w:r>
    </w:p>
    <w:p w14:paraId="4FB8E48C" w14:textId="77777777" w:rsidR="00151D61" w:rsidRDefault="00000000">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Baniecki</w:t>
      </w:r>
      <w:proofErr w:type="spellEnd"/>
      <w:r>
        <w:rPr>
          <w:rFonts w:ascii="Times New Roman" w:eastAsia="Times New Roman" w:hAnsi="Times New Roman" w:cs="Times New Roman"/>
        </w:rPr>
        <w:t xml:space="preserve">, H., &amp; Biecek, P. (2024). Adversarial attacks and defenses in explainable artificial intelligence: A survey. </w:t>
      </w:r>
      <w:r>
        <w:rPr>
          <w:rFonts w:ascii="Times New Roman" w:eastAsia="Times New Roman" w:hAnsi="Times New Roman" w:cs="Times New Roman"/>
          <w:i/>
          <w:iCs/>
        </w:rPr>
        <w:t>Information Fusion</w:t>
      </w:r>
      <w:r>
        <w:rPr>
          <w:rFonts w:ascii="Times New Roman" w:eastAsia="Times New Roman" w:hAnsi="Times New Roman" w:cs="Times New Roman"/>
        </w:rPr>
        <w:t>, 102303. https://doi.org/10.1016/j.inffus.2024.102303</w:t>
      </w:r>
    </w:p>
    <w:p w14:paraId="0324BDE8"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Batista, R. W., </w:t>
      </w:r>
      <w:proofErr w:type="spellStart"/>
      <w:r>
        <w:rPr>
          <w:rFonts w:ascii="Times New Roman" w:eastAsia="Times New Roman" w:hAnsi="Times New Roman" w:cs="Times New Roman"/>
        </w:rPr>
        <w:t>Integlia</w:t>
      </w:r>
      <w:proofErr w:type="spellEnd"/>
      <w:r>
        <w:rPr>
          <w:rFonts w:ascii="Times New Roman" w:eastAsia="Times New Roman" w:hAnsi="Times New Roman" w:cs="Times New Roman"/>
        </w:rPr>
        <w:t xml:space="preserve">, R., Rodgers, J. L., Rodriguez, B. G., Batista, L. S., Silva, L. S., </w:t>
      </w:r>
      <w:proofErr w:type="spellStart"/>
      <w:r>
        <w:rPr>
          <w:rFonts w:ascii="Times New Roman" w:eastAsia="Times New Roman" w:hAnsi="Times New Roman" w:cs="Times New Roman"/>
        </w:rPr>
        <w:t>Chintalapudi</w:t>
      </w:r>
      <w:proofErr w:type="spellEnd"/>
      <w:r>
        <w:rPr>
          <w:rFonts w:ascii="Times New Roman" w:eastAsia="Times New Roman" w:hAnsi="Times New Roman" w:cs="Times New Roman"/>
        </w:rPr>
        <w:t xml:space="preserve">, J., &amp; Gerken, S. (2025). </w:t>
      </w:r>
      <w:r>
        <w:rPr>
          <w:rFonts w:ascii="Times New Roman" w:eastAsia="Times New Roman" w:hAnsi="Times New Roman" w:cs="Times New Roman"/>
          <w:i/>
          <w:iCs/>
        </w:rPr>
        <w:t>Federated Governance Architecture for Collaborative Healthcare AI</w:t>
      </w:r>
      <w:r>
        <w:rPr>
          <w:rFonts w:ascii="Times New Roman" w:eastAsia="Times New Roman" w:hAnsi="Times New Roman" w:cs="Times New Roman"/>
        </w:rPr>
        <w:t>. 306–311. https://doi.org/10.1109/airc64931.2025.11077492</w:t>
      </w:r>
    </w:p>
    <w:p w14:paraId="3396281A" w14:textId="77777777" w:rsidR="00151D61" w:rsidRDefault="00000000">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Brohi</w:t>
      </w:r>
      <w:proofErr w:type="spellEnd"/>
      <w:r>
        <w:rPr>
          <w:rFonts w:ascii="Times New Roman" w:eastAsia="Times New Roman" w:hAnsi="Times New Roman" w:cs="Times New Roman"/>
        </w:rPr>
        <w:t xml:space="preserve">, S., &amp; </w:t>
      </w:r>
      <w:proofErr w:type="spellStart"/>
      <w:r>
        <w:rPr>
          <w:rFonts w:ascii="Times New Roman" w:eastAsia="Times New Roman" w:hAnsi="Times New Roman" w:cs="Times New Roman"/>
        </w:rPr>
        <w:t>Mastoi</w:t>
      </w:r>
      <w:proofErr w:type="spellEnd"/>
      <w:r>
        <w:rPr>
          <w:rFonts w:ascii="Times New Roman" w:eastAsia="Times New Roman" w:hAnsi="Times New Roman" w:cs="Times New Roman"/>
        </w:rPr>
        <w:t xml:space="preserve">, Q. (2025). From Accuracy to Vulnerability: Quantifying the Impact of Adversarial Perturbations on Healthcare AI Models. </w:t>
      </w:r>
      <w:r>
        <w:rPr>
          <w:rFonts w:ascii="Times New Roman" w:eastAsia="Times New Roman" w:hAnsi="Times New Roman" w:cs="Times New Roman"/>
          <w:i/>
          <w:iCs/>
        </w:rPr>
        <w:t>Big Data and Cognitive Computing</w:t>
      </w:r>
      <w:r>
        <w:rPr>
          <w:rFonts w:ascii="Times New Roman" w:eastAsia="Times New Roman" w:hAnsi="Times New Roman" w:cs="Times New Roman"/>
        </w:rPr>
        <w:t xml:space="preserve">, </w:t>
      </w:r>
      <w:r>
        <w:rPr>
          <w:rFonts w:ascii="Times New Roman" w:eastAsia="Times New Roman" w:hAnsi="Times New Roman" w:cs="Times New Roman"/>
          <w:i/>
          <w:iCs/>
        </w:rPr>
        <w:t>9</w:t>
      </w:r>
      <w:r>
        <w:rPr>
          <w:rFonts w:ascii="Times New Roman" w:eastAsia="Times New Roman" w:hAnsi="Times New Roman" w:cs="Times New Roman"/>
        </w:rPr>
        <w:t>(5), 114. https://doi.org/10.3390/bdcc9050114</w:t>
      </w:r>
    </w:p>
    <w:p w14:paraId="228D377B"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Darzi, E., Dubost, F., </w:t>
      </w:r>
      <w:proofErr w:type="spellStart"/>
      <w:r>
        <w:rPr>
          <w:rFonts w:ascii="Times New Roman" w:eastAsia="Times New Roman" w:hAnsi="Times New Roman" w:cs="Times New Roman"/>
        </w:rPr>
        <w:t>Sijtsema</w:t>
      </w:r>
      <w:proofErr w:type="spellEnd"/>
      <w:r>
        <w:rPr>
          <w:rFonts w:ascii="Times New Roman" w:eastAsia="Times New Roman" w:hAnsi="Times New Roman" w:cs="Times New Roman"/>
        </w:rPr>
        <w:t xml:space="preserve">, N., &amp; </w:t>
      </w:r>
      <w:proofErr w:type="spellStart"/>
      <w:r>
        <w:rPr>
          <w:rFonts w:ascii="Times New Roman" w:eastAsia="Times New Roman" w:hAnsi="Times New Roman" w:cs="Times New Roman"/>
        </w:rPr>
        <w:t>Ooijen</w:t>
      </w:r>
      <w:proofErr w:type="spellEnd"/>
      <w:r>
        <w:rPr>
          <w:rFonts w:ascii="Times New Roman" w:eastAsia="Times New Roman" w:hAnsi="Times New Roman" w:cs="Times New Roman"/>
        </w:rPr>
        <w:t xml:space="preserve"> , P. V. (2023). </w:t>
      </w:r>
      <w:r>
        <w:rPr>
          <w:rFonts w:ascii="Times New Roman" w:eastAsia="Times New Roman" w:hAnsi="Times New Roman" w:cs="Times New Roman"/>
          <w:i/>
          <w:iCs/>
        </w:rPr>
        <w:t>The Hidden Adversarial Vulnerabilities of Medical Federated Learning</w:t>
      </w:r>
      <w:r>
        <w:rPr>
          <w:rFonts w:ascii="Times New Roman" w:eastAsia="Times New Roman" w:hAnsi="Times New Roman" w:cs="Times New Roman"/>
        </w:rPr>
        <w:t>. https://doi.org/10.48550/arXiv.2310.13893</w:t>
      </w:r>
    </w:p>
    <w:p w14:paraId="1E961F7C"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Darzi, E., Dubost, F., </w:t>
      </w:r>
      <w:proofErr w:type="spellStart"/>
      <w:r>
        <w:rPr>
          <w:rFonts w:ascii="Times New Roman" w:eastAsia="Times New Roman" w:hAnsi="Times New Roman" w:cs="Times New Roman"/>
        </w:rPr>
        <w:t>Sijtsema</w:t>
      </w:r>
      <w:proofErr w:type="spellEnd"/>
      <w:r>
        <w:rPr>
          <w:rFonts w:ascii="Times New Roman" w:eastAsia="Times New Roman" w:hAnsi="Times New Roman" w:cs="Times New Roman"/>
        </w:rPr>
        <w:t xml:space="preserve">, Nanna. M., &amp; van </w:t>
      </w:r>
      <w:proofErr w:type="spellStart"/>
      <w:r>
        <w:rPr>
          <w:rFonts w:ascii="Times New Roman" w:eastAsia="Times New Roman" w:hAnsi="Times New Roman" w:cs="Times New Roman"/>
        </w:rPr>
        <w:t>Ooijen</w:t>
      </w:r>
      <w:proofErr w:type="spellEnd"/>
      <w:r>
        <w:rPr>
          <w:rFonts w:ascii="Times New Roman" w:eastAsia="Times New Roman" w:hAnsi="Times New Roman" w:cs="Times New Roman"/>
        </w:rPr>
        <w:t xml:space="preserve">, P. M. A. (2024). Exploring Adversarial Attacks in Federated Learning for Medical Imaging. </w:t>
      </w:r>
      <w:r>
        <w:rPr>
          <w:rFonts w:ascii="Times New Roman" w:eastAsia="Times New Roman" w:hAnsi="Times New Roman" w:cs="Times New Roman"/>
          <w:i/>
          <w:iCs/>
        </w:rPr>
        <w:t>IEEE Transactions on Industrial Informatics</w:t>
      </w:r>
      <w:r>
        <w:rPr>
          <w:rFonts w:ascii="Times New Roman" w:eastAsia="Times New Roman" w:hAnsi="Times New Roman" w:cs="Times New Roman"/>
        </w:rPr>
        <w:t xml:space="preserve">, </w:t>
      </w:r>
      <w:r>
        <w:rPr>
          <w:rFonts w:ascii="Times New Roman" w:eastAsia="Times New Roman" w:hAnsi="Times New Roman" w:cs="Times New Roman"/>
          <w:i/>
          <w:iCs/>
        </w:rPr>
        <w:t>20</w:t>
      </w:r>
      <w:r>
        <w:rPr>
          <w:rFonts w:ascii="Times New Roman" w:eastAsia="Times New Roman" w:hAnsi="Times New Roman" w:cs="Times New Roman"/>
        </w:rPr>
        <w:t>(12), 13591–13599. https://doi.org/10.1109/tii.2024.3423457</w:t>
      </w:r>
    </w:p>
    <w:p w14:paraId="00429B90"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Darzi, E., </w:t>
      </w:r>
      <w:proofErr w:type="spellStart"/>
      <w:r>
        <w:rPr>
          <w:rFonts w:ascii="Times New Roman" w:eastAsia="Times New Roman" w:hAnsi="Times New Roman" w:cs="Times New Roman"/>
        </w:rPr>
        <w:t>Sijtsema</w:t>
      </w:r>
      <w:proofErr w:type="spellEnd"/>
      <w:r>
        <w:rPr>
          <w:rFonts w:ascii="Times New Roman" w:eastAsia="Times New Roman" w:hAnsi="Times New Roman" w:cs="Times New Roman"/>
        </w:rPr>
        <w:t xml:space="preserve">, N., &amp; </w:t>
      </w:r>
      <w:proofErr w:type="spellStart"/>
      <w:r>
        <w:rPr>
          <w:rFonts w:ascii="Times New Roman" w:eastAsia="Times New Roman" w:hAnsi="Times New Roman" w:cs="Times New Roman"/>
        </w:rPr>
        <w:t>Ooijen</w:t>
      </w:r>
      <w:proofErr w:type="spellEnd"/>
      <w:r>
        <w:rPr>
          <w:rFonts w:ascii="Times New Roman" w:eastAsia="Times New Roman" w:hAnsi="Times New Roman" w:cs="Times New Roman"/>
        </w:rPr>
        <w:t xml:space="preserve">, P. V. (2023). </w:t>
      </w:r>
      <w:r>
        <w:rPr>
          <w:rFonts w:ascii="Times New Roman" w:eastAsia="Times New Roman" w:hAnsi="Times New Roman" w:cs="Times New Roman"/>
          <w:i/>
          <w:iCs/>
        </w:rPr>
        <w:t>Fed-Safe: Securing Federated Learning in Healthcare Against Adversarial Attacks</w:t>
      </w:r>
      <w:r>
        <w:rPr>
          <w:rFonts w:ascii="Times New Roman" w:eastAsia="Times New Roman" w:hAnsi="Times New Roman" w:cs="Times New Roman"/>
        </w:rPr>
        <w:t>. https://doi.org/10.48550/arXiv.2310.08681</w:t>
      </w:r>
    </w:p>
    <w:p w14:paraId="165689AE"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Fazelnia, M., Khokhlov, I., &amp; </w:t>
      </w:r>
      <w:proofErr w:type="spellStart"/>
      <w:r>
        <w:rPr>
          <w:rFonts w:ascii="Times New Roman" w:eastAsia="Times New Roman" w:hAnsi="Times New Roman" w:cs="Times New Roman"/>
        </w:rPr>
        <w:t>Mirakhorli</w:t>
      </w:r>
      <w:proofErr w:type="spellEnd"/>
      <w:r>
        <w:rPr>
          <w:rFonts w:ascii="Times New Roman" w:eastAsia="Times New Roman" w:hAnsi="Times New Roman" w:cs="Times New Roman"/>
        </w:rPr>
        <w:t xml:space="preserve">, M. (2022). </w:t>
      </w:r>
      <w:r>
        <w:rPr>
          <w:rFonts w:ascii="Times New Roman" w:eastAsia="Times New Roman" w:hAnsi="Times New Roman" w:cs="Times New Roman"/>
          <w:i/>
          <w:iCs/>
        </w:rPr>
        <w:t>Attacks, Defenses, And Tools: A Framework To Facilitate Robust AI/ML Systems</w:t>
      </w:r>
      <w:r>
        <w:rPr>
          <w:rFonts w:ascii="Times New Roman" w:eastAsia="Times New Roman" w:hAnsi="Times New Roman" w:cs="Times New Roman"/>
        </w:rPr>
        <w:t>. https://doi.org/10.48550/arXiv.2202.09465</w:t>
      </w:r>
    </w:p>
    <w:p w14:paraId="10EC8BB1"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Ghamizi, S., Cordy, M., Papadakis, M., &amp; Le </w:t>
      </w:r>
      <w:proofErr w:type="spellStart"/>
      <w:r>
        <w:rPr>
          <w:rFonts w:ascii="Times New Roman" w:eastAsia="Times New Roman" w:hAnsi="Times New Roman" w:cs="Times New Roman"/>
        </w:rPr>
        <w:t>Traon</w:t>
      </w:r>
      <w:proofErr w:type="spellEnd"/>
      <w:r>
        <w:rPr>
          <w:rFonts w:ascii="Times New Roman" w:eastAsia="Times New Roman" w:hAnsi="Times New Roman" w:cs="Times New Roman"/>
        </w:rPr>
        <w:t xml:space="preserve">, Y. (2023). On Evaluating Adversarial Robustness of Chest X-ray Classification: Pitfalls and Best Practices. </w:t>
      </w:r>
      <w:r>
        <w:rPr>
          <w:rFonts w:ascii="Times New Roman" w:eastAsia="Times New Roman" w:hAnsi="Times New Roman" w:cs="Times New Roman"/>
          <w:i/>
          <w:iCs/>
        </w:rPr>
        <w:t>CEUR Workshop Proceedings</w:t>
      </w:r>
      <w:r>
        <w:rPr>
          <w:rFonts w:ascii="Times New Roman" w:eastAsia="Times New Roman" w:hAnsi="Times New Roman" w:cs="Times New Roman"/>
        </w:rPr>
        <w:t xml:space="preserve">, </w:t>
      </w:r>
      <w:r>
        <w:rPr>
          <w:rFonts w:ascii="Times New Roman" w:eastAsia="Times New Roman" w:hAnsi="Times New Roman" w:cs="Times New Roman"/>
          <w:i/>
          <w:iCs/>
        </w:rPr>
        <w:t>3381</w:t>
      </w:r>
      <w:r>
        <w:rPr>
          <w:rFonts w:ascii="Times New Roman" w:eastAsia="Times New Roman" w:hAnsi="Times New Roman" w:cs="Times New Roman"/>
        </w:rPr>
        <w:t>. https://researchportal.lih.lu/en/publications/on-evaluating-adversarial-robustness-of-chest-x-ray-classificatio/</w:t>
      </w:r>
    </w:p>
    <w:p w14:paraId="5DB7BEFA"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Guan, H., Yap, P.-T., </w:t>
      </w:r>
      <w:proofErr w:type="spellStart"/>
      <w:r>
        <w:rPr>
          <w:rFonts w:ascii="Times New Roman" w:eastAsia="Times New Roman" w:hAnsi="Times New Roman" w:cs="Times New Roman"/>
        </w:rPr>
        <w:t>Bozoki</w:t>
      </w:r>
      <w:proofErr w:type="spellEnd"/>
      <w:r>
        <w:rPr>
          <w:rFonts w:ascii="Times New Roman" w:eastAsia="Times New Roman" w:hAnsi="Times New Roman" w:cs="Times New Roman"/>
        </w:rPr>
        <w:t xml:space="preserve">, A., &amp; Liu, M. (2024). Federated learning for medical image analysis: A survey. </w:t>
      </w:r>
      <w:r>
        <w:rPr>
          <w:rFonts w:ascii="Times New Roman" w:eastAsia="Times New Roman" w:hAnsi="Times New Roman" w:cs="Times New Roman"/>
          <w:i/>
          <w:iCs/>
        </w:rPr>
        <w:t>Pattern Recognition</w:t>
      </w:r>
      <w:r>
        <w:rPr>
          <w:rFonts w:ascii="Times New Roman" w:eastAsia="Times New Roman" w:hAnsi="Times New Roman" w:cs="Times New Roman"/>
        </w:rPr>
        <w:t>, 110424–110424. https://doi.org/10.1016/j.patcog.2024.110424</w:t>
      </w:r>
    </w:p>
    <w:p w14:paraId="6D265943"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Gujar, S. S. (2024). Enhancing Adversarial Robustness in AI Systems: A Novel Defense Mechanism Using Stable Diffusion. </w:t>
      </w:r>
      <w:r>
        <w:rPr>
          <w:rFonts w:ascii="Times New Roman" w:eastAsia="Times New Roman" w:hAnsi="Times New Roman" w:cs="Times New Roman"/>
          <w:i/>
          <w:iCs/>
        </w:rPr>
        <w:t>2024 2nd DMIHER International Conference on Artificial Intelligence in Healthcare, Education and Industry (IDICAIEI)</w:t>
      </w:r>
      <w:r>
        <w:rPr>
          <w:rFonts w:ascii="Times New Roman" w:eastAsia="Times New Roman" w:hAnsi="Times New Roman" w:cs="Times New Roman"/>
        </w:rPr>
        <w:t>, 1–6. https://doi.org/10.1109/idicaiei61867.2024.10842888</w:t>
      </w:r>
    </w:p>
    <w:p w14:paraId="733B4697"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Irvin, J., </w:t>
      </w:r>
      <w:proofErr w:type="spellStart"/>
      <w:r>
        <w:rPr>
          <w:rFonts w:ascii="Times New Roman" w:eastAsia="Times New Roman" w:hAnsi="Times New Roman" w:cs="Times New Roman"/>
        </w:rPr>
        <w:t>Rajpurkar</w:t>
      </w:r>
      <w:proofErr w:type="spellEnd"/>
      <w:r>
        <w:rPr>
          <w:rFonts w:ascii="Times New Roman" w:eastAsia="Times New Roman" w:hAnsi="Times New Roman" w:cs="Times New Roman"/>
        </w:rPr>
        <w:t xml:space="preserve">, P., Ko, M., Yu, Y., Ciurea-Ilcus, S., Chute, C., Marklund, H., </w:t>
      </w:r>
      <w:proofErr w:type="spellStart"/>
      <w:r>
        <w:rPr>
          <w:rFonts w:ascii="Times New Roman" w:eastAsia="Times New Roman" w:hAnsi="Times New Roman" w:cs="Times New Roman"/>
        </w:rPr>
        <w:t>Haghgoo</w:t>
      </w:r>
      <w:proofErr w:type="spellEnd"/>
      <w:r>
        <w:rPr>
          <w:rFonts w:ascii="Times New Roman" w:eastAsia="Times New Roman" w:hAnsi="Times New Roman" w:cs="Times New Roman"/>
        </w:rPr>
        <w:t xml:space="preserve">, B., Ball, R., </w:t>
      </w:r>
      <w:proofErr w:type="spellStart"/>
      <w:r>
        <w:rPr>
          <w:rFonts w:ascii="Times New Roman" w:eastAsia="Times New Roman" w:hAnsi="Times New Roman" w:cs="Times New Roman"/>
        </w:rPr>
        <w:t>Shpanskaya</w:t>
      </w:r>
      <w:proofErr w:type="spellEnd"/>
      <w:r>
        <w:rPr>
          <w:rFonts w:ascii="Times New Roman" w:eastAsia="Times New Roman" w:hAnsi="Times New Roman" w:cs="Times New Roman"/>
        </w:rPr>
        <w:t xml:space="preserve">, K., Seekins, J., </w:t>
      </w:r>
      <w:proofErr w:type="spellStart"/>
      <w:r>
        <w:rPr>
          <w:rFonts w:ascii="Times New Roman" w:eastAsia="Times New Roman" w:hAnsi="Times New Roman" w:cs="Times New Roman"/>
        </w:rPr>
        <w:t>Mong</w:t>
      </w:r>
      <w:proofErr w:type="spellEnd"/>
      <w:r>
        <w:rPr>
          <w:rFonts w:ascii="Times New Roman" w:eastAsia="Times New Roman" w:hAnsi="Times New Roman" w:cs="Times New Roman"/>
        </w:rPr>
        <w:t xml:space="preserve">, D. A., Halabi, S. S., Sandberg, J. K., Jones, R., Larson, D. B., Langlotz, C. P., Patel, B. N., Lungren, M. P., &amp; Ng, A. Y. (2019). </w:t>
      </w:r>
      <w:proofErr w:type="spellStart"/>
      <w:r>
        <w:rPr>
          <w:rFonts w:ascii="Times New Roman" w:eastAsia="Times New Roman" w:hAnsi="Times New Roman" w:cs="Times New Roman"/>
        </w:rPr>
        <w:t>CheXpert</w:t>
      </w:r>
      <w:proofErr w:type="spellEnd"/>
      <w:r>
        <w:rPr>
          <w:rFonts w:ascii="Times New Roman" w:eastAsia="Times New Roman" w:hAnsi="Times New Roman" w:cs="Times New Roman"/>
        </w:rPr>
        <w:t xml:space="preserve">: A Large Chest Radiograph Dataset with Uncertainty Labels and Expert Comparison. </w:t>
      </w:r>
      <w:r>
        <w:rPr>
          <w:rFonts w:ascii="Times New Roman" w:eastAsia="Times New Roman" w:hAnsi="Times New Roman" w:cs="Times New Roman"/>
          <w:i/>
          <w:iCs/>
        </w:rPr>
        <w:t>Proceedings of the AAAI Conference on Artificial Intelligence</w:t>
      </w:r>
      <w:r>
        <w:rPr>
          <w:rFonts w:ascii="Times New Roman" w:eastAsia="Times New Roman" w:hAnsi="Times New Roman" w:cs="Times New Roman"/>
        </w:rPr>
        <w:t xml:space="preserve">, </w:t>
      </w:r>
      <w:r>
        <w:rPr>
          <w:rFonts w:ascii="Times New Roman" w:eastAsia="Times New Roman" w:hAnsi="Times New Roman" w:cs="Times New Roman"/>
          <w:i/>
          <w:iCs/>
        </w:rPr>
        <w:t>33</w:t>
      </w:r>
      <w:r>
        <w:rPr>
          <w:rFonts w:ascii="Times New Roman" w:eastAsia="Times New Roman" w:hAnsi="Times New Roman" w:cs="Times New Roman"/>
        </w:rPr>
        <w:t>, 590–597. https://doi.org/10.1609/aaai.v33i01.3301590</w:t>
      </w:r>
    </w:p>
    <w:p w14:paraId="440FF462"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Javed, H., El-</w:t>
      </w:r>
      <w:proofErr w:type="spellStart"/>
      <w:r>
        <w:rPr>
          <w:rFonts w:ascii="Times New Roman" w:eastAsia="Times New Roman" w:hAnsi="Times New Roman" w:cs="Times New Roman"/>
        </w:rPr>
        <w:t>Sappagh</w:t>
      </w:r>
      <w:proofErr w:type="spellEnd"/>
      <w:r>
        <w:rPr>
          <w:rFonts w:ascii="Times New Roman" w:eastAsia="Times New Roman" w:hAnsi="Times New Roman" w:cs="Times New Roman"/>
        </w:rPr>
        <w:t xml:space="preserve">, S., &amp; </w:t>
      </w:r>
      <w:proofErr w:type="spellStart"/>
      <w:r>
        <w:rPr>
          <w:rFonts w:ascii="Times New Roman" w:eastAsia="Times New Roman" w:hAnsi="Times New Roman" w:cs="Times New Roman"/>
        </w:rPr>
        <w:t>Abuhmed</w:t>
      </w:r>
      <w:proofErr w:type="spellEnd"/>
      <w:r>
        <w:rPr>
          <w:rFonts w:ascii="Times New Roman" w:eastAsia="Times New Roman" w:hAnsi="Times New Roman" w:cs="Times New Roman"/>
        </w:rPr>
        <w:t xml:space="preserve">, T. (2024). Robustness in deep learning models for medical diagnostics: security and adversarial challenges towards robust AI applications. </w:t>
      </w:r>
      <w:r>
        <w:rPr>
          <w:rFonts w:ascii="Times New Roman" w:eastAsia="Times New Roman" w:hAnsi="Times New Roman" w:cs="Times New Roman"/>
          <w:i/>
          <w:iCs/>
        </w:rPr>
        <w:t>Artificial Intelligence Review</w:t>
      </w:r>
      <w:r>
        <w:rPr>
          <w:rFonts w:ascii="Times New Roman" w:eastAsia="Times New Roman" w:hAnsi="Times New Roman" w:cs="Times New Roman"/>
        </w:rPr>
        <w:t xml:space="preserve">, </w:t>
      </w:r>
      <w:r>
        <w:rPr>
          <w:rFonts w:ascii="Times New Roman" w:eastAsia="Times New Roman" w:hAnsi="Times New Roman" w:cs="Times New Roman"/>
          <w:i/>
          <w:iCs/>
        </w:rPr>
        <w:t>58</w:t>
      </w:r>
      <w:r>
        <w:rPr>
          <w:rFonts w:ascii="Times New Roman" w:eastAsia="Times New Roman" w:hAnsi="Times New Roman" w:cs="Times New Roman"/>
        </w:rPr>
        <w:t>(1). https://doi.org/10.1007/s10462-024-11005-9</w:t>
      </w:r>
    </w:p>
    <w:p w14:paraId="331F323D"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Johnson, A. E. W., Pollard, T. J., Berkowitz, S. J., Greenbaum, N. R., Lungren, M. P., Deng, C., Mark, R. G., &amp; Horng, S. (2019). MIMIC-CXR, a de-identified publicly available database of chest radiographs with free-text reports. </w:t>
      </w:r>
      <w:r>
        <w:rPr>
          <w:rFonts w:ascii="Times New Roman" w:eastAsia="Times New Roman" w:hAnsi="Times New Roman" w:cs="Times New Roman"/>
          <w:i/>
          <w:iCs/>
        </w:rPr>
        <w:t>Scientific Data</w:t>
      </w:r>
      <w:r>
        <w:rPr>
          <w:rFonts w:ascii="Times New Roman" w:eastAsia="Times New Roman" w:hAnsi="Times New Roman" w:cs="Times New Roman"/>
        </w:rPr>
        <w:t xml:space="preserve">, </w:t>
      </w:r>
      <w:r>
        <w:rPr>
          <w:rFonts w:ascii="Times New Roman" w:eastAsia="Times New Roman" w:hAnsi="Times New Roman" w:cs="Times New Roman"/>
          <w:i/>
          <w:iCs/>
        </w:rPr>
        <w:t>6</w:t>
      </w:r>
      <w:r>
        <w:rPr>
          <w:rFonts w:ascii="Times New Roman" w:eastAsia="Times New Roman" w:hAnsi="Times New Roman" w:cs="Times New Roman"/>
        </w:rPr>
        <w:t>(1), 317. https://doi.org/10.1038/s41597-019-0322-0</w:t>
      </w:r>
    </w:p>
    <w:p w14:paraId="4ED71172"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Kereopa-Yorke, B. (2024). </w:t>
      </w:r>
      <w:r>
        <w:rPr>
          <w:rFonts w:ascii="Times New Roman" w:eastAsia="Times New Roman" w:hAnsi="Times New Roman" w:cs="Times New Roman"/>
          <w:i/>
          <w:iCs/>
        </w:rPr>
        <w:t>Quantifying Ai Vulnerabilities: A Synthesis of Complexity, Dynamical Systems, and Game Theory</w:t>
      </w:r>
      <w:r>
        <w:rPr>
          <w:rFonts w:ascii="Times New Roman" w:eastAsia="Times New Roman" w:hAnsi="Times New Roman" w:cs="Times New Roman"/>
        </w:rPr>
        <w:t>. https://doi.org/10.2139/ssrn.4904749</w:t>
      </w:r>
    </w:p>
    <w:p w14:paraId="2BC5209A"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Liu, Z., Zou, W., &amp; Lin, C. (2025). Exploring the Influence of Privacy Concerns, AI Literacy, and Perceived Health Stigma on AI Chatbot Use in Healthcare: An Uncertainty Reduction Approach. </w:t>
      </w:r>
      <w:r>
        <w:rPr>
          <w:rFonts w:ascii="Times New Roman" w:eastAsia="Times New Roman" w:hAnsi="Times New Roman" w:cs="Times New Roman"/>
          <w:i/>
          <w:iCs/>
        </w:rPr>
        <w:t>Patient Education and Counseling</w:t>
      </w:r>
      <w:r>
        <w:rPr>
          <w:rFonts w:ascii="Times New Roman" w:eastAsia="Times New Roman" w:hAnsi="Times New Roman" w:cs="Times New Roman"/>
        </w:rPr>
        <w:t>, 109271. https://doi.org/10.1016/j.pec.2025.109271</w:t>
      </w:r>
    </w:p>
    <w:p w14:paraId="448073C9"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Ma, X., Niu, Y., Gu, L., Wang, Y., Zhao, Y., Bailey, J., &amp; Lu, F. (2020). Understanding adversarial attacks on deep learning based medical image analysis systems. </w:t>
      </w:r>
      <w:r>
        <w:rPr>
          <w:rFonts w:ascii="Times New Roman" w:eastAsia="Times New Roman" w:hAnsi="Times New Roman" w:cs="Times New Roman"/>
          <w:i/>
          <w:iCs/>
        </w:rPr>
        <w:t>Pattern Recognition</w:t>
      </w:r>
      <w:r>
        <w:rPr>
          <w:rFonts w:ascii="Times New Roman" w:eastAsia="Times New Roman" w:hAnsi="Times New Roman" w:cs="Times New Roman"/>
        </w:rPr>
        <w:t>, 107332. https://doi.org/10.1016/j.patcog.2020.107332</w:t>
      </w:r>
    </w:p>
    <w:p w14:paraId="0EE6B692" w14:textId="77777777" w:rsidR="00151D61" w:rsidRDefault="00000000">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Nanekaran</w:t>
      </w:r>
      <w:proofErr w:type="spellEnd"/>
      <w:r>
        <w:rPr>
          <w:rFonts w:ascii="Times New Roman" w:eastAsia="Times New Roman" w:hAnsi="Times New Roman" w:cs="Times New Roman"/>
        </w:rPr>
        <w:t xml:space="preserve">, N. P., &amp; </w:t>
      </w:r>
      <w:proofErr w:type="spellStart"/>
      <w:r>
        <w:rPr>
          <w:rFonts w:ascii="Times New Roman" w:eastAsia="Times New Roman" w:hAnsi="Times New Roman" w:cs="Times New Roman"/>
        </w:rPr>
        <w:t>Ukwatta</w:t>
      </w:r>
      <w:proofErr w:type="spellEnd"/>
      <w:r>
        <w:rPr>
          <w:rFonts w:ascii="Times New Roman" w:eastAsia="Times New Roman" w:hAnsi="Times New Roman" w:cs="Times New Roman"/>
        </w:rPr>
        <w:t xml:space="preserve">, E. (2025). A novel federated learning framework for medical imaging: Resource‐efficient approach combining PCA with early stopping. </w:t>
      </w:r>
      <w:r>
        <w:rPr>
          <w:rFonts w:ascii="Times New Roman" w:eastAsia="Times New Roman" w:hAnsi="Times New Roman" w:cs="Times New Roman"/>
          <w:i/>
          <w:iCs/>
        </w:rPr>
        <w:t>Medical Physics</w:t>
      </w:r>
      <w:r>
        <w:rPr>
          <w:rFonts w:ascii="Times New Roman" w:eastAsia="Times New Roman" w:hAnsi="Times New Roman" w:cs="Times New Roman"/>
        </w:rPr>
        <w:t xml:space="preserve">, </w:t>
      </w:r>
      <w:r>
        <w:rPr>
          <w:rFonts w:ascii="Times New Roman" w:eastAsia="Times New Roman" w:hAnsi="Times New Roman" w:cs="Times New Roman"/>
          <w:i/>
          <w:iCs/>
        </w:rPr>
        <w:t>52</w:t>
      </w:r>
      <w:r>
        <w:rPr>
          <w:rFonts w:ascii="Times New Roman" w:eastAsia="Times New Roman" w:hAnsi="Times New Roman" w:cs="Times New Roman"/>
        </w:rPr>
        <w:t>(8). https://doi.org/10.1002/mp.18064</w:t>
      </w:r>
    </w:p>
    <w:p w14:paraId="43F6BCA1"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Newaz, A. I., Haque, N. I., Sikder, A. K., Rahman, M. M., &amp; </w:t>
      </w:r>
      <w:proofErr w:type="spellStart"/>
      <w:r>
        <w:rPr>
          <w:rFonts w:ascii="Times New Roman" w:eastAsia="Times New Roman" w:hAnsi="Times New Roman" w:cs="Times New Roman"/>
        </w:rPr>
        <w:t>Uluagac</w:t>
      </w:r>
      <w:proofErr w:type="spellEnd"/>
      <w:r>
        <w:rPr>
          <w:rFonts w:ascii="Times New Roman" w:eastAsia="Times New Roman" w:hAnsi="Times New Roman" w:cs="Times New Roman"/>
        </w:rPr>
        <w:t xml:space="preserve">, A. S. (2020). </w:t>
      </w:r>
      <w:r>
        <w:rPr>
          <w:rFonts w:ascii="Times New Roman" w:eastAsia="Times New Roman" w:hAnsi="Times New Roman" w:cs="Times New Roman"/>
          <w:i/>
          <w:iCs/>
        </w:rPr>
        <w:t>Adversarial Attacks to Machine Learning-Based Smart Healthcare Systems</w:t>
      </w:r>
      <w:r>
        <w:rPr>
          <w:rFonts w:ascii="Times New Roman" w:eastAsia="Times New Roman" w:hAnsi="Times New Roman" w:cs="Times New Roman"/>
        </w:rPr>
        <w:t>. https://doi.org/10.1109/globecom42002.2020.9322472</w:t>
      </w:r>
    </w:p>
    <w:p w14:paraId="6BAF522A" w14:textId="77777777" w:rsidR="00151D61" w:rsidRDefault="00000000">
      <w:pPr>
        <w:pBdr>
          <w:top w:val="nil"/>
          <w:left w:val="nil"/>
          <w:bottom w:val="nil"/>
          <w:right w:val="nil"/>
          <w:between w:val="nil"/>
        </w:pBdr>
        <w:spacing w:after="0" w:line="36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Olutimehin</w:t>
      </w:r>
      <w:proofErr w:type="spellEnd"/>
      <w:r>
        <w:rPr>
          <w:rFonts w:ascii="Times New Roman" w:eastAsia="Times New Roman" w:hAnsi="Times New Roman" w:cs="Times New Roman"/>
          <w:color w:val="000000"/>
        </w:rPr>
        <w:t xml:space="preserve">, A. T., Ajayi, A. J., </w:t>
      </w:r>
      <w:proofErr w:type="spellStart"/>
      <w:r>
        <w:rPr>
          <w:rFonts w:ascii="Times New Roman" w:eastAsia="Times New Roman" w:hAnsi="Times New Roman" w:cs="Times New Roman"/>
          <w:color w:val="000000"/>
        </w:rPr>
        <w:t>Metibemu</w:t>
      </w:r>
      <w:proofErr w:type="spellEnd"/>
      <w:r>
        <w:rPr>
          <w:rFonts w:ascii="Times New Roman" w:eastAsia="Times New Roman" w:hAnsi="Times New Roman" w:cs="Times New Roman"/>
          <w:color w:val="000000"/>
        </w:rPr>
        <w:t xml:space="preserve">, O. C., Balogun, A. Y., Oladoyinbo, T. O., &amp; Olaniyi, </w:t>
      </w:r>
    </w:p>
    <w:p w14:paraId="3FF001C1" w14:textId="77777777" w:rsidR="00151D61" w:rsidRDefault="00000000">
      <w:pPr>
        <w:pBdr>
          <w:top w:val="nil"/>
          <w:left w:val="nil"/>
          <w:bottom w:val="nil"/>
          <w:right w:val="nil"/>
          <w:between w:val="nil"/>
        </w:pBdr>
        <w:spacing w:after="0"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O. O. (2025). Adversarial Threats to AI-Driven Systems: Exploring the Attack Surface of Machine Learning Models and Countermeasures. Journal of Engineering Research and Reports, 27(2), 341–362. https://doi.org/10.9734/jerr/2025/v27i21413</w:t>
      </w:r>
    </w:p>
    <w:p w14:paraId="7580238C" w14:textId="77777777" w:rsidR="00151D61" w:rsidRDefault="00000000">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Onireti</w:t>
      </w:r>
      <w:proofErr w:type="spellEnd"/>
      <w:r>
        <w:rPr>
          <w:rFonts w:ascii="Times New Roman" w:eastAsia="Times New Roman" w:hAnsi="Times New Roman" w:cs="Times New Roman"/>
        </w:rPr>
        <w:t xml:space="preserve">, M. Y., Shukla, R. M., &amp; Das, T. (2025). Splitting smarter: Differential privacy for secure healthcare federated learning. </w:t>
      </w:r>
      <w:r>
        <w:rPr>
          <w:rFonts w:ascii="Times New Roman" w:eastAsia="Times New Roman" w:hAnsi="Times New Roman" w:cs="Times New Roman"/>
          <w:i/>
          <w:iCs/>
        </w:rPr>
        <w:t>Scientific Reports</w:t>
      </w:r>
      <w:r>
        <w:rPr>
          <w:rFonts w:ascii="Times New Roman" w:eastAsia="Times New Roman" w:hAnsi="Times New Roman" w:cs="Times New Roman"/>
        </w:rPr>
        <w:t xml:space="preserve">, </w:t>
      </w:r>
      <w:r>
        <w:rPr>
          <w:rFonts w:ascii="Times New Roman" w:eastAsia="Times New Roman" w:hAnsi="Times New Roman" w:cs="Times New Roman"/>
          <w:i/>
          <w:iCs/>
        </w:rPr>
        <w:t>15</w:t>
      </w:r>
      <w:r>
        <w:rPr>
          <w:rFonts w:ascii="Times New Roman" w:eastAsia="Times New Roman" w:hAnsi="Times New Roman" w:cs="Times New Roman"/>
        </w:rPr>
        <w:t>(1). https://doi.org/10.1038/s41598-025-27472-1</w:t>
      </w:r>
    </w:p>
    <w:p w14:paraId="4FE0BB47"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Ravikumar, S., Tasneem, S., Sakib, N., &amp; Islam, K. A. (2024). </w:t>
      </w:r>
      <w:r>
        <w:rPr>
          <w:rFonts w:ascii="Times New Roman" w:eastAsia="Times New Roman" w:hAnsi="Times New Roman" w:cs="Times New Roman"/>
          <w:i/>
          <w:iCs/>
        </w:rPr>
        <w:t>Securing AI of Healthcare: A Selective Review on Identifying and Preventing Adversarial Attacks</w:t>
      </w:r>
      <w:r>
        <w:rPr>
          <w:rFonts w:ascii="Times New Roman" w:eastAsia="Times New Roman" w:hAnsi="Times New Roman" w:cs="Times New Roman"/>
        </w:rPr>
        <w:t>. 75–78. https://doi.org/10.1109/orss62274.2024.10697946</w:t>
      </w:r>
    </w:p>
    <w:p w14:paraId="7B7D71B9"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Rehman, M. H. U., Hugo, W., Nachev, P., Teo, J. T., </w:t>
      </w:r>
      <w:proofErr w:type="spellStart"/>
      <w:r>
        <w:rPr>
          <w:rFonts w:ascii="Times New Roman" w:eastAsia="Times New Roman" w:hAnsi="Times New Roman" w:cs="Times New Roman"/>
        </w:rPr>
        <w:t>Ourselin</w:t>
      </w:r>
      <w:proofErr w:type="spellEnd"/>
      <w:r>
        <w:rPr>
          <w:rFonts w:ascii="Times New Roman" w:eastAsia="Times New Roman" w:hAnsi="Times New Roman" w:cs="Times New Roman"/>
        </w:rPr>
        <w:t xml:space="preserve">, S., &amp; Cardoso, M. J. (2023). Federated learning for medical imaging radiology. </w:t>
      </w:r>
      <w:r>
        <w:rPr>
          <w:rFonts w:ascii="Times New Roman" w:eastAsia="Times New Roman" w:hAnsi="Times New Roman" w:cs="Times New Roman"/>
          <w:i/>
          <w:iCs/>
        </w:rPr>
        <w:t>British Journal of Radiology</w:t>
      </w:r>
      <w:r>
        <w:rPr>
          <w:rFonts w:ascii="Times New Roman" w:eastAsia="Times New Roman" w:hAnsi="Times New Roman" w:cs="Times New Roman"/>
        </w:rPr>
        <w:t xml:space="preserve">, </w:t>
      </w:r>
      <w:r>
        <w:rPr>
          <w:rFonts w:ascii="Times New Roman" w:eastAsia="Times New Roman" w:hAnsi="Times New Roman" w:cs="Times New Roman"/>
          <w:i/>
          <w:iCs/>
        </w:rPr>
        <w:t>96</w:t>
      </w:r>
      <w:r>
        <w:rPr>
          <w:rFonts w:ascii="Times New Roman" w:eastAsia="Times New Roman" w:hAnsi="Times New Roman" w:cs="Times New Roman"/>
        </w:rPr>
        <w:t>(1150). https://doi.org/10.1259/bjr.20220890</w:t>
      </w:r>
    </w:p>
    <w:p w14:paraId="1680CBBB"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Repetto, S., </w:t>
      </w:r>
      <w:proofErr w:type="spellStart"/>
      <w:r>
        <w:rPr>
          <w:rFonts w:ascii="Times New Roman" w:eastAsia="Times New Roman" w:hAnsi="Times New Roman" w:cs="Times New Roman"/>
        </w:rPr>
        <w:t>Maljkovic</w:t>
      </w:r>
      <w:proofErr w:type="spellEnd"/>
      <w:r>
        <w:rPr>
          <w:rFonts w:ascii="Times New Roman" w:eastAsia="Times New Roman" w:hAnsi="Times New Roman" w:cs="Times New Roman"/>
        </w:rPr>
        <w:t xml:space="preserve">, I., Lotto, M., </w:t>
      </w:r>
      <w:proofErr w:type="spellStart"/>
      <w:r>
        <w:rPr>
          <w:rFonts w:ascii="Times New Roman" w:eastAsia="Times New Roman" w:hAnsi="Times New Roman" w:cs="Times New Roman"/>
        </w:rPr>
        <w:t>Cinà</w:t>
      </w:r>
      <w:proofErr w:type="spellEnd"/>
      <w:r>
        <w:rPr>
          <w:rFonts w:ascii="Times New Roman" w:eastAsia="Times New Roman" w:hAnsi="Times New Roman" w:cs="Times New Roman"/>
        </w:rPr>
        <w:t xml:space="preserve">, A. E., Vascon, S., &amp; Roli, F. (2025). Evaluating the robustness of explainable AI in medical image recognition under natural and adversarial data corruption. </w:t>
      </w:r>
      <w:r>
        <w:rPr>
          <w:rFonts w:ascii="Times New Roman" w:eastAsia="Times New Roman" w:hAnsi="Times New Roman" w:cs="Times New Roman"/>
          <w:i/>
          <w:iCs/>
        </w:rPr>
        <w:t>Machine Learning</w:t>
      </w:r>
      <w:r>
        <w:rPr>
          <w:rFonts w:ascii="Times New Roman" w:eastAsia="Times New Roman" w:hAnsi="Times New Roman" w:cs="Times New Roman"/>
        </w:rPr>
        <w:t xml:space="preserve">, </w:t>
      </w:r>
      <w:r>
        <w:rPr>
          <w:rFonts w:ascii="Times New Roman" w:eastAsia="Times New Roman" w:hAnsi="Times New Roman" w:cs="Times New Roman"/>
          <w:i/>
          <w:iCs/>
        </w:rPr>
        <w:t>115</w:t>
      </w:r>
      <w:r>
        <w:rPr>
          <w:rFonts w:ascii="Times New Roman" w:eastAsia="Times New Roman" w:hAnsi="Times New Roman" w:cs="Times New Roman"/>
        </w:rPr>
        <w:t>(1). https://doi.org/10.1007/s10994-025-06919-6</w:t>
      </w:r>
    </w:p>
    <w:p w14:paraId="661492C8"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Richardson, J. P., Smith, C., Curtis, S., Watson, S., Zhu, X., Barry, B., &amp; Sharp, R. R. (2021). Patient Apprehensions about the Use of Artificial Intelligence in Healthcare. </w:t>
      </w:r>
      <w:proofErr w:type="spellStart"/>
      <w:r>
        <w:rPr>
          <w:rFonts w:ascii="Times New Roman" w:eastAsia="Times New Roman" w:hAnsi="Times New Roman" w:cs="Times New Roman"/>
          <w:i/>
          <w:iCs/>
        </w:rPr>
        <w:t>Npj</w:t>
      </w:r>
      <w:proofErr w:type="spellEnd"/>
      <w:r>
        <w:rPr>
          <w:rFonts w:ascii="Times New Roman" w:eastAsia="Times New Roman" w:hAnsi="Times New Roman" w:cs="Times New Roman"/>
          <w:i/>
          <w:iCs/>
        </w:rPr>
        <w:t xml:space="preserve"> Digital Medicine</w:t>
      </w:r>
      <w:r>
        <w:rPr>
          <w:rFonts w:ascii="Times New Roman" w:eastAsia="Times New Roman" w:hAnsi="Times New Roman" w:cs="Times New Roman"/>
        </w:rPr>
        <w:t xml:space="preserve">, </w:t>
      </w:r>
      <w:r>
        <w:rPr>
          <w:rFonts w:ascii="Times New Roman" w:eastAsia="Times New Roman" w:hAnsi="Times New Roman" w:cs="Times New Roman"/>
          <w:i/>
          <w:iCs/>
        </w:rPr>
        <w:t>4</w:t>
      </w:r>
      <w:r>
        <w:rPr>
          <w:rFonts w:ascii="Times New Roman" w:eastAsia="Times New Roman" w:hAnsi="Times New Roman" w:cs="Times New Roman"/>
        </w:rPr>
        <w:t>(1), 1–6. https://doi.org/10.1038/s41746-021-00509-1</w:t>
      </w:r>
    </w:p>
    <w:p w14:paraId="3E4FF84B"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Sandhu, S. S., Gorji, H. T., Tavakolian, P., Tavakolian, K., &amp; </w:t>
      </w:r>
      <w:proofErr w:type="spellStart"/>
      <w:r>
        <w:rPr>
          <w:rFonts w:ascii="Times New Roman" w:eastAsia="Times New Roman" w:hAnsi="Times New Roman" w:cs="Times New Roman"/>
        </w:rPr>
        <w:t>Akhbardeh</w:t>
      </w:r>
      <w:proofErr w:type="spellEnd"/>
      <w:r>
        <w:rPr>
          <w:rFonts w:ascii="Times New Roman" w:eastAsia="Times New Roman" w:hAnsi="Times New Roman" w:cs="Times New Roman"/>
        </w:rPr>
        <w:t xml:space="preserve">, A. (2023). Medical Imaging Applications of Federated Learning. </w:t>
      </w:r>
      <w:r>
        <w:rPr>
          <w:rFonts w:ascii="Times New Roman" w:eastAsia="Times New Roman" w:hAnsi="Times New Roman" w:cs="Times New Roman"/>
          <w:i/>
          <w:iCs/>
        </w:rPr>
        <w:t>Diagnostics</w:t>
      </w:r>
      <w:r>
        <w:rPr>
          <w:rFonts w:ascii="Times New Roman" w:eastAsia="Times New Roman" w:hAnsi="Times New Roman" w:cs="Times New Roman"/>
        </w:rPr>
        <w:t xml:space="preserve">, </w:t>
      </w:r>
      <w:r>
        <w:rPr>
          <w:rFonts w:ascii="Times New Roman" w:eastAsia="Times New Roman" w:hAnsi="Times New Roman" w:cs="Times New Roman"/>
          <w:i/>
          <w:iCs/>
        </w:rPr>
        <w:t>13</w:t>
      </w:r>
      <w:r>
        <w:rPr>
          <w:rFonts w:ascii="Times New Roman" w:eastAsia="Times New Roman" w:hAnsi="Times New Roman" w:cs="Times New Roman"/>
        </w:rPr>
        <w:t>(19), 3140–3140. https://doi.org/10.3390/diagnostics13193140</w:t>
      </w:r>
    </w:p>
    <w:p w14:paraId="1CF535D5" w14:textId="77777777" w:rsidR="00151D61" w:rsidRDefault="00000000">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Selvakkumar</w:t>
      </w:r>
      <w:proofErr w:type="spellEnd"/>
      <w:r>
        <w:rPr>
          <w:rFonts w:ascii="Times New Roman" w:eastAsia="Times New Roman" w:hAnsi="Times New Roman" w:cs="Times New Roman"/>
        </w:rPr>
        <w:t xml:space="preserve">, A., Pal, S., &amp; </w:t>
      </w:r>
      <w:proofErr w:type="spellStart"/>
      <w:r>
        <w:rPr>
          <w:rFonts w:ascii="Times New Roman" w:eastAsia="Times New Roman" w:hAnsi="Times New Roman" w:cs="Times New Roman"/>
        </w:rPr>
        <w:t>Jadidi</w:t>
      </w:r>
      <w:proofErr w:type="spellEnd"/>
      <w:r>
        <w:rPr>
          <w:rFonts w:ascii="Times New Roman" w:eastAsia="Times New Roman" w:hAnsi="Times New Roman" w:cs="Times New Roman"/>
        </w:rPr>
        <w:t xml:space="preserve">, Z. (2021). </w:t>
      </w:r>
      <w:r>
        <w:rPr>
          <w:rFonts w:ascii="Times New Roman" w:eastAsia="Times New Roman" w:hAnsi="Times New Roman" w:cs="Times New Roman"/>
          <w:i/>
          <w:iCs/>
        </w:rPr>
        <w:t>Addressing Adversarial Machine Learning Attacks in Smart Healthcare Perspectives</w:t>
      </w:r>
      <w:r>
        <w:rPr>
          <w:rFonts w:ascii="Times New Roman" w:eastAsia="Times New Roman" w:hAnsi="Times New Roman" w:cs="Times New Roman"/>
        </w:rPr>
        <w:t>. https://doi.org/10.48550/arXiv.2112.08862</w:t>
      </w:r>
    </w:p>
    <w:p w14:paraId="061EE507"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Sharif, M. I., Mehmood, M., Uddin, M. P., Uddin, M. P., Siddique, K., Akhtar, Z., &amp; Waheed, S. (2024). Federated Learning for Analysis of Medical Images: A Survey. </w:t>
      </w:r>
      <w:r>
        <w:rPr>
          <w:rFonts w:ascii="Times New Roman" w:eastAsia="Times New Roman" w:hAnsi="Times New Roman" w:cs="Times New Roman"/>
          <w:i/>
          <w:iCs/>
        </w:rPr>
        <w:t>Journal of Computer Science</w:t>
      </w:r>
      <w:r>
        <w:rPr>
          <w:rFonts w:ascii="Times New Roman" w:eastAsia="Times New Roman" w:hAnsi="Times New Roman" w:cs="Times New Roman"/>
        </w:rPr>
        <w:t xml:space="preserve">, </w:t>
      </w:r>
      <w:r>
        <w:rPr>
          <w:rFonts w:ascii="Times New Roman" w:eastAsia="Times New Roman" w:hAnsi="Times New Roman" w:cs="Times New Roman"/>
          <w:i/>
          <w:iCs/>
        </w:rPr>
        <w:t>20</w:t>
      </w:r>
      <w:r>
        <w:rPr>
          <w:rFonts w:ascii="Times New Roman" w:eastAsia="Times New Roman" w:hAnsi="Times New Roman" w:cs="Times New Roman"/>
        </w:rPr>
        <w:t>(12), 1610–1621. https://doi.org/10.3844/jcssp.2024.1610.1621</w:t>
      </w:r>
    </w:p>
    <w:p w14:paraId="6A44FD4E"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Shinde, R., Patil, S., Kotecha, K., &amp; Mishra, S. (2026). Ensuring the integrity of AI models: a blockchain-based approach for protecting medical imaging training data. </w:t>
      </w:r>
      <w:r>
        <w:rPr>
          <w:rFonts w:ascii="Times New Roman" w:eastAsia="Times New Roman" w:hAnsi="Times New Roman" w:cs="Times New Roman"/>
          <w:i/>
          <w:iCs/>
        </w:rPr>
        <w:t>Scientific Reports</w:t>
      </w:r>
      <w:r>
        <w:rPr>
          <w:rFonts w:ascii="Times New Roman" w:eastAsia="Times New Roman" w:hAnsi="Times New Roman" w:cs="Times New Roman"/>
        </w:rPr>
        <w:t>. https://doi.org/10.1038/s41598-026-44040-3</w:t>
      </w:r>
    </w:p>
    <w:p w14:paraId="73B68947"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Shukla, S., Rajkumar, S., Sinha, A., Esha, M., Elango, K., &amp; Sampath, V. (2025). Federated learning with differential privacy for breast cancer diagnosis enabling secure data sharing and model integrity. </w:t>
      </w:r>
      <w:r>
        <w:rPr>
          <w:rFonts w:ascii="Times New Roman" w:eastAsia="Times New Roman" w:hAnsi="Times New Roman" w:cs="Times New Roman"/>
          <w:i/>
          <w:iCs/>
        </w:rPr>
        <w:t>Scientific Reports</w:t>
      </w:r>
      <w:r>
        <w:rPr>
          <w:rFonts w:ascii="Times New Roman" w:eastAsia="Times New Roman" w:hAnsi="Times New Roman" w:cs="Times New Roman"/>
        </w:rPr>
        <w:t xml:space="preserve">, </w:t>
      </w:r>
      <w:r>
        <w:rPr>
          <w:rFonts w:ascii="Times New Roman" w:eastAsia="Times New Roman" w:hAnsi="Times New Roman" w:cs="Times New Roman"/>
          <w:i/>
          <w:iCs/>
        </w:rPr>
        <w:t>15</w:t>
      </w:r>
      <w:r>
        <w:rPr>
          <w:rFonts w:ascii="Times New Roman" w:eastAsia="Times New Roman" w:hAnsi="Times New Roman" w:cs="Times New Roman"/>
        </w:rPr>
        <w:t>(1). https://doi.org/10.1038/s41598-025-95858-2</w:t>
      </w:r>
    </w:p>
    <w:p w14:paraId="3CBD50DE"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Teo, Z. L., Jin, L., Li, S., Miao, D., Zhang, X., Ng, W. Y., Tan, T. F., Lee, D. M., Chua, K. J., Heng, J., Liu, Y., Goh, R. S. M., &amp; Ting, D. S. W. (2024). Federated machine learning in healthcare: A systematic review on clinical applications and technical architecture. </w:t>
      </w:r>
      <w:r>
        <w:rPr>
          <w:rFonts w:ascii="Times New Roman" w:eastAsia="Times New Roman" w:hAnsi="Times New Roman" w:cs="Times New Roman"/>
          <w:i/>
          <w:iCs/>
        </w:rPr>
        <w:t>Cell Reports Medicine</w:t>
      </w:r>
      <w:r>
        <w:rPr>
          <w:rFonts w:ascii="Times New Roman" w:eastAsia="Times New Roman" w:hAnsi="Times New Roman" w:cs="Times New Roman"/>
        </w:rPr>
        <w:t xml:space="preserve">, </w:t>
      </w:r>
      <w:r>
        <w:rPr>
          <w:rFonts w:ascii="Times New Roman" w:eastAsia="Times New Roman" w:hAnsi="Times New Roman" w:cs="Times New Roman"/>
          <w:i/>
          <w:iCs/>
        </w:rPr>
        <w:t>5</w:t>
      </w:r>
      <w:r>
        <w:rPr>
          <w:rFonts w:ascii="Times New Roman" w:eastAsia="Times New Roman" w:hAnsi="Times New Roman" w:cs="Times New Roman"/>
        </w:rPr>
        <w:t>(2), 101419. https://doi.org/10.1016/j.xcrm.2024.101419</w:t>
      </w:r>
    </w:p>
    <w:p w14:paraId="45D43A07"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Tzortzis, I. N., Gutierrez-Torre, A., </w:t>
      </w:r>
      <w:proofErr w:type="spellStart"/>
      <w:r>
        <w:rPr>
          <w:rFonts w:ascii="Times New Roman" w:eastAsia="Times New Roman" w:hAnsi="Times New Roman" w:cs="Times New Roman"/>
        </w:rPr>
        <w:t>Sykiotis</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Agulló</w:t>
      </w:r>
      <w:proofErr w:type="spellEnd"/>
      <w:r>
        <w:rPr>
          <w:rFonts w:ascii="Times New Roman" w:eastAsia="Times New Roman" w:hAnsi="Times New Roman" w:cs="Times New Roman"/>
        </w:rPr>
        <w:t xml:space="preserve">, F., Bakalos, N., </w:t>
      </w:r>
      <w:proofErr w:type="spellStart"/>
      <w:r>
        <w:rPr>
          <w:rFonts w:ascii="Times New Roman" w:eastAsia="Times New Roman" w:hAnsi="Times New Roman" w:cs="Times New Roman"/>
        </w:rPr>
        <w:t>Doulamis</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Doulamis</w:t>
      </w:r>
      <w:proofErr w:type="spellEnd"/>
      <w:r>
        <w:rPr>
          <w:rFonts w:ascii="Times New Roman" w:eastAsia="Times New Roman" w:hAnsi="Times New Roman" w:cs="Times New Roman"/>
        </w:rPr>
        <w:t xml:space="preserve">, N., &amp; </w:t>
      </w:r>
      <w:proofErr w:type="spellStart"/>
      <w:r>
        <w:rPr>
          <w:rFonts w:ascii="Times New Roman" w:eastAsia="Times New Roman" w:hAnsi="Times New Roman" w:cs="Times New Roman"/>
        </w:rPr>
        <w:t>Berral</w:t>
      </w:r>
      <w:proofErr w:type="spellEnd"/>
      <w:r>
        <w:rPr>
          <w:rFonts w:ascii="Times New Roman" w:eastAsia="Times New Roman" w:hAnsi="Times New Roman" w:cs="Times New Roman"/>
        </w:rPr>
        <w:t xml:space="preserve">, J. Ll. (2025). Towards generalizable Federated Learning in medical imaging: A real-world case study on mammography data. </w:t>
      </w:r>
      <w:r>
        <w:rPr>
          <w:rFonts w:ascii="Times New Roman" w:eastAsia="Times New Roman" w:hAnsi="Times New Roman" w:cs="Times New Roman"/>
          <w:i/>
          <w:iCs/>
        </w:rPr>
        <w:t>Computational and Structural Biotechnology Journal</w:t>
      </w:r>
      <w:r>
        <w:rPr>
          <w:rFonts w:ascii="Times New Roman" w:eastAsia="Times New Roman" w:hAnsi="Times New Roman" w:cs="Times New Roman"/>
        </w:rPr>
        <w:t xml:space="preserve">, </w:t>
      </w:r>
      <w:r>
        <w:rPr>
          <w:rFonts w:ascii="Times New Roman" w:eastAsia="Times New Roman" w:hAnsi="Times New Roman" w:cs="Times New Roman"/>
          <w:i/>
          <w:iCs/>
        </w:rPr>
        <w:t>28</w:t>
      </w:r>
      <w:r>
        <w:rPr>
          <w:rFonts w:ascii="Times New Roman" w:eastAsia="Times New Roman" w:hAnsi="Times New Roman" w:cs="Times New Roman"/>
        </w:rPr>
        <w:t>, 106–117. https://doi.org/10.1016/j.csbj.2025.03.031</w:t>
      </w:r>
    </w:p>
    <w:p w14:paraId="79C2EF2A" w14:textId="77777777" w:rsidR="00151D61" w:rsidRDefault="00000000">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Udechukwu, L. M., Oladoyinbo, T. O., </w:t>
      </w:r>
      <w:proofErr w:type="spellStart"/>
      <w:r>
        <w:rPr>
          <w:rFonts w:ascii="Times New Roman" w:eastAsia="Times New Roman" w:hAnsi="Times New Roman" w:cs="Times New Roman"/>
          <w:color w:val="000000"/>
        </w:rPr>
        <w:t>Mayeke</w:t>
      </w:r>
      <w:proofErr w:type="spellEnd"/>
      <w:r>
        <w:rPr>
          <w:rFonts w:ascii="Times New Roman" w:eastAsia="Times New Roman" w:hAnsi="Times New Roman" w:cs="Times New Roman"/>
          <w:color w:val="000000"/>
        </w:rPr>
        <w:t xml:space="preserve">, N. R., </w:t>
      </w:r>
      <w:proofErr w:type="spellStart"/>
      <w:r>
        <w:rPr>
          <w:rFonts w:ascii="Times New Roman" w:eastAsia="Times New Roman" w:hAnsi="Times New Roman" w:cs="Times New Roman"/>
          <w:color w:val="000000"/>
        </w:rPr>
        <w:t>Adesokan</w:t>
      </w:r>
      <w:proofErr w:type="spellEnd"/>
      <w:r>
        <w:rPr>
          <w:rFonts w:ascii="Times New Roman" w:eastAsia="Times New Roman" w:hAnsi="Times New Roman" w:cs="Times New Roman"/>
          <w:color w:val="000000"/>
        </w:rPr>
        <w:t xml:space="preserve">-Imran, T. O., &amp; </w:t>
      </w:r>
      <w:proofErr w:type="spellStart"/>
      <w:r>
        <w:rPr>
          <w:rFonts w:ascii="Times New Roman" w:eastAsia="Times New Roman" w:hAnsi="Times New Roman" w:cs="Times New Roman"/>
          <w:color w:val="000000"/>
        </w:rPr>
        <w:t>Olasege</w:t>
      </w:r>
      <w:proofErr w:type="spellEnd"/>
      <w:r>
        <w:rPr>
          <w:rFonts w:ascii="Times New Roman" w:eastAsia="Times New Roman" w:hAnsi="Times New Roman" w:cs="Times New Roman"/>
          <w:color w:val="000000"/>
        </w:rPr>
        <w:t xml:space="preserve">, R. O. </w:t>
      </w:r>
    </w:p>
    <w:p w14:paraId="465E092E" w14:textId="77777777" w:rsidR="00151D61" w:rsidRDefault="00000000">
      <w:pPr>
        <w:pBdr>
          <w:top w:val="nil"/>
          <w:left w:val="nil"/>
          <w:bottom w:val="nil"/>
          <w:right w:val="nil"/>
          <w:between w:val="nil"/>
        </w:pBdr>
        <w:spacing w:after="0"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(2025). AI-driven adversarial defense framework with generative adversarial network for secure healthcare IoT ecosystems. Archives of Current Research International, 25(10), 148–165. https://doi.org/10.9734/acri/2025/v25i101556</w:t>
      </w:r>
    </w:p>
    <w:p w14:paraId="20930B58"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Van der Velden, B. H. M., </w:t>
      </w:r>
      <w:proofErr w:type="spellStart"/>
      <w:r>
        <w:rPr>
          <w:rFonts w:ascii="Times New Roman" w:eastAsia="Times New Roman" w:hAnsi="Times New Roman" w:cs="Times New Roman"/>
        </w:rPr>
        <w:t>Kuijf</w:t>
      </w:r>
      <w:proofErr w:type="spellEnd"/>
      <w:r>
        <w:rPr>
          <w:rFonts w:ascii="Times New Roman" w:eastAsia="Times New Roman" w:hAnsi="Times New Roman" w:cs="Times New Roman"/>
        </w:rPr>
        <w:t xml:space="preserve">, H. J., Gilhuijs, K. G. A., &amp; </w:t>
      </w:r>
      <w:proofErr w:type="spellStart"/>
      <w:r>
        <w:rPr>
          <w:rFonts w:ascii="Times New Roman" w:eastAsia="Times New Roman" w:hAnsi="Times New Roman" w:cs="Times New Roman"/>
        </w:rPr>
        <w:t>Viergever</w:t>
      </w:r>
      <w:proofErr w:type="spellEnd"/>
      <w:r>
        <w:rPr>
          <w:rFonts w:ascii="Times New Roman" w:eastAsia="Times New Roman" w:hAnsi="Times New Roman" w:cs="Times New Roman"/>
        </w:rPr>
        <w:t xml:space="preserve">, M. A. (2022). Explainable artificial intelligence (XAI) in deep learning-based medical image analysis. </w:t>
      </w:r>
      <w:r>
        <w:rPr>
          <w:rFonts w:ascii="Times New Roman" w:eastAsia="Times New Roman" w:hAnsi="Times New Roman" w:cs="Times New Roman"/>
          <w:i/>
          <w:iCs/>
        </w:rPr>
        <w:t>Medical Image Analysis</w:t>
      </w:r>
      <w:r>
        <w:rPr>
          <w:rFonts w:ascii="Times New Roman" w:eastAsia="Times New Roman" w:hAnsi="Times New Roman" w:cs="Times New Roman"/>
        </w:rPr>
        <w:t xml:space="preserve">, </w:t>
      </w:r>
      <w:r>
        <w:rPr>
          <w:rFonts w:ascii="Times New Roman" w:eastAsia="Times New Roman" w:hAnsi="Times New Roman" w:cs="Times New Roman"/>
          <w:i/>
          <w:iCs/>
        </w:rPr>
        <w:t>79</w:t>
      </w:r>
      <w:r>
        <w:rPr>
          <w:rFonts w:ascii="Times New Roman" w:eastAsia="Times New Roman" w:hAnsi="Times New Roman" w:cs="Times New Roman"/>
        </w:rPr>
        <w:t>, 102470. https://doi.org/10.1016/j.media.2022.102470</w:t>
      </w:r>
    </w:p>
    <w:p w14:paraId="4426FC72"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Watson, M., &amp; Al Moubayed, N. (2021). </w:t>
      </w:r>
      <w:r>
        <w:rPr>
          <w:rFonts w:ascii="Times New Roman" w:eastAsia="Times New Roman" w:hAnsi="Times New Roman" w:cs="Times New Roman"/>
          <w:i/>
          <w:iCs/>
        </w:rPr>
        <w:t>Attack-agnostic Adversarial Detection on Medical Data Using Explainable Machine Learning</w:t>
      </w:r>
      <w:r>
        <w:rPr>
          <w:rFonts w:ascii="Times New Roman" w:eastAsia="Times New Roman" w:hAnsi="Times New Roman" w:cs="Times New Roman"/>
        </w:rPr>
        <w:t>. https://doi.org/10.48550/arXiv.2105.01959</w:t>
      </w:r>
    </w:p>
    <w:p w14:paraId="26AF7436"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Williamson, S. M., &amp; </w:t>
      </w:r>
      <w:proofErr w:type="spellStart"/>
      <w:r>
        <w:rPr>
          <w:rFonts w:ascii="Times New Roman" w:eastAsia="Times New Roman" w:hAnsi="Times New Roman" w:cs="Times New Roman"/>
        </w:rPr>
        <w:t>Prybutok</w:t>
      </w:r>
      <w:proofErr w:type="spellEnd"/>
      <w:r>
        <w:rPr>
          <w:rFonts w:ascii="Times New Roman" w:eastAsia="Times New Roman" w:hAnsi="Times New Roman" w:cs="Times New Roman"/>
        </w:rPr>
        <w:t xml:space="preserve">, V. (2024). Balancing Privacy and Progress: A Review of Privacy Challenges, Systemic Oversight, and Patient Perceptions in AI-Driven Healthcare. </w:t>
      </w:r>
      <w:r>
        <w:rPr>
          <w:rFonts w:ascii="Times New Roman" w:eastAsia="Times New Roman" w:hAnsi="Times New Roman" w:cs="Times New Roman"/>
          <w:i/>
          <w:iCs/>
        </w:rPr>
        <w:t>Applied Sciences</w:t>
      </w:r>
      <w:r>
        <w:rPr>
          <w:rFonts w:ascii="Times New Roman" w:eastAsia="Times New Roman" w:hAnsi="Times New Roman" w:cs="Times New Roman"/>
        </w:rPr>
        <w:t xml:space="preserve">, </w:t>
      </w:r>
      <w:r>
        <w:rPr>
          <w:rFonts w:ascii="Times New Roman" w:eastAsia="Times New Roman" w:hAnsi="Times New Roman" w:cs="Times New Roman"/>
          <w:i/>
          <w:iCs/>
        </w:rPr>
        <w:t>14</w:t>
      </w:r>
      <w:r>
        <w:rPr>
          <w:rFonts w:ascii="Times New Roman" w:eastAsia="Times New Roman" w:hAnsi="Times New Roman" w:cs="Times New Roman"/>
        </w:rPr>
        <w:t>(2), 675. https://doi.org/10.3390/app14020675</w:t>
      </w:r>
    </w:p>
    <w:p w14:paraId="340A0A71"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Yang, Y., Jin, Q., Huang, F., &amp; Lu, Z. (2024). Adversarial Attacks on Large Language Models in Medicine. </w:t>
      </w:r>
      <w:proofErr w:type="spellStart"/>
      <w:r>
        <w:rPr>
          <w:rFonts w:ascii="Times New Roman" w:eastAsia="Times New Roman" w:hAnsi="Times New Roman" w:cs="Times New Roman"/>
          <w:i/>
          <w:iCs/>
        </w:rPr>
        <w:t>ArXiv</w:t>
      </w:r>
      <w:proofErr w:type="spellEnd"/>
      <w:r>
        <w:rPr>
          <w:rFonts w:ascii="Times New Roman" w:eastAsia="Times New Roman" w:hAnsi="Times New Roman" w:cs="Times New Roman"/>
        </w:rPr>
        <w:t>, arXiv:2406.12259v3. https://pubmed.ncbi.nlm.nih.gov/39398204/</w:t>
      </w:r>
    </w:p>
    <w:p w14:paraId="003F6E31"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Yang, Y., Wang, H., Du, K., Wang, X., Zhao, J., Han, D., Yang, Y., &amp; Zang, S. (2025). Factors associated with patient privacy concerns in AI-based health monitoring devices among nursing students: a cross-sectional study. </w:t>
      </w:r>
      <w:r>
        <w:rPr>
          <w:rFonts w:ascii="Times New Roman" w:eastAsia="Times New Roman" w:hAnsi="Times New Roman" w:cs="Times New Roman"/>
          <w:i/>
          <w:iCs/>
        </w:rPr>
        <w:t>BMC Nursing</w:t>
      </w:r>
      <w:r>
        <w:rPr>
          <w:rFonts w:ascii="Times New Roman" w:eastAsia="Times New Roman" w:hAnsi="Times New Roman" w:cs="Times New Roman"/>
        </w:rPr>
        <w:t xml:space="preserve">, </w:t>
      </w:r>
      <w:r>
        <w:rPr>
          <w:rFonts w:ascii="Times New Roman" w:eastAsia="Times New Roman" w:hAnsi="Times New Roman" w:cs="Times New Roman"/>
          <w:i/>
          <w:iCs/>
        </w:rPr>
        <w:t>24</w:t>
      </w:r>
      <w:r>
        <w:rPr>
          <w:rFonts w:ascii="Times New Roman" w:eastAsia="Times New Roman" w:hAnsi="Times New Roman" w:cs="Times New Roman"/>
        </w:rPr>
        <w:t>(1). https://doi.org/10.1186/s12912-025-03453-7</w:t>
      </w:r>
    </w:p>
    <w:p w14:paraId="1C72F8D0" w14:textId="77777777" w:rsidR="00151D61" w:rsidRDefault="0000000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Zheng, L., Cao, Y., Yoshikawa, M., Shen, Y., Rashed, E. A., Taura, K., Hanaoka, S., &amp; Zhang, T. (2025). Sensitivity-Aware Differential Privacy for Federated Medical Imaging. </w:t>
      </w:r>
      <w:r>
        <w:rPr>
          <w:rFonts w:ascii="Times New Roman" w:eastAsia="Times New Roman" w:hAnsi="Times New Roman" w:cs="Times New Roman"/>
          <w:i/>
          <w:iCs/>
        </w:rPr>
        <w:t>Sensors</w:t>
      </w:r>
      <w:r>
        <w:rPr>
          <w:rFonts w:ascii="Times New Roman" w:eastAsia="Times New Roman" w:hAnsi="Times New Roman" w:cs="Times New Roman"/>
        </w:rPr>
        <w:t xml:space="preserve">, </w:t>
      </w:r>
      <w:r>
        <w:rPr>
          <w:rFonts w:ascii="Times New Roman" w:eastAsia="Times New Roman" w:hAnsi="Times New Roman" w:cs="Times New Roman"/>
          <w:i/>
          <w:iCs/>
        </w:rPr>
        <w:t>25</w:t>
      </w:r>
      <w:r>
        <w:rPr>
          <w:rFonts w:ascii="Times New Roman" w:eastAsia="Times New Roman" w:hAnsi="Times New Roman" w:cs="Times New Roman"/>
        </w:rPr>
        <w:t>(9), 2847–2847. https://doi.org/10.3390/s25092847</w:t>
      </w:r>
    </w:p>
    <w:p w14:paraId="01C00116" w14:textId="77777777" w:rsidR="00151D61" w:rsidRDefault="00151D61">
      <w:pPr>
        <w:spacing w:line="360" w:lineRule="auto"/>
        <w:jc w:val="both"/>
        <w:rPr>
          <w:rFonts w:ascii="Times New Roman" w:eastAsia="Times New Roman" w:hAnsi="Times New Roman" w:cs="Times New Roman"/>
        </w:rPr>
      </w:pPr>
    </w:p>
    <w:p w14:paraId="3DF6495D" w14:textId="77777777" w:rsidR="00151D61" w:rsidRDefault="00151D61">
      <w:pPr>
        <w:spacing w:line="360" w:lineRule="auto"/>
        <w:jc w:val="both"/>
        <w:rPr>
          <w:rFonts w:ascii="Times New Roman" w:eastAsia="Times New Roman" w:hAnsi="Times New Roman" w:cs="Times New Roman"/>
          <w:b/>
          <w:bCs/>
        </w:rPr>
      </w:pPr>
    </w:p>
    <w:sectPr w:rsidR="00151D6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5408F" w14:textId="77777777" w:rsidR="00B9485A" w:rsidRDefault="00B9485A">
      <w:pPr>
        <w:spacing w:after="0" w:line="240" w:lineRule="auto"/>
      </w:pPr>
      <w:r>
        <w:separator/>
      </w:r>
    </w:p>
  </w:endnote>
  <w:endnote w:type="continuationSeparator" w:id="0">
    <w:p w14:paraId="4849EC76" w14:textId="77777777" w:rsidR="00B9485A" w:rsidRDefault="00B94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F04F90A-A6B6-4DCC-A838-C2FCF67DAECB}"/>
    <w:embedItalic r:id="rId2" w:fontKey="{59F1EA24-585F-4158-A6B3-CBEC92F7423E}"/>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fontKey="{2DEE33F3-D206-4B38-A4DE-35E2F2CD1917}"/>
    <w:embedItalic r:id="rId4" w:fontKey="{107AF463-B609-4FB1-B2D5-B1A786BD6F0D}"/>
  </w:font>
  <w:font w:name="Calibri">
    <w:panose1 w:val="020F0502020204030204"/>
    <w:charset w:val="00"/>
    <w:family w:val="swiss"/>
    <w:pitch w:val="variable"/>
    <w:sig w:usb0="E4002EFF" w:usb1="C000247B" w:usb2="00000009" w:usb3="00000000" w:csb0="000001FF" w:csb1="00000000"/>
    <w:embedRegular r:id="rId5" w:fontKey="{E82186BC-21FA-4F21-A2F5-38554FE03481}"/>
  </w:font>
  <w:font w:name="Cambria">
    <w:panose1 w:val="02040503050406030204"/>
    <w:charset w:val="00"/>
    <w:family w:val="roman"/>
    <w:pitch w:val="variable"/>
    <w:sig w:usb0="E00006FF" w:usb1="420024FF" w:usb2="02000000" w:usb3="00000000" w:csb0="0000019F" w:csb1="00000000"/>
    <w:embedRegular r:id="rId6" w:fontKey="{8FA3BDB8-A2A9-4714-8157-F7156B3CC3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B0870" w14:textId="77777777" w:rsidR="00151D61" w:rsidRDefault="00151D6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D0C76" w14:textId="77777777" w:rsidR="00151D61" w:rsidRDefault="00151D6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C3B80" w14:textId="77777777" w:rsidR="00151D61" w:rsidRDefault="00151D6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C74A5" w14:textId="77777777" w:rsidR="00B9485A" w:rsidRDefault="00B9485A">
      <w:pPr>
        <w:spacing w:after="0" w:line="240" w:lineRule="auto"/>
      </w:pPr>
      <w:r>
        <w:separator/>
      </w:r>
    </w:p>
  </w:footnote>
  <w:footnote w:type="continuationSeparator" w:id="0">
    <w:p w14:paraId="4BDA4584" w14:textId="77777777" w:rsidR="00B9485A" w:rsidRDefault="00B948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E8F8A" w14:textId="77777777" w:rsidR="00151D61"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174B55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592.85pt;height:66.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EB56D" w14:textId="77777777" w:rsidR="00151D61"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40286B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592.85pt;height:66.9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9599A" w14:textId="77777777" w:rsidR="00151D61"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69A749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592.85pt;height:66.9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130507"/>
    <w:multiLevelType w:val="multilevel"/>
    <w:tmpl w:val="0CE640A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98904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D61"/>
    <w:rsid w:val="00151D61"/>
    <w:rsid w:val="005840DA"/>
    <w:rsid w:val="007D5E05"/>
    <w:rsid w:val="008E4968"/>
    <w:rsid w:val="00944BD5"/>
    <w:rsid w:val="009D555D"/>
    <w:rsid w:val="00B9485A"/>
    <w:rsid w:val="00BB37A8"/>
    <w:rsid w:val="00EE1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1AB1E"/>
  <w15:docId w15:val="{4E19966B-142A-4644-AA6A-122D701B5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26</Pages>
  <Words>7244</Words>
  <Characters>41293</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Samuel Otolorin</cp:lastModifiedBy>
  <cp:revision>3</cp:revision>
  <dcterms:created xsi:type="dcterms:W3CDTF">2026-04-10T07:07:00Z</dcterms:created>
  <dcterms:modified xsi:type="dcterms:W3CDTF">2026-04-10T09:44:00Z</dcterms:modified>
</cp:coreProperties>
</file>