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E80D" w14:textId="575B0697" w:rsidR="00E726A1" w:rsidRPr="004B05DC" w:rsidRDefault="004B05DC">
      <w:pPr>
        <w:spacing w:after="80"/>
        <w:rPr>
          <w:u w:val="single"/>
        </w:rPr>
      </w:pPr>
      <w:r w:rsidRPr="004B05DC">
        <w:rPr>
          <w:u w:val="single"/>
        </w:rPr>
        <w:t>Review Article</w:t>
      </w:r>
    </w:p>
    <w:p w14:paraId="6A40196D" w14:textId="77777777" w:rsidR="001349CD" w:rsidRDefault="001349CD">
      <w:pPr>
        <w:spacing w:after="240"/>
        <w:jc w:val="center"/>
        <w:rPr>
          <w:rFonts w:ascii="Arial" w:eastAsia="Arial" w:hAnsi="Arial" w:cs="Arial"/>
          <w:b/>
          <w:bCs/>
          <w:sz w:val="36"/>
          <w:szCs w:val="36"/>
        </w:rPr>
      </w:pPr>
    </w:p>
    <w:p w14:paraId="36E9E5FF" w14:textId="412A47C1" w:rsidR="00E726A1" w:rsidRDefault="004B05DC" w:rsidP="004B05DC">
      <w:pPr>
        <w:spacing w:after="80"/>
        <w:jc w:val="center"/>
      </w:pPr>
      <w:r w:rsidRPr="004B05DC">
        <w:rPr>
          <w:rFonts w:ascii="Arial" w:eastAsia="Arial" w:hAnsi="Arial" w:cs="Arial"/>
          <w:b/>
          <w:bCs/>
          <w:sz w:val="36"/>
          <w:szCs w:val="36"/>
        </w:rPr>
        <w:t>A Review of Laboratory Information Management System Design and Deployment for Civil Engineering Laboratories</w:t>
      </w:r>
    </w:p>
    <w:p w14:paraId="46292BBF" w14:textId="77777777" w:rsidR="00E726A1" w:rsidRDefault="00A821DC">
      <w:pPr>
        <w:pStyle w:val="Heading1"/>
      </w:pPr>
      <w:r>
        <w:t>Abstract</w:t>
      </w:r>
    </w:p>
    <w:p w14:paraId="34801C7F" w14:textId="77777777" w:rsidR="00E726A1" w:rsidRDefault="00A821DC">
      <w:pPr>
        <w:spacing w:after="160" w:line="360" w:lineRule="auto"/>
        <w:jc w:val="both"/>
      </w:pPr>
      <w:r>
        <w:t xml:space="preserve">Laboratory Information Management Systems (LIMS) represent a cornerstone of modern laboratory informatics, enabling systematic tracking, management, and integrity assurance of experimental data. Civil engineering laboratories, with their diverse portfolio of material, geotechnical, hydraulic, and structural testing procedures, present a distinctive set of informatics challenges that conventional LIMS solutions often inadequately address. This review article examines the theoretical foundations and practical deployment approaches for LIMS tailored to civil engineering laboratory environments, with particular attention to three interconnected open-source technologies: Docker </w:t>
      </w:r>
      <w:proofErr w:type="spellStart"/>
      <w:r>
        <w:t>containerisation</w:t>
      </w:r>
      <w:proofErr w:type="spellEnd"/>
      <w:r>
        <w:t xml:space="preserve">, the </w:t>
      </w:r>
      <w:proofErr w:type="spellStart"/>
      <w:r>
        <w:t>Plone</w:t>
      </w:r>
      <w:proofErr w:type="spellEnd"/>
      <w:r>
        <w:t xml:space="preserve"> Content Management System, and the </w:t>
      </w:r>
      <w:proofErr w:type="spellStart"/>
      <w:r>
        <w:t>Zope</w:t>
      </w:r>
      <w:proofErr w:type="spellEnd"/>
      <w:r>
        <w:t xml:space="preserve"> Object Database (ZODB). By </w:t>
      </w:r>
      <w:proofErr w:type="spellStart"/>
      <w:r>
        <w:t>synthesising</w:t>
      </w:r>
      <w:proofErr w:type="spellEnd"/>
      <w:r>
        <w:t xml:space="preserve"> peer-reviewed literature and examining relevant technical frameworks, this review evaluates how Docker facilitates reproducible, portable, and scalable deployment of laboratory software systems; how </w:t>
      </w:r>
      <w:proofErr w:type="spellStart"/>
      <w:r>
        <w:t>Plone</w:t>
      </w:r>
      <w:proofErr w:type="spellEnd"/>
      <w:r>
        <w:t xml:space="preserve">, as a mature Python-based enterprise content management system, provides an adaptable web application architecture for LIMS development; and how ZODB, as an object-oriented persistence layer natively integrated within the </w:t>
      </w:r>
      <w:proofErr w:type="spellStart"/>
      <w:r>
        <w:t>Zope</w:t>
      </w:r>
      <w:proofErr w:type="spellEnd"/>
      <w:r>
        <w:t>/</w:t>
      </w:r>
      <w:proofErr w:type="spellStart"/>
      <w:r>
        <w:t>Plone</w:t>
      </w:r>
      <w:proofErr w:type="spellEnd"/>
      <w:r>
        <w:t xml:space="preserve"> ecosystem, offers flexible schema-free data modelling suited to the heterogeneous nature of civil engineering test data. The review further </w:t>
      </w:r>
      <w:proofErr w:type="spellStart"/>
      <w:r>
        <w:t>contextualises</w:t>
      </w:r>
      <w:proofErr w:type="spellEnd"/>
      <w:r>
        <w:t xml:space="preserve"> the Docker–</w:t>
      </w:r>
      <w:proofErr w:type="spellStart"/>
      <w:r>
        <w:t>Plone</w:t>
      </w:r>
      <w:proofErr w:type="spellEnd"/>
      <w:r>
        <w:t>–ZODB technology stack within the broader discourse on FAIR data principles, open-source laboratory informatics, and digital transformation in engineering practice. The synthesis suggests that this technology stack presents a viable, cost-effective, and technically robust framework for LIMS development in resource-constrained civil engineering laboratory environments, whilst also highlighting challenges related to long-term scalability, community sustainability, and standards-based interoperability. The article concludes with a critical appraisal of existing research gaps and prospective directions for future inquiry.</w:t>
      </w:r>
    </w:p>
    <w:p w14:paraId="31D2135F" w14:textId="77777777" w:rsidR="00E726A1" w:rsidRDefault="00E726A1">
      <w:pPr>
        <w:spacing w:after="80"/>
      </w:pPr>
    </w:p>
    <w:p w14:paraId="633DF82E" w14:textId="77777777" w:rsidR="00E726A1" w:rsidRDefault="00A821DC">
      <w:pPr>
        <w:spacing w:after="160" w:line="360" w:lineRule="auto"/>
        <w:jc w:val="both"/>
      </w:pPr>
      <w:r>
        <w:rPr>
          <w:b/>
          <w:bCs/>
        </w:rPr>
        <w:lastRenderedPageBreak/>
        <w:t xml:space="preserve">Keywords: </w:t>
      </w:r>
      <w:r>
        <w:t xml:space="preserve">Laboratory Information Management System (LIMS); Docker </w:t>
      </w:r>
      <w:proofErr w:type="spellStart"/>
      <w:r>
        <w:t>containerisation</w:t>
      </w:r>
      <w:proofErr w:type="spellEnd"/>
      <w:r>
        <w:t xml:space="preserve">; </w:t>
      </w:r>
      <w:proofErr w:type="spellStart"/>
      <w:r>
        <w:t>Plone</w:t>
      </w:r>
      <w:proofErr w:type="spellEnd"/>
      <w:r>
        <w:t xml:space="preserve"> CMS; </w:t>
      </w:r>
      <w:proofErr w:type="spellStart"/>
      <w:r>
        <w:t>Zope</w:t>
      </w:r>
      <w:proofErr w:type="spellEnd"/>
      <w:r>
        <w:t xml:space="preserve"> Object Database (ZODB); civil engineering laboratory; open-source informatics; data management; digital laboratory</w:t>
      </w:r>
    </w:p>
    <w:p w14:paraId="5B66E04A" w14:textId="77777777" w:rsidR="00E726A1" w:rsidRDefault="00E726A1">
      <w:pPr>
        <w:spacing w:after="80"/>
      </w:pPr>
    </w:p>
    <w:p w14:paraId="14B76016" w14:textId="77777777" w:rsidR="00E726A1" w:rsidRDefault="00A821DC">
      <w:pPr>
        <w:pStyle w:val="Heading1"/>
      </w:pPr>
      <w:r>
        <w:t>1. Introduction</w:t>
      </w:r>
    </w:p>
    <w:p w14:paraId="59EDE05E" w14:textId="37EC18D0" w:rsidR="00E726A1" w:rsidRDefault="0090432E">
      <w:pPr>
        <w:spacing w:after="160" w:line="360" w:lineRule="auto"/>
        <w:jc w:val="both"/>
      </w:pPr>
      <w:hyperlink r:id="rId7" w:history="1">
        <w:r w:rsidRPr="00E309E8">
          <w:rPr>
            <w:rStyle w:val="Hyperlink"/>
            <w:rFonts w:ascii="Georgia" w:hAnsi="Georgia"/>
            <w:color w:val="1F1F1F"/>
            <w:sz w:val="22"/>
            <w:highlight w:val="yellow"/>
          </w:rPr>
          <w:t>Laboratory information management system</w:t>
        </w:r>
      </w:hyperlink>
      <w:r w:rsidRPr="00E309E8">
        <w:rPr>
          <w:rFonts w:ascii="Georgia" w:hAnsi="Georgia"/>
          <w:color w:val="1F1F1F"/>
          <w:sz w:val="22"/>
          <w:highlight w:val="yellow"/>
        </w:rPr>
        <w:t> (LIMS) has been widely used to facilitate laboratory activities. However, the current LIMSs do not contain functions to improve the safety of laboratory work, which is the major concern of biosafety laboratories (BSLs).</w:t>
      </w:r>
      <w:r w:rsidRPr="00E309E8">
        <w:rPr>
          <w:sz w:val="22"/>
          <w:highlight w:val="yellow"/>
        </w:rPr>
        <w:t xml:space="preserve"> </w:t>
      </w:r>
      <w:r w:rsidR="00C418D1" w:rsidRPr="00E309E8">
        <w:rPr>
          <w:rFonts w:ascii="Georgia" w:hAnsi="Georgia"/>
          <w:color w:val="1F1F1F"/>
          <w:sz w:val="22"/>
          <w:highlight w:val="yellow"/>
        </w:rPr>
        <w:t>With tons of biosafety information that need to be managed and an increasing number of biosafety-related research projects under way, it is worthy of expanding the current framework of LIMS and</w:t>
      </w:r>
      <w:bookmarkStart w:id="0" w:name="_GoBack"/>
      <w:bookmarkEnd w:id="0"/>
      <w:r w:rsidR="00C418D1" w:rsidRPr="00E309E8">
        <w:rPr>
          <w:rFonts w:ascii="Georgia" w:hAnsi="Georgia"/>
          <w:color w:val="1F1F1F"/>
          <w:sz w:val="22"/>
          <w:highlight w:val="yellow"/>
        </w:rPr>
        <w:t xml:space="preserve"> building a system that is more suitable for BSL usage. Such a system should carefully tradeoff between the safety and efficiency of regular lab activities, allowing the laboratory staff to conduct their research as free as possible while ensuring their and the environment’s safety</w:t>
      </w:r>
      <w:r w:rsidR="00E309E8">
        <w:rPr>
          <w:rFonts w:ascii="Georgia" w:hAnsi="Georgia"/>
          <w:color w:val="1F1F1F"/>
          <w:sz w:val="22"/>
          <w:highlight w:val="yellow"/>
        </w:rPr>
        <w:t xml:space="preserve"> </w:t>
      </w:r>
      <w:r w:rsidR="00E309E8" w:rsidRPr="00E309E8">
        <w:rPr>
          <w:rFonts w:ascii="Georgia" w:hAnsi="Georgia"/>
          <w:color w:val="1F1F1F"/>
          <w:sz w:val="22"/>
          <w:highlight w:val="yellow"/>
        </w:rPr>
        <w:t>(</w:t>
      </w:r>
      <w:r w:rsidR="00E309E8" w:rsidRPr="00E309E8">
        <w:rPr>
          <w:rFonts w:ascii="Arial" w:hAnsi="Arial" w:cs="Arial"/>
          <w:color w:val="222222"/>
          <w:sz w:val="20"/>
          <w:szCs w:val="20"/>
          <w:highlight w:val="yellow"/>
          <w:shd w:val="clear" w:color="auto" w:fill="FFFFFF"/>
        </w:rPr>
        <w:t>Sun et al., 2021</w:t>
      </w:r>
      <w:r w:rsidR="00E309E8">
        <w:rPr>
          <w:rFonts w:ascii="Arial" w:hAnsi="Arial" w:cs="Arial"/>
          <w:color w:val="222222"/>
          <w:sz w:val="20"/>
          <w:szCs w:val="20"/>
          <w:highlight w:val="yellow"/>
          <w:shd w:val="clear" w:color="auto" w:fill="FFFFFF"/>
        </w:rPr>
        <w:t xml:space="preserve">; </w:t>
      </w:r>
      <w:r w:rsidR="00E309E8" w:rsidRPr="00114006">
        <w:rPr>
          <w:rFonts w:ascii="Arial" w:hAnsi="Arial" w:cs="Arial"/>
          <w:color w:val="222222"/>
          <w:sz w:val="20"/>
          <w:szCs w:val="20"/>
          <w:highlight w:val="yellow"/>
          <w:shd w:val="clear" w:color="auto" w:fill="FFFFFF"/>
        </w:rPr>
        <w:t>Yuen</w:t>
      </w:r>
      <w:r w:rsidR="00E309E8">
        <w:rPr>
          <w:rFonts w:ascii="Arial" w:hAnsi="Arial" w:cs="Arial"/>
          <w:color w:val="222222"/>
          <w:sz w:val="20"/>
          <w:szCs w:val="20"/>
          <w:highlight w:val="yellow"/>
          <w:shd w:val="clear" w:color="auto" w:fill="FFFFFF"/>
        </w:rPr>
        <w:t xml:space="preserve"> et al., 2025</w:t>
      </w:r>
      <w:r w:rsidR="00E309E8">
        <w:rPr>
          <w:rFonts w:ascii="Georgia" w:hAnsi="Georgia"/>
          <w:color w:val="1F1F1F"/>
          <w:sz w:val="22"/>
          <w:highlight w:val="yellow"/>
        </w:rPr>
        <w:t>)</w:t>
      </w:r>
      <w:r w:rsidR="00C418D1" w:rsidRPr="00E309E8">
        <w:rPr>
          <w:rFonts w:ascii="Georgia" w:hAnsi="Georgia"/>
          <w:color w:val="1F1F1F"/>
          <w:sz w:val="22"/>
          <w:highlight w:val="yellow"/>
        </w:rPr>
        <w:t>.</w:t>
      </w:r>
      <w:r w:rsidR="00C418D1" w:rsidRPr="00E309E8">
        <w:rPr>
          <w:sz w:val="22"/>
        </w:rPr>
        <w:t xml:space="preserve"> </w:t>
      </w:r>
      <w:r w:rsidR="00A821DC">
        <w:t xml:space="preserve">The systematic management of laboratory data has become increasingly central to the effective operation of engineering research and testing institutions. Laboratories generating data on construction materials, geotechnical properties, hydraulic performance, and structural </w:t>
      </w:r>
      <w:proofErr w:type="spellStart"/>
      <w:r w:rsidR="00A821DC">
        <w:t>behaviour</w:t>
      </w:r>
      <w:proofErr w:type="spellEnd"/>
      <w:r w:rsidR="00A821DC">
        <w:t xml:space="preserve"> face formidable challenges in </w:t>
      </w:r>
      <w:proofErr w:type="spellStart"/>
      <w:r w:rsidR="00A821DC">
        <w:t>organising</w:t>
      </w:r>
      <w:proofErr w:type="spellEnd"/>
      <w:r w:rsidR="00A821DC">
        <w:t>, preserving, and retrieving experimental records with sufficient fidelity and traceability to meet both scientific and regulatory expectations. LIMS emerged in response to these challenges, evolving from rudimentary paper-based tracking tools into sophisticated digital platforms capable of supporting sample management, workflow automation, quality assurance, and regulatory compliance documentation (</w:t>
      </w:r>
      <w:proofErr w:type="spellStart"/>
      <w:r w:rsidR="00A821DC">
        <w:t>Skobelev</w:t>
      </w:r>
      <w:proofErr w:type="spellEnd"/>
      <w:r w:rsidR="00A821DC">
        <w:t xml:space="preserve"> et al., 2011). Despite their widespread adoption in pharmaceutical, clinical, and environmental sectors, the systematic application of LIMS to civil engineering laboratories remains relatively underexplored in the academic literature, representing a notable gap given the sector's demanding data management requirements.</w:t>
      </w:r>
    </w:p>
    <w:p w14:paraId="15C54EB7" w14:textId="77777777" w:rsidR="00E726A1" w:rsidRDefault="00A821DC">
      <w:pPr>
        <w:spacing w:after="160" w:line="360" w:lineRule="auto"/>
        <w:jc w:val="both"/>
      </w:pPr>
      <w:r>
        <w:t xml:space="preserve">The civil engineering laboratory environment is </w:t>
      </w:r>
      <w:proofErr w:type="spellStart"/>
      <w:r>
        <w:t>characterised</w:t>
      </w:r>
      <w:proofErr w:type="spellEnd"/>
      <w:r>
        <w:t xml:space="preserve"> by a distinctive combination of testing standards, material diversity, and regulatory frameworks. Laboratories routinely conduct tests in accordance with national and international standards published by </w:t>
      </w:r>
      <w:proofErr w:type="spellStart"/>
      <w:r>
        <w:t>organisations</w:t>
      </w:r>
      <w:proofErr w:type="spellEnd"/>
      <w:r>
        <w:t xml:space="preserve"> such as the International </w:t>
      </w:r>
      <w:proofErr w:type="spellStart"/>
      <w:r>
        <w:t>Organisation</w:t>
      </w:r>
      <w:proofErr w:type="spellEnd"/>
      <w:r>
        <w:t xml:space="preserve"> for </w:t>
      </w:r>
      <w:proofErr w:type="spellStart"/>
      <w:r>
        <w:t>Standardisation</w:t>
      </w:r>
      <w:proofErr w:type="spellEnd"/>
      <w:r>
        <w:t xml:space="preserve"> (ISO), the American Society for Testing and Materials (ASTM), and the British Standards Institution (BSI). These testing protocols generate heterogeneous data </w:t>
      </w:r>
      <w:r>
        <w:lastRenderedPageBreak/>
        <w:t xml:space="preserve">types — ranging from compressive strength values and particle size distribution curves to permeability coefficients and stress-strain relationships — which do not lend themselves easily to the rigid relational database schemas commonly employed by legacy LIMS platforms (Thompson et al., 2002). Furthermore, civil engineering laboratories are often affiliated with academic institutions or infrastructure authorities that operate under tight budgetary constraints, rendering commercially licensed LIMS solutions prohibitively expensive for many </w:t>
      </w:r>
      <w:proofErr w:type="spellStart"/>
      <w:r>
        <w:t>organisations</w:t>
      </w:r>
      <w:proofErr w:type="spellEnd"/>
      <w:r>
        <w:t>.</w:t>
      </w:r>
    </w:p>
    <w:p w14:paraId="4D6990C8" w14:textId="77777777" w:rsidR="00E726A1" w:rsidRDefault="00A821DC">
      <w:pPr>
        <w:spacing w:after="160" w:line="360" w:lineRule="auto"/>
        <w:jc w:val="both"/>
      </w:pPr>
      <w:r>
        <w:t xml:space="preserve">In recent years, the confluence of open-source software development, </w:t>
      </w:r>
      <w:proofErr w:type="spellStart"/>
      <w:r>
        <w:t>containerisation</w:t>
      </w:r>
      <w:proofErr w:type="spellEnd"/>
      <w:r>
        <w:t xml:space="preserve"> technologies, and Python-based web frameworks has opened new avenues for the development and deployment of </w:t>
      </w:r>
      <w:proofErr w:type="spellStart"/>
      <w:r>
        <w:t>customisable</w:t>
      </w:r>
      <w:proofErr w:type="spellEnd"/>
      <w:r>
        <w:t xml:space="preserve"> LIMS solutions. Docker, which emerged in 2013 as a platform for </w:t>
      </w:r>
      <w:proofErr w:type="spellStart"/>
      <w:r>
        <w:t>containerising</w:t>
      </w:r>
      <w:proofErr w:type="spellEnd"/>
      <w:r>
        <w:t xml:space="preserve"> application environments, has transformed the landscape of software deployment in scientific and engineering contexts by enabling reproducible, portable, and operationally consistent software environments (Boettiger, 2015). Simultaneously, the </w:t>
      </w:r>
      <w:proofErr w:type="spellStart"/>
      <w:r>
        <w:t>Plone</w:t>
      </w:r>
      <w:proofErr w:type="spellEnd"/>
      <w:r>
        <w:t xml:space="preserve"> Content Management System — a mature, enterprise-grade web application framework built on the Python programming language and the </w:t>
      </w:r>
      <w:proofErr w:type="spellStart"/>
      <w:r>
        <w:t>Zope</w:t>
      </w:r>
      <w:proofErr w:type="spellEnd"/>
      <w:r>
        <w:t xml:space="preserve"> application server — has demonstrated considerable flexibility as a foundation for information management systems in both public sector and scientific contexts. </w:t>
      </w:r>
      <w:proofErr w:type="spellStart"/>
      <w:r>
        <w:t>Plone's</w:t>
      </w:r>
      <w:proofErr w:type="spellEnd"/>
      <w:r>
        <w:t xml:space="preserve"> native dependence on the </w:t>
      </w:r>
      <w:proofErr w:type="spellStart"/>
      <w:r>
        <w:t>Zope</w:t>
      </w:r>
      <w:proofErr w:type="spellEnd"/>
      <w:r>
        <w:t xml:space="preserve"> Object Database (ZODB) provides an object-oriented persistence mechanism that, unlike conventional relational databases, permits the dynamic modelling of arbitrary data structures without the imposition of a fixed schema, a property of considerable value in handling the variable data produced by civil engineering testing workflows.</w:t>
      </w:r>
    </w:p>
    <w:p w14:paraId="65E41B60" w14:textId="77777777" w:rsidR="00E726A1" w:rsidRDefault="00A821DC">
      <w:pPr>
        <w:spacing w:after="160" w:line="360" w:lineRule="auto"/>
        <w:jc w:val="both"/>
      </w:pPr>
      <w:r>
        <w:t xml:space="preserve">The intersecting application of Docker, </w:t>
      </w:r>
      <w:proofErr w:type="spellStart"/>
      <w:r>
        <w:t>Plone</w:t>
      </w:r>
      <w:proofErr w:type="spellEnd"/>
      <w:r>
        <w:t xml:space="preserve">, and ZODB to the design and deployment of LIMS for civil engineering laboratories represents a promising yet insufficiently documented domain in the academic literature. Existing reviews of LIMS design and deployment have largely focused on pharmaceutical, biomedical, and environmental laboratory settings, with comparatively little attention directed towards the engineering sciences. This review seeks to contribute to the literature by critically </w:t>
      </w:r>
      <w:proofErr w:type="spellStart"/>
      <w:r>
        <w:t>synthesising</w:t>
      </w:r>
      <w:proofErr w:type="spellEnd"/>
      <w:r>
        <w:t xml:space="preserve"> current knowledge on each of the three constituent technologies and exploring their integration within a unified deployment architecture for civil engineering LIMS applications. The growing imperative for FAIR (Findable, Accessible, Interoperable, Reusable) data management in research and professional practice (Wilkinson et al., 2016), combined </w:t>
      </w:r>
      <w:r>
        <w:lastRenderedPageBreak/>
        <w:t>with advances in open-source computing infrastructure, makes this an opportune moment to assess the technological landscape for civil engineering laboratory informatics.</w:t>
      </w:r>
    </w:p>
    <w:p w14:paraId="7AFB2017" w14:textId="77777777" w:rsidR="00E726A1" w:rsidRDefault="00A821DC">
      <w:pPr>
        <w:pStyle w:val="Heading2"/>
      </w:pPr>
      <w:r>
        <w:t>1.1 Scope and Objectives</w:t>
      </w:r>
    </w:p>
    <w:p w14:paraId="0F0B19FB" w14:textId="77777777" w:rsidR="00E726A1" w:rsidRDefault="00A821DC">
      <w:pPr>
        <w:spacing w:after="160" w:line="360" w:lineRule="auto"/>
        <w:jc w:val="both"/>
      </w:pPr>
      <w:r>
        <w:t xml:space="preserve">This article is a narrative review of the literature pertaining to LIMS design and deployment, with a focus on Docker </w:t>
      </w:r>
      <w:proofErr w:type="spellStart"/>
      <w:r>
        <w:t>containerisation</w:t>
      </w:r>
      <w:proofErr w:type="spellEnd"/>
      <w:r>
        <w:t xml:space="preserve">, </w:t>
      </w:r>
      <w:proofErr w:type="spellStart"/>
      <w:r>
        <w:t>Plone</w:t>
      </w:r>
      <w:proofErr w:type="spellEnd"/>
      <w:r>
        <w:t xml:space="preserve"> CMS, and ZODB as constituent technologies for civil engineering laboratory informatics. The review does not seek to evaluate any specific proprietary LIMS product, nor does it present empirical data from a new laboratory implementation. Rather, it </w:t>
      </w:r>
      <w:proofErr w:type="spellStart"/>
      <w:r>
        <w:t>synthesises</w:t>
      </w:r>
      <w:proofErr w:type="spellEnd"/>
      <w:r>
        <w:t xml:space="preserve"> existing literature to provide a conceptual and technical framework for understanding how the identified technologies may be combined to address the informatics needs of civil engineering laboratories.</w:t>
      </w:r>
    </w:p>
    <w:p w14:paraId="37F05CF8" w14:textId="77777777" w:rsidR="00E726A1" w:rsidRDefault="00A821DC">
      <w:pPr>
        <w:spacing w:after="160" w:line="360" w:lineRule="auto"/>
        <w:jc w:val="both"/>
      </w:pPr>
      <w:r>
        <w:t xml:space="preserve">The principal objectives of this review are: first, to </w:t>
      </w:r>
      <w:proofErr w:type="spellStart"/>
      <w:r>
        <w:t>characterise</w:t>
      </w:r>
      <w:proofErr w:type="spellEnd"/>
      <w:r>
        <w:t xml:space="preserve"> the informatics requirements specific to civil engineering laboratories and assess the adequacy of existing LIMS approaches in meeting those requirements; second, to evaluate Docker </w:t>
      </w:r>
      <w:proofErr w:type="spellStart"/>
      <w:r>
        <w:t>containerisation</w:t>
      </w:r>
      <w:proofErr w:type="spellEnd"/>
      <w:r>
        <w:t xml:space="preserve"> as a deployment strategy for laboratory information systems, with attention to its documented advantages and limitations in scientific computing contexts; third, to assess the architecture and capabilities of the </w:t>
      </w:r>
      <w:proofErr w:type="spellStart"/>
      <w:r>
        <w:t>Plone</w:t>
      </w:r>
      <w:proofErr w:type="spellEnd"/>
      <w:r>
        <w:t xml:space="preserve"> CMS as a framework for LIMS development, including its established use in open-source laboratory informatics; fourth, to examine ZODB as a data persistence layer for laboratory data management, assessing its suitability for the data types and access patterns typical of civil engineering testing workflows; and fifth, to discuss the integrated deployment of these technologies, identifying architectural considerations, security implications, and comparative advantages relative to alternative approaches. The review further aims to identify gaps in current knowledge and propose directions for future empirical research in this domain.</w:t>
      </w:r>
    </w:p>
    <w:p w14:paraId="1B2B6512" w14:textId="77777777" w:rsidR="00E726A1" w:rsidRDefault="00A821DC">
      <w:pPr>
        <w:pStyle w:val="Heading1"/>
      </w:pPr>
      <w:r>
        <w:t>2. Methods for Literature Selection</w:t>
      </w:r>
    </w:p>
    <w:p w14:paraId="6AD1283F" w14:textId="77777777" w:rsidR="00E726A1" w:rsidRDefault="00A821DC">
      <w:pPr>
        <w:spacing w:after="160" w:line="360" w:lineRule="auto"/>
        <w:jc w:val="both"/>
      </w:pPr>
      <w:r>
        <w:t xml:space="preserve">This review adopts a narrative rather than systematic methodology, reflecting the multidisciplinary and emergent character of the subject matter. The combination of Docker </w:t>
      </w:r>
      <w:proofErr w:type="spellStart"/>
      <w:r>
        <w:t>containerisation</w:t>
      </w:r>
      <w:proofErr w:type="spellEnd"/>
      <w:r>
        <w:t xml:space="preserve">, </w:t>
      </w:r>
      <w:proofErr w:type="spellStart"/>
      <w:r>
        <w:t>Plone</w:t>
      </w:r>
      <w:proofErr w:type="spellEnd"/>
      <w:r>
        <w:t xml:space="preserve"> CMS, and ZODB within the specific context of civil engineering laboratory informatics does not yet constitute a sufficiently consolidated body of literature to support a systematic review with quantitative synthesis. Rather, the relevant knowledge is distributed across distinct subdisciplines — laboratory informatics, software engineering, civil engineering practice, and web application development — necessitating an integrative, interpretative approach. As Grant and Booth (2009) have </w:t>
      </w:r>
      <w:r>
        <w:lastRenderedPageBreak/>
        <w:t xml:space="preserve">established, narrative reviews are appropriate when the aim is to examine the extent, range, and nature of research activity on a given topic, and when the literature is heterogeneous in design and context. Unlike a systematic review, which follows a predetermined protocol for identifying, screening, and statistically </w:t>
      </w:r>
      <w:proofErr w:type="spellStart"/>
      <w:r>
        <w:t>synthesising</w:t>
      </w:r>
      <w:proofErr w:type="spellEnd"/>
      <w:r>
        <w:t xml:space="preserve"> all eligible studies on a specific research question, a narrative review affords the flexibility to draw upon conceptually related literature across disciplines and to provide explanatory commentary </w:t>
      </w:r>
      <w:proofErr w:type="spellStart"/>
      <w:r>
        <w:t>contextualising</w:t>
      </w:r>
      <w:proofErr w:type="spellEnd"/>
      <w:r>
        <w:t xml:space="preserve"> findings within a broader intellectual landscape (Green et al., 2006). This methodological choice is further justified by the absence of a critical mass of directly comparable primary studies in the specific domain of civil engineering LIMS, which would preclude meaningful quantitative synthesis even were a systematic protocol applied.</w:t>
      </w:r>
    </w:p>
    <w:p w14:paraId="7501E861" w14:textId="77777777" w:rsidR="00E726A1" w:rsidRDefault="00A821DC">
      <w:pPr>
        <w:spacing w:after="160" w:line="360" w:lineRule="auto"/>
        <w:jc w:val="both"/>
      </w:pPr>
      <w:r>
        <w:t xml:space="preserve">Literature searches were conducted across the Web of Science, Scopus, and Google Scholar databases. The primary search was conducted between January and March 2025, with supplementary searches conducted through April 2025 to capture recent publications. Date restrictions were applied to </w:t>
      </w:r>
      <w:proofErr w:type="spellStart"/>
      <w:r>
        <w:t>prioritise</w:t>
      </w:r>
      <w:proofErr w:type="spellEnd"/>
      <w:r>
        <w:t xml:space="preserve"> literature published between 2000 and 2025, though foundational works predating this range were included where they provided essential conceptual or technical context. Search strings employed in the primary databases included combinations of the following terms: 'laboratory information management system', 'LIMS', 'Docker', '</w:t>
      </w:r>
      <w:proofErr w:type="spellStart"/>
      <w:r>
        <w:t>containerisation</w:t>
      </w:r>
      <w:proofErr w:type="spellEnd"/>
      <w:r>
        <w:t>', '</w:t>
      </w:r>
      <w:proofErr w:type="spellStart"/>
      <w:r>
        <w:t>Plone</w:t>
      </w:r>
      <w:proofErr w:type="spellEnd"/>
      <w:r>
        <w:t>', 'ZODB', '</w:t>
      </w:r>
      <w:proofErr w:type="spellStart"/>
      <w:r>
        <w:t>Zope</w:t>
      </w:r>
      <w:proofErr w:type="spellEnd"/>
      <w:r>
        <w:t xml:space="preserve"> Object Database', 'civil engineering laboratory', 'open-source LIMS', 'laboratory data management', 'Python CMS', and 'microservices laboratory'. Boolean operators (AND, OR) were used to construct combined queries, and searches were filtered to peer-reviewed journal articles, excluding conference proceedings, book chapters, technical reports, and unpublished theses.</w:t>
      </w:r>
    </w:p>
    <w:p w14:paraId="653CB5DD" w14:textId="77777777" w:rsidR="00E726A1" w:rsidRDefault="00A821DC">
      <w:pPr>
        <w:spacing w:after="160" w:line="360" w:lineRule="auto"/>
        <w:jc w:val="both"/>
      </w:pPr>
      <w:r>
        <w:t xml:space="preserve">Inclusion criteria required that sources be published in peer-reviewed academic journals or, where journal publications were unavailable, in peer-reviewed reports from authoritative international bodies. Sources were excluded if they were available only as preprints without subsequent peer-reviewed publication, if they pertained solely to clinical or pharmaceutical LIMS without relevance to engineering or environmental laboratory contexts, or if they were published in languages other than English. Duplicate records identified across databases were removed prior to screening. </w:t>
      </w:r>
    </w:p>
    <w:p w14:paraId="6519DD63" w14:textId="77777777" w:rsidR="00E726A1" w:rsidRDefault="00A821DC">
      <w:pPr>
        <w:spacing w:after="160" w:line="360" w:lineRule="auto"/>
        <w:jc w:val="both"/>
      </w:pPr>
      <w:r>
        <w:lastRenderedPageBreak/>
        <w:t xml:space="preserve">Given the relative paucity of literature specifically addressing </w:t>
      </w:r>
      <w:proofErr w:type="spellStart"/>
      <w:r>
        <w:t>Plone</w:t>
      </w:r>
      <w:proofErr w:type="spellEnd"/>
      <w:r>
        <w:t xml:space="preserve">- or ZODB-based LIMS in civil engineering settings, the review adopts an expansive interpretation of relevance, including studies that address general LIMS design and deployment principles; </w:t>
      </w:r>
      <w:proofErr w:type="spellStart"/>
      <w:r>
        <w:t>containerisation</w:t>
      </w:r>
      <w:proofErr w:type="spellEnd"/>
      <w:r>
        <w:t xml:space="preserve"> technologies in scientific computing; Python-based web frameworks for information management; object database architecture and performance; civil engineering data management practice; and digital laboratory transformation. Influential studies were identified on the basis of citation frequency, journal impact factor, and direct relevance to the review objectives. Where empirical studies referenced civil engineering-adjacent domains — such as environmental chemistry laboratories, geotechnical data management, or material science informatics — they were included where the methodological or conceptual parallels were sufficiently strong to yield transferable insights. This methodology allows for a more comprehensive understanding of the topic whilst acknowledging the inherently interpretative nature of narrative review.</w:t>
      </w:r>
    </w:p>
    <w:p w14:paraId="2C4F13B4" w14:textId="77777777" w:rsidR="00E726A1" w:rsidRDefault="00A821DC">
      <w:pPr>
        <w:pStyle w:val="Heading1"/>
      </w:pPr>
      <w:r>
        <w:t>3. Laboratory Information Management Systems: Foundations and Evolution</w:t>
      </w:r>
    </w:p>
    <w:p w14:paraId="70B3BA14" w14:textId="77777777" w:rsidR="00E726A1" w:rsidRDefault="00A821DC">
      <w:pPr>
        <w:pStyle w:val="Heading2"/>
      </w:pPr>
      <w:r>
        <w:t>3.1 Definition and Core Functionality</w:t>
      </w:r>
    </w:p>
    <w:p w14:paraId="39F67B5D" w14:textId="77777777" w:rsidR="00E726A1" w:rsidRDefault="00A821DC">
      <w:pPr>
        <w:spacing w:after="160" w:line="360" w:lineRule="auto"/>
        <w:jc w:val="both"/>
      </w:pPr>
      <w:r>
        <w:t>A Laboratory Information Management System constitutes a software platform designed to support the operational and administrative functions of a testing or research laboratory through the systematic management of samples, data, workflows, and reporting. At its core, a LIMS provides mechanisms for sample registration and tracking, test assignment and scheduling, data entry and validation, results reporting, user access control, and audit trail maintenance (</w:t>
      </w:r>
      <w:proofErr w:type="spellStart"/>
      <w:r>
        <w:t>Skobelev</w:t>
      </w:r>
      <w:proofErr w:type="spellEnd"/>
      <w:r>
        <w:t xml:space="preserve"> et al., 2011). These functions collectively serve to enhance laboratory productivity, ensure the traceability of experimental results, and support compliance with quality management standards such as ISO/IEC 17025, which governs the general requirements for testing and calibration laboratories.</w:t>
      </w:r>
    </w:p>
    <w:p w14:paraId="3FE7806B" w14:textId="77777777" w:rsidR="00E726A1" w:rsidRDefault="00A821DC">
      <w:pPr>
        <w:spacing w:after="160" w:line="360" w:lineRule="auto"/>
        <w:jc w:val="both"/>
      </w:pPr>
      <w:r>
        <w:t xml:space="preserve">The functional scope of a modern LIMS extends considerably beyond simple data recording. Contemporary systems are expected to interface with analytical instruments through electronic data acquisition, support electronic signatures and audit trails for regulatory compliance, integrate with enterprise resource planning and customer relationship management systems, and provide web-accessible interfaces for remote data entry and reporting. The shift from desktop-based to web-accessible LIMS architectures, which commenced in earnest during the late 1990s and accelerated through the 2000s, </w:t>
      </w:r>
      <w:r>
        <w:lastRenderedPageBreak/>
        <w:t>substantially transformed the deployment model and user experience associated with these systems (</w:t>
      </w:r>
      <w:proofErr w:type="spellStart"/>
      <w:r>
        <w:t>Skobelev</w:t>
      </w:r>
      <w:proofErr w:type="spellEnd"/>
      <w:r>
        <w:t xml:space="preserve"> et al., 2011). This transition enabled multi-site deployment, reduced the hardware dependency of individual laboratory workstations, and facilitated the integration of LIMS with broader institutional information technology infrastructure.</w:t>
      </w:r>
    </w:p>
    <w:p w14:paraId="2F365659" w14:textId="77777777" w:rsidR="00E726A1" w:rsidRDefault="00A821DC">
      <w:pPr>
        <w:spacing w:after="160" w:line="360" w:lineRule="auto"/>
        <w:jc w:val="both"/>
      </w:pPr>
      <w:r>
        <w:t xml:space="preserve">Kanza et al. (2017) have observed that the emergence of electronic laboratory notebooks (ELNs) has created a conceptually adjacent class of laboratory information tools that partially overlaps with, but is not equivalent to, LIMS. Whereas LIMS are primarily oriented towards workflow and sample management, ELNs focus on the capture and </w:t>
      </w:r>
      <w:proofErr w:type="spellStart"/>
      <w:r>
        <w:t>organisation</w:t>
      </w:r>
      <w:proofErr w:type="spellEnd"/>
      <w:r>
        <w:t xml:space="preserve"> of experimental observations and analytical narratives. Increasingly, however, the functional boundaries between these two categories are converging, with hybrid LIMS-ELN platforms emerging that accommodate both structured data management and unstructured narrative records. This convergence is particularly relevant to civil engineering laboratory contexts, where the documentation of experimental conditions, material origins, and observational notes alongside numerical test results is a routine requirement.</w:t>
      </w:r>
    </w:p>
    <w:p w14:paraId="529B6721" w14:textId="77777777" w:rsidR="00E726A1" w:rsidRDefault="00A821DC">
      <w:pPr>
        <w:pStyle w:val="Heading2"/>
      </w:pPr>
      <w:r>
        <w:t>3.2 Historical Development and Classification</w:t>
      </w:r>
    </w:p>
    <w:p w14:paraId="2ED02BD0" w14:textId="77777777" w:rsidR="00E726A1" w:rsidRDefault="00A821DC">
      <w:pPr>
        <w:spacing w:after="160" w:line="360" w:lineRule="auto"/>
        <w:jc w:val="both"/>
      </w:pPr>
      <w:r>
        <w:t xml:space="preserve">The origins of LIMS are traceable to the pharmaceutical and petrochemical industries of the 1970s and early 1980s, where the increasing volume and complexity of analytical testing data necessitated automated tracking solutions. Early LIMS were entirely proprietary, </w:t>
      </w:r>
      <w:proofErr w:type="spellStart"/>
      <w:r>
        <w:t>characterised</w:t>
      </w:r>
      <w:proofErr w:type="spellEnd"/>
      <w:r>
        <w:t xml:space="preserve"> by highly </w:t>
      </w:r>
      <w:proofErr w:type="spellStart"/>
      <w:r>
        <w:t>specialised</w:t>
      </w:r>
      <w:proofErr w:type="spellEnd"/>
      <w:r>
        <w:t xml:space="preserve"> software written for specific computing environments and analytical contexts. The introduction of relational database management systems during the 1980s provided a more </w:t>
      </w:r>
      <w:proofErr w:type="spellStart"/>
      <w:r>
        <w:t>generalisable</w:t>
      </w:r>
      <w:proofErr w:type="spellEnd"/>
      <w:r>
        <w:t xml:space="preserve"> and scalable data storage foundation, enabling LIMS vendors to develop configurable platforms applicable across multiple laboratory types (</w:t>
      </w:r>
      <w:proofErr w:type="spellStart"/>
      <w:r>
        <w:t>Skobelev</w:t>
      </w:r>
      <w:proofErr w:type="spellEnd"/>
      <w:r>
        <w:t xml:space="preserve"> et al., 2011). By the 1990s, client-server architectures had become the dominant LIMS deployment model, and the commercial LIMS market had diversified to include solutions tailored to environmental, food safety, clinical diagnostic, and industrial quality control laboratories.</w:t>
      </w:r>
    </w:p>
    <w:p w14:paraId="032DA7B4" w14:textId="77777777" w:rsidR="00E726A1" w:rsidRDefault="00A821DC">
      <w:pPr>
        <w:spacing w:after="160" w:line="360" w:lineRule="auto"/>
        <w:jc w:val="both"/>
      </w:pPr>
      <w:r>
        <w:t xml:space="preserve">The emergence of the World Wide Web and object-oriented programming paradigms in the late 1990s and early 2000s prompted a further architectural shift, as vendors and open-source developers alike began building web-based LIMS platforms accessible through standard web browsers without the installation of </w:t>
      </w:r>
      <w:proofErr w:type="spellStart"/>
      <w:r>
        <w:t>specialised</w:t>
      </w:r>
      <w:proofErr w:type="spellEnd"/>
      <w:r>
        <w:t xml:space="preserve"> client software. This transition was consequential for academic and resource-limited laboratories, as it </w:t>
      </w:r>
      <w:r>
        <w:lastRenderedPageBreak/>
        <w:t xml:space="preserve">lowered the barriers to multi-user deployment and facilitated distributed access to laboratory data. The contemporary LIMS landscape can be broadly classified into three categories: commercial proprietary systems, commercially supported open-source systems, and community-developed open-source systems. Commercial proprietary systems typically provide comprehensive functionality, dedicated technical support, and formal validation packages, but at a cost that may be prohibitive for smaller institutions. Open-source systems, whether commercially supported or community-maintained, offer greater transparency, </w:t>
      </w:r>
      <w:proofErr w:type="spellStart"/>
      <w:r>
        <w:t>customisability</w:t>
      </w:r>
      <w:proofErr w:type="spellEnd"/>
      <w:r>
        <w:t>, and cost-effectiveness, but require greater in-house technical capacity for deployment, maintenance, and extension.</w:t>
      </w:r>
    </w:p>
    <w:p w14:paraId="09874F67" w14:textId="77777777" w:rsidR="00E726A1" w:rsidRDefault="00A821DC">
      <w:pPr>
        <w:pStyle w:val="Heading2"/>
      </w:pPr>
      <w:r>
        <w:t>3.3 LIMS in the Context of FAIR Data Principles</w:t>
      </w:r>
    </w:p>
    <w:p w14:paraId="26FDDFF0" w14:textId="77777777" w:rsidR="00E726A1" w:rsidRDefault="00A821DC">
      <w:pPr>
        <w:spacing w:after="160" w:line="360" w:lineRule="auto"/>
        <w:jc w:val="both"/>
      </w:pPr>
      <w:r>
        <w:t xml:space="preserve">The growing emphasis on research data management and open science has introduced the FAIR principles — Findability, Accessibility, Interoperability, and Reusability — as a normative framework for the design of data management systems (Wilkinson et al., 2016). These principles, first articulated in 2016, have gained widespread acceptance across the scientific community and have begun to influence the design requirements for laboratory informatics platforms, including LIMS. A LIMS that adheres to FAIR principles would provide persistent unique identifiers for samples and datasets, maintain rich machine-readable metadata, use open or widely adopted data formats and vocabularies, and expose data through </w:t>
      </w:r>
      <w:proofErr w:type="spellStart"/>
      <w:r>
        <w:t>standardised</w:t>
      </w:r>
      <w:proofErr w:type="spellEnd"/>
      <w:r>
        <w:t xml:space="preserve"> interfaces accessible to both humans and machines (Wilkinson et al., 2016). The implementation of these principles in laboratory software architecture requires deliberate design choices at every layer of the system, from database schema design to API specification.</w:t>
      </w:r>
    </w:p>
    <w:p w14:paraId="7484C986" w14:textId="77777777" w:rsidR="00E726A1" w:rsidRDefault="00A821DC">
      <w:pPr>
        <w:spacing w:after="160" w:line="360" w:lineRule="auto"/>
        <w:jc w:val="both"/>
      </w:pPr>
      <w:r>
        <w:t xml:space="preserve">The adoption of FAIR principles in civil engineering laboratory contexts is nascent but growing, driven partly by the increasing emphasis on research data management plans in externally funded research projects and partly by institutional recognition of the reputational and scientific value of well-curated laboratory datasets. Taylor et al. (2008) have </w:t>
      </w:r>
      <w:proofErr w:type="spellStart"/>
      <w:r>
        <w:t>emphasised</w:t>
      </w:r>
      <w:proofErr w:type="spellEnd"/>
      <w:r>
        <w:t xml:space="preserve"> the importance of minimum reporting guidelines for experimental data, noting that inconsistent data documentation practices significantly impede the comparability and reuse of experimental findings across studies. For civil engineering laboratories, which routinely produce data that may be referenced in design standards, regulatory proceedings, or forensic investigations, the imperative for comprehensive and traceable data documentation is particularly strong. The alignment of LIMS design with FAIR data principles is therefore not merely a matter of scientific good practice but a </w:t>
      </w:r>
      <w:r>
        <w:lastRenderedPageBreak/>
        <w:t>practical necessity for laboratories operating within quality-assured, compliance-driven professional frameworks.</w:t>
      </w:r>
    </w:p>
    <w:p w14:paraId="25341859" w14:textId="77777777" w:rsidR="00E726A1" w:rsidRDefault="00A821DC">
      <w:pPr>
        <w:pStyle w:val="Heading1"/>
      </w:pPr>
      <w:r>
        <w:t>4. Civil Engineering Laboratories: Specific Informatics Requirements</w:t>
      </w:r>
    </w:p>
    <w:p w14:paraId="5A96D789" w14:textId="77777777" w:rsidR="00E726A1" w:rsidRDefault="00A821DC">
      <w:pPr>
        <w:pStyle w:val="Heading2"/>
      </w:pPr>
      <w:r>
        <w:t>4.1 Nature and Diversity of Civil Engineering Laboratory Testing</w:t>
      </w:r>
    </w:p>
    <w:p w14:paraId="67D78E5D" w14:textId="77777777" w:rsidR="00E726A1" w:rsidRDefault="00A821DC">
      <w:pPr>
        <w:spacing w:after="160" w:line="360" w:lineRule="auto"/>
        <w:jc w:val="both"/>
      </w:pPr>
      <w:r>
        <w:t xml:space="preserve">Civil engineering encompasses a broad spectrum of experimental and testing activities, spanning the mechanical, chemical, and physical </w:t>
      </w:r>
      <w:proofErr w:type="spellStart"/>
      <w:r>
        <w:t>characterisation</w:t>
      </w:r>
      <w:proofErr w:type="spellEnd"/>
      <w:r>
        <w:t xml:space="preserve"> of construction materials, the hydraulic and geotechnical properties of natural and engineered soils, the structural performance of components and assemblies, and the durability </w:t>
      </w:r>
      <w:proofErr w:type="spellStart"/>
      <w:r>
        <w:t>behaviour</w:t>
      </w:r>
      <w:proofErr w:type="spellEnd"/>
      <w:r>
        <w:t xml:space="preserve"> of materials under environmental exposure. Each of these domains is associated with distinct testing standards, data types, and reporting conventions, resulting in a LIMS requirement profile of unusual breadth and heterogeneity.</w:t>
      </w:r>
    </w:p>
    <w:p w14:paraId="537D7FB1" w14:textId="77777777" w:rsidR="00E726A1" w:rsidRDefault="00A821DC">
      <w:pPr>
        <w:spacing w:after="160" w:line="360" w:lineRule="auto"/>
        <w:jc w:val="both"/>
      </w:pPr>
      <w:r>
        <w:t xml:space="preserve">In the domain of construction material testing, civil engineering laboratories routinely conduct compression, tensile, and flexural strength tests on concrete, steel, masonry, and composite materials; measure physical properties such as density, water absorption, and thermal conductivity; and </w:t>
      </w:r>
      <w:proofErr w:type="spellStart"/>
      <w:r>
        <w:t>characterise</w:t>
      </w:r>
      <w:proofErr w:type="spellEnd"/>
      <w:r>
        <w:t xml:space="preserve"> surface and microstructural features through microscopy and spectroscopic methods. The outputs of these tests include discrete numerical values, tabulated data series, graphical representations such as load-displacement curves, and photographic or digital imagery. Standard methods governing these tests, including those published under ISO, EN, ASTM, and BS series, prescribe specific specimen dimensions, testing rates, environmental conditions, and reporting formats, each of which must be faithfully captured and traceable within any LIMS serving these functions (Thompson et al., 2002).</w:t>
      </w:r>
    </w:p>
    <w:p w14:paraId="10989773" w14:textId="77777777" w:rsidR="00E726A1" w:rsidRDefault="00A821DC">
      <w:pPr>
        <w:spacing w:after="160" w:line="360" w:lineRule="auto"/>
        <w:jc w:val="both"/>
      </w:pPr>
      <w:r>
        <w:t xml:space="preserve">Geotechnical laboratory testing introduces further data complexity, encompassing particle size analysis, Atterberg limit determination, compaction testing, permeability measurement, consolidation testing, and triaxial shear strength determination. These tests frequently involve multiple stages, incremental loading procedures, and time-dependent measurements, generating time-series data that require careful metadata tagging to remain interpretable. Hydraulic and environmental civil engineering testing adds yet further data categories, including water quality parameters, pollutant concentrations, and sediment characteristics that bear a close resemblance to the data types handled by environmental chemistry LIMS. The overlap between civil engineering and environmental laboratory </w:t>
      </w:r>
      <w:r>
        <w:lastRenderedPageBreak/>
        <w:t xml:space="preserve">testing suggests that LIMS solutions developed for the environmental sector may offer useful templates for adaptation to engineering contexts, provided that appropriate </w:t>
      </w:r>
      <w:proofErr w:type="spellStart"/>
      <w:r>
        <w:t>customisation</w:t>
      </w:r>
      <w:proofErr w:type="spellEnd"/>
      <w:r>
        <w:t xml:space="preserve"> is applied to accommodate test-specific workflows. The diversity of sensor technologies emerging in structural health monitoring and field-based geotechnical measurement further extends the data landscape that future civil engineering LIMS must accommodate (Spencer et al., 2004).</w:t>
      </w:r>
    </w:p>
    <w:p w14:paraId="48F6CAB4" w14:textId="77777777" w:rsidR="00E726A1" w:rsidRDefault="00A821DC">
      <w:pPr>
        <w:pStyle w:val="Heading2"/>
      </w:pPr>
      <w:r>
        <w:t>4.2 Regulatory and Accreditation Frameworks</w:t>
      </w:r>
    </w:p>
    <w:p w14:paraId="3ECB3082" w14:textId="77777777" w:rsidR="00E726A1" w:rsidRDefault="00A821DC">
      <w:pPr>
        <w:spacing w:after="160" w:line="360" w:lineRule="auto"/>
        <w:jc w:val="both"/>
      </w:pPr>
      <w:r>
        <w:t>Civil engineering laboratories operating in professional practice contexts are commonly subject to formal accreditation requirements that impose specific obligations on data management practices. ISO/IEC 17025 constitutes the principal international standard governing the technical competence and management system requirements of testing and calibration laboratories, and its requirements encompass data integrity, traceability, uncertainty reporting, and the maintenance of auditable records (Thompson et al., 2002). Compliance with ISO/IEC 17025 or its national equivalents is often a prerequisite for laboratory work that informs regulatory submissions, construction certification, dispute resolution, or public safety decisions.</w:t>
      </w:r>
    </w:p>
    <w:p w14:paraId="1410D242" w14:textId="77777777" w:rsidR="00E726A1" w:rsidRDefault="00A821DC">
      <w:pPr>
        <w:spacing w:after="160" w:line="360" w:lineRule="auto"/>
        <w:jc w:val="both"/>
      </w:pPr>
      <w:r>
        <w:t xml:space="preserve">The documentation requirements associated with ISO/IEC 17025 accreditation are extensive, including the retention of raw data, calculation records, instrument calibration records, staff training records, and test reports in a manner that permits independent verification. A LIMS that supports ISO/IEC 17025 compliance must therefore incorporate robust audit trail functionality, electronic signature mechanisms, controlled document management, and the capacity to generate reports in </w:t>
      </w:r>
      <w:proofErr w:type="spellStart"/>
      <w:r>
        <w:t>standardised</w:t>
      </w:r>
      <w:proofErr w:type="spellEnd"/>
      <w:r>
        <w:t xml:space="preserve"> formats. These requirements constrain the design space for civil engineering LIMS and create a strong incentive for the adoption of platforms that have been validated against established quality management standards. The technical challenge of meeting these requirements within an open-source framework is non-trivial, but the fundamental information management capabilities required are well within the scope of mature open-source platforms.</w:t>
      </w:r>
    </w:p>
    <w:p w14:paraId="645ED816" w14:textId="77777777" w:rsidR="00E726A1" w:rsidRDefault="00A821DC">
      <w:pPr>
        <w:pStyle w:val="Heading2"/>
      </w:pPr>
      <w:r>
        <w:t>4.3 Data Management Challenges</w:t>
      </w:r>
    </w:p>
    <w:p w14:paraId="2594A0FB" w14:textId="77777777" w:rsidR="00E726A1" w:rsidRDefault="00A821DC">
      <w:pPr>
        <w:spacing w:after="160" w:line="360" w:lineRule="auto"/>
        <w:jc w:val="both"/>
      </w:pPr>
      <w:r>
        <w:t xml:space="preserve">The heterogeneity of civil engineering laboratory data creates a series of specific data management challenges that are not fully addressed by conventional LIMS architectures. First, the diversity of data types — encompassing numerical values, tabulated series, </w:t>
      </w:r>
      <w:r>
        <w:lastRenderedPageBreak/>
        <w:t>graphical data, images, and textual observations — resists reduction to a single homogeneous database schema. Relational database systems, which underpin many commercial LIMS platforms, impose a fixed schema that defines in advance the structure of all records; this rigidity becomes a liability when the system must accommodate new test types or evolving reporting requirements without architectural modification. The importance of data quality and integrity management in this context has been extensively discussed in the literature on data quality methodologies (</w:t>
      </w:r>
      <w:proofErr w:type="spellStart"/>
      <w:r>
        <w:t>Batini</w:t>
      </w:r>
      <w:proofErr w:type="spellEnd"/>
      <w:r>
        <w:t xml:space="preserve"> et al., 2009), where the costs of poor data quality — including erroneous engineering decisions and regulatory non-compliance — are </w:t>
      </w:r>
      <w:proofErr w:type="spellStart"/>
      <w:r>
        <w:t>recognised</w:t>
      </w:r>
      <w:proofErr w:type="spellEnd"/>
      <w:r>
        <w:t xml:space="preserve"> as substantially greater than the costs of implementing robust quality assurance mechanisms.</w:t>
      </w:r>
    </w:p>
    <w:p w14:paraId="51F0809E" w14:textId="77777777" w:rsidR="00E726A1" w:rsidRDefault="00A821DC">
      <w:pPr>
        <w:spacing w:after="160" w:line="360" w:lineRule="auto"/>
        <w:jc w:val="both"/>
      </w:pPr>
      <w:r>
        <w:t xml:space="preserve">Second, the long-term retention requirements associated with civil engineering data are substantially more demanding than those of many other laboratory sectors. Infrastructure-related test data may retain legal and technical relevance for the full design life of a structure, which can extend to 50 or 100 years in the case of bridges, dams, tunnels, and other major civil works. Data management systems must therefore provide stable, long-term archival mechanisms that guard against data loss, format obsolescence, and system migration failures. Third, civil engineering laboratory testing is often conducted in geographically dispersed locations, including field laboratories on construction sites, regional testing </w:t>
      </w:r>
      <w:proofErr w:type="spellStart"/>
      <w:r>
        <w:t>centres</w:t>
      </w:r>
      <w:proofErr w:type="spellEnd"/>
      <w:r>
        <w:t xml:space="preserve">, and </w:t>
      </w:r>
      <w:proofErr w:type="spellStart"/>
      <w:r>
        <w:t>centralised</w:t>
      </w:r>
      <w:proofErr w:type="spellEnd"/>
      <w:r>
        <w:t xml:space="preserve"> research facilities, creating a need for distributed data entry and </w:t>
      </w:r>
      <w:proofErr w:type="spellStart"/>
      <w:r>
        <w:t>synchronisation</w:t>
      </w:r>
      <w:proofErr w:type="spellEnd"/>
      <w:r>
        <w:t xml:space="preserve"> capabilities. Fourth, the frequent need to share test data with clients, regulatory authorities, and third-party auditors requires flexible and secure data export and access control mechanisms that can accommodate a variety of external user types and information needs. Addressing these challenges demands a LIMS architecture that is simultaneously flexible, secure, standards-compliant, and maintainable over the long term — a combination that motivates consideration of modern open-source technology stacks built upon Docker, </w:t>
      </w:r>
      <w:proofErr w:type="spellStart"/>
      <w:r>
        <w:t>Plone</w:t>
      </w:r>
      <w:proofErr w:type="spellEnd"/>
      <w:r>
        <w:t>, and ZODB.</w:t>
      </w:r>
    </w:p>
    <w:p w14:paraId="12831986" w14:textId="77777777" w:rsidR="00E726A1" w:rsidRDefault="00A821DC">
      <w:pPr>
        <w:pStyle w:val="Heading1"/>
      </w:pPr>
      <w:r>
        <w:t xml:space="preserve">5. Docker </w:t>
      </w:r>
      <w:proofErr w:type="spellStart"/>
      <w:r>
        <w:t>Containerisation</w:t>
      </w:r>
      <w:proofErr w:type="spellEnd"/>
      <w:r>
        <w:t xml:space="preserve"> in LIMS Deployment</w:t>
      </w:r>
    </w:p>
    <w:p w14:paraId="4A76E147" w14:textId="77777777" w:rsidR="00E726A1" w:rsidRDefault="00A821DC">
      <w:pPr>
        <w:pStyle w:val="Heading2"/>
      </w:pPr>
      <w:r>
        <w:t xml:space="preserve">5.1 Principles and Architecture of Docker </w:t>
      </w:r>
      <w:proofErr w:type="spellStart"/>
      <w:r>
        <w:t>Containerisation</w:t>
      </w:r>
      <w:proofErr w:type="spellEnd"/>
    </w:p>
    <w:p w14:paraId="4DAD3217" w14:textId="77777777" w:rsidR="00E726A1" w:rsidRDefault="00A821DC">
      <w:pPr>
        <w:spacing w:after="160" w:line="360" w:lineRule="auto"/>
        <w:jc w:val="both"/>
      </w:pPr>
      <w:r>
        <w:t xml:space="preserve">Docker is an open-source platform that enables the encapsulation of software applications and their runtime dependencies within lightweight, portable units known as containers. Unlike virtual machine-based </w:t>
      </w:r>
      <w:proofErr w:type="spellStart"/>
      <w:r>
        <w:t>virtualisation</w:t>
      </w:r>
      <w:proofErr w:type="spellEnd"/>
      <w:r>
        <w:t xml:space="preserve">, which replicates an entire operating system for each isolated computing environment, Docker containers share the host operating </w:t>
      </w:r>
      <w:r>
        <w:lastRenderedPageBreak/>
        <w:t xml:space="preserve">system kernel whilst maintaining process-level isolation, resulting in substantially lower resource overhead and faster instantiation times (Boettiger, 2015). A Docker container is defined by an image, which is a read-only template specifying the operating system layers, installed packages, application code, and configuration files required to run a given service. Images are built from human-readable instruction files known as </w:t>
      </w:r>
      <w:proofErr w:type="spellStart"/>
      <w:r>
        <w:t>Dockerfiles</w:t>
      </w:r>
      <w:proofErr w:type="spellEnd"/>
      <w:r>
        <w:t>, enabling version-controlled, reproducible specification of software environments.</w:t>
      </w:r>
    </w:p>
    <w:p w14:paraId="08677945" w14:textId="77777777" w:rsidR="00975B21" w:rsidRDefault="00A821DC" w:rsidP="00975B21">
      <w:pPr>
        <w:spacing w:after="160" w:line="360" w:lineRule="auto"/>
        <w:jc w:val="both"/>
      </w:pPr>
      <w:r>
        <w:t>The Docker ecosystem extends beyond individual containers to encompass orchestration tools such as Docker Compose, which facilitates the definition and management of multi-container application stacks through declarative configuration files, and Kubernetes, which provides enterprise-grade container orchestration for large-scale deployments. These orchestration tools are of particular relevance to LIMS deployment, as laboratory information systems typically comprise multiple interdependent components — including web application servers, database backends, authentication services, and instrument interface modules — that must be coordinated and managed as an integrated system (</w:t>
      </w:r>
      <w:proofErr w:type="spellStart"/>
      <w:r>
        <w:t>Balalaie</w:t>
      </w:r>
      <w:proofErr w:type="spellEnd"/>
      <w:r>
        <w:t xml:space="preserve"> et al., 2016). The concept of immutable infrastructure, which is central to the Docker paradigm, represents a significant departure from traditional software deployment practices in which applications are installed and updated in-place on persistent server environments. In the Docker model, changes to the application environment are made by building new container images rather than modifying running instances; this approach substantially reduces configuration drift, simplifies rollback procedures, and enhances the reproducibility of the deployed environment (Pahl, 2015).</w:t>
      </w:r>
      <w:r w:rsidR="00975B21">
        <w:t xml:space="preserve"> Figure 1 represents basic </w:t>
      </w:r>
      <w:r w:rsidR="00975B21" w:rsidRPr="00AE5430">
        <w:t>Docker Client Server Architecture</w:t>
      </w:r>
      <w:r w:rsidR="00975B21">
        <w:t>.</w:t>
      </w:r>
    </w:p>
    <w:p w14:paraId="04A4088A" w14:textId="77777777" w:rsidR="00975B21" w:rsidRDefault="00975B21" w:rsidP="00975B21">
      <w:pPr>
        <w:spacing w:after="160" w:line="360" w:lineRule="auto"/>
        <w:jc w:val="both"/>
      </w:pPr>
      <w:r w:rsidRPr="00AE5430">
        <w:rPr>
          <w:noProof/>
        </w:rPr>
        <w:drawing>
          <wp:inline distT="0" distB="0" distL="0" distR="0" wp14:anchorId="2FC80697" wp14:editId="27B1AE3E">
            <wp:extent cx="4880754" cy="2579298"/>
            <wp:effectExtent l="19050" t="0" r="0" b="0"/>
            <wp:docPr id="2" name="Picture 0" descr="ChatGPT Image Apr 19, 2026, 12_17_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Apr 19, 2026, 12_17_09 PM.png"/>
                    <pic:cNvPicPr/>
                  </pic:nvPicPr>
                  <pic:blipFill>
                    <a:blip r:embed="rId8" cstate="print"/>
                    <a:srcRect l="4519" t="18830" r="6673" b="10753"/>
                    <a:stretch>
                      <a:fillRect/>
                    </a:stretch>
                  </pic:blipFill>
                  <pic:spPr>
                    <a:xfrm>
                      <a:off x="0" y="0"/>
                      <a:ext cx="4880754" cy="2579298"/>
                    </a:xfrm>
                    <a:prstGeom prst="rect">
                      <a:avLst/>
                    </a:prstGeom>
                  </pic:spPr>
                </pic:pic>
              </a:graphicData>
            </a:graphic>
          </wp:inline>
        </w:drawing>
      </w:r>
    </w:p>
    <w:p w14:paraId="23E839A7" w14:textId="77777777" w:rsidR="00975B21" w:rsidRDefault="00975B21" w:rsidP="00975B21">
      <w:pPr>
        <w:spacing w:after="160" w:line="360" w:lineRule="auto"/>
        <w:jc w:val="center"/>
      </w:pPr>
      <w:r w:rsidRPr="00AE5430">
        <w:lastRenderedPageBreak/>
        <w:t xml:space="preserve">Fig.1. </w:t>
      </w:r>
      <w:r>
        <w:t xml:space="preserve">Basic </w:t>
      </w:r>
      <w:r w:rsidRPr="00AE5430">
        <w:t>Docker Client Server Architecture</w:t>
      </w:r>
    </w:p>
    <w:p w14:paraId="1EF872E4" w14:textId="77777777" w:rsidR="00E726A1" w:rsidRDefault="00A821DC">
      <w:pPr>
        <w:pStyle w:val="Heading2"/>
      </w:pPr>
      <w:r>
        <w:t>5.2 Docker in Scientific and Laboratory Computing</w:t>
      </w:r>
    </w:p>
    <w:p w14:paraId="3C5C69A6" w14:textId="77777777" w:rsidR="00E726A1" w:rsidRDefault="00A821DC">
      <w:pPr>
        <w:spacing w:after="160" w:line="360" w:lineRule="auto"/>
        <w:jc w:val="both"/>
      </w:pPr>
      <w:r>
        <w:t xml:space="preserve">The use of Docker in scientific computing environments has grown substantially since its initial release in 2013, driven primarily by the requirements of computational reproducibility and collaborative research. Boettiger (2015) provided a foundational treatment of Docker's application to reproducible research, demonstrating that </w:t>
      </w:r>
      <w:proofErr w:type="spellStart"/>
      <w:r>
        <w:t>containerisation</w:t>
      </w:r>
      <w:proofErr w:type="spellEnd"/>
      <w:r>
        <w:t xml:space="preserve"> offers a practical and widely accessible mechanism for capturing and sharing the software environment associated with a computational analysis. This work established the conceptual basis for a growing body of research examining the use of containers in scientific workflow management, bioinformatics pipelines, and data science platforms. The evolution of container technology from early Linux-container-based approaches through the Docker revolution and into the Kubernetes era has been systematically traced by Bernstein (2014), who documented the progressive maturation of the underlying technology and its implications for cloud-based scientific infrastructure.</w:t>
      </w:r>
    </w:p>
    <w:p w14:paraId="404DD075" w14:textId="77777777" w:rsidR="00E726A1" w:rsidRDefault="00A821DC">
      <w:pPr>
        <w:spacing w:after="160" w:line="360" w:lineRule="auto"/>
        <w:jc w:val="both"/>
      </w:pPr>
      <w:r>
        <w:t xml:space="preserve">Sandve et al. (2013) identified the specification of the computing environment as one of the ten essential rules for reproducible computational research, </w:t>
      </w:r>
      <w:proofErr w:type="spellStart"/>
      <w:r>
        <w:t>emphasising</w:t>
      </w:r>
      <w:proofErr w:type="spellEnd"/>
      <w:r>
        <w:t xml:space="preserve"> that the lack of explicit environment documentation is a primary source of irreproducibility in computational science. Docker's </w:t>
      </w:r>
      <w:proofErr w:type="spellStart"/>
      <w:r>
        <w:t>containerisation</w:t>
      </w:r>
      <w:proofErr w:type="spellEnd"/>
      <w:r>
        <w:t xml:space="preserve"> model directly addresses this requirement by embedding environment specification within the container image itself, ensuring that a </w:t>
      </w:r>
      <w:proofErr w:type="spellStart"/>
      <w:r>
        <w:t>containerised</w:t>
      </w:r>
      <w:proofErr w:type="spellEnd"/>
      <w:r>
        <w:t xml:space="preserve"> application will execute identically across different host systems, provided the Docker runtime is available (Piccolo &amp; Frampton, 2016). This property is particularly valuable in the context of LIMS deployment, where the consistent </w:t>
      </w:r>
      <w:proofErr w:type="spellStart"/>
      <w:r>
        <w:t>behaviour</w:t>
      </w:r>
      <w:proofErr w:type="spellEnd"/>
      <w:r>
        <w:t xml:space="preserve"> of data processing and reporting modules is essential for the reliability and credibility of laboratory output. The use of </w:t>
      </w:r>
      <w:proofErr w:type="spellStart"/>
      <w:r>
        <w:t>containerised</w:t>
      </w:r>
      <w:proofErr w:type="spellEnd"/>
      <w:r>
        <w:t xml:space="preserve"> computing environments in scientific applications has also been linked to improvements in software sustainability practices, with </w:t>
      </w:r>
      <w:proofErr w:type="spellStart"/>
      <w:r>
        <w:t>Stodden</w:t>
      </w:r>
      <w:proofErr w:type="spellEnd"/>
      <w:r>
        <w:t xml:space="preserve"> and </w:t>
      </w:r>
      <w:proofErr w:type="spellStart"/>
      <w:r>
        <w:t>Miguez</w:t>
      </w:r>
      <w:proofErr w:type="spellEnd"/>
      <w:r>
        <w:t xml:space="preserve"> (2014) </w:t>
      </w:r>
      <w:proofErr w:type="spellStart"/>
      <w:r>
        <w:t>emphasising</w:t>
      </w:r>
      <w:proofErr w:type="spellEnd"/>
      <w:r>
        <w:t xml:space="preserve"> that explicit, version-controlled infrastructure specifications represent a prerequisite for the long-term maintainability and shareability of scientific software.</w:t>
      </w:r>
    </w:p>
    <w:p w14:paraId="0442F977" w14:textId="77777777" w:rsidR="00E726A1" w:rsidRDefault="00A821DC">
      <w:pPr>
        <w:spacing w:after="160" w:line="360" w:lineRule="auto"/>
        <w:jc w:val="both"/>
      </w:pPr>
      <w:r>
        <w:t xml:space="preserve">The application of Docker to laboratory information systems has been reported in various scientific domains. In bioinformatics, Docker has been used to </w:t>
      </w:r>
      <w:proofErr w:type="spellStart"/>
      <w:r>
        <w:t>containerise</w:t>
      </w:r>
      <w:proofErr w:type="spellEnd"/>
      <w:r>
        <w:t xml:space="preserve"> analysis pipelines integrated with LIMS workflows, enabling automated data processing chains operating within controlled, reproducible computing environments. In environmental </w:t>
      </w:r>
      <w:r>
        <w:lastRenderedPageBreak/>
        <w:t xml:space="preserve">monitoring, </w:t>
      </w:r>
      <w:proofErr w:type="spellStart"/>
      <w:r>
        <w:t>containerised</w:t>
      </w:r>
      <w:proofErr w:type="spellEnd"/>
      <w:r>
        <w:t xml:space="preserve"> deployments have been used to host web-based laboratory platforms serving distributed laboratory networks. The general principle that </w:t>
      </w:r>
      <w:proofErr w:type="spellStart"/>
      <w:r>
        <w:t>containerisation</w:t>
      </w:r>
      <w:proofErr w:type="spellEnd"/>
      <w:r>
        <w:t xml:space="preserve"> simplifies the deployment, updating, and maintenance of complex multi-component software systems translates directly to the civil engineering laboratory context, where LIMS must often be deployed on institutional servers without dedicated system administration support.</w:t>
      </w:r>
    </w:p>
    <w:p w14:paraId="1868FF5B" w14:textId="77777777" w:rsidR="00E726A1" w:rsidRDefault="00A821DC">
      <w:pPr>
        <w:pStyle w:val="Heading2"/>
      </w:pPr>
      <w:r>
        <w:t>5.3 Advantages and Limitations of Docker for LIMS Deployment</w:t>
      </w:r>
    </w:p>
    <w:p w14:paraId="0F191795" w14:textId="77777777" w:rsidR="00E726A1" w:rsidRDefault="00A821DC">
      <w:pPr>
        <w:spacing w:after="160" w:line="360" w:lineRule="auto"/>
        <w:jc w:val="both"/>
      </w:pPr>
      <w:r>
        <w:t xml:space="preserve">The principal advantages of Docker for LIMS deployment in civil engineering laboratory settings may be </w:t>
      </w:r>
      <w:proofErr w:type="spellStart"/>
      <w:r>
        <w:t>characterised</w:t>
      </w:r>
      <w:proofErr w:type="spellEnd"/>
      <w:r>
        <w:t xml:space="preserve"> as follows. </w:t>
      </w:r>
      <w:proofErr w:type="spellStart"/>
      <w:r>
        <w:t>Containerisation</w:t>
      </w:r>
      <w:proofErr w:type="spellEnd"/>
      <w:r>
        <w:t xml:space="preserve"> simplifies the installation and configuration process by eliminating dependency conflicts and ensuring that the LIMS and its dependencies are co-bundled within the container image. This significantly reduces the technical barrier to deployment and enables laboratory staff with limited system administration experience to maintain a functional LIMS installation (Bernstein, 2014). Docker-based deployments are highly portable, facilitating the migration of LIMS instances between on-premises servers, cloud infrastructure, and hybrid environments without modification to the application codebase. The layered caching mechanism employed by Docker image builds enables efficient incremental updates, reducing the time and bandwidth required to deploy new versions of the LIMS application.</w:t>
      </w:r>
    </w:p>
    <w:p w14:paraId="50AA7A95" w14:textId="77777777" w:rsidR="00E726A1" w:rsidRDefault="00A821DC">
      <w:pPr>
        <w:spacing w:after="160" w:line="360" w:lineRule="auto"/>
        <w:jc w:val="both"/>
      </w:pPr>
      <w:r>
        <w:t xml:space="preserve">Docker Compose and similar orchestration tools provide a declarative means of specifying the multi-service architecture of a LIMS deployment, including the web application server, database backend, reverse proxy, and any auxiliary services. This declarative approach simplifies system documentation and enables infrastructure-as-code practices that support configuration management and disaster recovery procedures. Container-based deployments furthermore support horizontal scaling through the replication of application containers behind load balancers, enabling LIMS systems to accommodate periods of elevated demand without architectural redesign. The total cost of ownership associated with </w:t>
      </w:r>
      <w:proofErr w:type="spellStart"/>
      <w:r>
        <w:t>containerised</w:t>
      </w:r>
      <w:proofErr w:type="spellEnd"/>
      <w:r>
        <w:t xml:space="preserve"> open-source LIMS deployments compares </w:t>
      </w:r>
      <w:proofErr w:type="spellStart"/>
      <w:r>
        <w:t>favourably</w:t>
      </w:r>
      <w:proofErr w:type="spellEnd"/>
      <w:r>
        <w:t xml:space="preserve"> with commercial alternatives, particularly when the cloud infrastructure costs enabled by container-based deployment flexibility are taken into account (</w:t>
      </w:r>
      <w:proofErr w:type="spellStart"/>
      <w:r>
        <w:t>Buyya</w:t>
      </w:r>
      <w:proofErr w:type="spellEnd"/>
      <w:r>
        <w:t xml:space="preserve"> et al., 2009).</w:t>
      </w:r>
    </w:p>
    <w:p w14:paraId="372D7C99" w14:textId="77777777" w:rsidR="00975B21" w:rsidRDefault="00A821DC" w:rsidP="00975B21">
      <w:pPr>
        <w:spacing w:after="160" w:line="360" w:lineRule="auto"/>
        <w:jc w:val="both"/>
      </w:pPr>
      <w:r>
        <w:t xml:space="preserve">Notwithstanding these advantages, Docker-based LIMS deployments present several notable limitations. Container security represents a significant concern, particularly in </w:t>
      </w:r>
      <w:r>
        <w:lastRenderedPageBreak/>
        <w:t xml:space="preserve">multi-tenant cloud environments where isolation guarantees at the container level may be weaker than those provided by full virtual machine hypervisors (Combe et al., 2016). Misconfigured container deployments can expose laboratory data to </w:t>
      </w:r>
      <w:proofErr w:type="spellStart"/>
      <w:r>
        <w:t>unauthorised</w:t>
      </w:r>
      <w:proofErr w:type="spellEnd"/>
      <w:r>
        <w:t xml:space="preserve"> access, and the use of community-sourced container images from public registries introduces risks from supply chain vulnerabilities in third-party software dependencies. These concerns are especially acute in civil engineering LIMS contexts, where the data may include commercially sensitive material test results, intellectual property associated with construction designs, or regulatory submissions for which data integrity is legally mandated. Furthermore, whilst Docker simplifies initial deployment, the management of persistent data across container restarts and upgrades requires careful configuration of volume mounts and backup procedures. The default container storage model is ephemeral, meaning that data stored within container filesystems is lost when the container is removed or replaced; LIMS data, being a long-term institutional asset, must therefore be stored in externally mounted volumes or cloud storage backends that persist independently of container lifecycle events.</w:t>
      </w:r>
      <w:r w:rsidR="00AE5430">
        <w:t xml:space="preserve"> </w:t>
      </w:r>
      <w:r w:rsidR="00975B21">
        <w:t xml:space="preserve">Figure 2 represents a </w:t>
      </w:r>
      <w:proofErr w:type="spellStart"/>
      <w:r w:rsidR="00975B21">
        <w:t>a</w:t>
      </w:r>
      <w:proofErr w:type="spellEnd"/>
      <w:r w:rsidR="00975B21">
        <w:t xml:space="preserve"> detailed Docker Client-server Architecture for LIMS</w:t>
      </w:r>
    </w:p>
    <w:p w14:paraId="6711C495" w14:textId="77777777" w:rsidR="00975B21" w:rsidRDefault="00975B21" w:rsidP="00975B21">
      <w:pPr>
        <w:spacing w:after="160" w:line="360" w:lineRule="auto"/>
        <w:jc w:val="center"/>
      </w:pPr>
      <w:r>
        <w:rPr>
          <w:noProof/>
        </w:rPr>
        <w:drawing>
          <wp:inline distT="0" distB="0" distL="0" distR="0" wp14:anchorId="66763CC4" wp14:editId="6106068A">
            <wp:extent cx="5502910" cy="3802380"/>
            <wp:effectExtent l="19050" t="0" r="2540" b="0"/>
            <wp:docPr id="3" name="Picture 2" descr="lims_docker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s_docker_architecture.png"/>
                    <pic:cNvPicPr/>
                  </pic:nvPicPr>
                  <pic:blipFill>
                    <a:blip r:embed="rId9" cstate="print"/>
                    <a:stretch>
                      <a:fillRect/>
                    </a:stretch>
                  </pic:blipFill>
                  <pic:spPr>
                    <a:xfrm>
                      <a:off x="0" y="0"/>
                      <a:ext cx="5502910" cy="3802380"/>
                    </a:xfrm>
                    <a:prstGeom prst="rect">
                      <a:avLst/>
                    </a:prstGeom>
                  </pic:spPr>
                </pic:pic>
              </a:graphicData>
            </a:graphic>
          </wp:inline>
        </w:drawing>
      </w:r>
      <w:r>
        <w:t>Figure 2: A Detailed Docker Client-server Architecture for LIMS</w:t>
      </w:r>
    </w:p>
    <w:p w14:paraId="2FAF8184" w14:textId="77777777" w:rsidR="00E726A1" w:rsidRDefault="00A821DC">
      <w:pPr>
        <w:pStyle w:val="Heading1"/>
      </w:pPr>
      <w:r>
        <w:t xml:space="preserve">6. </w:t>
      </w:r>
      <w:proofErr w:type="spellStart"/>
      <w:r>
        <w:t>Plone</w:t>
      </w:r>
      <w:proofErr w:type="spellEnd"/>
      <w:r>
        <w:t xml:space="preserve"> CMS as a Framework for LIMS Development</w:t>
      </w:r>
    </w:p>
    <w:p w14:paraId="7B086251" w14:textId="77777777" w:rsidR="00E726A1" w:rsidRDefault="00A821DC">
      <w:pPr>
        <w:pStyle w:val="Heading2"/>
      </w:pPr>
      <w:r>
        <w:lastRenderedPageBreak/>
        <w:t>6.1 Architecture and Design Philosophy</w:t>
      </w:r>
    </w:p>
    <w:p w14:paraId="0BB0B491" w14:textId="77777777" w:rsidR="00E726A1" w:rsidRDefault="00A821DC">
      <w:pPr>
        <w:spacing w:after="160" w:line="360" w:lineRule="auto"/>
        <w:jc w:val="both"/>
      </w:pPr>
      <w:proofErr w:type="spellStart"/>
      <w:r>
        <w:t>Plone</w:t>
      </w:r>
      <w:proofErr w:type="spellEnd"/>
      <w:r>
        <w:t xml:space="preserve"> is a mature, open-source content management system built upon the </w:t>
      </w:r>
      <w:proofErr w:type="spellStart"/>
      <w:r>
        <w:t>Zope</w:t>
      </w:r>
      <w:proofErr w:type="spellEnd"/>
      <w:r>
        <w:t xml:space="preserve"> application server and the Python programming language. First released in 2001, </w:t>
      </w:r>
      <w:proofErr w:type="spellStart"/>
      <w:r>
        <w:t>Plone</w:t>
      </w:r>
      <w:proofErr w:type="spellEnd"/>
      <w:r>
        <w:t xml:space="preserve"> has been continuously developed and maintained by an active international community and is widely regarded as one of the most secure and feature-rich open-source CMS platforms available. Its architecture incorporates a modular add-on system based on the Python packaging infrastructure, enabling extensions to be developed and deployed independently of the core platform. </w:t>
      </w:r>
      <w:proofErr w:type="spellStart"/>
      <w:r>
        <w:t>Plone's</w:t>
      </w:r>
      <w:proofErr w:type="spellEnd"/>
      <w:r>
        <w:t xml:space="preserve"> default storage backend is the </w:t>
      </w:r>
      <w:proofErr w:type="spellStart"/>
      <w:r>
        <w:t>Zope</w:t>
      </w:r>
      <w:proofErr w:type="spellEnd"/>
      <w:r>
        <w:t xml:space="preserve"> Object Database (ZODB), which provides an object-oriented persistence layer tightly integrated with the Python programming model. Python's broad adoption in scientific and engineering computing contexts (</w:t>
      </w:r>
      <w:proofErr w:type="spellStart"/>
      <w:r>
        <w:t>Millman</w:t>
      </w:r>
      <w:proofErr w:type="spellEnd"/>
      <w:r>
        <w:t xml:space="preserve"> &amp; </w:t>
      </w:r>
      <w:proofErr w:type="spellStart"/>
      <w:r>
        <w:t>Aivazis</w:t>
      </w:r>
      <w:proofErr w:type="spellEnd"/>
      <w:r>
        <w:t>, 2011) makes this foundation particularly well-suited for laboratory informatics applications. The platform's long development history, combined with its strong emphasis on backward compatibility and migration tooling, provides assurance of long-term viability that is an important consideration for any LIMS investment.</w:t>
      </w:r>
    </w:p>
    <w:p w14:paraId="150BCAF6" w14:textId="77777777" w:rsidR="00E726A1" w:rsidRDefault="00A821DC">
      <w:pPr>
        <w:spacing w:after="160" w:line="360" w:lineRule="auto"/>
        <w:jc w:val="both"/>
      </w:pPr>
      <w:r>
        <w:t xml:space="preserve">The design philosophy underlying </w:t>
      </w:r>
      <w:proofErr w:type="spellStart"/>
      <w:r>
        <w:t>Plone</w:t>
      </w:r>
      <w:proofErr w:type="spellEnd"/>
      <w:r>
        <w:t xml:space="preserve"> </w:t>
      </w:r>
      <w:proofErr w:type="spellStart"/>
      <w:r>
        <w:t>emphasises</w:t>
      </w:r>
      <w:proofErr w:type="spellEnd"/>
      <w:r>
        <w:t xml:space="preserve"> security, extensibility, and standards compliance. </w:t>
      </w:r>
      <w:proofErr w:type="spellStart"/>
      <w:r>
        <w:t>Plone</w:t>
      </w:r>
      <w:proofErr w:type="spellEnd"/>
      <w:r>
        <w:t xml:space="preserve"> implements a fine-grained role-based access control system that permits detailed specification of user permissions at the object level, enabling administrators to enforce complex data access policies appropriate to multi-user laboratory environments. The platform conforms to a range of web accessibility and interoperability standards, including the Representational State Transfer (REST) architectural style for web services (Fielding &amp; Taylor, 2002) through its REST API extension, and supports integration with external authentication systems including LDAP and OAuth. These capabilities position </w:t>
      </w:r>
      <w:proofErr w:type="spellStart"/>
      <w:r>
        <w:t>Plone</w:t>
      </w:r>
      <w:proofErr w:type="spellEnd"/>
      <w:r>
        <w:t xml:space="preserve"> as a technically credible foundation for enterprise-grade LIMS applications requiring robust security and integration capabilities.</w:t>
      </w:r>
    </w:p>
    <w:p w14:paraId="00760042" w14:textId="77777777" w:rsidR="00E726A1" w:rsidRDefault="00A821DC">
      <w:pPr>
        <w:spacing w:after="160" w:line="360" w:lineRule="auto"/>
        <w:jc w:val="both"/>
      </w:pPr>
      <w:proofErr w:type="spellStart"/>
      <w:r>
        <w:t>Plone's</w:t>
      </w:r>
      <w:proofErr w:type="spellEnd"/>
      <w:r>
        <w:t xml:space="preserve"> workflow engine, inherited from the </w:t>
      </w:r>
      <w:proofErr w:type="spellStart"/>
      <w:r>
        <w:t>Zope</w:t>
      </w:r>
      <w:proofErr w:type="spellEnd"/>
      <w:r>
        <w:t xml:space="preserve"> Component Architecture, enables the definition and enforcement of complex, multi-stage document and data workflows with configurable states, transitions, and actor roles. In a LIMS context, this workflow engine can be employed to model the progression of a laboratory sample through stages such as registration, preparation, testing, data entry, validation, </w:t>
      </w:r>
      <w:proofErr w:type="spellStart"/>
      <w:r>
        <w:t>authorisation</w:t>
      </w:r>
      <w:proofErr w:type="spellEnd"/>
      <w:r>
        <w:t xml:space="preserve">, and reporting, with automatic notifications, permission changes, and audit log entries at each transition. This native workflow capability represents a significant advantage of </w:t>
      </w:r>
      <w:proofErr w:type="spellStart"/>
      <w:r>
        <w:t>Plone</w:t>
      </w:r>
      <w:proofErr w:type="spellEnd"/>
      <w:r>
        <w:t xml:space="preserve"> over general-purpose web frameworks that lack built-in workflow management, as it eliminates the </w:t>
      </w:r>
      <w:r>
        <w:lastRenderedPageBreak/>
        <w:t xml:space="preserve">need to develop bespoke state machine logic for laboratory process control. The REST architecture, as articulated by Fielding and Taylor (2002), provides a principled basis for exposing LIMS functionality through </w:t>
      </w:r>
      <w:proofErr w:type="spellStart"/>
      <w:r>
        <w:t>standardised</w:t>
      </w:r>
      <w:proofErr w:type="spellEnd"/>
      <w:r>
        <w:t xml:space="preserve"> web interfaces that can be consumed by instrument drivers, mobile applications, and third-party analytical tools.</w:t>
      </w:r>
    </w:p>
    <w:p w14:paraId="49F4A2FE" w14:textId="77777777" w:rsidR="00E726A1" w:rsidRDefault="00A821DC">
      <w:pPr>
        <w:pStyle w:val="Heading2"/>
      </w:pPr>
      <w:r>
        <w:t xml:space="preserve">6.2 </w:t>
      </w:r>
      <w:proofErr w:type="spellStart"/>
      <w:r>
        <w:t>Plone</w:t>
      </w:r>
      <w:proofErr w:type="spellEnd"/>
      <w:r>
        <w:t xml:space="preserve"> as a Foundation for Open-Source LIMS</w:t>
      </w:r>
    </w:p>
    <w:p w14:paraId="491DBAE6" w14:textId="77777777" w:rsidR="00E726A1" w:rsidRDefault="00A821DC">
      <w:pPr>
        <w:spacing w:after="160" w:line="360" w:lineRule="auto"/>
        <w:jc w:val="both"/>
      </w:pPr>
      <w:r>
        <w:t xml:space="preserve">The most prominent real-world demonstration of </w:t>
      </w:r>
      <w:proofErr w:type="spellStart"/>
      <w:r>
        <w:t>Plone's</w:t>
      </w:r>
      <w:proofErr w:type="spellEnd"/>
      <w:r>
        <w:t xml:space="preserve"> suitability as a LIMS foundation is provided by Bika LIMS (subsequently rebranded as SENAITE), an open-source LIMS platform originally developed for clinical and environmental laboratory settings and now deployed internationally across a range of laboratory types. Bika LIMS was built entirely within the </w:t>
      </w:r>
      <w:proofErr w:type="spellStart"/>
      <w:r>
        <w:t>Plone</w:t>
      </w:r>
      <w:proofErr w:type="spellEnd"/>
      <w:r>
        <w:t xml:space="preserve"> framework, leveraging </w:t>
      </w:r>
      <w:proofErr w:type="spellStart"/>
      <w:r>
        <w:t>Plone's</w:t>
      </w:r>
      <w:proofErr w:type="spellEnd"/>
      <w:r>
        <w:t xml:space="preserve"> content management architecture, workflow engine, and ZODB storage to provide a fully featured LIMS without the requirement for a separate relational database. Its codebase demonstrates the practical feasibility of implementing complex laboratory informatics functionality — including sample tracking, test scheduling, quality control charting, and accreditation-ready reporting — within the </w:t>
      </w:r>
      <w:proofErr w:type="spellStart"/>
      <w:r>
        <w:t>Plone</w:t>
      </w:r>
      <w:proofErr w:type="spellEnd"/>
      <w:r>
        <w:t xml:space="preserve"> ecosystem.</w:t>
      </w:r>
    </w:p>
    <w:p w14:paraId="1497D995" w14:textId="77777777" w:rsidR="00E726A1" w:rsidRDefault="00A821DC">
      <w:pPr>
        <w:spacing w:after="160" w:line="360" w:lineRule="auto"/>
        <w:jc w:val="both"/>
      </w:pPr>
      <w:r>
        <w:t xml:space="preserve">The existence of a mature, production-deployed </w:t>
      </w:r>
      <w:proofErr w:type="spellStart"/>
      <w:r>
        <w:t>Plone</w:t>
      </w:r>
      <w:proofErr w:type="spellEnd"/>
      <w:r>
        <w:t xml:space="preserve">-based LIMS provides an important proof of concept for the technology stack under review. The SENAITE architecture illustrates how </w:t>
      </w:r>
      <w:proofErr w:type="spellStart"/>
      <w:r>
        <w:t>Plone's</w:t>
      </w:r>
      <w:proofErr w:type="spellEnd"/>
      <w:r>
        <w:t xml:space="preserve"> content types can be extended to represent laboratory-specific entities such as samples, analyses, worksheets, and reports; how ZODB's object persistence supports the dynamic modelling of these entities without the constraints of a predefined relational schema; and how </w:t>
      </w:r>
      <w:proofErr w:type="spellStart"/>
      <w:r>
        <w:t>Plone's</w:t>
      </w:r>
      <w:proofErr w:type="spellEnd"/>
      <w:r>
        <w:t xml:space="preserve"> REST API enables integration with external systems including instrument interfaces, customer portals, and regulatory submission platforms. The adaptation of this framework to civil engineering laboratory contexts would require domain-specific </w:t>
      </w:r>
      <w:proofErr w:type="spellStart"/>
      <w:r>
        <w:t>customisation</w:t>
      </w:r>
      <w:proofErr w:type="spellEnd"/>
      <w:r>
        <w:t xml:space="preserve"> to accommodate the testing standards, data structures, and reporting conventions of the engineering sector, but the underlying architectural model is directly transferable and represents a substantive foundation for further development.</w:t>
      </w:r>
    </w:p>
    <w:p w14:paraId="2082DC4F" w14:textId="77777777" w:rsidR="00E726A1" w:rsidRDefault="00A821DC">
      <w:pPr>
        <w:spacing w:after="160" w:line="360" w:lineRule="auto"/>
        <w:jc w:val="both"/>
      </w:pPr>
      <w:proofErr w:type="spellStart"/>
      <w:r>
        <w:t>Plone's</w:t>
      </w:r>
      <w:proofErr w:type="spellEnd"/>
      <w:r>
        <w:t xml:space="preserve"> Python foundation is of particular significance in the context of scientific and engineering software development. Python has established itself as the lingua franca of scientific computing, supporting a rich ecosystem of numerical, statistical, and </w:t>
      </w:r>
      <w:proofErr w:type="spellStart"/>
      <w:r>
        <w:t>visualisation</w:t>
      </w:r>
      <w:proofErr w:type="spellEnd"/>
      <w:r>
        <w:t xml:space="preserve"> libraries (</w:t>
      </w:r>
      <w:proofErr w:type="spellStart"/>
      <w:r>
        <w:t>Millman</w:t>
      </w:r>
      <w:proofErr w:type="spellEnd"/>
      <w:r>
        <w:t xml:space="preserve"> &amp; </w:t>
      </w:r>
      <w:proofErr w:type="spellStart"/>
      <w:r>
        <w:t>Aivazis</w:t>
      </w:r>
      <w:proofErr w:type="spellEnd"/>
      <w:r>
        <w:t xml:space="preserve">, 2011; Virtanen et al., 2020). The alignment of </w:t>
      </w:r>
      <w:proofErr w:type="spellStart"/>
      <w:r>
        <w:t>Plone's</w:t>
      </w:r>
      <w:proofErr w:type="spellEnd"/>
      <w:r>
        <w:t xml:space="preserve"> development language with the scientific Python ecosystem facilitates the </w:t>
      </w:r>
      <w:r>
        <w:lastRenderedPageBreak/>
        <w:t xml:space="preserve">integration of advanced data processing capabilities within LIMS components, enabling, for example, the automated computation of derived parameters, the generation of statistical quality control charts, or the application of machine learning models for predictive maintenance scheduling. The sustainability of open-source scientific software, including Python-based platforms, has been identified by Ince et al. (2012) as a critical factor in the long-term reliability of computational research infrastructure, and </w:t>
      </w:r>
      <w:proofErr w:type="spellStart"/>
      <w:r>
        <w:t>Plone's</w:t>
      </w:r>
      <w:proofErr w:type="spellEnd"/>
      <w:r>
        <w:t xml:space="preserve"> sustained development trajectory provides meaningful assurance in this regard.</w:t>
      </w:r>
    </w:p>
    <w:p w14:paraId="574A787F" w14:textId="77777777" w:rsidR="00E726A1" w:rsidRDefault="00A821DC">
      <w:pPr>
        <w:pStyle w:val="Heading2"/>
      </w:pPr>
      <w:r>
        <w:t xml:space="preserve">6.3 </w:t>
      </w:r>
      <w:proofErr w:type="spellStart"/>
      <w:r>
        <w:t>Customisation</w:t>
      </w:r>
      <w:proofErr w:type="spellEnd"/>
      <w:r>
        <w:t xml:space="preserve"> and Extensibility</w:t>
      </w:r>
    </w:p>
    <w:p w14:paraId="5EFD8A02" w14:textId="77777777" w:rsidR="00E726A1" w:rsidRDefault="00A821DC">
      <w:pPr>
        <w:spacing w:after="160" w:line="360" w:lineRule="auto"/>
        <w:jc w:val="both"/>
      </w:pPr>
      <w:proofErr w:type="spellStart"/>
      <w:r>
        <w:t>Plone's</w:t>
      </w:r>
      <w:proofErr w:type="spellEnd"/>
      <w:r>
        <w:t xml:space="preserve"> extensibility model is based on the concept of add-ons, which are Python packages that can be installed within a </w:t>
      </w:r>
      <w:proofErr w:type="spellStart"/>
      <w:r>
        <w:t>Plone</w:t>
      </w:r>
      <w:proofErr w:type="spellEnd"/>
      <w:r>
        <w:t xml:space="preserve"> instance to extend or modify its default </w:t>
      </w:r>
      <w:proofErr w:type="spellStart"/>
      <w:r>
        <w:t>behaviour</w:t>
      </w:r>
      <w:proofErr w:type="spellEnd"/>
      <w:r>
        <w:t xml:space="preserve">. Add-ons may introduce new content types, custom views, additional workflow definitions, or integration bridges with external systems. The development of </w:t>
      </w:r>
      <w:proofErr w:type="spellStart"/>
      <w:r>
        <w:t>Plone</w:t>
      </w:r>
      <w:proofErr w:type="spellEnd"/>
      <w:r>
        <w:t xml:space="preserve"> add-ons follows well-established conventions and is supported by comprehensive documentation and a large body of exemplary code in the open-source commons. This extensibility model is particularly well-suited to LIMS development, where the diversity of laboratory types and testing procedures demands a high degree of configuration flexibility without the need for bespoke software development from the ground up.</w:t>
      </w:r>
    </w:p>
    <w:p w14:paraId="3FA461D1" w14:textId="77777777" w:rsidR="00E726A1" w:rsidRDefault="00A821DC">
      <w:pPr>
        <w:spacing w:after="160" w:line="360" w:lineRule="auto"/>
        <w:jc w:val="both"/>
      </w:pPr>
      <w:r>
        <w:t xml:space="preserve">For civil engineering LIMS applications, relevant areas of </w:t>
      </w:r>
      <w:proofErr w:type="spellStart"/>
      <w:r>
        <w:t>customisation</w:t>
      </w:r>
      <w:proofErr w:type="spellEnd"/>
      <w:r>
        <w:t xml:space="preserve"> would include: the definition of content types representing specific test categories such as concrete compression tests, soil particle size analyses, or permeability measurements; the implementation of calculation views that apply standard data processing to raw test inputs; the development of report templates conforming to accreditation body requirements; and the creation of integration modules enabling direct data acquisition from testing machines and measuring instruments. Python's extensive library support, including scientific computing packages such as NumPy, SciPy, and Matplotlib (Virtanen et al., 2020), provides ready-made tools for implementing these capabilities within the </w:t>
      </w:r>
      <w:proofErr w:type="spellStart"/>
      <w:r>
        <w:t>Plone</w:t>
      </w:r>
      <w:proofErr w:type="spellEnd"/>
      <w:r>
        <w:t xml:space="preserve"> framework. The maintenance and long-term sustainability of a </w:t>
      </w:r>
      <w:proofErr w:type="spellStart"/>
      <w:r>
        <w:t>Plone</w:t>
      </w:r>
      <w:proofErr w:type="spellEnd"/>
      <w:r>
        <w:t xml:space="preserve">-based civil engineering LIMS are facilitated by the platform's established release management, security patching, and migration tooling. However, the relatively </w:t>
      </w:r>
      <w:proofErr w:type="spellStart"/>
      <w:r>
        <w:t>specialised</w:t>
      </w:r>
      <w:proofErr w:type="spellEnd"/>
      <w:r>
        <w:t xml:space="preserve"> nature of the </w:t>
      </w:r>
      <w:proofErr w:type="spellStart"/>
      <w:r>
        <w:t>Plone</w:t>
      </w:r>
      <w:proofErr w:type="spellEnd"/>
      <w:r>
        <w:t xml:space="preserve"> ecosystem, compared to more broadly adopted frameworks, implies a smaller talent pool for recruitment and a more limited set of third-party service providers, which may present challenges for </w:t>
      </w:r>
      <w:proofErr w:type="spellStart"/>
      <w:r>
        <w:t>organisations</w:t>
      </w:r>
      <w:proofErr w:type="spellEnd"/>
      <w:r>
        <w:t xml:space="preserve"> that lack internal Python and </w:t>
      </w:r>
      <w:proofErr w:type="spellStart"/>
      <w:r>
        <w:t>Plone</w:t>
      </w:r>
      <w:proofErr w:type="spellEnd"/>
      <w:r>
        <w:t xml:space="preserve"> expertise.</w:t>
      </w:r>
    </w:p>
    <w:p w14:paraId="204968C4" w14:textId="77777777" w:rsidR="00E726A1" w:rsidRDefault="00A821DC">
      <w:pPr>
        <w:pStyle w:val="Heading1"/>
      </w:pPr>
      <w:r>
        <w:lastRenderedPageBreak/>
        <w:t xml:space="preserve">7. The </w:t>
      </w:r>
      <w:proofErr w:type="spellStart"/>
      <w:r>
        <w:t>Zope</w:t>
      </w:r>
      <w:proofErr w:type="spellEnd"/>
      <w:r>
        <w:t xml:space="preserve"> Object Database as a Persistence Layer for LIMS</w:t>
      </w:r>
    </w:p>
    <w:p w14:paraId="3B44F8E0" w14:textId="77777777" w:rsidR="00E726A1" w:rsidRDefault="00A821DC">
      <w:pPr>
        <w:pStyle w:val="Heading2"/>
      </w:pPr>
      <w:r>
        <w:t>7.1 Object-Oriented Database Design</w:t>
      </w:r>
    </w:p>
    <w:p w14:paraId="600C82C3" w14:textId="77777777" w:rsidR="00E726A1" w:rsidRDefault="00A821DC">
      <w:pPr>
        <w:spacing w:after="160" w:line="360" w:lineRule="auto"/>
        <w:jc w:val="both"/>
      </w:pPr>
      <w:r>
        <w:t xml:space="preserve">The ZODB is an object-oriented persistence library for Python that provides a seamless mechanism for storing and retrieving Python objects from a persistent store. Unlike relational database systems, which require the translation of in-memory Python objects into rows and columns through an object-relational mapping layer, ZODB stores Python objects directly in their native object form, preserving their attributes and inter-object references across sessions. This approach eliminates the object-relational impedance mismatch — the conceptual and performance overhead associated with translating between the object-oriented and relational data models — and enables the development of data management applications in which the persistence layer is virtually transparent to the application code (Cattell, 2011). Object-oriented databases have been a subject of sustained academic interest since the emergence of object-oriented programming, with their appeal lying in the ability to model complex, heterogeneous, and hierarchically structured information without the semantic distortion introduced by relational </w:t>
      </w:r>
      <w:proofErr w:type="spellStart"/>
      <w:r>
        <w:t>normalisation</w:t>
      </w:r>
      <w:proofErr w:type="spellEnd"/>
      <w:r>
        <w:t>.</w:t>
      </w:r>
    </w:p>
    <w:p w14:paraId="5B01676D" w14:textId="77777777" w:rsidR="00E726A1" w:rsidRDefault="00A821DC">
      <w:pPr>
        <w:spacing w:after="160" w:line="360" w:lineRule="auto"/>
        <w:jc w:val="both"/>
      </w:pPr>
      <w:r>
        <w:t xml:space="preserve">In the context of laboratory data management, where the information domain includes rich, semantically complex entities such as samples, test procedures, instruments, standards, and results — each with their own attributes and relationships — object databases offer a data modelling flexibility that is difficult to replicate within a purely relational paradigm. The non-relational approach to data management has been examined in comparative terms by Cattell (2011), who demonstrated that whilst relational databases remain optimal for transaction-intensive, highly structured workloads, object and document databases offer compelling advantages for applications </w:t>
      </w:r>
      <w:proofErr w:type="spellStart"/>
      <w:r>
        <w:t>characterised</w:t>
      </w:r>
      <w:proofErr w:type="spellEnd"/>
      <w:r>
        <w:t xml:space="preserve"> by data heterogeneity, evolving schemas, and complex nested data structures — precisely the characteristics that typify civil engineering laboratory data management.</w:t>
      </w:r>
    </w:p>
    <w:p w14:paraId="5FE9B2B6" w14:textId="77777777" w:rsidR="00E726A1" w:rsidRDefault="00A821DC">
      <w:pPr>
        <w:pStyle w:val="Heading2"/>
      </w:pPr>
      <w:r>
        <w:t>7.2 ZODB Architecture and Core Features</w:t>
      </w:r>
    </w:p>
    <w:p w14:paraId="2379E276" w14:textId="77777777" w:rsidR="00E726A1" w:rsidRDefault="00A821DC">
      <w:pPr>
        <w:spacing w:after="160" w:line="360" w:lineRule="auto"/>
        <w:jc w:val="both"/>
      </w:pPr>
      <w:r>
        <w:t xml:space="preserve">The ZODB's architecture consists of several interconnected components. The Object Transaction Manager coordinates transactional access to persistent objects, ensuring that concurrent modifications from multiple users are handled consistently and that partial updates due to errors or interruptions are rolled back cleanly. The persistent storage backend — which defaults to the </w:t>
      </w:r>
      <w:proofErr w:type="spellStart"/>
      <w:r>
        <w:t>FileStorage</w:t>
      </w:r>
      <w:proofErr w:type="spellEnd"/>
      <w:r>
        <w:t xml:space="preserve"> implementation — writes object data to a </w:t>
      </w:r>
      <w:r>
        <w:lastRenderedPageBreak/>
        <w:t>single file on disk using an append-only log structure that preserves the full history of changes and supports historical retrieval of past object states. This historical versioning capability is of particular relevance to LIMS applications, where the ability to reconstruct the state of a laboratory record at any past point in time may be required for audit trail purposes in the context of ISO/IEC 17025 accreditation or legal proceedings.</w:t>
      </w:r>
    </w:p>
    <w:p w14:paraId="15F18364" w14:textId="77777777" w:rsidR="00E726A1" w:rsidRDefault="00A821DC">
      <w:pPr>
        <w:spacing w:after="160" w:line="360" w:lineRule="auto"/>
        <w:jc w:val="both"/>
      </w:pPr>
      <w:r>
        <w:t>ZODB provides native support for transactional data integrity through its integration with the transaction Python library, which manages commit and abort cycles consistent with ACID (Atomicity, Consistency, Isolation, Durability) database semantics. The Conflict Resolution mechanism built into ZODB allows application developers to define custom resolution strategies for concurrent modification conflicts, enabling high-concurrency use cases to be handled gracefully without sacrificing data integrity. For LIMS applications serving multiple simultaneous users — as is typical in multi-bench laboratory environments — this conflict resolution capability is an important reliability feature. The ZODB's Blobs facility supports the efficient storage of large binary objects such as instrument data files, test photographs, and scanned documents alongside the structured test data held in standard ZODB objects, providing integrated handling of both structured and unstructured data within a single storage backend. This is particularly advantageous for civil engineering laboratories where test documentation routinely includes photographic records and instrument-generated digital files.</w:t>
      </w:r>
    </w:p>
    <w:p w14:paraId="6D4A417B" w14:textId="77777777" w:rsidR="00E726A1" w:rsidRDefault="00A821DC">
      <w:pPr>
        <w:pStyle w:val="Heading2"/>
      </w:pPr>
      <w:r>
        <w:t>7.3 ZODB in the Context of Civil Engineering Laboratory Data</w:t>
      </w:r>
    </w:p>
    <w:p w14:paraId="54BF07B0" w14:textId="77777777" w:rsidR="00E726A1" w:rsidRDefault="00A821DC">
      <w:pPr>
        <w:spacing w:after="160" w:line="360" w:lineRule="auto"/>
        <w:jc w:val="both"/>
      </w:pPr>
      <w:r>
        <w:t xml:space="preserve">The schema-free nature of ZODB makes it particularly well-suited to the data heterogeneity characteristic of civil engineering laboratory environments. Because ZODB does not enforce a predefined schema, new test types can be introduced, new attributes added to existing test types, and data structures modified without database migration scripts or downtime — a significant operational advantage for laboratories that regularly update their testing capabilities in response to new standards or client requirements. This flexibility contrasts </w:t>
      </w:r>
      <w:proofErr w:type="spellStart"/>
      <w:r>
        <w:t>favourably</w:t>
      </w:r>
      <w:proofErr w:type="spellEnd"/>
      <w:r>
        <w:t xml:space="preserve"> with the schema migration challenges encountered when extending relational LIMS databases, which can require careful coordination between application updates and database schema changes. The schema-agnostic nature of ZODB also aligns with the data quality management principles articulated by </w:t>
      </w:r>
      <w:proofErr w:type="spellStart"/>
      <w:r>
        <w:t>Batini</w:t>
      </w:r>
      <w:proofErr w:type="spellEnd"/>
      <w:r>
        <w:t xml:space="preserve"> et al. (2009), who </w:t>
      </w:r>
      <w:proofErr w:type="spellStart"/>
      <w:r>
        <w:t>emphasise</w:t>
      </w:r>
      <w:proofErr w:type="spellEnd"/>
      <w:r>
        <w:t xml:space="preserve"> that effective data quality management requires the ability to adapt data structures to evolving information requirements without incurring prohibitive restructuring costs.</w:t>
      </w:r>
    </w:p>
    <w:p w14:paraId="3F96DC74" w14:textId="77777777" w:rsidR="00E726A1" w:rsidRDefault="00A821DC">
      <w:pPr>
        <w:spacing w:after="160" w:line="360" w:lineRule="auto"/>
        <w:jc w:val="both"/>
      </w:pPr>
      <w:r>
        <w:lastRenderedPageBreak/>
        <w:t xml:space="preserve">However, ZODB's advantages in flexibility and Python integration are accompanied by limitations that must be carefully considered in the context of civil engineering LIMS design. ZODB's </w:t>
      </w:r>
      <w:proofErr w:type="spellStart"/>
      <w:r>
        <w:t>FileStorage</w:t>
      </w:r>
      <w:proofErr w:type="spellEnd"/>
      <w:r>
        <w:t xml:space="preserve"> backend is not natively designed for the high-concurrency, high-throughput transaction profiles associated with large-scale relational database workloads. In typical civil engineering laboratory deployments — which may involve tens rather than thousands of simultaneous users — this limitation is unlikely to manifest as a performance bottleneck, but </w:t>
      </w:r>
      <w:proofErr w:type="spellStart"/>
      <w:r>
        <w:t>organisations</w:t>
      </w:r>
      <w:proofErr w:type="spellEnd"/>
      <w:r>
        <w:t xml:space="preserve"> anticipating substantial growth in data volume or user concurrency should evaluate ZODB's scalability profile carefully against their projected requirements. Cattell (2011) has noted that the performance characteristics of non-relational databases depend strongly on access patterns, and that the most appropriate database architecture for a given application must be evaluated empirically rather than assumed on the basis of general architectural principles.</w:t>
      </w:r>
    </w:p>
    <w:p w14:paraId="19942F1A" w14:textId="77777777" w:rsidR="00E726A1" w:rsidRDefault="00A821DC">
      <w:pPr>
        <w:spacing w:after="160" w:line="360" w:lineRule="auto"/>
        <w:jc w:val="both"/>
      </w:pPr>
      <w:r>
        <w:t>Furthermore, ZODB's departure from the relational model complicates ad hoc querying and reporting, as the structured query language tooling familiar to most database administrators is not applicable. ZODB provides a catalogue-based indexing mechanism (</w:t>
      </w:r>
      <w:proofErr w:type="spellStart"/>
      <w:r>
        <w:t>ZCatalog</w:t>
      </w:r>
      <w:proofErr w:type="spellEnd"/>
      <w:r>
        <w:t xml:space="preserve">) for efficient object retrieval, but complex cross-object queries require the use of Python-based query interfaces or third-party indexing backends, adding architectural complexity to deployments that require advanced search and reporting capabilities. For civil engineering LIMS systems that must generate complex statistical reports across large populations of test results, supplementary indexing infrastructure may therefore be necessary. The </w:t>
      </w:r>
      <w:proofErr w:type="spellStart"/>
      <w:r>
        <w:t>RelStorage</w:t>
      </w:r>
      <w:proofErr w:type="spellEnd"/>
      <w:r>
        <w:t xml:space="preserve"> extension, which enables ZODB to use a conventional relational database as its storage backend whilst retaining the ZODB programming interface, offers a pragmatic alternative that partially addresses these scalability and querying limitations.</w:t>
      </w:r>
    </w:p>
    <w:p w14:paraId="64DFAD91" w14:textId="77777777" w:rsidR="00E726A1" w:rsidRDefault="00A821DC">
      <w:pPr>
        <w:pStyle w:val="Heading1"/>
      </w:pPr>
      <w:r>
        <w:t xml:space="preserve">8. Integration of Docker, </w:t>
      </w:r>
      <w:proofErr w:type="spellStart"/>
      <w:r>
        <w:t>Plone</w:t>
      </w:r>
      <w:proofErr w:type="spellEnd"/>
      <w:r>
        <w:t>, and ZODB for Civil Engineering LIMS</w:t>
      </w:r>
    </w:p>
    <w:p w14:paraId="74128B8F" w14:textId="77777777" w:rsidR="00E726A1" w:rsidRDefault="00A821DC">
      <w:pPr>
        <w:pStyle w:val="Heading2"/>
      </w:pPr>
      <w:r>
        <w:t>8.1 System Architecture Considerations</w:t>
      </w:r>
    </w:p>
    <w:p w14:paraId="0680DEC5" w14:textId="77777777" w:rsidR="00E726A1" w:rsidRDefault="00A821DC">
      <w:pPr>
        <w:spacing w:after="160" w:line="360" w:lineRule="auto"/>
        <w:jc w:val="both"/>
      </w:pPr>
      <w:r>
        <w:t>The deployment of a civil engineering LIMS based on the Docker-</w:t>
      </w:r>
      <w:proofErr w:type="spellStart"/>
      <w:r>
        <w:t>Plone</w:t>
      </w:r>
      <w:proofErr w:type="spellEnd"/>
      <w:r>
        <w:t xml:space="preserve">-ZODB technology stack involves the coordination of multiple software components within a coherent system architecture. A typical deployment would comprise at minimum a </w:t>
      </w:r>
      <w:proofErr w:type="spellStart"/>
      <w:r>
        <w:t>Plone</w:t>
      </w:r>
      <w:proofErr w:type="spellEnd"/>
      <w:r>
        <w:t xml:space="preserve"> application container providing the web application layer and housing the LIMS content types, workflows, and views; a ZODB storage container (or a storage service such as </w:t>
      </w:r>
      <w:proofErr w:type="spellStart"/>
      <w:r>
        <w:lastRenderedPageBreak/>
        <w:t>RelStorage</w:t>
      </w:r>
      <w:proofErr w:type="spellEnd"/>
      <w:r>
        <w:t xml:space="preserve"> connecting ZODB to an external relational database) providing persistent data storage; a reverse proxy container such as Nginx or </w:t>
      </w:r>
      <w:proofErr w:type="spellStart"/>
      <w:r>
        <w:t>Traefik</w:t>
      </w:r>
      <w:proofErr w:type="spellEnd"/>
      <w:r>
        <w:t xml:space="preserve"> serving as the HTTP frontend and managing SSL termination, load balancing, and static file delivery; and one or more auxiliary containers providing services such as email notification, document conversion, and cache management.</w:t>
      </w:r>
    </w:p>
    <w:p w14:paraId="18EEDBBF" w14:textId="77777777" w:rsidR="00E726A1" w:rsidRDefault="00A821DC">
      <w:pPr>
        <w:spacing w:after="160" w:line="360" w:lineRule="auto"/>
        <w:jc w:val="both"/>
      </w:pPr>
      <w:r>
        <w:t xml:space="preserve">The definition of this multi-container architecture within a Docker Compose file enables the entire system to be declared as infrastructure-as-code, facilitating version-controlled configuration management, automated testing of deployment configurations, and one-command </w:t>
      </w:r>
      <w:proofErr w:type="spellStart"/>
      <w:r>
        <w:t>initialisation</w:t>
      </w:r>
      <w:proofErr w:type="spellEnd"/>
      <w:r>
        <w:t xml:space="preserve"> of complete LIMS environments. This approach aligns with the best practices for reproducible scientific computing infrastructure described by </w:t>
      </w:r>
      <w:proofErr w:type="spellStart"/>
      <w:r>
        <w:t>Stodden</w:t>
      </w:r>
      <w:proofErr w:type="spellEnd"/>
      <w:r>
        <w:t xml:space="preserve"> and </w:t>
      </w:r>
      <w:proofErr w:type="spellStart"/>
      <w:r>
        <w:t>Miguez</w:t>
      </w:r>
      <w:proofErr w:type="spellEnd"/>
      <w:r>
        <w:t xml:space="preserve"> (2014), who </w:t>
      </w:r>
      <w:proofErr w:type="spellStart"/>
      <w:r>
        <w:t>emphasise</w:t>
      </w:r>
      <w:proofErr w:type="spellEnd"/>
      <w:r>
        <w:t xml:space="preserve"> the value of declarative, version-controlled environment specifications as a foundation for reproducibility and collaborative maintenance. For civil engineering laboratories operating within institutional IT environments, the Docker-based deployment model offers important practical advantages: the containment of the LIMS application within Docker containers isolates it from competing software installations on the host server, reducing the risk of dependency conflicts with other institutional applications. Upgrades to the LIMS application or its dependencies can be tested in a staging container before promotion to the production environment, reducing the risk of service disruption. The portability of Docker containers further facilitates migration of LIMS instances between different server environments as institutional IT strategies evolve (</w:t>
      </w:r>
      <w:proofErr w:type="spellStart"/>
      <w:r>
        <w:t>Buyya</w:t>
      </w:r>
      <w:proofErr w:type="spellEnd"/>
      <w:r>
        <w:t xml:space="preserve"> et al., 2009).</w:t>
      </w:r>
    </w:p>
    <w:p w14:paraId="1E71005C" w14:textId="77777777" w:rsidR="00E726A1" w:rsidRDefault="00A821DC">
      <w:pPr>
        <w:pStyle w:val="Heading2"/>
      </w:pPr>
      <w:r>
        <w:t>8.2 Deployment Strategies and Operational Considerations</w:t>
      </w:r>
    </w:p>
    <w:p w14:paraId="70279852" w14:textId="77777777" w:rsidR="00E726A1" w:rsidRDefault="00A821DC">
      <w:pPr>
        <w:spacing w:after="160" w:line="360" w:lineRule="auto"/>
        <w:jc w:val="both"/>
      </w:pPr>
      <w:r>
        <w:t xml:space="preserve">Several distinct deployment strategies are available for Docker-based </w:t>
      </w:r>
      <w:proofErr w:type="spellStart"/>
      <w:r>
        <w:t>Plone</w:t>
      </w:r>
      <w:proofErr w:type="spellEnd"/>
      <w:r>
        <w:t xml:space="preserve"> LIMS systems, each appropriate for different scales and operational contexts. For small laboratories with modest user concurrency and data volumes, a single-host Docker Compose deployment running all services on a single physical or virtual server represents the most straightforward approach, providing the benefits of </w:t>
      </w:r>
      <w:proofErr w:type="spellStart"/>
      <w:r>
        <w:t>containerisation</w:t>
      </w:r>
      <w:proofErr w:type="spellEnd"/>
      <w:r>
        <w:t xml:space="preserve"> without the operational complexity of distributed orchestration. In this configuration, ZODB's </w:t>
      </w:r>
      <w:proofErr w:type="spellStart"/>
      <w:r>
        <w:t>FileStorage</w:t>
      </w:r>
      <w:proofErr w:type="spellEnd"/>
      <w:r>
        <w:t xml:space="preserve"> backend is mounted as a Docker volume on the host filesystem, ensuring data persistence across container restarts and enabling backup through standard filesystem operations.</w:t>
      </w:r>
    </w:p>
    <w:p w14:paraId="3A0B65E5" w14:textId="77777777" w:rsidR="00E726A1" w:rsidRDefault="00A821DC">
      <w:pPr>
        <w:spacing w:after="160" w:line="360" w:lineRule="auto"/>
        <w:jc w:val="both"/>
      </w:pPr>
      <w:r>
        <w:lastRenderedPageBreak/>
        <w:t xml:space="preserve">For larger deployments serving multiple laboratory branches or high-concurrency user populations, a more sophisticated architecture may be warranted. </w:t>
      </w:r>
      <w:proofErr w:type="spellStart"/>
      <w:r>
        <w:t>Plone's</w:t>
      </w:r>
      <w:proofErr w:type="spellEnd"/>
      <w:r>
        <w:t xml:space="preserve"> ZEO Server component enables multiple </w:t>
      </w:r>
      <w:proofErr w:type="spellStart"/>
      <w:r>
        <w:t>Plone</w:t>
      </w:r>
      <w:proofErr w:type="spellEnd"/>
      <w:r>
        <w:t xml:space="preserve"> application containers to share a single ZODB storage backend over a network connection, providing horizontal scaling of the application tier whilst maintaining a single source of truth for persistent data. Alternatively, </w:t>
      </w:r>
      <w:proofErr w:type="spellStart"/>
      <w:r>
        <w:t>RelStorage</w:t>
      </w:r>
      <w:proofErr w:type="spellEnd"/>
      <w:r>
        <w:t xml:space="preserve"> can be employed to leverage the scalability and operational maturity of enterprise database systems such as PostgreSQL, whilst retaining ZODB's object-oriented programming interface for the application layer. This hybrid approach represents a pragmatic compromise between ZODB's flexibility and the scalability and tooling support of relational databases.</w:t>
      </w:r>
    </w:p>
    <w:p w14:paraId="6250CF71" w14:textId="77777777" w:rsidR="00E726A1" w:rsidRDefault="00A821DC">
      <w:pPr>
        <w:spacing w:after="160" w:line="360" w:lineRule="auto"/>
        <w:jc w:val="both"/>
      </w:pPr>
      <w:r>
        <w:t>The integration of Docker with continuous integration and continuous deployment pipelines offers further operational benefits for LIMS environments that require regular updates to testing procedures, report templates, or interface integrations. Automated build and test pipelines can validate new versions of the LIMS application before deployment, and container registry workflows can streamline the promotion of tested images from development to production environments (</w:t>
      </w:r>
      <w:proofErr w:type="spellStart"/>
      <w:r>
        <w:t>Balalaie</w:t>
      </w:r>
      <w:proofErr w:type="spellEnd"/>
      <w:r>
        <w:t xml:space="preserve"> et al., 2016). These DevOps practices, whilst originating in commercial software development contexts, are increasingly applicable to scientific and engineering software systems where the reliability of the deployed application has direct implications for the quality of laboratory output.</w:t>
      </w:r>
    </w:p>
    <w:p w14:paraId="5133064E" w14:textId="77777777" w:rsidR="00E726A1" w:rsidRDefault="00A821DC">
      <w:pPr>
        <w:pStyle w:val="Heading2"/>
      </w:pPr>
      <w:r>
        <w:t>8.3 Comparative Analysis with Alternative LIMS Approaches</w:t>
      </w:r>
    </w:p>
    <w:p w14:paraId="2D85B986" w14:textId="77777777" w:rsidR="00E726A1" w:rsidRDefault="00A821DC">
      <w:pPr>
        <w:spacing w:after="160" w:line="360" w:lineRule="auto"/>
        <w:jc w:val="both"/>
      </w:pPr>
      <w:r>
        <w:t>A comparative evaluation of the Docker-</w:t>
      </w:r>
      <w:proofErr w:type="spellStart"/>
      <w:r>
        <w:t>Plone</w:t>
      </w:r>
      <w:proofErr w:type="spellEnd"/>
      <w:r>
        <w:t xml:space="preserve">-ZODB technology stack against alternative LIMS approaches reveals a distinctive profile of strengths and limitations. Against commercial proprietary LIMS solutions, the open-source stack offers substantially lower licensing costs, greater transparency of the application codebase, and the freedom to </w:t>
      </w:r>
      <w:proofErr w:type="spellStart"/>
      <w:r>
        <w:t>customise</w:t>
      </w:r>
      <w:proofErr w:type="spellEnd"/>
      <w:r>
        <w:t xml:space="preserve"> all aspects of the system to meet laboratory-specific requirements. The reproducibility and portability benefits of Docker </w:t>
      </w:r>
      <w:proofErr w:type="spellStart"/>
      <w:r>
        <w:t>containerisation</w:t>
      </w:r>
      <w:proofErr w:type="spellEnd"/>
      <w:r>
        <w:t xml:space="preserve"> are generally not available in commercial LIMS deployments, which typically involve vendor-managed server environments with limited configurability. The case for open-source scientific software, as articulated by Ince et al. (2012), rests not only on cost considerations but on the epistemic value of transparency: open source code can be independently </w:t>
      </w:r>
      <w:proofErr w:type="spellStart"/>
      <w:r>
        <w:t>scrutinised</w:t>
      </w:r>
      <w:proofErr w:type="spellEnd"/>
      <w:r>
        <w:t>, validated, and extended by the scientific community in ways that proprietary software cannot.</w:t>
      </w:r>
    </w:p>
    <w:p w14:paraId="7E2B25B0" w14:textId="77777777" w:rsidR="00E726A1" w:rsidRDefault="00A821DC">
      <w:pPr>
        <w:spacing w:after="160" w:line="360" w:lineRule="auto"/>
        <w:jc w:val="both"/>
      </w:pPr>
      <w:r>
        <w:lastRenderedPageBreak/>
        <w:t xml:space="preserve">Against alternative open-source LIMS frameworks — including those built on more widely adopted web application frameworks such as Django — </w:t>
      </w:r>
      <w:proofErr w:type="spellStart"/>
      <w:r>
        <w:t>Plone's</w:t>
      </w:r>
      <w:proofErr w:type="spellEnd"/>
      <w:r>
        <w:t xml:space="preserve"> native ZODB integration offers a distinctive advantage in terms of schema flexibility and workflow management capability. Django-based LIMS solutions benefit from a larger developer community and a greater number of available third-party packages, but require more extensive custom development to replicate the workflow engine and access control capabilities that </w:t>
      </w:r>
      <w:proofErr w:type="spellStart"/>
      <w:r>
        <w:t>Plone</w:t>
      </w:r>
      <w:proofErr w:type="spellEnd"/>
      <w:r>
        <w:t xml:space="preserve"> provides as standard features. The trade-off between community size and native functionality is a significant consideration for resource-limited laboratories that must balance development effort against operational capability. The object-oriented data model of ZODB provides advantages over relational databases in handling heterogeneous, evolving data structures, but at the cost of reduced ad hoc query capability and more limited ecosystem support.</w:t>
      </w:r>
    </w:p>
    <w:p w14:paraId="5851D33D" w14:textId="77777777" w:rsidR="00E726A1" w:rsidRDefault="00A821DC">
      <w:pPr>
        <w:spacing w:after="160" w:line="360" w:lineRule="auto"/>
        <w:jc w:val="both"/>
      </w:pPr>
      <w:r>
        <w:t xml:space="preserve">The growing importance of BIM in civil engineering practice creates an additional dimension of comparison. Volk et al. (2014) have highlighted the potential for BIM to serve as an integrative platform for building and infrastructure lifecycle data. The linkage of civil engineering laboratory test results to corresponding BIM objects would create a rich, spatially </w:t>
      </w:r>
      <w:proofErr w:type="spellStart"/>
      <w:r>
        <w:t>contextualised</w:t>
      </w:r>
      <w:proofErr w:type="spellEnd"/>
      <w:r>
        <w:t xml:space="preserve"> data asset of substantial value for asset management and regulatory compliance purposes. </w:t>
      </w:r>
      <w:proofErr w:type="spellStart"/>
      <w:r>
        <w:t>Plone's</w:t>
      </w:r>
      <w:proofErr w:type="spellEnd"/>
      <w:r>
        <w:t xml:space="preserve"> web API capabilities and Python's emerging BIM tooling libraries may facilitate this integration, though the development of robust, standards-based connectors between LIMS and BIM platforms remains a largely unexplored research frontier.</w:t>
      </w:r>
    </w:p>
    <w:p w14:paraId="5621A034" w14:textId="77777777" w:rsidR="00E726A1" w:rsidRDefault="00A821DC">
      <w:pPr>
        <w:pStyle w:val="Heading2"/>
      </w:pPr>
      <w:r>
        <w:t>8.4 Security, Compliance, and Data Integrity</w:t>
      </w:r>
    </w:p>
    <w:p w14:paraId="630BCAF2" w14:textId="77777777" w:rsidR="00E726A1" w:rsidRDefault="00A821DC">
      <w:pPr>
        <w:spacing w:after="160" w:line="360" w:lineRule="auto"/>
        <w:jc w:val="both"/>
      </w:pPr>
      <w:r>
        <w:t xml:space="preserve">Data security and integrity are paramount considerations in the deployment of a LIMS for civil engineering laboratories, where test results may inform safety-critical engineering decisions. </w:t>
      </w:r>
      <w:proofErr w:type="spellStart"/>
      <w:r>
        <w:t>Plone's</w:t>
      </w:r>
      <w:proofErr w:type="spellEnd"/>
      <w:r>
        <w:t xml:space="preserve"> built-in security mechanisms — including granular role-based access control, automatic CSRF protection, and a strong track record in security auditing — provide a substantive foundation for secure LIMS deployment. ZODB's transactional integrity guarantees ensure that partial data writes due to system failures are cleanly rolled back, protecting against data corruption in the event of hardware or software faults. The combination of </w:t>
      </w:r>
      <w:proofErr w:type="spellStart"/>
      <w:r>
        <w:t>Plone's</w:t>
      </w:r>
      <w:proofErr w:type="spellEnd"/>
      <w:r>
        <w:t xml:space="preserve"> application-level security and ZODB's transactional reliability creates a complementary two-layer security architecture that addresses both access control and data integrity concerns.</w:t>
      </w:r>
    </w:p>
    <w:p w14:paraId="5675A0DF" w14:textId="77777777" w:rsidR="00E726A1" w:rsidRDefault="00A821DC">
      <w:pPr>
        <w:spacing w:after="160" w:line="360" w:lineRule="auto"/>
        <w:jc w:val="both"/>
      </w:pPr>
      <w:r>
        <w:lastRenderedPageBreak/>
        <w:t xml:space="preserve">Docker-based deployments introduce specific security considerations that must be addressed through careful configuration. Combe et al. (2016) identified container escape vulnerabilities, insecure default configurations, and the use of unverified container images as the principal security risks associated with Docker deployments. In a civil engineering LIMS context, these risks can be substantially mitigated through the use of official or internally audited container images, the enforcement of least-privilege container configurations, the isolation of LIMS containers from public internet interfaces through network policy controls, and the regular application of security patches to both the container images and the underlying host operating system. Compliance with ISO/IEC 17025 and related accreditation standards imposes additional requirements on LIMS systems. Specifically, the maintenance of auditable audit trails for all data creation, modification, and deletion events is a fundamental compliance requirement that must be implemented at the application level. </w:t>
      </w:r>
      <w:proofErr w:type="spellStart"/>
      <w:r>
        <w:t>Plone's</w:t>
      </w:r>
      <w:proofErr w:type="spellEnd"/>
      <w:r>
        <w:t xml:space="preserve"> content versioning and workflow history mechanisms provide a partial basis for audit trail functionality, but comprehensive accreditation-ready audit logging may require the implementation of additional application-level logging modules tailored to the specific requirements of the accreditation standard.</w:t>
      </w:r>
    </w:p>
    <w:p w14:paraId="79A9679F" w14:textId="77777777" w:rsidR="00E726A1" w:rsidRDefault="00A821DC">
      <w:pPr>
        <w:pStyle w:val="Heading1"/>
      </w:pPr>
      <w:r>
        <w:t>9. Challenges and Future Directions</w:t>
      </w:r>
    </w:p>
    <w:p w14:paraId="72F92C14" w14:textId="77777777" w:rsidR="00E726A1" w:rsidRDefault="00A821DC">
      <w:pPr>
        <w:spacing w:after="160" w:line="360" w:lineRule="auto"/>
        <w:jc w:val="both"/>
      </w:pPr>
      <w:r>
        <w:t>The deployment of a Docker-</w:t>
      </w:r>
      <w:proofErr w:type="spellStart"/>
      <w:r>
        <w:t>Plone</w:t>
      </w:r>
      <w:proofErr w:type="spellEnd"/>
      <w:r>
        <w:t xml:space="preserve">-ZODB LIMS in civil engineering laboratory environments presents challenges at both the technical and </w:t>
      </w:r>
      <w:proofErr w:type="spellStart"/>
      <w:r>
        <w:t>organisational</w:t>
      </w:r>
      <w:proofErr w:type="spellEnd"/>
      <w:r>
        <w:t xml:space="preserve"> levels that merit careful consideration. At the technical level, ZODB's performance under conditions of high concurrent write activity, large object volumes, and complex cross-collection queries represents a potential limitation for laboratories that anticipate significant growth in scale or complexity. The development of effective indexing strategies, potentially incorporating external full-text search engines alongside ZODB's native </w:t>
      </w:r>
      <w:proofErr w:type="spellStart"/>
      <w:r>
        <w:t>ZCatalog</w:t>
      </w:r>
      <w:proofErr w:type="spellEnd"/>
      <w:r>
        <w:t xml:space="preserve">, would benefit from empirical benchmarking studies that </w:t>
      </w:r>
      <w:proofErr w:type="spellStart"/>
      <w:r>
        <w:t>characterise</w:t>
      </w:r>
      <w:proofErr w:type="spellEnd"/>
      <w:r>
        <w:t xml:space="preserve"> ZODB performance under realistic civil engineering LIMS workloads. To date, the academic literature contains limited empirical data on ZODB performance in engineering-scale applications, representing a significant gap that constrains evidence-based system design decisions.</w:t>
      </w:r>
    </w:p>
    <w:p w14:paraId="5C1CFC11" w14:textId="77777777" w:rsidR="00E726A1" w:rsidRDefault="00A821DC">
      <w:pPr>
        <w:spacing w:after="160" w:line="360" w:lineRule="auto"/>
        <w:jc w:val="both"/>
      </w:pPr>
      <w:r>
        <w:t>The integration of the Docker-</w:t>
      </w:r>
      <w:proofErr w:type="spellStart"/>
      <w:r>
        <w:t>Plone</w:t>
      </w:r>
      <w:proofErr w:type="spellEnd"/>
      <w:r>
        <w:t xml:space="preserve">-ZODB stack with existing laboratory instrument ecosystems represents a further technical challenge. Modern civil engineering testing equipment increasingly provides digital output through proprietary communication </w:t>
      </w:r>
      <w:r>
        <w:lastRenderedPageBreak/>
        <w:t xml:space="preserve">protocols or data formats, and the development of instrument interface modules capable of ingesting these data streams into a </w:t>
      </w:r>
      <w:proofErr w:type="spellStart"/>
      <w:r>
        <w:t>Plone</w:t>
      </w:r>
      <w:proofErr w:type="spellEnd"/>
      <w:r>
        <w:t xml:space="preserve">-based LIMS requires domain-specific software engineering effort. The emerging adoption of IoT technologies in structural health monitoring (Spencer et al., 2004; Farrar &amp; Worden, 2007) and environmental sensing contexts suggests that future civil engineering LIMS will need to accommodate streaming sensor data alongside conventional discrete test measurements, creating new requirements for data ingestion architecture and time-series data management. The integration of IoT sensor streams with a document-centric data management platform such as </w:t>
      </w:r>
      <w:proofErr w:type="spellStart"/>
      <w:r>
        <w:t>Plone</w:t>
      </w:r>
      <w:proofErr w:type="spellEnd"/>
      <w:r>
        <w:t>-ZODB is technically feasible but requires architectural augmentation, potentially through the integration of dedicated time-series databases or event stream processing components.</w:t>
      </w:r>
    </w:p>
    <w:p w14:paraId="5EFEFB4E" w14:textId="77777777" w:rsidR="00E726A1" w:rsidRDefault="00A821DC">
      <w:pPr>
        <w:spacing w:after="160" w:line="360" w:lineRule="auto"/>
        <w:jc w:val="both"/>
      </w:pPr>
      <w:r>
        <w:t xml:space="preserve">The alignment of LIMS workflows with BIM platforms represents a particularly promising direction for future development. Volk et al. (2014) have articulated the potential of BIM as an integrative framework for building lifecycle data, and the linkage of laboratory test data — particularly material certification results, structural assessment findings, and condition monitoring records — to corresponding BIM object instances would create a semantically rich, spatially indexed data ecosystem of considerable value for infrastructure asset management. The development of </w:t>
      </w:r>
      <w:proofErr w:type="spellStart"/>
      <w:r>
        <w:t>standardised</w:t>
      </w:r>
      <w:proofErr w:type="spellEnd"/>
      <w:r>
        <w:t xml:space="preserve"> data exchange formats for civil engineering test data, analogous to the minimum information standards developed in the biosciences (Taylor et al., 2008), would significantly facilitate this interoperability and represents an important area for collaborative standards development by the civil engineering community and the laboratory informatics sector.</w:t>
      </w:r>
    </w:p>
    <w:p w14:paraId="76FBC516" w14:textId="77777777" w:rsidR="00E726A1" w:rsidRDefault="00A821DC">
      <w:pPr>
        <w:spacing w:after="160" w:line="360" w:lineRule="auto"/>
        <w:jc w:val="both"/>
      </w:pPr>
      <w:r>
        <w:t xml:space="preserve">The principles of FAIR data management, as established by Wilkinson et al. (2016), provide a useful normative framework for evaluating the completeness of LIMS implementations and identifying areas where further development is warranted. The implementation of persistent unique identifiers for samples and datasets, the provision of machine-readable metadata conforming to domain-specific ontologies, and the exposure of laboratory data through open, </w:t>
      </w:r>
      <w:proofErr w:type="spellStart"/>
      <w:r>
        <w:t>standardised</w:t>
      </w:r>
      <w:proofErr w:type="spellEnd"/>
      <w:r>
        <w:t xml:space="preserve"> APIs are areas where the Docker-</w:t>
      </w:r>
      <w:proofErr w:type="spellStart"/>
      <w:r>
        <w:t>Plone</w:t>
      </w:r>
      <w:proofErr w:type="spellEnd"/>
      <w:r>
        <w:t xml:space="preserve">-ZODB stack has clear technical potential but where the development of civil engineering-specific data standards and ontologies remains incomplete. The biosciences community has demonstrated the feasibility and value of such standards development through initiatives such as the MIBBI project (Taylor et al., 2008), and a comparable effort within </w:t>
      </w:r>
      <w:r>
        <w:lastRenderedPageBreak/>
        <w:t xml:space="preserve">the civil engineering testing domain would substantially enhance the </w:t>
      </w:r>
      <w:proofErr w:type="spellStart"/>
      <w:r>
        <w:t>FAIRness</w:t>
      </w:r>
      <w:proofErr w:type="spellEnd"/>
      <w:r>
        <w:t xml:space="preserve"> of laboratory data produced within this sector.</w:t>
      </w:r>
    </w:p>
    <w:p w14:paraId="33C4D075" w14:textId="77777777" w:rsidR="00E726A1" w:rsidRDefault="00A821DC">
      <w:pPr>
        <w:spacing w:after="160" w:line="360" w:lineRule="auto"/>
        <w:jc w:val="both"/>
      </w:pPr>
      <w:r>
        <w:t xml:space="preserve">At the </w:t>
      </w:r>
      <w:proofErr w:type="spellStart"/>
      <w:r>
        <w:t>organisational</w:t>
      </w:r>
      <w:proofErr w:type="spellEnd"/>
      <w:r>
        <w:t xml:space="preserve"> level, the implementation of a new LIMS in a civil engineering laboratory requires careful attention to change management, staff training, and process redesign. The digital transformation of laboratory workflows from paper-based or spreadsheet-based practices to a structured LIMS involves significant changes in working practices that must be managed thoughtfully to avoid resistance and ensure sustained adoption. Kanza et al. (2017) have noted that resistance of laboratory staff to the adoption of electronic recording tools is a recurring impediment to </w:t>
      </w:r>
      <w:proofErr w:type="spellStart"/>
      <w:r>
        <w:t>digitalisation</w:t>
      </w:r>
      <w:proofErr w:type="spellEnd"/>
      <w:r>
        <w:t xml:space="preserve"> initiatives, and that user interface design, workflow intuitiveness, and alignment with existing laboratory practices are critical success factors. The </w:t>
      </w:r>
      <w:proofErr w:type="spellStart"/>
      <w:r>
        <w:t>customisability</w:t>
      </w:r>
      <w:proofErr w:type="spellEnd"/>
      <w:r>
        <w:t xml:space="preserve"> of the </w:t>
      </w:r>
      <w:proofErr w:type="spellStart"/>
      <w:r>
        <w:t>Plone</w:t>
      </w:r>
      <w:proofErr w:type="spellEnd"/>
      <w:r>
        <w:t xml:space="preserve"> platform provides opportunities to design user interfaces that closely mirror established laboratory practices, potentially facilitating adoption, but </w:t>
      </w:r>
      <w:proofErr w:type="spellStart"/>
      <w:r>
        <w:t>realising</w:t>
      </w:r>
      <w:proofErr w:type="spellEnd"/>
      <w:r>
        <w:t xml:space="preserve"> this potential requires sustained investment in usability research and participatory design.</w:t>
      </w:r>
    </w:p>
    <w:p w14:paraId="207DEEE6" w14:textId="77777777" w:rsidR="00E726A1" w:rsidRDefault="00A821DC">
      <w:pPr>
        <w:spacing w:after="160" w:line="360" w:lineRule="auto"/>
        <w:jc w:val="both"/>
      </w:pPr>
      <w:r>
        <w:t xml:space="preserve">The use of artificial intelligence and machine learning for quality control and predictive analytics within laboratory information systems is an emerging area of application that may be particularly relevant to civil engineering laboratories in the medium term. Python's rich machine learning ecosystem, accessible within </w:t>
      </w:r>
      <w:proofErr w:type="spellStart"/>
      <w:r>
        <w:t>Plone</w:t>
      </w:r>
      <w:proofErr w:type="spellEnd"/>
      <w:r>
        <w:t xml:space="preserve">-based LIMS through standard library integration, provides a technical basis for implementing anomaly detection on quality control data, predictive scheduling of calibration and maintenance events, and pattern recognition on test result populations. </w:t>
      </w:r>
      <w:proofErr w:type="spellStart"/>
      <w:r>
        <w:t>Nussbeck</w:t>
      </w:r>
      <w:proofErr w:type="spellEnd"/>
      <w:r>
        <w:t xml:space="preserve"> et al. (2014) have observed that the digital laboratory of the future will be </w:t>
      </w:r>
      <w:proofErr w:type="spellStart"/>
      <w:r>
        <w:t>characterised</w:t>
      </w:r>
      <w:proofErr w:type="spellEnd"/>
      <w:r>
        <w:t xml:space="preserve"> by seamless integration between data capture, processing, and knowledge generation, a vision that aligns well with the extensible, Python-native architecture of the </w:t>
      </w:r>
      <w:proofErr w:type="spellStart"/>
      <w:r>
        <w:t>Plone</w:t>
      </w:r>
      <w:proofErr w:type="spellEnd"/>
      <w:r>
        <w:t>-ZODB stack. The implementation and validation of such capabilities in the context of civil engineering laboratory practice represents an important and largely open research agenda.</w:t>
      </w:r>
    </w:p>
    <w:p w14:paraId="1A42B198" w14:textId="77777777" w:rsidR="00E726A1" w:rsidRDefault="00A821DC">
      <w:pPr>
        <w:pStyle w:val="Heading1"/>
      </w:pPr>
      <w:r>
        <w:t>10. Conclusions</w:t>
      </w:r>
    </w:p>
    <w:p w14:paraId="0BA3C500" w14:textId="77777777" w:rsidR="00E726A1" w:rsidRDefault="00A821DC">
      <w:pPr>
        <w:spacing w:after="160" w:line="360" w:lineRule="auto"/>
        <w:jc w:val="both"/>
      </w:pPr>
      <w:r>
        <w:t xml:space="preserve">This review has examined the design and deployment of Laboratory Information Management Systems for civil engineering laboratories, with particular focus on the Docker </w:t>
      </w:r>
      <w:proofErr w:type="spellStart"/>
      <w:r>
        <w:t>containerisation</w:t>
      </w:r>
      <w:proofErr w:type="spellEnd"/>
      <w:r>
        <w:t xml:space="preserve"> platform, the </w:t>
      </w:r>
      <w:proofErr w:type="spellStart"/>
      <w:r>
        <w:t>Plone</w:t>
      </w:r>
      <w:proofErr w:type="spellEnd"/>
      <w:r>
        <w:t xml:space="preserve"> Content Management System, and the </w:t>
      </w:r>
      <w:proofErr w:type="spellStart"/>
      <w:r>
        <w:t>Zope</w:t>
      </w:r>
      <w:proofErr w:type="spellEnd"/>
      <w:r>
        <w:t xml:space="preserve"> Object Database as constituent technologies of an open-source LIMS architecture. The synthesis of peer-reviewed literature across the fields of laboratory informatics, software </w:t>
      </w:r>
      <w:r>
        <w:lastRenderedPageBreak/>
        <w:t>engineering, civil engineering practice, and database systems supports several principal conclusions.</w:t>
      </w:r>
    </w:p>
    <w:p w14:paraId="24C94DFE" w14:textId="77777777" w:rsidR="00E726A1" w:rsidRDefault="00A821DC">
      <w:pPr>
        <w:spacing w:after="160" w:line="360" w:lineRule="auto"/>
        <w:jc w:val="both"/>
      </w:pPr>
      <w:r>
        <w:t xml:space="preserve">Civil engineering laboratories present a distinctive and demanding set of informatics requirements, </w:t>
      </w:r>
      <w:proofErr w:type="spellStart"/>
      <w:r>
        <w:t>characterised</w:t>
      </w:r>
      <w:proofErr w:type="spellEnd"/>
      <w:r>
        <w:t xml:space="preserve"> by the heterogeneity of test data types, the stringency of accreditation-driven quality assurance obligations, and the long-term retention demands associated with infrastructure-related test records. These requirements motivate the development of flexible, extensible LIMS architectures that can accommodate evolving test portfolios without architectural disruption — a requirement that aligns well with the object-oriented data modelling capabilities of ZODB and the extensible add-on architecture of </w:t>
      </w:r>
      <w:proofErr w:type="spellStart"/>
      <w:r>
        <w:t>Plone</w:t>
      </w:r>
      <w:proofErr w:type="spellEnd"/>
      <w:r>
        <w:t>.</w:t>
      </w:r>
    </w:p>
    <w:p w14:paraId="59C1DD91" w14:textId="77777777" w:rsidR="00E726A1" w:rsidRDefault="00A821DC">
      <w:pPr>
        <w:spacing w:after="160" w:line="360" w:lineRule="auto"/>
        <w:jc w:val="both"/>
      </w:pPr>
      <w:r>
        <w:t xml:space="preserve">Docker </w:t>
      </w:r>
      <w:proofErr w:type="spellStart"/>
      <w:r>
        <w:t>containerisation</w:t>
      </w:r>
      <w:proofErr w:type="spellEnd"/>
      <w:r>
        <w:t xml:space="preserve"> offers substantial practical advantages for LIMS deployment in civil engineering laboratory contexts, including simplified installation and configuration, enhanced deployment reproducibility, and facilitated migration between server environments. The alignment of these benefits with the reproducible computing imperatives of contemporary scientific practice makes Docker a technically well-motivated deployment platform for laboratory information systems, provided that the associated security and operational considerations are addressed through appropriate configuration and governance practices.</w:t>
      </w:r>
    </w:p>
    <w:p w14:paraId="7D5DEAC6" w14:textId="77777777" w:rsidR="00E726A1" w:rsidRDefault="00A821DC">
      <w:pPr>
        <w:spacing w:after="160" w:line="360" w:lineRule="auto"/>
        <w:jc w:val="both"/>
      </w:pPr>
      <w:r>
        <w:t xml:space="preserve">The </w:t>
      </w:r>
      <w:proofErr w:type="spellStart"/>
      <w:r>
        <w:t>Plone</w:t>
      </w:r>
      <w:proofErr w:type="spellEnd"/>
      <w:r>
        <w:t xml:space="preserve"> CMS, as demonstrated by the Bika LIMS/SENAITE project, constitutes a credible and functionally rich foundation for open-source LIMS development, offering native workflow management, fine-grained access control, and seamless ZODB integration as standard capabilities. The platform's Python foundation provides ready access to the scientific computing ecosystem, facilitating the integration of advanced data processing capabilities within LIMS components. The Docker-</w:t>
      </w:r>
      <w:proofErr w:type="spellStart"/>
      <w:r>
        <w:t>Plone</w:t>
      </w:r>
      <w:proofErr w:type="spellEnd"/>
      <w:r>
        <w:t>-ZODB technology stack offers a viable, cost-effective alternative to commercial LIMS solutions for civil engineering laboratories operating under budgetary constraints, with particular strengths in schema flexibility, workflow management, and deployment reproducibility.</w:t>
      </w:r>
    </w:p>
    <w:p w14:paraId="1704ABBD" w14:textId="1841EDB1" w:rsidR="00E726A1" w:rsidRDefault="00A821DC">
      <w:pPr>
        <w:spacing w:after="160" w:line="360" w:lineRule="auto"/>
        <w:jc w:val="both"/>
      </w:pPr>
      <w:r>
        <w:t xml:space="preserve">However, potential limitations in ZODB scalability under high-concurrency workloads, the relatively small size of the </w:t>
      </w:r>
      <w:proofErr w:type="spellStart"/>
      <w:r>
        <w:t>Plone</w:t>
      </w:r>
      <w:proofErr w:type="spellEnd"/>
      <w:r>
        <w:t xml:space="preserve"> development community, and the challenges of ISO/IEC 17025 compliance configuration warrant careful evaluation in the context of specific deployment scenarios. The academic literature on LIMS design and deployment for civil engineering laboratories remains insufficiently developed, with significant gaps </w:t>
      </w:r>
      <w:r>
        <w:lastRenderedPageBreak/>
        <w:t>in empirical studies of system performance, user adoption, and integration with adjacent information systems including BIM platforms and IoT sensing infrastructure. Addressing these gaps will require concerted research effort at the intersection of laboratory informatics, civil engineering practice, and software engineering. It is anticipated that the current review will contribute to stimulating such research by mapping the existing knowledge landscape and identifying the most productive directions for future inquiry.</w:t>
      </w:r>
    </w:p>
    <w:p w14:paraId="34484F08" w14:textId="550CB46E" w:rsidR="00BD7E8A" w:rsidRDefault="00BD7E8A">
      <w:pPr>
        <w:spacing w:after="160" w:line="360" w:lineRule="auto"/>
        <w:jc w:val="both"/>
      </w:pPr>
    </w:p>
    <w:p w14:paraId="455FA759" w14:textId="77777777" w:rsidR="00BD7E8A" w:rsidRDefault="00BD7E8A" w:rsidP="00BD7E8A">
      <w:pPr>
        <w:rPr>
          <w:rFonts w:ascii="Calibri" w:eastAsia="Calibri" w:hAnsi="Calibri"/>
          <w:kern w:val="2"/>
          <w:highlight w:val="yellow"/>
        </w:rPr>
      </w:pPr>
      <w:bookmarkStart w:id="1" w:name="_Hlk221270586"/>
      <w:bookmarkStart w:id="2" w:name="_Hlk219110679"/>
      <w:bookmarkStart w:id="3" w:name="_Hlk227151135"/>
    </w:p>
    <w:p w14:paraId="01A3E3B8" w14:textId="77777777" w:rsidR="00BD7E8A" w:rsidRPr="00005ED1" w:rsidRDefault="00BD7E8A" w:rsidP="00BD7E8A">
      <w:pPr>
        <w:pStyle w:val="NoSpacing"/>
        <w:rPr>
          <w:rFonts w:ascii="Arial" w:hAnsi="Arial" w:cs="Arial"/>
          <w:highlight w:val="yellow"/>
        </w:rPr>
      </w:pPr>
      <w:bookmarkStart w:id="4" w:name="_Hlk198031404"/>
      <w:bookmarkEnd w:id="1"/>
      <w:bookmarkEnd w:id="2"/>
      <w:r w:rsidRPr="00005ED1">
        <w:rPr>
          <w:rFonts w:ascii="Arial" w:hAnsi="Arial" w:cs="Arial"/>
          <w:highlight w:val="yellow"/>
        </w:rPr>
        <w:t>Disclaimer (Artificial intelligence)</w:t>
      </w:r>
    </w:p>
    <w:p w14:paraId="0763A9EB" w14:textId="77777777" w:rsidR="00BD7E8A" w:rsidRPr="00005ED1" w:rsidRDefault="00BD7E8A" w:rsidP="00BD7E8A">
      <w:pPr>
        <w:pStyle w:val="NoSpacing"/>
        <w:rPr>
          <w:rFonts w:ascii="Arial" w:hAnsi="Arial" w:cs="Arial"/>
          <w:highlight w:val="yellow"/>
        </w:rPr>
      </w:pPr>
    </w:p>
    <w:p w14:paraId="157A45F6" w14:textId="77777777" w:rsidR="00BD7E8A" w:rsidRPr="00005ED1" w:rsidRDefault="00BD7E8A" w:rsidP="00BD7E8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bookmarkEnd w:id="4"/>
    <w:p w14:paraId="6372C796" w14:textId="77777777" w:rsidR="00BD7E8A" w:rsidRDefault="00BD7E8A">
      <w:pPr>
        <w:spacing w:after="160" w:line="360" w:lineRule="auto"/>
        <w:jc w:val="both"/>
      </w:pPr>
    </w:p>
    <w:p w14:paraId="2E3BE788" w14:textId="77777777" w:rsidR="00E726A1" w:rsidRDefault="00A821DC">
      <w:pPr>
        <w:pStyle w:val="Heading1"/>
      </w:pPr>
      <w:r>
        <w:t>References</w:t>
      </w:r>
    </w:p>
    <w:p w14:paraId="4B2E2250" w14:textId="77777777" w:rsidR="00E726A1" w:rsidRDefault="00A821DC">
      <w:pPr>
        <w:spacing w:after="140" w:line="320" w:lineRule="auto"/>
        <w:ind w:left="720" w:hanging="720"/>
        <w:jc w:val="both"/>
      </w:pPr>
      <w:proofErr w:type="spellStart"/>
      <w:r>
        <w:rPr>
          <w:sz w:val="22"/>
          <w:szCs w:val="22"/>
        </w:rPr>
        <w:t>Balalaie</w:t>
      </w:r>
      <w:proofErr w:type="spellEnd"/>
      <w:r>
        <w:rPr>
          <w:sz w:val="22"/>
          <w:szCs w:val="22"/>
        </w:rPr>
        <w:t xml:space="preserve">, A., </w:t>
      </w:r>
      <w:proofErr w:type="spellStart"/>
      <w:r>
        <w:rPr>
          <w:sz w:val="22"/>
          <w:szCs w:val="22"/>
        </w:rPr>
        <w:t>Heydarnoori</w:t>
      </w:r>
      <w:proofErr w:type="spellEnd"/>
      <w:r>
        <w:rPr>
          <w:sz w:val="22"/>
          <w:szCs w:val="22"/>
        </w:rPr>
        <w:t xml:space="preserve">, A., &amp; Jamshidi, P. (2016). Microservices architecture enables DevOps: migration to a cloud-native architecture. </w:t>
      </w:r>
      <w:r>
        <w:rPr>
          <w:i/>
          <w:iCs/>
          <w:sz w:val="22"/>
          <w:szCs w:val="22"/>
        </w:rPr>
        <w:t>IEEE Software</w:t>
      </w:r>
      <w:r>
        <w:rPr>
          <w:sz w:val="22"/>
          <w:szCs w:val="22"/>
        </w:rPr>
        <w:t xml:space="preserve">, </w:t>
      </w:r>
      <w:r>
        <w:rPr>
          <w:i/>
          <w:iCs/>
          <w:sz w:val="22"/>
          <w:szCs w:val="22"/>
        </w:rPr>
        <w:t>33</w:t>
      </w:r>
      <w:r>
        <w:rPr>
          <w:sz w:val="22"/>
          <w:szCs w:val="22"/>
        </w:rPr>
        <w:t xml:space="preserve">(3), 42–52. </w:t>
      </w:r>
      <w:hyperlink r:id="rId10" w:history="1">
        <w:r>
          <w:rPr>
            <w:color w:val="1155CC"/>
            <w:sz w:val="22"/>
            <w:szCs w:val="22"/>
            <w:u w:val="single"/>
          </w:rPr>
          <w:t>https://doi.org/10.1109/MS.2016.64</w:t>
        </w:r>
      </w:hyperlink>
    </w:p>
    <w:p w14:paraId="43E72759" w14:textId="77777777" w:rsidR="00E726A1" w:rsidRDefault="00A821DC">
      <w:pPr>
        <w:spacing w:after="140" w:line="320" w:lineRule="auto"/>
        <w:ind w:left="720" w:hanging="720"/>
        <w:jc w:val="both"/>
      </w:pPr>
      <w:proofErr w:type="spellStart"/>
      <w:r>
        <w:rPr>
          <w:sz w:val="22"/>
          <w:szCs w:val="22"/>
        </w:rPr>
        <w:t>Batini</w:t>
      </w:r>
      <w:proofErr w:type="spellEnd"/>
      <w:r>
        <w:rPr>
          <w:sz w:val="22"/>
          <w:szCs w:val="22"/>
        </w:rPr>
        <w:t xml:space="preserve">, C., Cappiello, C., </w:t>
      </w:r>
      <w:proofErr w:type="spellStart"/>
      <w:r>
        <w:rPr>
          <w:sz w:val="22"/>
          <w:szCs w:val="22"/>
        </w:rPr>
        <w:t>Francalanci</w:t>
      </w:r>
      <w:proofErr w:type="spellEnd"/>
      <w:r>
        <w:rPr>
          <w:sz w:val="22"/>
          <w:szCs w:val="22"/>
        </w:rPr>
        <w:t xml:space="preserve">, C., &amp; Maurino, A. (2009). Methodologies for data quality assessment and improvement. </w:t>
      </w:r>
      <w:r>
        <w:rPr>
          <w:i/>
          <w:iCs/>
          <w:sz w:val="22"/>
          <w:szCs w:val="22"/>
        </w:rPr>
        <w:t>ACM Computing Surveys</w:t>
      </w:r>
      <w:r>
        <w:rPr>
          <w:sz w:val="22"/>
          <w:szCs w:val="22"/>
        </w:rPr>
        <w:t xml:space="preserve">, </w:t>
      </w:r>
      <w:r>
        <w:rPr>
          <w:i/>
          <w:iCs/>
          <w:sz w:val="22"/>
          <w:szCs w:val="22"/>
        </w:rPr>
        <w:t>41</w:t>
      </w:r>
      <w:r>
        <w:rPr>
          <w:sz w:val="22"/>
          <w:szCs w:val="22"/>
        </w:rPr>
        <w:t xml:space="preserve">(3), Article 16. </w:t>
      </w:r>
      <w:hyperlink r:id="rId11" w:history="1">
        <w:r>
          <w:rPr>
            <w:color w:val="1155CC"/>
            <w:sz w:val="22"/>
            <w:szCs w:val="22"/>
            <w:u w:val="single"/>
          </w:rPr>
          <w:t>https://doi.org/10.1145/1541880.1541883</w:t>
        </w:r>
      </w:hyperlink>
    </w:p>
    <w:p w14:paraId="15DD600B" w14:textId="77777777" w:rsidR="00E726A1" w:rsidRDefault="00A821DC">
      <w:pPr>
        <w:spacing w:after="140" w:line="320" w:lineRule="auto"/>
        <w:ind w:left="720" w:hanging="720"/>
        <w:jc w:val="both"/>
      </w:pPr>
      <w:r>
        <w:rPr>
          <w:sz w:val="22"/>
          <w:szCs w:val="22"/>
        </w:rPr>
        <w:t xml:space="preserve">Bernstein, D. (2014). Containers and cloud: from LXC to Docker to Kubernetes. </w:t>
      </w:r>
      <w:r>
        <w:rPr>
          <w:i/>
          <w:iCs/>
          <w:sz w:val="22"/>
          <w:szCs w:val="22"/>
        </w:rPr>
        <w:t>IEEE Cloud Computing</w:t>
      </w:r>
      <w:r>
        <w:rPr>
          <w:sz w:val="22"/>
          <w:szCs w:val="22"/>
        </w:rPr>
        <w:t xml:space="preserve">, </w:t>
      </w:r>
      <w:r>
        <w:rPr>
          <w:i/>
          <w:iCs/>
          <w:sz w:val="22"/>
          <w:szCs w:val="22"/>
        </w:rPr>
        <w:t>1</w:t>
      </w:r>
      <w:r>
        <w:rPr>
          <w:sz w:val="22"/>
          <w:szCs w:val="22"/>
        </w:rPr>
        <w:t xml:space="preserve">(3), 81–84. </w:t>
      </w:r>
      <w:hyperlink r:id="rId12" w:history="1">
        <w:r>
          <w:rPr>
            <w:color w:val="1155CC"/>
            <w:sz w:val="22"/>
            <w:szCs w:val="22"/>
            <w:u w:val="single"/>
          </w:rPr>
          <w:t>https://doi.org/10.1109/MCC.2014.51</w:t>
        </w:r>
      </w:hyperlink>
    </w:p>
    <w:p w14:paraId="68BA503F" w14:textId="77777777" w:rsidR="00E726A1" w:rsidRDefault="00A821DC">
      <w:pPr>
        <w:spacing w:after="140" w:line="320" w:lineRule="auto"/>
        <w:ind w:left="720" w:hanging="720"/>
        <w:jc w:val="both"/>
      </w:pPr>
      <w:r>
        <w:rPr>
          <w:sz w:val="22"/>
          <w:szCs w:val="22"/>
        </w:rPr>
        <w:t xml:space="preserve">Boettiger, C. (2015). An introduction to Docker for reproducible research, with examples from the R environment. </w:t>
      </w:r>
      <w:r>
        <w:rPr>
          <w:i/>
          <w:iCs/>
          <w:sz w:val="22"/>
          <w:szCs w:val="22"/>
        </w:rPr>
        <w:t>ACM SIGOPS Operating Systems Review</w:t>
      </w:r>
      <w:r>
        <w:rPr>
          <w:sz w:val="22"/>
          <w:szCs w:val="22"/>
        </w:rPr>
        <w:t xml:space="preserve">, </w:t>
      </w:r>
      <w:r>
        <w:rPr>
          <w:i/>
          <w:iCs/>
          <w:sz w:val="22"/>
          <w:szCs w:val="22"/>
        </w:rPr>
        <w:t>49</w:t>
      </w:r>
      <w:r>
        <w:rPr>
          <w:sz w:val="22"/>
          <w:szCs w:val="22"/>
        </w:rPr>
        <w:t xml:space="preserve">(1), 71–79. </w:t>
      </w:r>
      <w:hyperlink r:id="rId13" w:history="1">
        <w:r>
          <w:rPr>
            <w:color w:val="1155CC"/>
            <w:sz w:val="22"/>
            <w:szCs w:val="22"/>
            <w:u w:val="single"/>
          </w:rPr>
          <w:t>https://doi.org/10.1145/2723872.2723882</w:t>
        </w:r>
      </w:hyperlink>
    </w:p>
    <w:p w14:paraId="4EA58150" w14:textId="77777777" w:rsidR="00E726A1" w:rsidRDefault="00A821DC">
      <w:pPr>
        <w:spacing w:after="140" w:line="320" w:lineRule="auto"/>
        <w:ind w:left="720" w:hanging="720"/>
        <w:jc w:val="both"/>
      </w:pPr>
      <w:proofErr w:type="spellStart"/>
      <w:r>
        <w:rPr>
          <w:sz w:val="22"/>
          <w:szCs w:val="22"/>
        </w:rPr>
        <w:t>Buyya</w:t>
      </w:r>
      <w:proofErr w:type="spellEnd"/>
      <w:r>
        <w:rPr>
          <w:sz w:val="22"/>
          <w:szCs w:val="22"/>
        </w:rPr>
        <w:t xml:space="preserve">, R., Yeo, C. S., Venugopal, S., Broberg, J., &amp; </w:t>
      </w:r>
      <w:proofErr w:type="spellStart"/>
      <w:r>
        <w:rPr>
          <w:sz w:val="22"/>
          <w:szCs w:val="22"/>
        </w:rPr>
        <w:t>Brandic</w:t>
      </w:r>
      <w:proofErr w:type="spellEnd"/>
      <w:r>
        <w:rPr>
          <w:sz w:val="22"/>
          <w:szCs w:val="22"/>
        </w:rPr>
        <w:t xml:space="preserve">, I. (2009). Cloud computing and emerging IT platforms: vision, hype, and reality for delivering computing as the 5th utility. </w:t>
      </w:r>
      <w:r>
        <w:rPr>
          <w:i/>
          <w:iCs/>
          <w:sz w:val="22"/>
          <w:szCs w:val="22"/>
        </w:rPr>
        <w:t>Future Generation Computer Systems</w:t>
      </w:r>
      <w:r>
        <w:rPr>
          <w:sz w:val="22"/>
          <w:szCs w:val="22"/>
        </w:rPr>
        <w:t xml:space="preserve">, </w:t>
      </w:r>
      <w:r>
        <w:rPr>
          <w:i/>
          <w:iCs/>
          <w:sz w:val="22"/>
          <w:szCs w:val="22"/>
        </w:rPr>
        <w:t>25</w:t>
      </w:r>
      <w:r>
        <w:rPr>
          <w:sz w:val="22"/>
          <w:szCs w:val="22"/>
        </w:rPr>
        <w:t xml:space="preserve">(6), 599–616. </w:t>
      </w:r>
      <w:hyperlink r:id="rId14" w:history="1">
        <w:r>
          <w:rPr>
            <w:color w:val="1155CC"/>
            <w:sz w:val="22"/>
            <w:szCs w:val="22"/>
            <w:u w:val="single"/>
          </w:rPr>
          <w:t>https://doi.org/10.1016/j.future.2008.12.001</w:t>
        </w:r>
      </w:hyperlink>
    </w:p>
    <w:p w14:paraId="3E5EC0A4" w14:textId="77777777" w:rsidR="00E726A1" w:rsidRDefault="00A821DC">
      <w:pPr>
        <w:spacing w:after="140" w:line="320" w:lineRule="auto"/>
        <w:ind w:left="720" w:hanging="720"/>
        <w:jc w:val="both"/>
      </w:pPr>
      <w:r>
        <w:rPr>
          <w:sz w:val="22"/>
          <w:szCs w:val="22"/>
        </w:rPr>
        <w:t xml:space="preserve">Cattell, R. (2011). Scalable SQL and NoSQL data stores. </w:t>
      </w:r>
      <w:r>
        <w:rPr>
          <w:i/>
          <w:iCs/>
          <w:sz w:val="22"/>
          <w:szCs w:val="22"/>
        </w:rPr>
        <w:t>ACM SIGMOD Record</w:t>
      </w:r>
      <w:r>
        <w:rPr>
          <w:sz w:val="22"/>
          <w:szCs w:val="22"/>
        </w:rPr>
        <w:t xml:space="preserve">, </w:t>
      </w:r>
      <w:r>
        <w:rPr>
          <w:i/>
          <w:iCs/>
          <w:sz w:val="22"/>
          <w:szCs w:val="22"/>
        </w:rPr>
        <w:t>39</w:t>
      </w:r>
      <w:r>
        <w:rPr>
          <w:sz w:val="22"/>
          <w:szCs w:val="22"/>
        </w:rPr>
        <w:t xml:space="preserve">(4), 12–27. </w:t>
      </w:r>
      <w:hyperlink r:id="rId15" w:history="1">
        <w:r>
          <w:rPr>
            <w:color w:val="1155CC"/>
            <w:sz w:val="22"/>
            <w:szCs w:val="22"/>
            <w:u w:val="single"/>
          </w:rPr>
          <w:t>https://doi.org/10.1145/1978915.1978919</w:t>
        </w:r>
      </w:hyperlink>
    </w:p>
    <w:p w14:paraId="5411209A" w14:textId="77777777" w:rsidR="00E726A1" w:rsidRDefault="00A821DC">
      <w:pPr>
        <w:spacing w:after="140" w:line="320" w:lineRule="auto"/>
        <w:ind w:left="720" w:hanging="720"/>
        <w:jc w:val="both"/>
      </w:pPr>
      <w:r>
        <w:rPr>
          <w:sz w:val="22"/>
          <w:szCs w:val="22"/>
        </w:rPr>
        <w:t xml:space="preserve">Combe, T., Martin, A., &amp; Di Pietro, R. (2016). To Docker or not to Docker: a security perspective. </w:t>
      </w:r>
      <w:r>
        <w:rPr>
          <w:i/>
          <w:iCs/>
          <w:sz w:val="22"/>
          <w:szCs w:val="22"/>
        </w:rPr>
        <w:t>IEEE Cloud Computing</w:t>
      </w:r>
      <w:r>
        <w:rPr>
          <w:sz w:val="22"/>
          <w:szCs w:val="22"/>
        </w:rPr>
        <w:t xml:space="preserve">, </w:t>
      </w:r>
      <w:r>
        <w:rPr>
          <w:i/>
          <w:iCs/>
          <w:sz w:val="22"/>
          <w:szCs w:val="22"/>
        </w:rPr>
        <w:t>3</w:t>
      </w:r>
      <w:r>
        <w:rPr>
          <w:sz w:val="22"/>
          <w:szCs w:val="22"/>
        </w:rPr>
        <w:t xml:space="preserve">(5), 54–62. </w:t>
      </w:r>
      <w:hyperlink r:id="rId16" w:history="1">
        <w:r>
          <w:rPr>
            <w:color w:val="1155CC"/>
            <w:sz w:val="22"/>
            <w:szCs w:val="22"/>
            <w:u w:val="single"/>
          </w:rPr>
          <w:t>https://doi.org/10.1109/MCC.2016.100</w:t>
        </w:r>
      </w:hyperlink>
    </w:p>
    <w:p w14:paraId="301CA9A9" w14:textId="77777777" w:rsidR="00E726A1" w:rsidRDefault="00A821DC">
      <w:pPr>
        <w:spacing w:after="140" w:line="320" w:lineRule="auto"/>
        <w:ind w:left="720" w:hanging="720"/>
        <w:jc w:val="both"/>
      </w:pPr>
      <w:r>
        <w:rPr>
          <w:sz w:val="22"/>
          <w:szCs w:val="22"/>
        </w:rPr>
        <w:lastRenderedPageBreak/>
        <w:t xml:space="preserve">Farrar, C. R., &amp; Worden, K. (2007). An introduction to structural health monitoring. </w:t>
      </w:r>
      <w:r>
        <w:rPr>
          <w:i/>
          <w:iCs/>
          <w:sz w:val="22"/>
          <w:szCs w:val="22"/>
        </w:rPr>
        <w:t>Philosophical Transactions of the Royal Society A: Mathematical, Physical and Engineering Sciences</w:t>
      </w:r>
      <w:r>
        <w:rPr>
          <w:sz w:val="22"/>
          <w:szCs w:val="22"/>
        </w:rPr>
        <w:t xml:space="preserve">, </w:t>
      </w:r>
      <w:r>
        <w:rPr>
          <w:i/>
          <w:iCs/>
          <w:sz w:val="22"/>
          <w:szCs w:val="22"/>
        </w:rPr>
        <w:t>365</w:t>
      </w:r>
      <w:r>
        <w:rPr>
          <w:sz w:val="22"/>
          <w:szCs w:val="22"/>
        </w:rPr>
        <w:t xml:space="preserve">(1851), 303–315. </w:t>
      </w:r>
      <w:hyperlink r:id="rId17" w:history="1">
        <w:r>
          <w:rPr>
            <w:color w:val="1155CC"/>
            <w:sz w:val="22"/>
            <w:szCs w:val="22"/>
            <w:u w:val="single"/>
          </w:rPr>
          <w:t>https://doi.org/10.1098/rsta.2006.1928</w:t>
        </w:r>
      </w:hyperlink>
    </w:p>
    <w:p w14:paraId="56A57995" w14:textId="77777777" w:rsidR="00E726A1" w:rsidRDefault="00A821DC">
      <w:pPr>
        <w:spacing w:after="140" w:line="320" w:lineRule="auto"/>
        <w:ind w:left="720" w:hanging="720"/>
        <w:jc w:val="both"/>
      </w:pPr>
      <w:r>
        <w:rPr>
          <w:sz w:val="22"/>
          <w:szCs w:val="22"/>
        </w:rPr>
        <w:t xml:space="preserve">Fielding, R. T., &amp; Taylor, R. N. (2002). Principled design of the modern Web architecture. </w:t>
      </w:r>
      <w:r>
        <w:rPr>
          <w:i/>
          <w:iCs/>
          <w:sz w:val="22"/>
          <w:szCs w:val="22"/>
        </w:rPr>
        <w:t>ACM Transactions on Internet Technology</w:t>
      </w:r>
      <w:r>
        <w:rPr>
          <w:sz w:val="22"/>
          <w:szCs w:val="22"/>
        </w:rPr>
        <w:t xml:space="preserve">, </w:t>
      </w:r>
      <w:r>
        <w:rPr>
          <w:i/>
          <w:iCs/>
          <w:sz w:val="22"/>
          <w:szCs w:val="22"/>
        </w:rPr>
        <w:t>2</w:t>
      </w:r>
      <w:r>
        <w:rPr>
          <w:sz w:val="22"/>
          <w:szCs w:val="22"/>
        </w:rPr>
        <w:t xml:space="preserve">(2), 115–150. </w:t>
      </w:r>
      <w:hyperlink r:id="rId18" w:history="1">
        <w:r>
          <w:rPr>
            <w:color w:val="1155CC"/>
            <w:sz w:val="22"/>
            <w:szCs w:val="22"/>
            <w:u w:val="single"/>
          </w:rPr>
          <w:t>https://doi.org/10.1145/514183.514185</w:t>
        </w:r>
      </w:hyperlink>
    </w:p>
    <w:p w14:paraId="25362405" w14:textId="77777777" w:rsidR="00E726A1" w:rsidRDefault="00A821DC">
      <w:pPr>
        <w:spacing w:after="140" w:line="320" w:lineRule="auto"/>
        <w:ind w:left="720" w:hanging="720"/>
        <w:jc w:val="both"/>
      </w:pPr>
      <w:r>
        <w:rPr>
          <w:sz w:val="22"/>
          <w:szCs w:val="22"/>
        </w:rPr>
        <w:t xml:space="preserve">Grant, M. J., &amp; Booth, A. (2009). A typology of reviews: an analysis of 14 review types and associated methodologies. </w:t>
      </w:r>
      <w:r>
        <w:rPr>
          <w:i/>
          <w:iCs/>
          <w:sz w:val="22"/>
          <w:szCs w:val="22"/>
        </w:rPr>
        <w:t>Health Information &amp; Libraries Journal</w:t>
      </w:r>
      <w:r>
        <w:rPr>
          <w:sz w:val="22"/>
          <w:szCs w:val="22"/>
        </w:rPr>
        <w:t xml:space="preserve">, </w:t>
      </w:r>
      <w:r>
        <w:rPr>
          <w:i/>
          <w:iCs/>
          <w:sz w:val="22"/>
          <w:szCs w:val="22"/>
        </w:rPr>
        <w:t>26</w:t>
      </w:r>
      <w:r>
        <w:rPr>
          <w:sz w:val="22"/>
          <w:szCs w:val="22"/>
        </w:rPr>
        <w:t xml:space="preserve">(2), 91–108. </w:t>
      </w:r>
      <w:hyperlink r:id="rId19" w:history="1">
        <w:r>
          <w:rPr>
            <w:color w:val="1155CC"/>
            <w:sz w:val="22"/>
            <w:szCs w:val="22"/>
            <w:u w:val="single"/>
          </w:rPr>
          <w:t>https://doi.org/10.1111/j.1471-1842.2009.00848.x</w:t>
        </w:r>
      </w:hyperlink>
    </w:p>
    <w:p w14:paraId="291093F5" w14:textId="77777777" w:rsidR="00E726A1" w:rsidRDefault="00A821DC">
      <w:pPr>
        <w:spacing w:after="140" w:line="320" w:lineRule="auto"/>
        <w:ind w:left="720" w:hanging="720"/>
        <w:jc w:val="both"/>
      </w:pPr>
      <w:r>
        <w:rPr>
          <w:sz w:val="22"/>
          <w:szCs w:val="22"/>
        </w:rPr>
        <w:t xml:space="preserve">Green, B. N., Johnson, C. D., &amp; Adams, A. (2006). Writing narrative literature reviews for peer-reviewed journals: secrets of the trade. </w:t>
      </w:r>
      <w:r>
        <w:rPr>
          <w:i/>
          <w:iCs/>
          <w:sz w:val="22"/>
          <w:szCs w:val="22"/>
        </w:rPr>
        <w:t>Journal of Chiropractic Medicine</w:t>
      </w:r>
      <w:r>
        <w:rPr>
          <w:sz w:val="22"/>
          <w:szCs w:val="22"/>
        </w:rPr>
        <w:t xml:space="preserve">, </w:t>
      </w:r>
      <w:r>
        <w:rPr>
          <w:i/>
          <w:iCs/>
          <w:sz w:val="22"/>
          <w:szCs w:val="22"/>
        </w:rPr>
        <w:t>5</w:t>
      </w:r>
      <w:r>
        <w:rPr>
          <w:sz w:val="22"/>
          <w:szCs w:val="22"/>
        </w:rPr>
        <w:t xml:space="preserve">(3), 101–117. </w:t>
      </w:r>
      <w:hyperlink r:id="rId20" w:history="1">
        <w:r>
          <w:rPr>
            <w:color w:val="1155CC"/>
            <w:sz w:val="22"/>
            <w:szCs w:val="22"/>
            <w:u w:val="single"/>
          </w:rPr>
          <w:t>https://doi.org/10.1016/S0899-3467(07)60142-6</w:t>
        </w:r>
      </w:hyperlink>
    </w:p>
    <w:p w14:paraId="7C08E40F" w14:textId="77777777" w:rsidR="00E726A1" w:rsidRDefault="00A821DC">
      <w:pPr>
        <w:spacing w:after="140" w:line="320" w:lineRule="auto"/>
        <w:ind w:left="720" w:hanging="720"/>
        <w:jc w:val="both"/>
      </w:pPr>
      <w:r>
        <w:rPr>
          <w:sz w:val="22"/>
          <w:szCs w:val="22"/>
        </w:rPr>
        <w:t xml:space="preserve">Ince, D. C., Hatton, L., &amp; Graham-Cumming, J. (2012). The case for open computer programs. </w:t>
      </w:r>
      <w:r>
        <w:rPr>
          <w:i/>
          <w:iCs/>
          <w:sz w:val="22"/>
          <w:szCs w:val="22"/>
        </w:rPr>
        <w:t>Nature</w:t>
      </w:r>
      <w:r>
        <w:rPr>
          <w:sz w:val="22"/>
          <w:szCs w:val="22"/>
        </w:rPr>
        <w:t xml:space="preserve">, </w:t>
      </w:r>
      <w:r>
        <w:rPr>
          <w:i/>
          <w:iCs/>
          <w:sz w:val="22"/>
          <w:szCs w:val="22"/>
        </w:rPr>
        <w:t>482</w:t>
      </w:r>
      <w:r>
        <w:rPr>
          <w:sz w:val="22"/>
          <w:szCs w:val="22"/>
        </w:rPr>
        <w:t xml:space="preserve">(7386), 485–488. </w:t>
      </w:r>
      <w:hyperlink r:id="rId21" w:history="1">
        <w:r>
          <w:rPr>
            <w:color w:val="1155CC"/>
            <w:sz w:val="22"/>
            <w:szCs w:val="22"/>
            <w:u w:val="single"/>
          </w:rPr>
          <w:t>https://doi.org/10.1038/nature10836</w:t>
        </w:r>
      </w:hyperlink>
    </w:p>
    <w:p w14:paraId="7C220D47" w14:textId="77777777" w:rsidR="00E726A1" w:rsidRDefault="00A821DC">
      <w:pPr>
        <w:spacing w:after="140" w:line="320" w:lineRule="auto"/>
        <w:ind w:left="720" w:hanging="720"/>
        <w:jc w:val="both"/>
      </w:pPr>
      <w:r>
        <w:rPr>
          <w:sz w:val="22"/>
          <w:szCs w:val="22"/>
        </w:rPr>
        <w:t xml:space="preserve">Kanza, S., Willoughby, C., Gibbins, N., Whitby, R., Frey, J. G., Erjavec, J., Zupančič, K., Hren, M., &amp; Kovač, K. (2017). Electronic lab notebooks: can they replace paper? </w:t>
      </w:r>
      <w:r>
        <w:rPr>
          <w:i/>
          <w:iCs/>
          <w:sz w:val="22"/>
          <w:szCs w:val="22"/>
        </w:rPr>
        <w:t>Journal of Cheminformatics</w:t>
      </w:r>
      <w:r>
        <w:rPr>
          <w:sz w:val="22"/>
          <w:szCs w:val="22"/>
        </w:rPr>
        <w:t xml:space="preserve">, </w:t>
      </w:r>
      <w:r>
        <w:rPr>
          <w:i/>
          <w:iCs/>
          <w:sz w:val="22"/>
          <w:szCs w:val="22"/>
        </w:rPr>
        <w:t>9</w:t>
      </w:r>
      <w:r>
        <w:rPr>
          <w:sz w:val="22"/>
          <w:szCs w:val="22"/>
        </w:rPr>
        <w:t xml:space="preserve">(1), 31. </w:t>
      </w:r>
      <w:hyperlink r:id="rId22" w:history="1">
        <w:r>
          <w:rPr>
            <w:color w:val="1155CC"/>
            <w:sz w:val="22"/>
            <w:szCs w:val="22"/>
            <w:u w:val="single"/>
          </w:rPr>
          <w:t>https://doi.org/10.1186/s13321-017-0221-3</w:t>
        </w:r>
      </w:hyperlink>
    </w:p>
    <w:p w14:paraId="41646A7C" w14:textId="77777777" w:rsidR="00E726A1" w:rsidRDefault="00A821DC">
      <w:pPr>
        <w:spacing w:after="140" w:line="320" w:lineRule="auto"/>
        <w:ind w:left="720" w:hanging="720"/>
        <w:jc w:val="both"/>
      </w:pPr>
      <w:r>
        <w:rPr>
          <w:sz w:val="22"/>
          <w:szCs w:val="22"/>
        </w:rPr>
        <w:t xml:space="preserve">Millman, K. J., &amp; </w:t>
      </w:r>
      <w:proofErr w:type="spellStart"/>
      <w:r>
        <w:rPr>
          <w:sz w:val="22"/>
          <w:szCs w:val="22"/>
        </w:rPr>
        <w:t>Aivazis</w:t>
      </w:r>
      <w:proofErr w:type="spellEnd"/>
      <w:r>
        <w:rPr>
          <w:sz w:val="22"/>
          <w:szCs w:val="22"/>
        </w:rPr>
        <w:t xml:space="preserve">, M. (2011). Python for scientists and engineers. </w:t>
      </w:r>
      <w:r>
        <w:rPr>
          <w:i/>
          <w:iCs/>
          <w:sz w:val="22"/>
          <w:szCs w:val="22"/>
        </w:rPr>
        <w:t>Computing in Science &amp; Engineering</w:t>
      </w:r>
      <w:r>
        <w:rPr>
          <w:sz w:val="22"/>
          <w:szCs w:val="22"/>
        </w:rPr>
        <w:t xml:space="preserve">, </w:t>
      </w:r>
      <w:r>
        <w:rPr>
          <w:i/>
          <w:iCs/>
          <w:sz w:val="22"/>
          <w:szCs w:val="22"/>
        </w:rPr>
        <w:t>13</w:t>
      </w:r>
      <w:r>
        <w:rPr>
          <w:sz w:val="22"/>
          <w:szCs w:val="22"/>
        </w:rPr>
        <w:t xml:space="preserve">(2), 9–12. </w:t>
      </w:r>
      <w:hyperlink r:id="rId23" w:history="1">
        <w:r>
          <w:rPr>
            <w:color w:val="1155CC"/>
            <w:sz w:val="22"/>
            <w:szCs w:val="22"/>
            <w:u w:val="single"/>
          </w:rPr>
          <w:t>https://doi.org/10.1109/MCSE.2011.36</w:t>
        </w:r>
      </w:hyperlink>
    </w:p>
    <w:p w14:paraId="4455DD1B" w14:textId="77777777" w:rsidR="00E726A1" w:rsidRDefault="00A821DC">
      <w:pPr>
        <w:spacing w:after="140" w:line="320" w:lineRule="auto"/>
        <w:ind w:left="720" w:hanging="720"/>
        <w:jc w:val="both"/>
      </w:pPr>
      <w:r>
        <w:rPr>
          <w:sz w:val="22"/>
          <w:szCs w:val="22"/>
        </w:rPr>
        <w:t xml:space="preserve">Nussbeck, S. Y., Weil, P., Menzel, J., Marzec, B., Lorberg, K., &amp; Schwappach, B. (2014). The laboratory notebook in the 21st century. </w:t>
      </w:r>
      <w:r>
        <w:rPr>
          <w:i/>
          <w:iCs/>
          <w:sz w:val="22"/>
          <w:szCs w:val="22"/>
        </w:rPr>
        <w:t>EMBO Reports</w:t>
      </w:r>
      <w:r>
        <w:rPr>
          <w:sz w:val="22"/>
          <w:szCs w:val="22"/>
        </w:rPr>
        <w:t xml:space="preserve">, </w:t>
      </w:r>
      <w:r>
        <w:rPr>
          <w:i/>
          <w:iCs/>
          <w:sz w:val="22"/>
          <w:szCs w:val="22"/>
        </w:rPr>
        <w:t>15</w:t>
      </w:r>
      <w:r>
        <w:rPr>
          <w:sz w:val="22"/>
          <w:szCs w:val="22"/>
        </w:rPr>
        <w:t xml:space="preserve">(6), 631–634. </w:t>
      </w:r>
      <w:hyperlink r:id="rId24" w:history="1">
        <w:r>
          <w:rPr>
            <w:color w:val="1155CC"/>
            <w:sz w:val="22"/>
            <w:szCs w:val="22"/>
            <w:u w:val="single"/>
          </w:rPr>
          <w:t>https://doi.org/10.15252/embr.201338358</w:t>
        </w:r>
      </w:hyperlink>
    </w:p>
    <w:p w14:paraId="2D102848" w14:textId="77777777" w:rsidR="00E726A1" w:rsidRDefault="00A821DC">
      <w:pPr>
        <w:spacing w:after="140" w:line="320" w:lineRule="auto"/>
        <w:ind w:left="720" w:hanging="720"/>
        <w:jc w:val="both"/>
      </w:pPr>
      <w:r>
        <w:rPr>
          <w:sz w:val="22"/>
          <w:szCs w:val="22"/>
        </w:rPr>
        <w:t xml:space="preserve">Pahl, C. (2015). Containerization and the PaaS cloud. </w:t>
      </w:r>
      <w:r>
        <w:rPr>
          <w:i/>
          <w:iCs/>
          <w:sz w:val="22"/>
          <w:szCs w:val="22"/>
        </w:rPr>
        <w:t>IEEE Cloud Computing</w:t>
      </w:r>
      <w:r>
        <w:rPr>
          <w:sz w:val="22"/>
          <w:szCs w:val="22"/>
        </w:rPr>
        <w:t xml:space="preserve">, </w:t>
      </w:r>
      <w:r>
        <w:rPr>
          <w:i/>
          <w:iCs/>
          <w:sz w:val="22"/>
          <w:szCs w:val="22"/>
        </w:rPr>
        <w:t>2</w:t>
      </w:r>
      <w:r>
        <w:rPr>
          <w:sz w:val="22"/>
          <w:szCs w:val="22"/>
        </w:rPr>
        <w:t xml:space="preserve">(3), 24–31. </w:t>
      </w:r>
      <w:hyperlink r:id="rId25" w:history="1">
        <w:r>
          <w:rPr>
            <w:color w:val="1155CC"/>
            <w:sz w:val="22"/>
            <w:szCs w:val="22"/>
            <w:u w:val="single"/>
          </w:rPr>
          <w:t>https://doi.org/10.1109/MCC.2015.51</w:t>
        </w:r>
      </w:hyperlink>
    </w:p>
    <w:p w14:paraId="5FE612F8" w14:textId="77777777" w:rsidR="00E726A1" w:rsidRDefault="00A821DC">
      <w:pPr>
        <w:spacing w:after="140" w:line="320" w:lineRule="auto"/>
        <w:ind w:left="720" w:hanging="720"/>
        <w:jc w:val="both"/>
      </w:pPr>
      <w:r>
        <w:rPr>
          <w:sz w:val="22"/>
          <w:szCs w:val="22"/>
        </w:rPr>
        <w:t xml:space="preserve">Piccolo, S. R., &amp; Frampton, M. B. (2016). Tools and techniques for computational reproducibility. </w:t>
      </w:r>
      <w:proofErr w:type="spellStart"/>
      <w:r>
        <w:rPr>
          <w:i/>
          <w:iCs/>
          <w:sz w:val="22"/>
          <w:szCs w:val="22"/>
        </w:rPr>
        <w:t>GigaScience</w:t>
      </w:r>
      <w:proofErr w:type="spellEnd"/>
      <w:r>
        <w:rPr>
          <w:sz w:val="22"/>
          <w:szCs w:val="22"/>
        </w:rPr>
        <w:t xml:space="preserve">, </w:t>
      </w:r>
      <w:r>
        <w:rPr>
          <w:i/>
          <w:iCs/>
          <w:sz w:val="22"/>
          <w:szCs w:val="22"/>
        </w:rPr>
        <w:t>5</w:t>
      </w:r>
      <w:r>
        <w:rPr>
          <w:sz w:val="22"/>
          <w:szCs w:val="22"/>
        </w:rPr>
        <w:t xml:space="preserve">(1), 30. </w:t>
      </w:r>
      <w:hyperlink r:id="rId26" w:history="1">
        <w:r>
          <w:rPr>
            <w:color w:val="1155CC"/>
            <w:sz w:val="22"/>
            <w:szCs w:val="22"/>
            <w:u w:val="single"/>
          </w:rPr>
          <w:t>https://doi.org/10.1186/s13742-016-0135-4</w:t>
        </w:r>
      </w:hyperlink>
    </w:p>
    <w:p w14:paraId="18729282" w14:textId="77777777" w:rsidR="00E726A1" w:rsidRDefault="00A821DC">
      <w:pPr>
        <w:spacing w:after="140" w:line="320" w:lineRule="auto"/>
        <w:ind w:left="720" w:hanging="720"/>
        <w:jc w:val="both"/>
      </w:pPr>
      <w:r>
        <w:rPr>
          <w:sz w:val="22"/>
          <w:szCs w:val="22"/>
        </w:rPr>
        <w:t xml:space="preserve">Sandve, G. K., Nekrutenko, A., Taylor, J., &amp; Hovig, E. (2013). Ten simple rules for reproducible computational research. </w:t>
      </w:r>
      <w:r>
        <w:rPr>
          <w:i/>
          <w:iCs/>
          <w:sz w:val="22"/>
          <w:szCs w:val="22"/>
        </w:rPr>
        <w:t>PLOS Computational Biology</w:t>
      </w:r>
      <w:r>
        <w:rPr>
          <w:sz w:val="22"/>
          <w:szCs w:val="22"/>
        </w:rPr>
        <w:t xml:space="preserve">, </w:t>
      </w:r>
      <w:r>
        <w:rPr>
          <w:i/>
          <w:iCs/>
          <w:sz w:val="22"/>
          <w:szCs w:val="22"/>
        </w:rPr>
        <w:t>9</w:t>
      </w:r>
      <w:r>
        <w:rPr>
          <w:sz w:val="22"/>
          <w:szCs w:val="22"/>
        </w:rPr>
        <w:t xml:space="preserve">(10), e1003285. </w:t>
      </w:r>
      <w:hyperlink r:id="rId27" w:history="1">
        <w:r>
          <w:rPr>
            <w:color w:val="1155CC"/>
            <w:sz w:val="22"/>
            <w:szCs w:val="22"/>
            <w:u w:val="single"/>
          </w:rPr>
          <w:t>https://doi.org/10.1371/journal.pcbi.1003285</w:t>
        </w:r>
      </w:hyperlink>
    </w:p>
    <w:p w14:paraId="7E6B339B" w14:textId="77777777" w:rsidR="00E726A1" w:rsidRDefault="00A821DC">
      <w:pPr>
        <w:spacing w:after="140" w:line="320" w:lineRule="auto"/>
        <w:ind w:left="720" w:hanging="720"/>
        <w:jc w:val="both"/>
      </w:pPr>
      <w:r>
        <w:rPr>
          <w:sz w:val="22"/>
          <w:szCs w:val="22"/>
        </w:rPr>
        <w:t xml:space="preserve">Skobelev, D. O., Zaytseva, T. M., Kozlov, A. D., </w:t>
      </w:r>
      <w:proofErr w:type="spellStart"/>
      <w:r>
        <w:rPr>
          <w:sz w:val="22"/>
          <w:szCs w:val="22"/>
        </w:rPr>
        <w:t>Perepelitsa</w:t>
      </w:r>
      <w:proofErr w:type="spellEnd"/>
      <w:r>
        <w:rPr>
          <w:sz w:val="22"/>
          <w:szCs w:val="22"/>
        </w:rPr>
        <w:t xml:space="preserve">, V. L., &amp; Makarova, A. S. (2011). Laboratory information management systems in the work of the analytic laboratory. </w:t>
      </w:r>
      <w:r>
        <w:rPr>
          <w:i/>
          <w:iCs/>
          <w:sz w:val="22"/>
          <w:szCs w:val="22"/>
        </w:rPr>
        <w:t>Measurement Techniques</w:t>
      </w:r>
      <w:r>
        <w:rPr>
          <w:sz w:val="22"/>
          <w:szCs w:val="22"/>
        </w:rPr>
        <w:t xml:space="preserve">, </w:t>
      </w:r>
      <w:r>
        <w:rPr>
          <w:i/>
          <w:iCs/>
          <w:sz w:val="22"/>
          <w:szCs w:val="22"/>
        </w:rPr>
        <w:t>53</w:t>
      </w:r>
      <w:r>
        <w:rPr>
          <w:sz w:val="22"/>
          <w:szCs w:val="22"/>
        </w:rPr>
        <w:t xml:space="preserve">(10), 1182–1189. </w:t>
      </w:r>
      <w:hyperlink r:id="rId28" w:history="1">
        <w:r>
          <w:rPr>
            <w:color w:val="1155CC"/>
            <w:sz w:val="22"/>
            <w:szCs w:val="22"/>
            <w:u w:val="single"/>
          </w:rPr>
          <w:t>https://doi.org/10.1007/s11018-011-9638-7</w:t>
        </w:r>
      </w:hyperlink>
    </w:p>
    <w:p w14:paraId="71A7ABDB" w14:textId="77777777" w:rsidR="00E726A1" w:rsidRDefault="00A821DC">
      <w:pPr>
        <w:spacing w:after="140" w:line="320" w:lineRule="auto"/>
        <w:ind w:left="720" w:hanging="720"/>
        <w:jc w:val="both"/>
      </w:pPr>
      <w:r>
        <w:rPr>
          <w:sz w:val="22"/>
          <w:szCs w:val="22"/>
        </w:rPr>
        <w:t xml:space="preserve">Spencer, B. F., Jr., Ruiz-Sandoval, M. E., &amp; Kurata, N. (2004). Smart sensing technology: opportunities and challenges. </w:t>
      </w:r>
      <w:r>
        <w:rPr>
          <w:i/>
          <w:iCs/>
          <w:sz w:val="22"/>
          <w:szCs w:val="22"/>
        </w:rPr>
        <w:t>Structural Control and Health Monitoring</w:t>
      </w:r>
      <w:r>
        <w:rPr>
          <w:sz w:val="22"/>
          <w:szCs w:val="22"/>
        </w:rPr>
        <w:t xml:space="preserve">, </w:t>
      </w:r>
      <w:r>
        <w:rPr>
          <w:i/>
          <w:iCs/>
          <w:sz w:val="22"/>
          <w:szCs w:val="22"/>
        </w:rPr>
        <w:t>11</w:t>
      </w:r>
      <w:r>
        <w:rPr>
          <w:sz w:val="22"/>
          <w:szCs w:val="22"/>
        </w:rPr>
        <w:t xml:space="preserve">(4), 349–368. </w:t>
      </w:r>
      <w:hyperlink r:id="rId29" w:history="1">
        <w:r>
          <w:rPr>
            <w:color w:val="1155CC"/>
            <w:sz w:val="22"/>
            <w:szCs w:val="22"/>
            <w:u w:val="single"/>
          </w:rPr>
          <w:t>https://doi.org/10.1002/stc.48</w:t>
        </w:r>
      </w:hyperlink>
    </w:p>
    <w:p w14:paraId="4878D5C9" w14:textId="77777777" w:rsidR="00E726A1" w:rsidRDefault="00A821DC">
      <w:pPr>
        <w:spacing w:after="140" w:line="320" w:lineRule="auto"/>
        <w:ind w:left="720" w:hanging="720"/>
        <w:jc w:val="both"/>
      </w:pPr>
      <w:r>
        <w:rPr>
          <w:sz w:val="22"/>
          <w:szCs w:val="22"/>
        </w:rPr>
        <w:lastRenderedPageBreak/>
        <w:t xml:space="preserve">Stodden, V., &amp; Miguez, S. (2014). Best practices for computational science: software infrastructure and environments for reproducible and extensible research. </w:t>
      </w:r>
      <w:r>
        <w:rPr>
          <w:i/>
          <w:iCs/>
          <w:sz w:val="22"/>
          <w:szCs w:val="22"/>
        </w:rPr>
        <w:t>Journal of Open Research Software</w:t>
      </w:r>
      <w:r>
        <w:rPr>
          <w:sz w:val="22"/>
          <w:szCs w:val="22"/>
        </w:rPr>
        <w:t xml:space="preserve">, </w:t>
      </w:r>
      <w:r>
        <w:rPr>
          <w:i/>
          <w:iCs/>
          <w:sz w:val="22"/>
          <w:szCs w:val="22"/>
        </w:rPr>
        <w:t>2</w:t>
      </w:r>
      <w:r>
        <w:rPr>
          <w:sz w:val="22"/>
          <w:szCs w:val="22"/>
        </w:rPr>
        <w:t xml:space="preserve">(1), e21. </w:t>
      </w:r>
      <w:hyperlink r:id="rId30" w:history="1">
        <w:r>
          <w:rPr>
            <w:color w:val="1155CC"/>
            <w:sz w:val="22"/>
            <w:szCs w:val="22"/>
            <w:u w:val="single"/>
          </w:rPr>
          <w:t>https://doi.org/10.5334/jors.ay</w:t>
        </w:r>
      </w:hyperlink>
    </w:p>
    <w:p w14:paraId="5EAE6924" w14:textId="77777777" w:rsidR="00E726A1" w:rsidRDefault="00A821DC">
      <w:pPr>
        <w:spacing w:after="140" w:line="320" w:lineRule="auto"/>
        <w:ind w:left="720" w:hanging="720"/>
        <w:jc w:val="both"/>
      </w:pPr>
      <w:r>
        <w:rPr>
          <w:sz w:val="22"/>
          <w:szCs w:val="22"/>
        </w:rPr>
        <w:t xml:space="preserve">Taylor, C. F., Field, D., Sansone, S.-A., Aerts, J., </w:t>
      </w:r>
      <w:proofErr w:type="spellStart"/>
      <w:r>
        <w:rPr>
          <w:sz w:val="22"/>
          <w:szCs w:val="22"/>
        </w:rPr>
        <w:t>Apweiler</w:t>
      </w:r>
      <w:proofErr w:type="spellEnd"/>
      <w:r>
        <w:rPr>
          <w:sz w:val="22"/>
          <w:szCs w:val="22"/>
        </w:rPr>
        <w:t xml:space="preserve">, R., Ashburner, M., Ball, C. A., Binz, P.-A., Bogue, M., Booth, T., </w:t>
      </w:r>
      <w:proofErr w:type="spellStart"/>
      <w:r>
        <w:rPr>
          <w:sz w:val="22"/>
          <w:szCs w:val="22"/>
        </w:rPr>
        <w:t>Brazma</w:t>
      </w:r>
      <w:proofErr w:type="spellEnd"/>
      <w:r>
        <w:rPr>
          <w:sz w:val="22"/>
          <w:szCs w:val="22"/>
        </w:rPr>
        <w:t xml:space="preserve">, A., Brinkman, R. R., Clark, A. M., Deutsch, E. W., Fiehn, O., </w:t>
      </w:r>
      <w:proofErr w:type="spellStart"/>
      <w:r>
        <w:rPr>
          <w:sz w:val="22"/>
          <w:szCs w:val="22"/>
        </w:rPr>
        <w:t>Fostel</w:t>
      </w:r>
      <w:proofErr w:type="spellEnd"/>
      <w:r>
        <w:rPr>
          <w:sz w:val="22"/>
          <w:szCs w:val="22"/>
        </w:rPr>
        <w:t xml:space="preserve">, J., Ghazal, P., Gibson, F., Gray, T., ... &amp; Wiemann, S. (2008). Promoting coherent minimum reporting guidelines for biological and biomedical investigations: the MIBBI project. </w:t>
      </w:r>
      <w:r>
        <w:rPr>
          <w:i/>
          <w:iCs/>
          <w:sz w:val="22"/>
          <w:szCs w:val="22"/>
        </w:rPr>
        <w:t>Nature Biotechnology</w:t>
      </w:r>
      <w:r>
        <w:rPr>
          <w:sz w:val="22"/>
          <w:szCs w:val="22"/>
        </w:rPr>
        <w:t xml:space="preserve">, </w:t>
      </w:r>
      <w:r>
        <w:rPr>
          <w:i/>
          <w:iCs/>
          <w:sz w:val="22"/>
          <w:szCs w:val="22"/>
        </w:rPr>
        <w:t>26</w:t>
      </w:r>
      <w:r>
        <w:rPr>
          <w:sz w:val="22"/>
          <w:szCs w:val="22"/>
        </w:rPr>
        <w:t xml:space="preserve">(8), 889–896. </w:t>
      </w:r>
      <w:hyperlink r:id="rId31" w:history="1">
        <w:r>
          <w:rPr>
            <w:color w:val="1155CC"/>
            <w:sz w:val="22"/>
            <w:szCs w:val="22"/>
            <w:u w:val="single"/>
          </w:rPr>
          <w:t>https://doi.org/10.1038/nbt.1411</w:t>
        </w:r>
      </w:hyperlink>
    </w:p>
    <w:p w14:paraId="64048436" w14:textId="77777777" w:rsidR="00E726A1" w:rsidRDefault="00A821DC">
      <w:pPr>
        <w:spacing w:after="140" w:line="320" w:lineRule="auto"/>
        <w:ind w:left="720" w:hanging="720"/>
        <w:jc w:val="both"/>
      </w:pPr>
      <w:r>
        <w:rPr>
          <w:sz w:val="22"/>
          <w:szCs w:val="22"/>
        </w:rPr>
        <w:t xml:space="preserve">Thompson, M., Ellison, S. L. R., &amp; Wood, R. (2002). Harmonized guidelines for single-laboratory validation of methods of analysis (IUPAC Technical Report). </w:t>
      </w:r>
      <w:r>
        <w:rPr>
          <w:i/>
          <w:iCs/>
          <w:sz w:val="22"/>
          <w:szCs w:val="22"/>
        </w:rPr>
        <w:t>Pure and Applied Chemistry</w:t>
      </w:r>
      <w:r>
        <w:rPr>
          <w:sz w:val="22"/>
          <w:szCs w:val="22"/>
        </w:rPr>
        <w:t xml:space="preserve">, </w:t>
      </w:r>
      <w:r>
        <w:rPr>
          <w:i/>
          <w:iCs/>
          <w:sz w:val="22"/>
          <w:szCs w:val="22"/>
        </w:rPr>
        <w:t>74</w:t>
      </w:r>
      <w:r>
        <w:rPr>
          <w:sz w:val="22"/>
          <w:szCs w:val="22"/>
        </w:rPr>
        <w:t xml:space="preserve">(5), 835–855. </w:t>
      </w:r>
      <w:hyperlink r:id="rId32" w:history="1">
        <w:r>
          <w:rPr>
            <w:color w:val="1155CC"/>
            <w:sz w:val="22"/>
            <w:szCs w:val="22"/>
            <w:u w:val="single"/>
          </w:rPr>
          <w:t>https://doi.org/10.1351/pac200274050835</w:t>
        </w:r>
      </w:hyperlink>
    </w:p>
    <w:p w14:paraId="1C50E84E" w14:textId="77777777" w:rsidR="00E726A1" w:rsidRDefault="00A821DC">
      <w:pPr>
        <w:spacing w:after="140" w:line="320" w:lineRule="auto"/>
        <w:ind w:left="720" w:hanging="720"/>
        <w:jc w:val="both"/>
      </w:pPr>
      <w:r>
        <w:rPr>
          <w:sz w:val="22"/>
          <w:szCs w:val="22"/>
        </w:rPr>
        <w:t xml:space="preserve">Virtanen, P., </w:t>
      </w:r>
      <w:proofErr w:type="spellStart"/>
      <w:r>
        <w:rPr>
          <w:sz w:val="22"/>
          <w:szCs w:val="22"/>
        </w:rPr>
        <w:t>Gommers</w:t>
      </w:r>
      <w:proofErr w:type="spellEnd"/>
      <w:r>
        <w:rPr>
          <w:sz w:val="22"/>
          <w:szCs w:val="22"/>
        </w:rPr>
        <w:t xml:space="preserve">, R., Oliphant, T. E., Haberland, M., Reddy, T., </w:t>
      </w:r>
      <w:proofErr w:type="spellStart"/>
      <w:r>
        <w:rPr>
          <w:sz w:val="22"/>
          <w:szCs w:val="22"/>
        </w:rPr>
        <w:t>Cournapeau</w:t>
      </w:r>
      <w:proofErr w:type="spellEnd"/>
      <w:r>
        <w:rPr>
          <w:sz w:val="22"/>
          <w:szCs w:val="22"/>
        </w:rPr>
        <w:t xml:space="preserve">, D., </w:t>
      </w:r>
      <w:proofErr w:type="spellStart"/>
      <w:r>
        <w:rPr>
          <w:sz w:val="22"/>
          <w:szCs w:val="22"/>
        </w:rPr>
        <w:t>Burovski</w:t>
      </w:r>
      <w:proofErr w:type="spellEnd"/>
      <w:r>
        <w:rPr>
          <w:sz w:val="22"/>
          <w:szCs w:val="22"/>
        </w:rPr>
        <w:t xml:space="preserve">, E., Peterson, P., Weckesser, W., Bright, J., van der Walt, S. J., Brett, M., Wilson, J., Millman, K. J., Mayorov, N., Nelson, A. R. J., Jones, E., Kern, R., Larson, E., ... &amp; van </w:t>
      </w:r>
      <w:proofErr w:type="spellStart"/>
      <w:r>
        <w:rPr>
          <w:sz w:val="22"/>
          <w:szCs w:val="22"/>
        </w:rPr>
        <w:t>Mulbregt</w:t>
      </w:r>
      <w:proofErr w:type="spellEnd"/>
      <w:r>
        <w:rPr>
          <w:sz w:val="22"/>
          <w:szCs w:val="22"/>
        </w:rPr>
        <w:t xml:space="preserve">, P. (2020). SciPy 1.0: fundamental algorithms for scientific computing in Python. </w:t>
      </w:r>
      <w:r>
        <w:rPr>
          <w:i/>
          <w:iCs/>
          <w:sz w:val="22"/>
          <w:szCs w:val="22"/>
        </w:rPr>
        <w:t>Nature Methods</w:t>
      </w:r>
      <w:r>
        <w:rPr>
          <w:sz w:val="22"/>
          <w:szCs w:val="22"/>
        </w:rPr>
        <w:t xml:space="preserve">, </w:t>
      </w:r>
      <w:r>
        <w:rPr>
          <w:i/>
          <w:iCs/>
          <w:sz w:val="22"/>
          <w:szCs w:val="22"/>
        </w:rPr>
        <w:t>17</w:t>
      </w:r>
      <w:r>
        <w:rPr>
          <w:sz w:val="22"/>
          <w:szCs w:val="22"/>
        </w:rPr>
        <w:t xml:space="preserve">(3), 261–272. </w:t>
      </w:r>
      <w:hyperlink r:id="rId33" w:history="1">
        <w:r>
          <w:rPr>
            <w:color w:val="1155CC"/>
            <w:sz w:val="22"/>
            <w:szCs w:val="22"/>
            <w:u w:val="single"/>
          </w:rPr>
          <w:t>https://doi.org/10.1038/s41592-019-0686-2</w:t>
        </w:r>
      </w:hyperlink>
    </w:p>
    <w:p w14:paraId="66ECC642" w14:textId="77777777" w:rsidR="00E726A1" w:rsidRDefault="00A821DC">
      <w:pPr>
        <w:spacing w:after="140" w:line="320" w:lineRule="auto"/>
        <w:ind w:left="720" w:hanging="720"/>
        <w:jc w:val="both"/>
      </w:pPr>
      <w:r>
        <w:rPr>
          <w:sz w:val="22"/>
          <w:szCs w:val="22"/>
        </w:rPr>
        <w:t xml:space="preserve">Volk, R., Stengel, J., &amp; </w:t>
      </w:r>
      <w:proofErr w:type="spellStart"/>
      <w:r>
        <w:rPr>
          <w:sz w:val="22"/>
          <w:szCs w:val="22"/>
        </w:rPr>
        <w:t>Schultmann</w:t>
      </w:r>
      <w:proofErr w:type="spellEnd"/>
      <w:r>
        <w:rPr>
          <w:sz w:val="22"/>
          <w:szCs w:val="22"/>
        </w:rPr>
        <w:t xml:space="preserve">, F. (2014). Building information modeling (BIM) for existing buildings — literature review and future needs. </w:t>
      </w:r>
      <w:r>
        <w:rPr>
          <w:i/>
          <w:iCs/>
          <w:sz w:val="22"/>
          <w:szCs w:val="22"/>
        </w:rPr>
        <w:t>Automation in Construction</w:t>
      </w:r>
      <w:r>
        <w:rPr>
          <w:sz w:val="22"/>
          <w:szCs w:val="22"/>
        </w:rPr>
        <w:t xml:space="preserve">, </w:t>
      </w:r>
      <w:r>
        <w:rPr>
          <w:i/>
          <w:iCs/>
          <w:sz w:val="22"/>
          <w:szCs w:val="22"/>
        </w:rPr>
        <w:t>38</w:t>
      </w:r>
      <w:r>
        <w:rPr>
          <w:sz w:val="22"/>
          <w:szCs w:val="22"/>
        </w:rPr>
        <w:t xml:space="preserve">, 109–127. </w:t>
      </w:r>
      <w:hyperlink r:id="rId34" w:history="1">
        <w:r>
          <w:rPr>
            <w:color w:val="1155CC"/>
            <w:sz w:val="22"/>
            <w:szCs w:val="22"/>
            <w:u w:val="single"/>
          </w:rPr>
          <w:t>https://doi.org/10.1016/j.autcon.2013.10.023</w:t>
        </w:r>
      </w:hyperlink>
    </w:p>
    <w:p w14:paraId="247ECE96" w14:textId="40DAEDF1" w:rsidR="00E726A1" w:rsidRDefault="00A821DC">
      <w:pPr>
        <w:spacing w:after="140" w:line="320" w:lineRule="auto"/>
        <w:ind w:left="720" w:hanging="720"/>
        <w:jc w:val="both"/>
        <w:rPr>
          <w:color w:val="1155CC"/>
          <w:sz w:val="22"/>
          <w:szCs w:val="22"/>
          <w:u w:val="single"/>
        </w:rPr>
      </w:pPr>
      <w:r>
        <w:rPr>
          <w:sz w:val="22"/>
          <w:szCs w:val="22"/>
        </w:rPr>
        <w:t xml:space="preserve">Wilkinson, M. D., Dumontier, M., </w:t>
      </w:r>
      <w:proofErr w:type="spellStart"/>
      <w:r>
        <w:rPr>
          <w:sz w:val="22"/>
          <w:szCs w:val="22"/>
        </w:rPr>
        <w:t>Aalbersberg</w:t>
      </w:r>
      <w:proofErr w:type="spellEnd"/>
      <w:r>
        <w:rPr>
          <w:sz w:val="22"/>
          <w:szCs w:val="22"/>
        </w:rPr>
        <w:t xml:space="preserve">, I. J., Appleton, G., Axton, M., Baak, A., Blomberg, N., </w:t>
      </w:r>
      <w:proofErr w:type="spellStart"/>
      <w:r>
        <w:rPr>
          <w:sz w:val="22"/>
          <w:szCs w:val="22"/>
        </w:rPr>
        <w:t>Boiten</w:t>
      </w:r>
      <w:proofErr w:type="spellEnd"/>
      <w:r>
        <w:rPr>
          <w:sz w:val="22"/>
          <w:szCs w:val="22"/>
        </w:rPr>
        <w:t xml:space="preserve">, J.-W., da Silva Santos, L. B., Bourne, P. E., Bouwman, J., Brookes, A. J., Clark, T., </w:t>
      </w:r>
      <w:proofErr w:type="spellStart"/>
      <w:r>
        <w:rPr>
          <w:sz w:val="22"/>
          <w:szCs w:val="22"/>
        </w:rPr>
        <w:t>Crosas</w:t>
      </w:r>
      <w:proofErr w:type="spellEnd"/>
      <w:r>
        <w:rPr>
          <w:sz w:val="22"/>
          <w:szCs w:val="22"/>
        </w:rPr>
        <w:t xml:space="preserve">, M., Dillo, I., Dumon, O., Edmunds, S., Evelo, C. T., </w:t>
      </w:r>
      <w:proofErr w:type="spellStart"/>
      <w:r>
        <w:rPr>
          <w:sz w:val="22"/>
          <w:szCs w:val="22"/>
        </w:rPr>
        <w:t>Finkers</w:t>
      </w:r>
      <w:proofErr w:type="spellEnd"/>
      <w:r>
        <w:rPr>
          <w:sz w:val="22"/>
          <w:szCs w:val="22"/>
        </w:rPr>
        <w:t xml:space="preserve">, R., ... &amp; Mons, B. (2016). The FAIR Guiding Principles for scientific data management and stewardship. </w:t>
      </w:r>
      <w:r>
        <w:rPr>
          <w:i/>
          <w:iCs/>
          <w:sz w:val="22"/>
          <w:szCs w:val="22"/>
        </w:rPr>
        <w:t>Scientific Data</w:t>
      </w:r>
      <w:r>
        <w:rPr>
          <w:sz w:val="22"/>
          <w:szCs w:val="22"/>
        </w:rPr>
        <w:t xml:space="preserve">, </w:t>
      </w:r>
      <w:r>
        <w:rPr>
          <w:i/>
          <w:iCs/>
          <w:sz w:val="22"/>
          <w:szCs w:val="22"/>
        </w:rPr>
        <w:t>3</w:t>
      </w:r>
      <w:r>
        <w:rPr>
          <w:sz w:val="22"/>
          <w:szCs w:val="22"/>
        </w:rPr>
        <w:t xml:space="preserve">, 160018. </w:t>
      </w:r>
      <w:hyperlink r:id="rId35" w:history="1">
        <w:r>
          <w:rPr>
            <w:color w:val="1155CC"/>
            <w:sz w:val="22"/>
            <w:szCs w:val="22"/>
            <w:u w:val="single"/>
          </w:rPr>
          <w:t>https://doi.org/10.1038/sdata.2016.18</w:t>
        </w:r>
      </w:hyperlink>
    </w:p>
    <w:p w14:paraId="29E70454" w14:textId="06D271F7" w:rsidR="00E309E8" w:rsidRDefault="00E309E8">
      <w:pPr>
        <w:spacing w:after="140" w:line="320" w:lineRule="auto"/>
        <w:ind w:left="720" w:hanging="720"/>
        <w:jc w:val="both"/>
        <w:rPr>
          <w:rFonts w:ascii="Arial" w:hAnsi="Arial" w:cs="Arial"/>
          <w:color w:val="222222"/>
          <w:sz w:val="20"/>
          <w:szCs w:val="20"/>
          <w:highlight w:val="yellow"/>
          <w:shd w:val="clear" w:color="auto" w:fill="FFFFFF"/>
        </w:rPr>
      </w:pPr>
      <w:r w:rsidRPr="00E309E8">
        <w:rPr>
          <w:rFonts w:ascii="Arial" w:hAnsi="Arial" w:cs="Arial"/>
          <w:color w:val="222222"/>
          <w:sz w:val="20"/>
          <w:szCs w:val="20"/>
          <w:highlight w:val="yellow"/>
          <w:shd w:val="clear" w:color="auto" w:fill="FFFFFF"/>
        </w:rPr>
        <w:t>Sun, D., Wu, L., &amp; Fan, G. (2021). Laboratory information management system for biosafety laboratory: Safety and efficiency. </w:t>
      </w:r>
      <w:r w:rsidRPr="00E309E8">
        <w:rPr>
          <w:rFonts w:ascii="Arial" w:hAnsi="Arial" w:cs="Arial"/>
          <w:i/>
          <w:iCs/>
          <w:color w:val="222222"/>
          <w:sz w:val="20"/>
          <w:szCs w:val="20"/>
          <w:highlight w:val="yellow"/>
          <w:shd w:val="clear" w:color="auto" w:fill="FFFFFF"/>
        </w:rPr>
        <w:t>Journal of Biosafety and Biosecurity</w:t>
      </w:r>
      <w:r w:rsidRPr="00E309E8">
        <w:rPr>
          <w:rFonts w:ascii="Arial" w:hAnsi="Arial" w:cs="Arial"/>
          <w:color w:val="222222"/>
          <w:sz w:val="20"/>
          <w:szCs w:val="20"/>
          <w:highlight w:val="yellow"/>
          <w:shd w:val="clear" w:color="auto" w:fill="FFFFFF"/>
        </w:rPr>
        <w:t>, </w:t>
      </w:r>
      <w:r w:rsidRPr="00E309E8">
        <w:rPr>
          <w:rFonts w:ascii="Arial" w:hAnsi="Arial" w:cs="Arial"/>
          <w:i/>
          <w:iCs/>
          <w:color w:val="222222"/>
          <w:sz w:val="20"/>
          <w:szCs w:val="20"/>
          <w:highlight w:val="yellow"/>
          <w:shd w:val="clear" w:color="auto" w:fill="FFFFFF"/>
        </w:rPr>
        <w:t>3</w:t>
      </w:r>
      <w:r w:rsidRPr="00E309E8">
        <w:rPr>
          <w:rFonts w:ascii="Arial" w:hAnsi="Arial" w:cs="Arial"/>
          <w:color w:val="222222"/>
          <w:sz w:val="20"/>
          <w:szCs w:val="20"/>
          <w:highlight w:val="yellow"/>
          <w:shd w:val="clear" w:color="auto" w:fill="FFFFFF"/>
        </w:rPr>
        <w:t>(1), 28-34.</w:t>
      </w:r>
    </w:p>
    <w:p w14:paraId="526AC81A" w14:textId="236B4975" w:rsidR="00E309E8" w:rsidRDefault="00E309E8">
      <w:pPr>
        <w:spacing w:after="140" w:line="320" w:lineRule="auto"/>
        <w:ind w:left="720" w:hanging="720"/>
        <w:jc w:val="both"/>
      </w:pPr>
      <w:r w:rsidRPr="00E309E8">
        <w:rPr>
          <w:rFonts w:ascii="Arial" w:hAnsi="Arial" w:cs="Arial"/>
          <w:color w:val="222222"/>
          <w:sz w:val="20"/>
          <w:szCs w:val="20"/>
          <w:highlight w:val="yellow"/>
          <w:shd w:val="clear" w:color="auto" w:fill="FFFFFF"/>
        </w:rPr>
        <w:t>Yuen, N. H. Y., Li, C. H., Kwok, K. C. M., &amp; Leung, R. (2025). Laboratory Information Management System (LIMS) 4.0: A model to solve the current pain points for commercial electrical and electronic laboratories. </w:t>
      </w:r>
      <w:r w:rsidRPr="00E309E8">
        <w:rPr>
          <w:rFonts w:ascii="Arial" w:hAnsi="Arial" w:cs="Arial"/>
          <w:i/>
          <w:iCs/>
          <w:color w:val="222222"/>
          <w:sz w:val="20"/>
          <w:szCs w:val="20"/>
          <w:highlight w:val="yellow"/>
          <w:shd w:val="clear" w:color="auto" w:fill="FFFFFF"/>
        </w:rPr>
        <w:t>International Journal of Engineering Business Management</w:t>
      </w:r>
      <w:r w:rsidRPr="00E309E8">
        <w:rPr>
          <w:rFonts w:ascii="Arial" w:hAnsi="Arial" w:cs="Arial"/>
          <w:color w:val="222222"/>
          <w:sz w:val="20"/>
          <w:szCs w:val="20"/>
          <w:highlight w:val="yellow"/>
          <w:shd w:val="clear" w:color="auto" w:fill="FFFFFF"/>
        </w:rPr>
        <w:t>, </w:t>
      </w:r>
      <w:r w:rsidRPr="00E309E8">
        <w:rPr>
          <w:rFonts w:ascii="Arial" w:hAnsi="Arial" w:cs="Arial"/>
          <w:i/>
          <w:iCs/>
          <w:color w:val="222222"/>
          <w:sz w:val="20"/>
          <w:szCs w:val="20"/>
          <w:highlight w:val="yellow"/>
          <w:shd w:val="clear" w:color="auto" w:fill="FFFFFF"/>
        </w:rPr>
        <w:t>17</w:t>
      </w:r>
      <w:r w:rsidRPr="00E309E8">
        <w:rPr>
          <w:rFonts w:ascii="Arial" w:hAnsi="Arial" w:cs="Arial"/>
          <w:color w:val="222222"/>
          <w:sz w:val="20"/>
          <w:szCs w:val="20"/>
          <w:highlight w:val="yellow"/>
          <w:shd w:val="clear" w:color="auto" w:fill="FFFFFF"/>
        </w:rPr>
        <w:t>, 18479790251385743.</w:t>
      </w:r>
    </w:p>
    <w:sectPr w:rsidR="00E309E8" w:rsidSect="00E726A1">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52C51" w14:textId="77777777" w:rsidR="00D06340" w:rsidRDefault="00D06340" w:rsidP="00E726A1">
      <w:r>
        <w:separator/>
      </w:r>
    </w:p>
  </w:endnote>
  <w:endnote w:type="continuationSeparator" w:id="0">
    <w:p w14:paraId="7DF60777" w14:textId="77777777" w:rsidR="00D06340" w:rsidRDefault="00D06340" w:rsidP="00E7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652" w14:textId="77777777" w:rsidR="009115A2" w:rsidRDefault="0091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3236" w14:textId="77777777" w:rsidR="009115A2" w:rsidRDefault="0091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BF6A" w14:textId="77777777" w:rsidR="009115A2" w:rsidRDefault="0091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57726" w14:textId="77777777" w:rsidR="00D06340" w:rsidRDefault="00D06340" w:rsidP="00E726A1">
      <w:r>
        <w:separator/>
      </w:r>
    </w:p>
  </w:footnote>
  <w:footnote w:type="continuationSeparator" w:id="0">
    <w:p w14:paraId="31DD26CF" w14:textId="77777777" w:rsidR="00D06340" w:rsidRDefault="00D06340" w:rsidP="00E7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35CB" w14:textId="088DB815" w:rsidR="009115A2" w:rsidRDefault="00D06340">
    <w:pPr>
      <w:pStyle w:val="Header"/>
    </w:pPr>
    <w:r>
      <w:rPr>
        <w:noProof/>
      </w:rPr>
      <w:pict w14:anchorId="2D935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37485" o:spid="_x0000_s2050" type="#_x0000_t136" style="position:absolute;margin-left:0;margin-top:0;width:549.8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354F" w14:textId="18AE7FC4" w:rsidR="009115A2" w:rsidRDefault="00D06340">
    <w:pPr>
      <w:pStyle w:val="Header"/>
    </w:pPr>
    <w:r>
      <w:rPr>
        <w:noProof/>
      </w:rPr>
      <w:pict w14:anchorId="24562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37486" o:spid="_x0000_s2051" type="#_x0000_t136" style="position:absolute;margin-left:0;margin-top:0;width:549.8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04CC" w14:textId="72C4EF3A" w:rsidR="009115A2" w:rsidRDefault="00D06340">
    <w:pPr>
      <w:pStyle w:val="Header"/>
    </w:pPr>
    <w:r>
      <w:rPr>
        <w:noProof/>
      </w:rPr>
      <w:pict w14:anchorId="042DF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37484" o:spid="_x0000_s2049" type="#_x0000_t136" style="position:absolute;margin-left:0;margin-top:0;width:549.8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12ED4"/>
    <w:multiLevelType w:val="hybridMultilevel"/>
    <w:tmpl w:val="F1226ED2"/>
    <w:lvl w:ilvl="0" w:tplc="0614AD76">
      <w:start w:val="1"/>
      <w:numFmt w:val="bullet"/>
      <w:lvlText w:val="●"/>
      <w:lvlJc w:val="left"/>
      <w:pPr>
        <w:ind w:left="720" w:hanging="360"/>
      </w:pPr>
    </w:lvl>
    <w:lvl w:ilvl="1" w:tplc="38C2D15E">
      <w:start w:val="1"/>
      <w:numFmt w:val="bullet"/>
      <w:lvlText w:val="○"/>
      <w:lvlJc w:val="left"/>
      <w:pPr>
        <w:ind w:left="1440" w:hanging="360"/>
      </w:pPr>
    </w:lvl>
    <w:lvl w:ilvl="2" w:tplc="A3A2F760">
      <w:start w:val="1"/>
      <w:numFmt w:val="bullet"/>
      <w:lvlText w:val="■"/>
      <w:lvlJc w:val="left"/>
      <w:pPr>
        <w:ind w:left="2160" w:hanging="360"/>
      </w:pPr>
    </w:lvl>
    <w:lvl w:ilvl="3" w:tplc="BAFE34E2">
      <w:start w:val="1"/>
      <w:numFmt w:val="bullet"/>
      <w:lvlText w:val="●"/>
      <w:lvlJc w:val="left"/>
      <w:pPr>
        <w:ind w:left="2880" w:hanging="360"/>
      </w:pPr>
    </w:lvl>
    <w:lvl w:ilvl="4" w:tplc="196462B8">
      <w:start w:val="1"/>
      <w:numFmt w:val="bullet"/>
      <w:lvlText w:val="○"/>
      <w:lvlJc w:val="left"/>
      <w:pPr>
        <w:ind w:left="3600" w:hanging="360"/>
      </w:pPr>
    </w:lvl>
    <w:lvl w:ilvl="5" w:tplc="90A6D456">
      <w:start w:val="1"/>
      <w:numFmt w:val="bullet"/>
      <w:lvlText w:val="■"/>
      <w:lvlJc w:val="left"/>
      <w:pPr>
        <w:ind w:left="4320" w:hanging="360"/>
      </w:pPr>
    </w:lvl>
    <w:lvl w:ilvl="6" w:tplc="8BFCD064">
      <w:start w:val="1"/>
      <w:numFmt w:val="bullet"/>
      <w:lvlText w:val="●"/>
      <w:lvlJc w:val="left"/>
      <w:pPr>
        <w:ind w:left="5040" w:hanging="360"/>
      </w:pPr>
    </w:lvl>
    <w:lvl w:ilvl="7" w:tplc="1FE4F8D8">
      <w:start w:val="1"/>
      <w:numFmt w:val="bullet"/>
      <w:lvlText w:val="●"/>
      <w:lvlJc w:val="left"/>
      <w:pPr>
        <w:ind w:left="5760" w:hanging="360"/>
      </w:pPr>
    </w:lvl>
    <w:lvl w:ilvl="8" w:tplc="1F5084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2MjYxM7S0NDA1N7ZQ0lEKTi0uzszPAykwrAUAux29LiwAAAA="/>
  </w:docVars>
  <w:rsids>
    <w:rsidRoot w:val="00E726A1"/>
    <w:rsid w:val="000B43D2"/>
    <w:rsid w:val="000E1295"/>
    <w:rsid w:val="001349CD"/>
    <w:rsid w:val="00341F49"/>
    <w:rsid w:val="00395F04"/>
    <w:rsid w:val="004515D5"/>
    <w:rsid w:val="00480597"/>
    <w:rsid w:val="004B05DC"/>
    <w:rsid w:val="00697226"/>
    <w:rsid w:val="00706317"/>
    <w:rsid w:val="00713722"/>
    <w:rsid w:val="007E31D6"/>
    <w:rsid w:val="00833E19"/>
    <w:rsid w:val="008D4B9C"/>
    <w:rsid w:val="0090432E"/>
    <w:rsid w:val="009115A2"/>
    <w:rsid w:val="00975B21"/>
    <w:rsid w:val="00A01C3E"/>
    <w:rsid w:val="00A821DC"/>
    <w:rsid w:val="00AE5430"/>
    <w:rsid w:val="00BD7E8A"/>
    <w:rsid w:val="00C164EA"/>
    <w:rsid w:val="00C30478"/>
    <w:rsid w:val="00C418D1"/>
    <w:rsid w:val="00D06340"/>
    <w:rsid w:val="00D65307"/>
    <w:rsid w:val="00E309E8"/>
    <w:rsid w:val="00E57030"/>
    <w:rsid w:val="00E7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6D9C4"/>
  <w15:docId w15:val="{BC580277-50A9-43F6-8A3B-B9FBF5F9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597"/>
  </w:style>
  <w:style w:type="paragraph" w:styleId="Heading1">
    <w:name w:val="heading 1"/>
    <w:qFormat/>
    <w:rsid w:val="00E726A1"/>
    <w:pPr>
      <w:spacing w:before="320" w:after="160"/>
      <w:outlineLvl w:val="0"/>
    </w:pPr>
    <w:rPr>
      <w:rFonts w:ascii="Arial" w:eastAsia="Arial" w:hAnsi="Arial" w:cs="Arial"/>
      <w:b/>
      <w:bCs/>
      <w:color w:val="1F3864"/>
      <w:sz w:val="28"/>
      <w:szCs w:val="28"/>
    </w:rPr>
  </w:style>
  <w:style w:type="paragraph" w:styleId="Heading2">
    <w:name w:val="heading 2"/>
    <w:qFormat/>
    <w:rsid w:val="00E726A1"/>
    <w:pPr>
      <w:spacing w:before="240" w:after="120"/>
      <w:outlineLvl w:val="1"/>
    </w:pPr>
    <w:rPr>
      <w:rFonts w:ascii="Arial" w:eastAsia="Arial" w:hAnsi="Arial" w:cs="Arial"/>
      <w:b/>
      <w:bCs/>
      <w:color w:val="2E4057"/>
      <w:sz w:val="26"/>
      <w:szCs w:val="26"/>
    </w:rPr>
  </w:style>
  <w:style w:type="paragraph" w:styleId="Heading3">
    <w:name w:val="heading 3"/>
    <w:qFormat/>
    <w:rsid w:val="00E726A1"/>
    <w:pPr>
      <w:outlineLvl w:val="2"/>
    </w:pPr>
    <w:rPr>
      <w:color w:val="1F4D78"/>
    </w:rPr>
  </w:style>
  <w:style w:type="paragraph" w:styleId="Heading4">
    <w:name w:val="heading 4"/>
    <w:qFormat/>
    <w:rsid w:val="00E726A1"/>
    <w:pPr>
      <w:outlineLvl w:val="3"/>
    </w:pPr>
    <w:rPr>
      <w:i/>
      <w:iCs/>
      <w:color w:val="2E74B5"/>
    </w:rPr>
  </w:style>
  <w:style w:type="paragraph" w:styleId="Heading5">
    <w:name w:val="heading 5"/>
    <w:qFormat/>
    <w:rsid w:val="00E726A1"/>
    <w:pPr>
      <w:outlineLvl w:val="4"/>
    </w:pPr>
    <w:rPr>
      <w:color w:val="2E74B5"/>
    </w:rPr>
  </w:style>
  <w:style w:type="paragraph" w:styleId="Heading6">
    <w:name w:val="heading 6"/>
    <w:qFormat/>
    <w:rsid w:val="00E726A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726A1"/>
    <w:rPr>
      <w:sz w:val="56"/>
      <w:szCs w:val="56"/>
    </w:rPr>
  </w:style>
  <w:style w:type="paragraph" w:customStyle="1" w:styleId="Strong1">
    <w:name w:val="Strong1"/>
    <w:qFormat/>
    <w:rsid w:val="00E726A1"/>
    <w:rPr>
      <w:b/>
      <w:bCs/>
    </w:rPr>
  </w:style>
  <w:style w:type="paragraph" w:styleId="ListParagraph">
    <w:name w:val="List Paragraph"/>
    <w:qFormat/>
    <w:rsid w:val="00E726A1"/>
  </w:style>
  <w:style w:type="character" w:styleId="Hyperlink">
    <w:name w:val="Hyperlink"/>
    <w:uiPriority w:val="99"/>
    <w:unhideWhenUsed/>
    <w:rsid w:val="00E726A1"/>
    <w:rPr>
      <w:color w:val="0563C1"/>
      <w:u w:val="single"/>
    </w:rPr>
  </w:style>
  <w:style w:type="character" w:styleId="FootnoteReference">
    <w:name w:val="footnote reference"/>
    <w:uiPriority w:val="99"/>
    <w:semiHidden/>
    <w:unhideWhenUsed/>
    <w:rsid w:val="00E726A1"/>
    <w:rPr>
      <w:vertAlign w:val="superscript"/>
    </w:rPr>
  </w:style>
  <w:style w:type="paragraph" w:styleId="FootnoteText">
    <w:name w:val="footnote text"/>
    <w:link w:val="FootnoteTextChar"/>
    <w:uiPriority w:val="99"/>
    <w:semiHidden/>
    <w:unhideWhenUsed/>
    <w:rsid w:val="00E726A1"/>
    <w:rPr>
      <w:sz w:val="20"/>
      <w:szCs w:val="20"/>
    </w:rPr>
  </w:style>
  <w:style w:type="character" w:customStyle="1" w:styleId="FootnoteTextChar">
    <w:name w:val="Footnote Text Char"/>
    <w:link w:val="FootnoteText"/>
    <w:uiPriority w:val="99"/>
    <w:semiHidden/>
    <w:unhideWhenUsed/>
    <w:rsid w:val="00E726A1"/>
    <w:rPr>
      <w:sz w:val="20"/>
      <w:szCs w:val="20"/>
    </w:rPr>
  </w:style>
  <w:style w:type="character" w:styleId="EndnoteReference">
    <w:name w:val="endnote reference"/>
    <w:uiPriority w:val="99"/>
    <w:semiHidden/>
    <w:unhideWhenUsed/>
    <w:rsid w:val="00E726A1"/>
    <w:rPr>
      <w:vertAlign w:val="superscript"/>
    </w:rPr>
  </w:style>
  <w:style w:type="paragraph" w:styleId="EndnoteText">
    <w:name w:val="endnote text"/>
    <w:link w:val="EndnoteTextChar"/>
    <w:uiPriority w:val="99"/>
    <w:semiHidden/>
    <w:unhideWhenUsed/>
    <w:rsid w:val="00E726A1"/>
    <w:rPr>
      <w:sz w:val="20"/>
      <w:szCs w:val="20"/>
    </w:rPr>
  </w:style>
  <w:style w:type="character" w:customStyle="1" w:styleId="EndnoteTextChar">
    <w:name w:val="Endnote Text Char"/>
    <w:link w:val="EndnoteText"/>
    <w:uiPriority w:val="99"/>
    <w:semiHidden/>
    <w:unhideWhenUsed/>
    <w:rsid w:val="00E726A1"/>
    <w:rPr>
      <w:sz w:val="20"/>
      <w:szCs w:val="20"/>
    </w:rPr>
  </w:style>
  <w:style w:type="paragraph" w:styleId="Header">
    <w:name w:val="header"/>
    <w:basedOn w:val="Normal"/>
    <w:link w:val="HeaderChar"/>
    <w:uiPriority w:val="99"/>
    <w:unhideWhenUsed/>
    <w:rsid w:val="00D65307"/>
    <w:pPr>
      <w:tabs>
        <w:tab w:val="center" w:pos="4680"/>
        <w:tab w:val="right" w:pos="9360"/>
      </w:tabs>
    </w:pPr>
  </w:style>
  <w:style w:type="character" w:customStyle="1" w:styleId="HeaderChar">
    <w:name w:val="Header Char"/>
    <w:basedOn w:val="DefaultParagraphFont"/>
    <w:link w:val="Header"/>
    <w:uiPriority w:val="99"/>
    <w:rsid w:val="00D65307"/>
  </w:style>
  <w:style w:type="paragraph" w:styleId="Footer">
    <w:name w:val="footer"/>
    <w:basedOn w:val="Normal"/>
    <w:link w:val="FooterChar"/>
    <w:uiPriority w:val="99"/>
    <w:unhideWhenUsed/>
    <w:rsid w:val="00D65307"/>
    <w:pPr>
      <w:tabs>
        <w:tab w:val="center" w:pos="4680"/>
        <w:tab w:val="right" w:pos="9360"/>
      </w:tabs>
    </w:pPr>
  </w:style>
  <w:style w:type="character" w:customStyle="1" w:styleId="FooterChar">
    <w:name w:val="Footer Char"/>
    <w:basedOn w:val="DefaultParagraphFont"/>
    <w:link w:val="Footer"/>
    <w:uiPriority w:val="99"/>
    <w:rsid w:val="00D65307"/>
  </w:style>
  <w:style w:type="paragraph" w:styleId="BalloonText">
    <w:name w:val="Balloon Text"/>
    <w:basedOn w:val="Normal"/>
    <w:link w:val="BalloonTextChar"/>
    <w:uiPriority w:val="99"/>
    <w:semiHidden/>
    <w:unhideWhenUsed/>
    <w:rsid w:val="00AE5430"/>
    <w:rPr>
      <w:rFonts w:ascii="Tahoma" w:hAnsi="Tahoma" w:cs="Tahoma"/>
      <w:sz w:val="16"/>
      <w:szCs w:val="16"/>
    </w:rPr>
  </w:style>
  <w:style w:type="character" w:customStyle="1" w:styleId="BalloonTextChar">
    <w:name w:val="Balloon Text Char"/>
    <w:basedOn w:val="DefaultParagraphFont"/>
    <w:link w:val="BalloonText"/>
    <w:uiPriority w:val="99"/>
    <w:semiHidden/>
    <w:rsid w:val="00AE5430"/>
    <w:rPr>
      <w:rFonts w:ascii="Tahoma" w:hAnsi="Tahoma" w:cs="Tahoma"/>
      <w:sz w:val="16"/>
      <w:szCs w:val="16"/>
    </w:rPr>
  </w:style>
  <w:style w:type="paragraph" w:styleId="NoSpacing">
    <w:name w:val="No Spacing"/>
    <w:uiPriority w:val="1"/>
    <w:qFormat/>
    <w:rsid w:val="00BD7E8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2723872.2723882" TargetMode="External"/><Relationship Id="rId18" Type="http://schemas.openxmlformats.org/officeDocument/2006/relationships/hyperlink" Target="https://doi.org/10.1145/514183.514185" TargetMode="External"/><Relationship Id="rId26" Type="http://schemas.openxmlformats.org/officeDocument/2006/relationships/hyperlink" Target="https://doi.org/10.1186/s13742-016-0135-4" TargetMode="External"/><Relationship Id="rId39" Type="http://schemas.openxmlformats.org/officeDocument/2006/relationships/footer" Target="footer2.xml"/><Relationship Id="rId21" Type="http://schemas.openxmlformats.org/officeDocument/2006/relationships/hyperlink" Target="https://doi.org/10.1038/nature10836" TargetMode="External"/><Relationship Id="rId34" Type="http://schemas.openxmlformats.org/officeDocument/2006/relationships/hyperlink" Target="https://doi.org/10.1016/j.autcon.2013.10.023" TargetMode="External"/><Relationship Id="rId42" Type="http://schemas.openxmlformats.org/officeDocument/2006/relationships/fontTable" Target="fontTable.xml"/><Relationship Id="rId7" Type="http://schemas.openxmlformats.org/officeDocument/2006/relationships/hyperlink" Target="https://www.sciencedirect.com/topics/nursing-and-health-professions/laboratory-information-management-system" TargetMode="External"/><Relationship Id="rId2" Type="http://schemas.openxmlformats.org/officeDocument/2006/relationships/styles" Target="styles.xml"/><Relationship Id="rId16" Type="http://schemas.openxmlformats.org/officeDocument/2006/relationships/hyperlink" Target="https://doi.org/10.1109/MCC.2016.100" TargetMode="External"/><Relationship Id="rId20" Type="http://schemas.openxmlformats.org/officeDocument/2006/relationships/hyperlink" Target="https://doi.org/10.1016/S0899-3467(07)60142-6" TargetMode="External"/><Relationship Id="rId29" Type="http://schemas.openxmlformats.org/officeDocument/2006/relationships/hyperlink" Target="https://doi.org/10.1002/stc.48"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1541880.1541883" TargetMode="External"/><Relationship Id="rId24" Type="http://schemas.openxmlformats.org/officeDocument/2006/relationships/hyperlink" Target="https://doi.org/10.15252/embr.201338358" TargetMode="External"/><Relationship Id="rId32" Type="http://schemas.openxmlformats.org/officeDocument/2006/relationships/hyperlink" Target="https://doi.org/10.1351/pac20027405083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45/1978915.1978919" TargetMode="External"/><Relationship Id="rId23" Type="http://schemas.openxmlformats.org/officeDocument/2006/relationships/hyperlink" Target="https://doi.org/10.1109/MCSE.2011.36" TargetMode="External"/><Relationship Id="rId28" Type="http://schemas.openxmlformats.org/officeDocument/2006/relationships/hyperlink" Target="https://doi.org/10.1007/s11018-011-9638-7" TargetMode="External"/><Relationship Id="rId36" Type="http://schemas.openxmlformats.org/officeDocument/2006/relationships/header" Target="header1.xml"/><Relationship Id="rId10" Type="http://schemas.openxmlformats.org/officeDocument/2006/relationships/hyperlink" Target="https://doi.org/10.1109/MS.2016.64" TargetMode="External"/><Relationship Id="rId19" Type="http://schemas.openxmlformats.org/officeDocument/2006/relationships/hyperlink" Target="https://doi.org/10.1111/j.1471-1842.2009.00848.x" TargetMode="External"/><Relationship Id="rId31" Type="http://schemas.openxmlformats.org/officeDocument/2006/relationships/hyperlink" Target="https://doi.org/10.1038/nbt.141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future.2008.12.001" TargetMode="External"/><Relationship Id="rId22" Type="http://schemas.openxmlformats.org/officeDocument/2006/relationships/hyperlink" Target="https://doi.org/10.1186/s13321-017-0221-3" TargetMode="External"/><Relationship Id="rId27" Type="http://schemas.openxmlformats.org/officeDocument/2006/relationships/hyperlink" Target="https://doi.org/10.1371/journal.pcbi.1003285" TargetMode="External"/><Relationship Id="rId30" Type="http://schemas.openxmlformats.org/officeDocument/2006/relationships/hyperlink" Target="https://doi.org/10.5334/jors.ay" TargetMode="External"/><Relationship Id="rId35" Type="http://schemas.openxmlformats.org/officeDocument/2006/relationships/hyperlink" Target="https://doi.org/10.1038/sdata.2016.18"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109/MCC.2014.51" TargetMode="External"/><Relationship Id="rId17" Type="http://schemas.openxmlformats.org/officeDocument/2006/relationships/hyperlink" Target="https://doi.org/10.1098/rsta.2006.1928" TargetMode="External"/><Relationship Id="rId25" Type="http://schemas.openxmlformats.org/officeDocument/2006/relationships/hyperlink" Target="https://doi.org/10.1109/MCC.2015.51" TargetMode="External"/><Relationship Id="rId33" Type="http://schemas.openxmlformats.org/officeDocument/2006/relationships/hyperlink" Target="https://doi.org/10.1038/s41592-019-0686-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31</Pages>
  <Words>11803</Words>
  <Characters>67279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29</cp:revision>
  <dcterms:created xsi:type="dcterms:W3CDTF">2026-04-18T19:12:00Z</dcterms:created>
  <dcterms:modified xsi:type="dcterms:W3CDTF">2026-04-22T09:44:00Z</dcterms:modified>
</cp:coreProperties>
</file>