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BD4B" w14:textId="42BF324D" w:rsidR="00C72FB4" w:rsidRDefault="00ED2B76">
      <w:pPr>
        <w:rPr>
          <w:rFonts w:eastAsia="Times New Roman"/>
        </w:rPr>
      </w:pPr>
      <w:r>
        <w:rPr>
          <w:rFonts w:eastAsia="Times New Roman"/>
        </w:rPr>
        <w:t>Transient Ventricular Dysfunction After Tachycardia-Induced Cardiomyopathy: Implications for Timing of Rhythm Control and Device Therapy</w:t>
      </w:r>
    </w:p>
    <w:p w14:paraId="3928C6AE" w14:textId="77777777" w:rsidR="00C72FB4" w:rsidRDefault="00C72FB4">
      <w:pPr>
        <w:rPr>
          <w:rFonts w:eastAsia="Times New Roman"/>
        </w:rPr>
      </w:pPr>
    </w:p>
    <w:p w14:paraId="05DF5205" w14:textId="023D5291" w:rsidR="00C72FB4" w:rsidRDefault="00C72FB4">
      <w:pPr>
        <w:rPr>
          <w:rFonts w:eastAsia="Times New Roman"/>
        </w:rPr>
      </w:pPr>
    </w:p>
    <w:p w14:paraId="05953C80" w14:textId="77777777" w:rsidR="00E35BD1" w:rsidRDefault="00E35BD1">
      <w:pPr>
        <w:rPr>
          <w:rFonts w:eastAsia="Times New Roman"/>
        </w:rPr>
      </w:pPr>
    </w:p>
    <w:p w14:paraId="635A3AE5" w14:textId="77777777" w:rsidR="00C72FB4" w:rsidRDefault="00ED2B76">
      <w:pPr>
        <w:rPr>
          <w:rFonts w:eastAsia="Times New Roman"/>
        </w:rPr>
      </w:pPr>
      <w:r>
        <w:rPr>
          <w:rFonts w:eastAsia="Times New Roman"/>
        </w:rPr>
        <w:t xml:space="preserve">Abstract </w:t>
      </w:r>
    </w:p>
    <w:p w14:paraId="17923C0F" w14:textId="0D7CFB59" w:rsidR="00C72FB4" w:rsidRDefault="00ED2B76">
      <w:pPr>
        <w:pStyle w:val="NormalWeb"/>
      </w:pPr>
      <w:r>
        <w:t xml:space="preserve">Tachycardia-induced cardiomyopathy (TIC) is a reversible form of ventricular dysfunction resulting from sustained or recurrent tachyarrhythmias, often presenting as dilated cardiomyopathy with reduced left ventricular ejection fraction. This study provides a narrative synthesis of current evidence on the recovery of ventricular function following rhythm control and its implications for the timing of device therapy. A comprehensive review of published literature was conducted, focusing on pathophysiology, clinical outcomes, and management strategies in TIC. The findings consistently demonstrate that effective control of the underlying arrhythmia, particularly through early rhythm control or catheter ablation, leads to significant improvement or normalization of ventricular function in most patients. Recovery may begin within weeks but often requires several months for full restoration, depending on the duration and severity of tachycardia. However, a subset of patients may experience incomplete recovery due to irreversible myocardial remodeling or underlying structural heart disease. Recurrence of tachyarrhythmias is associated with rapid deterioration of ventricular function, highlighting the importance of sustained rhythm control. Importantly, the transient nature of ventricular dysfunction in TIC has significant implications for device therapy, as early implantation of implantable cardioverter-defibrillators or cardiac </w:t>
      </w:r>
      <w:proofErr w:type="spellStart"/>
      <w:r w:rsidR="00637CE9">
        <w:t>resynchronisation</w:t>
      </w:r>
      <w:proofErr w:type="spellEnd"/>
      <w:r w:rsidR="00637CE9">
        <w:t xml:space="preserve"> </w:t>
      </w:r>
      <w:r>
        <w:t xml:space="preserve">therapy may be unnecessary in many cases. A strategy of deferring device therapy until reassessment after rhythm control is therefore recommended. In conclusion, early recognition and timely rhythm management are critical to optimizing outcomes in TIC, while </w:t>
      </w:r>
      <w:proofErr w:type="spellStart"/>
      <w:r w:rsidR="00637CE9">
        <w:t>individualised</w:t>
      </w:r>
      <w:proofErr w:type="spellEnd"/>
      <w:r w:rsidR="00637CE9">
        <w:t xml:space="preserve"> </w:t>
      </w:r>
      <w:r>
        <w:t>decision-making is essential to avoid unnecessary interventions.</w:t>
      </w:r>
    </w:p>
    <w:p w14:paraId="6016CF42" w14:textId="052277C9" w:rsidR="00C72FB4" w:rsidRDefault="00ED2B76">
      <w:pPr>
        <w:pStyle w:val="NormalWeb"/>
      </w:pPr>
      <w:r>
        <w:rPr>
          <w:rStyle w:val="Strong"/>
        </w:rPr>
        <w:t>Keywords:</w:t>
      </w:r>
      <w:r>
        <w:t xml:space="preserve"> </w:t>
      </w:r>
      <w:r w:rsidR="00E66F5A">
        <w:t>T</w:t>
      </w:r>
      <w:r>
        <w:t xml:space="preserve">achycardia-induced cardiomyopathy; </w:t>
      </w:r>
      <w:r w:rsidR="00E66F5A">
        <w:t>V</w:t>
      </w:r>
      <w:r>
        <w:t xml:space="preserve">entricular dysfunction; </w:t>
      </w:r>
      <w:r w:rsidR="00E66F5A">
        <w:t>R</w:t>
      </w:r>
      <w:r>
        <w:t xml:space="preserve">hythm control; </w:t>
      </w:r>
      <w:r w:rsidR="00E66F5A">
        <w:t>C</w:t>
      </w:r>
      <w:r>
        <w:t xml:space="preserve">atheter ablation; </w:t>
      </w:r>
      <w:r w:rsidR="00E66F5A">
        <w:t>D</w:t>
      </w:r>
      <w:r>
        <w:t>evice therapy</w:t>
      </w:r>
    </w:p>
    <w:p w14:paraId="6619FF93" w14:textId="77777777" w:rsidR="00C72FB4" w:rsidRDefault="00C72FB4">
      <w:pPr>
        <w:rPr>
          <w:rFonts w:eastAsia="Times New Roman"/>
        </w:rPr>
      </w:pPr>
    </w:p>
    <w:p w14:paraId="0E6E9A20" w14:textId="77777777" w:rsidR="00C72FB4" w:rsidRPr="00034AD3" w:rsidRDefault="00ED2B76">
      <w:pPr>
        <w:rPr>
          <w:rFonts w:eastAsia="Times New Roman"/>
          <w:b/>
        </w:rPr>
      </w:pPr>
      <w:r w:rsidRPr="00034AD3">
        <w:rPr>
          <w:rFonts w:eastAsia="Times New Roman"/>
          <w:b/>
        </w:rPr>
        <w:t xml:space="preserve">Introduction </w:t>
      </w:r>
    </w:p>
    <w:p w14:paraId="441B6A6F" w14:textId="07A2016E" w:rsidR="00C72FB4" w:rsidRDefault="00ED2B76">
      <w:pPr>
        <w:pStyle w:val="NormalWeb"/>
      </w:pPr>
      <w:r>
        <w:t xml:space="preserve">Tachycardia-induced cardiomyopathy (TIC) is a potentially reversible form of myocardial dysfunction resulting from persistent or recurrent tachyarrhythmias, </w:t>
      </w:r>
      <w:proofErr w:type="spellStart"/>
      <w:r w:rsidR="00E66F5A">
        <w:t>characterised</w:t>
      </w:r>
      <w:proofErr w:type="spellEnd"/>
      <w:r w:rsidR="00E66F5A">
        <w:t xml:space="preserve"> </w:t>
      </w:r>
      <w:r>
        <w:t>by impaired ventricular systolic function and dilatation in the absence of other primary structural heart disease (</w:t>
      </w:r>
      <w:proofErr w:type="spellStart"/>
      <w:r w:rsidR="00E66F5A" w:rsidRPr="00ED453E">
        <w:rPr>
          <w:highlight w:val="yellow"/>
        </w:rPr>
        <w:t>Shinbane</w:t>
      </w:r>
      <w:proofErr w:type="spellEnd"/>
      <w:r w:rsidR="00E66F5A" w:rsidRPr="00ED453E">
        <w:rPr>
          <w:highlight w:val="yellow"/>
        </w:rPr>
        <w:t xml:space="preserve"> et al., 1997</w:t>
      </w:r>
      <w:r w:rsidR="00E66F5A">
        <w:t xml:space="preserve">; </w:t>
      </w:r>
      <w:r>
        <w:t>Khasnis et al., 2005</w:t>
      </w:r>
      <w:r w:rsidR="00637CE9">
        <w:t xml:space="preserve">; </w:t>
      </w:r>
      <w:r w:rsidR="00637CE9" w:rsidRPr="00ED453E">
        <w:rPr>
          <w:rFonts w:eastAsia="Times New Roman"/>
          <w:color w:val="000000"/>
          <w:highlight w:val="yellow"/>
        </w:rPr>
        <w:t>Danet et al., 2021</w:t>
      </w:r>
      <w:r w:rsidRPr="00ED453E">
        <w:rPr>
          <w:highlight w:val="yellow"/>
        </w:rPr>
        <w:t xml:space="preserve">). </w:t>
      </w:r>
      <w:r w:rsidR="004D78BB" w:rsidRPr="00ED453E">
        <w:rPr>
          <w:highlight w:val="yellow"/>
        </w:rPr>
        <w:t xml:space="preserve">It is </w:t>
      </w:r>
      <w:proofErr w:type="spellStart"/>
      <w:r w:rsidR="004D78BB" w:rsidRPr="00ED453E">
        <w:rPr>
          <w:highlight w:val="yellow"/>
        </w:rPr>
        <w:t>characterised</w:t>
      </w:r>
      <w:proofErr w:type="spellEnd"/>
      <w:r w:rsidR="004D78BB" w:rsidRPr="00ED453E">
        <w:rPr>
          <w:highlight w:val="yellow"/>
        </w:rPr>
        <w:t xml:space="preserve"> by the progressive deterioration of left ventricular (LV) function and the subsequent development of heart failure (HF) secondary to the continuous increase in supraventricular or ventricular rates (‌Báez Cabanillas et al., 2023). </w:t>
      </w:r>
      <w:r>
        <w:t xml:space="preserve">It represents an important and often underrecognized cause of heart failure, particularly because its clinical presentation may mimic other forms of dilated </w:t>
      </w:r>
      <w:r>
        <w:lastRenderedPageBreak/>
        <w:t>cardiomyopathy, leading to delays in diagnosis and appropriate management (Umana et al., 2003; Lishmanov et al., 2010). The condition can arise from a variety of supraventricular and ventricular arrhythmias, including atrial fibrillation, atrial flutter, focal atrial tachycardia, and incessant ventricular tachycardia, with the duration and rate of tachycardia playing critical roles in disease development (Gopinathannair et al., 2009; Gupta &amp; Figueredo, 2014).</w:t>
      </w:r>
      <w:r w:rsidR="00E66F5A">
        <w:t xml:space="preserve"> </w:t>
      </w:r>
      <w:r w:rsidR="00E66F5A" w:rsidRPr="00ED453E">
        <w:rPr>
          <w:highlight w:val="yellow"/>
        </w:rPr>
        <w:t>Tachycardia-induced cardiomyopathy can happen at any age and has been reported in utero, infants, children, and adults, and the commonly associated arrhythmia is atrial fibrillation (Khan et al., 2022).</w:t>
      </w:r>
      <w:r w:rsidR="00E66F5A">
        <w:t xml:space="preserve"> </w:t>
      </w:r>
    </w:p>
    <w:p w14:paraId="6ACEEFA0" w14:textId="0DCE3988" w:rsidR="00C72FB4" w:rsidRDefault="00ED2B76">
      <w:pPr>
        <w:pStyle w:val="NormalWeb"/>
      </w:pPr>
      <w:r>
        <w:t>The pathophysiology of TIC involves complex mechanisms, including impaired calcium</w:t>
      </w:r>
      <w:r w:rsidR="004D78BB">
        <w:t xml:space="preserve"> </w:t>
      </w:r>
      <w:r>
        <w:t xml:space="preserve">handling, neurohormonal activation, myocardial energy depletion, and structural </w:t>
      </w:r>
      <w:proofErr w:type="spellStart"/>
      <w:r w:rsidR="004D78BB">
        <w:t>remodelling</w:t>
      </w:r>
      <w:proofErr w:type="spellEnd"/>
      <w:r>
        <w:t>, all of which contribute to progressive ventricular dysfunction (</w:t>
      </w:r>
      <w:r w:rsidR="004D78BB">
        <w:t xml:space="preserve">Martin et al., 2017; </w:t>
      </w:r>
      <w:r>
        <w:t xml:space="preserve">Kim et al., 2019). </w:t>
      </w:r>
      <w:r w:rsidR="00637CE9" w:rsidRPr="00ED453E">
        <w:rPr>
          <w:highlight w:val="yellow"/>
        </w:rPr>
        <w:t xml:space="preserve">Transient left ventricular dysfunction (TLVD) is </w:t>
      </w:r>
      <w:proofErr w:type="spellStart"/>
      <w:r w:rsidR="00637CE9" w:rsidRPr="00ED453E">
        <w:rPr>
          <w:highlight w:val="yellow"/>
        </w:rPr>
        <w:t>characterised</w:t>
      </w:r>
      <w:proofErr w:type="spellEnd"/>
      <w:r w:rsidR="00637CE9" w:rsidRPr="00ED453E">
        <w:rPr>
          <w:highlight w:val="yellow"/>
        </w:rPr>
        <w:t xml:space="preserve"> by the partial or total recovery of ventricular function when the initial triggering factor that determined it is eliminated. TLVD is associated with the absence of significant obstructive epicardial coronary artery disease, and its causes often remain underdiagnosed and under-addressed, although they represent an important cause of mortality and morbidity in common clinical practice (Trimarchi et al., 2024).</w:t>
      </w:r>
      <w:r w:rsidR="00637CE9">
        <w:t xml:space="preserve"> </w:t>
      </w:r>
      <w:r>
        <w:t>Sustained tachycardia leads to reduced diastolic filling time and coronary perfusion, resulting in myocardial ischemia at the cellular level despite the absence of obstructive coronary artery disease (Shinbane et al., 1997; Mohamed, 2007). Over time, these changes culminate in ventricular dilatation and reduced ejection fraction, which may be partially or completely reversible following adequate rate or rhythm control (Khasnis et al., 2005; Cabanillas et al., 2023).</w:t>
      </w:r>
    </w:p>
    <w:p w14:paraId="1FCBBC05" w14:textId="77777777" w:rsidR="00C72FB4" w:rsidRDefault="00ED2B76">
      <w:pPr>
        <w:pStyle w:val="NormalWeb"/>
      </w:pPr>
      <w:r>
        <w:t>A hallmark feature of TIC is its reversibility, with significant improvement or normalization of left ventricular function typically observed after effective control of the underlying arrhythmia (Medi et al., 2009; Abozaid et al., 2024). This reversibility distinguishes TIC from other cardiomyopathies and underscores the importance of early recognition and timely intervention. However, recovery is not always immediate and may take weeks to months, with some patients experiencing incomplete resolution depending on the duration and severity of tachycardia prior to treatment (Gupta &amp; Figueredo, 2014; Albakri, 2018). Furthermore, recurrent tachyarrhythmias may lead to rapid deterioration of ventricular function, highlighting the need for sustained rhythm control strategies (Gopinathannair et al., 2009).</w:t>
      </w:r>
    </w:p>
    <w:p w14:paraId="65F8DF0F" w14:textId="3B81D9EB" w:rsidR="00C72FB4" w:rsidRDefault="00ED2B76">
      <w:pPr>
        <w:pStyle w:val="NormalWeb"/>
      </w:pPr>
      <w:r>
        <w:t xml:space="preserve">The evolving concept of arrhythmia-induced cardiomyopathy extends beyond traditional definitions of TIC, encompassing a spectrum in which arrhythmias contribute variably to myocardial dysfunction, even in the presence of underlying structural heart disease (Shoureshi et al., 2024). This broader perspective has significant implications for clinical decision-making, particularly in determining the optimal timing of rhythm control interventions such as catheter ablation and the role of device therapy, including implantable cardioverter-defibrillators (ICDs) and cardiac </w:t>
      </w:r>
      <w:proofErr w:type="spellStart"/>
      <w:r w:rsidR="004D78BB">
        <w:t>resynchronisation</w:t>
      </w:r>
      <w:proofErr w:type="spellEnd"/>
      <w:r w:rsidR="004D78BB">
        <w:t xml:space="preserve"> </w:t>
      </w:r>
      <w:r>
        <w:t>therapy (CRT). Given the potential for reversibility, premature implantation of permanent devices may be avoided in selected patients if ventricular function improves following arrhythmia management (Lishmanov et al., 2010; Kim et al., 2019).</w:t>
      </w:r>
    </w:p>
    <w:p w14:paraId="17923B16" w14:textId="77777777" w:rsidR="00C72FB4" w:rsidRDefault="00ED2B76">
      <w:pPr>
        <w:pStyle w:val="NormalWeb"/>
      </w:pPr>
      <w:r>
        <w:t xml:space="preserve">In this context, understanding the transient nature of ventricular dysfunction in TIC is crucial for guiding therapeutic strategies and improving patient outcomes. Careful evaluation of the timing </w:t>
      </w:r>
      <w:r>
        <w:lastRenderedPageBreak/>
        <w:t>and extent of recovery following rhythm control can help clinicians differentiate TIC from irreversible cardiomyopathies and inform decisions regarding long-term device therapy.</w:t>
      </w:r>
    </w:p>
    <w:p w14:paraId="5FF17F66" w14:textId="77777777" w:rsidR="00C72FB4" w:rsidRDefault="00C72FB4">
      <w:pPr>
        <w:pStyle w:val="NormalWeb"/>
      </w:pPr>
    </w:p>
    <w:p w14:paraId="4EB1660A" w14:textId="77777777" w:rsidR="00C72FB4" w:rsidRPr="00034AD3" w:rsidRDefault="00ED2B76">
      <w:pPr>
        <w:pStyle w:val="NormalWeb"/>
        <w:rPr>
          <w:b/>
        </w:rPr>
      </w:pPr>
      <w:r w:rsidRPr="00034AD3">
        <w:rPr>
          <w:b/>
        </w:rPr>
        <w:t>Methods</w:t>
      </w:r>
    </w:p>
    <w:p w14:paraId="06A45C63" w14:textId="77777777" w:rsidR="00C72FB4" w:rsidRDefault="00ED2B76">
      <w:pPr>
        <w:pStyle w:val="Heading2"/>
        <w:rPr>
          <w:rFonts w:eastAsia="Times New Roman"/>
          <w:kern w:val="0"/>
          <w:sz w:val="36"/>
          <w:szCs w:val="36"/>
          <w14:ligatures w14:val="none"/>
        </w:rPr>
      </w:pPr>
      <w:r>
        <w:rPr>
          <w:rFonts w:eastAsia="Times New Roman"/>
        </w:rPr>
        <w:t>Study Design and Data Sources</w:t>
      </w:r>
    </w:p>
    <w:p w14:paraId="6A78F1C4" w14:textId="77777777" w:rsidR="00C72FB4" w:rsidRDefault="00ED2B76">
      <w:pPr>
        <w:pStyle w:val="NormalWeb"/>
      </w:pPr>
      <w:r>
        <w:t>This study was conducted as a narrative review and case-based analytical synthesis focusing on transient ventricular dysfunction in tachycardia-induced cardiomyopathy (TIC) and its implications for timing of rhythm control and device therapy. A comprehensive literature review was performed using established electronic databases including PubMed, Google Scholar, and institutional journal repositories. The search strategy incorporated combinations of key terms such as “tachycardia-induced cardiomyopathy,” “arrhythmia-induced cardiomyopathy,” “ventricular dysfunction,” “rhythm control,” “catheter ablation,” and “device therapy.” Priority was given to peer-reviewed articles, systematic reviews, clinical studies, and state-of-the-art reviews published in English. Seminal and foundational studies were also included to provide historical and mechanistic context, particularly those describing early experimental models and clinical observations of TIC (Shinbane et al., 1997; Khasnis et al., 2005).</w:t>
      </w:r>
    </w:p>
    <w:p w14:paraId="3CDFE80F" w14:textId="77777777" w:rsidR="00C72FB4" w:rsidRDefault="00ED2B76">
      <w:pPr>
        <w:pStyle w:val="NormalWeb"/>
      </w:pPr>
      <w:r>
        <w:t>The inclusion criteria encompassed studies that addressed the pathophysiology, clinical presentation, reversibility, and management of TIC, with particular emphasis on timing of intervention and recovery of ventricular function. Articles describing outcomes following rhythm control strategies such as pharmacologic therapy or catheter ablation were specifically prioritized (Medi et al., 2009; Cabanillas et al., 2023). Additionally, contemporary literature expanding the concept to arrhythmia-induced cardiomyopathy was included to capture evolving perspectives in this field (Shoureshi et al., 2024). Exclusion criteria included non-English publications, studies lacking clinical relevance, and reports with insufficient methodological detail. Reference lists of selected articles were also manually screened to identify additional relevant studies.</w:t>
      </w:r>
    </w:p>
    <w:p w14:paraId="74D66AF3" w14:textId="77777777" w:rsidR="00C72FB4" w:rsidRDefault="00ED2B76">
      <w:pPr>
        <w:pStyle w:val="Heading2"/>
        <w:rPr>
          <w:rFonts w:eastAsia="Times New Roman"/>
        </w:rPr>
      </w:pPr>
      <w:r>
        <w:rPr>
          <w:rFonts w:eastAsia="Times New Roman"/>
        </w:rPr>
        <w:t>Data Extraction and Synthesis</w:t>
      </w:r>
    </w:p>
    <w:p w14:paraId="60D1F4DF" w14:textId="77777777" w:rsidR="00C72FB4" w:rsidRDefault="00ED2B76">
      <w:pPr>
        <w:pStyle w:val="NormalWeb"/>
      </w:pPr>
      <w:r>
        <w:t>Relevant data were systematically extracted from selected studies, including study design, patient characteristics, type and duration of tachyarrhythmia, degree of ventricular dysfunction, therapeutic interventions, and outcomes related to recovery of cardiac function. Particular attention was paid to the temporal relationship between arrhythmia control and improvement in left ventricular ejection fraction, as this is central to defining the transient nature of TIC (Gupta &amp; Figueredo, 2014; Gopinathannair et al., 2009). Data regarding recurrence of arrhythmias and subsequent deterioration in ventricular function were also reviewed to understand the durability of recovery and the need for long-term management strategies (Albakri, 2018).</w:t>
      </w:r>
    </w:p>
    <w:p w14:paraId="71ABEDF1" w14:textId="77777777" w:rsidR="00C72FB4" w:rsidRDefault="00ED2B76">
      <w:pPr>
        <w:pStyle w:val="NormalWeb"/>
      </w:pPr>
      <w:r>
        <w:t xml:space="preserve">The synthesis of findings was performed qualitatively, integrating evidence across clinical studies, experimental models, and review articles. Mechanistic insights into myocardial dysfunction, including impaired calcium handling, neurohormonal activation, and structural </w:t>
      </w:r>
      <w:r>
        <w:lastRenderedPageBreak/>
        <w:t>remodeling, were incorporated to provide a comprehensive understanding of disease progression and reversibility (Kim et al., 2019; Martin et al., 2017). Clinical outcomes following rhythm control interventions were analyzed to evaluate the effectiveness of early versus delayed intervention, as well as the role of catheter ablation in achieving sustained recovery (Medi et al., 2009; Lishmanov et al., 2010).</w:t>
      </w:r>
    </w:p>
    <w:p w14:paraId="6BD43C12" w14:textId="77777777" w:rsidR="00C72FB4" w:rsidRDefault="00ED2B76">
      <w:pPr>
        <w:pStyle w:val="NormalWeb"/>
      </w:pPr>
      <w:r>
        <w:t>Furthermore, evidence related to device therapy, including implantable cardioverter-defibrillators and cardiac resynchronization therapy, was reviewed in the context of transient ventricular dysfunction. Emphasis was placed on studies highlighting the potential for recovery of ventricular function following arrhythmia control, which may obviate the need for premature device implantation (Umana et al., 2003; Kim et al., 2019). The analysis also considered emerging frameworks that classify TIC within the broader spectrum of arrhythmia-induced cardiomyopathy, thereby influencing diagnostic and therapeutic approaches (Shoureshi et al., 2024; Abozaid et al., 2024).</w:t>
      </w:r>
    </w:p>
    <w:p w14:paraId="481172C1" w14:textId="77777777" w:rsidR="00C72FB4" w:rsidRDefault="00ED2B76">
      <w:pPr>
        <w:pStyle w:val="NormalWeb"/>
      </w:pPr>
      <w:r>
        <w:t>Overall, this methodological approach allowed for a comprehensive and clinically relevant synthesis of current evidence, providing insights into optimal timing of rhythm control and guiding decision-making regarding device therapy in patients with transient ventricular dysfunction due to tachyarrhythmias.</w:t>
      </w:r>
    </w:p>
    <w:p w14:paraId="606C2576" w14:textId="77777777" w:rsidR="00C72FB4" w:rsidRDefault="00C72FB4">
      <w:pPr>
        <w:pStyle w:val="NormalWeb"/>
      </w:pPr>
    </w:p>
    <w:p w14:paraId="2FE6076B" w14:textId="77777777" w:rsidR="00C72FB4" w:rsidRPr="00034AD3" w:rsidRDefault="00ED2B76">
      <w:pPr>
        <w:pStyle w:val="NormalWeb"/>
        <w:rPr>
          <w:b/>
        </w:rPr>
      </w:pPr>
      <w:r w:rsidRPr="00034AD3">
        <w:rPr>
          <w:b/>
        </w:rPr>
        <w:t xml:space="preserve">Results </w:t>
      </w:r>
    </w:p>
    <w:p w14:paraId="26B76EC3" w14:textId="77777777" w:rsidR="00C72FB4" w:rsidRDefault="00ED2B76">
      <w:pPr>
        <w:pStyle w:val="Heading2"/>
        <w:rPr>
          <w:rFonts w:eastAsia="Times New Roman"/>
        </w:rPr>
      </w:pPr>
      <w:r>
        <w:rPr>
          <w:rFonts w:eastAsia="Times New Roman"/>
        </w:rPr>
        <w:t>Recovery of Ventricular Function Following Rhythm Control</w:t>
      </w:r>
    </w:p>
    <w:p w14:paraId="6620EEFA" w14:textId="77777777" w:rsidR="00C72FB4" w:rsidRDefault="00ED2B76">
      <w:pPr>
        <w:pStyle w:val="NormalWeb"/>
      </w:pPr>
      <w:r>
        <w:t>Across the reviewed studies, a consistent finding was the significant improvement or normalization of left ventricular systolic function following effective control of the underlying tachyarrhythmia (Table 1). Patients with tachycardia-induced cardiomyopathy (TIC) typically presented with reduced left ventricular ejection fraction (LVEF) and varying degrees of ventricular dilatation; however, these abnormalities were largely reversible once adequate rate or rhythm control was achieved (Khasnis et al., 2005; Umana et al., 2003). The timeline of recovery varied among studies, with initial improvements often observed within weeks, while complete normalization of ventricular function could take several months depending on the duration and severity of the arrhythmia prior to intervention (Gupta &amp; Figueredo, 2014; Cabanillas et al., 2023).</w:t>
      </w:r>
    </w:p>
    <w:p w14:paraId="187CD93F" w14:textId="77777777" w:rsidR="00C72FB4" w:rsidRDefault="00ED2B76">
      <w:pPr>
        <w:pStyle w:val="NormalWeb"/>
      </w:pPr>
      <w:r>
        <w:t xml:space="preserve">Evidence from both clinical and experimental studies demonstrated that early intervention was associated with more rapid and complete recovery of cardiac function, as summarized in Table 1. Patients who underwent timely rhythm control, particularly through catheter ablation, showed marked improvement in LVEF and symptomatic status compared to those with delayed treatment (Medi et al., 2009; Lishmanov et al., 2010). In cases of focal atrial tachycardia, successful ablation resulted in sustained recovery of ventricular function, with long-term follow-up indicating low rates of recurrence when arrhythmia suppression was maintained (Medi et al., 2009). Similarly, studies emphasized that restoration of sinus rhythm or adequate rate control in </w:t>
      </w:r>
      <w:r>
        <w:lastRenderedPageBreak/>
        <w:t>atrial fibrillation led to significant reverse remodeling and functional recovery (Gopinathannair et al., 2009).</w:t>
      </w:r>
    </w:p>
    <w:p w14:paraId="08A6F2FF" w14:textId="77777777" w:rsidR="00C72FB4" w:rsidRDefault="00ED2B76">
      <w:pPr>
        <w:pStyle w:val="NormalWeb"/>
      </w:pPr>
      <w:r>
        <w:t>However, not all patients experienced complete recovery. As highlighted in Table 1, a subset of patients demonstrated persistent ventricular dysfunction despite adequate arrhythmia control, suggesting the presence of irreversible myocardial remodeling or coexisting structural heart disease (Albakri, 2018; Kim et al., 2019). Experimental data further supported that prolonged exposure to tachycardia resulted in more extensive myocardial injury, including fibrosis and cellular alterations, which may limit the degree of reversibility (Shinbane et al., 1997; Martin et al., 2017). Additionally, recurrence of tachyarrhythmias was associated with rapid deterioration of previously recovered ventricular function, underscoring the importance of sustained rhythm control strategies (Khasnis et al., 2005; Mohamed, 2007).</w:t>
      </w:r>
    </w:p>
    <w:p w14:paraId="07C4E174" w14:textId="77777777" w:rsidR="00C72FB4" w:rsidRDefault="00ED2B76">
      <w:pPr>
        <w:pStyle w:val="Heading2"/>
        <w:rPr>
          <w:rFonts w:eastAsia="Times New Roman"/>
        </w:rPr>
      </w:pPr>
      <w:r>
        <w:rPr>
          <w:rFonts w:eastAsia="Times New Roman"/>
        </w:rPr>
        <w:t>Implications for Timing of Device Therapy</w:t>
      </w:r>
    </w:p>
    <w:p w14:paraId="2709D730" w14:textId="77777777" w:rsidR="00C72FB4" w:rsidRDefault="00ED2B76">
      <w:pPr>
        <w:pStyle w:val="NormalWeb"/>
      </w:pPr>
      <w:r>
        <w:t>The transient nature of ventricular dysfunction in TIC has significant implications for the timing and necessity of device therapy, as outlined in Table 1. Several studies highlighted that early implantation of devices such as implantable cardioverter-defibrillators (ICDs) or cardiac resynchronization therapy (CRT) may be unnecessary in patients with newly diagnosed TIC, as ventricular function often improves substantially following arrhythmia management (Umana et al., 2003; Lishmanov et al., 2010). This finding supports a strategy of deferring permanent device implantation until reassessment of ventricular function after adequate rhythm control.</w:t>
      </w:r>
    </w:p>
    <w:p w14:paraId="3F91212F" w14:textId="77777777" w:rsidR="00C72FB4" w:rsidRDefault="00ED2B76">
      <w:pPr>
        <w:pStyle w:val="NormalWeb"/>
      </w:pPr>
      <w:r>
        <w:t>Contemporary evidence further reinforces the importance of distinguishing TIC from other forms of cardiomyopathy when considering device therapy. The broader concept of arrhythmia-induced cardiomyopathy emphasizes that arrhythmias may be a primary or contributory factor to ventricular dysfunction, and their treatment can lead to significant clinical improvement (Shoureshi et al., 2024). As such, premature device implantation may expose patients to unnecessary procedural risks and long-term complications if ventricular recovery is achievable.</w:t>
      </w:r>
    </w:p>
    <w:p w14:paraId="3DB2CC42" w14:textId="77777777" w:rsidR="00C72FB4" w:rsidRDefault="00ED2B76">
      <w:pPr>
        <w:pStyle w:val="NormalWeb"/>
      </w:pPr>
      <w:r>
        <w:t>Nonetheless, device therapy remains relevant in selected cases. As summarized in Table 1, patients with persistent severe ventricular dysfunction despite optimal rhythm control, or those at high risk of malignant arrhythmias, may still benefit from ICD or CRT implantation (Kim et al., 2019; Abozaid et al., 2024). Additionally, temporary measures such as wearable defibrillators have been proposed as interim strategies during the recovery period, allowing time for reassessment of cardiac function before committing to permanent devices.</w:t>
      </w:r>
    </w:p>
    <w:p w14:paraId="0F52E50F" w14:textId="77777777" w:rsidR="00C72FB4" w:rsidRDefault="00ED2B76">
      <w:pPr>
        <w:pStyle w:val="NormalWeb"/>
      </w:pPr>
      <w:r>
        <w:t>Overall, the findings underscore the importance of individualized clinical decision-making, with careful monitoring of ventricular recovery following rhythm control. A strategy that prioritizes early arrhythmia management and delayed consideration of device therapy may optimize outcomes while avoiding unnecessary interventions in patients with reversible cardiomyopathy.</w:t>
      </w:r>
    </w:p>
    <w:p w14:paraId="7A2A2532" w14:textId="77777777" w:rsidR="00C72FB4" w:rsidRDefault="00C72FB4">
      <w:pPr>
        <w:rPr>
          <w:rFonts w:eastAsia="Times New Roman"/>
        </w:rPr>
      </w:pPr>
    </w:p>
    <w:p w14:paraId="3DE1EA92" w14:textId="77777777" w:rsidR="00C72FB4" w:rsidRDefault="00ED2B76">
      <w:pPr>
        <w:pStyle w:val="Heading3"/>
        <w:rPr>
          <w:rFonts w:eastAsia="Times New Roman"/>
        </w:rPr>
      </w:pPr>
      <w:r>
        <w:rPr>
          <w:rStyle w:val="Strong"/>
          <w:rFonts w:eastAsia="Times New Roman"/>
          <w:b w:val="0"/>
          <w:bCs w:val="0"/>
        </w:rPr>
        <w:lastRenderedPageBreak/>
        <w:t>Table 1. Summary of Key Findings on Ventricular Recovery and Device Therapy in Tachycardia-Induced Cardiomyopathy</w:t>
      </w:r>
    </w:p>
    <w:tbl>
      <w:tblPr>
        <w:tblStyle w:val="TableGrid"/>
        <w:tblW w:w="0" w:type="auto"/>
        <w:tblCellSpacing w:w="15" w:type="dxa"/>
        <w:tblLook w:val="0600" w:firstRow="0" w:lastRow="0" w:firstColumn="0" w:lastColumn="0" w:noHBand="1" w:noVBand="1"/>
      </w:tblPr>
      <w:tblGrid>
        <w:gridCol w:w="2273"/>
        <w:gridCol w:w="2364"/>
        <w:gridCol w:w="2166"/>
        <w:gridCol w:w="2547"/>
      </w:tblGrid>
      <w:tr w:rsidR="00C72FB4" w14:paraId="1043B463"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F0C32D" w14:textId="77777777" w:rsidR="00C72FB4" w:rsidRDefault="00ED2B76">
            <w:pPr>
              <w:jc w:val="center"/>
              <w:rPr>
                <w:rFonts w:eastAsia="Times New Roman"/>
                <w:b/>
                <w:bCs/>
              </w:rPr>
            </w:pPr>
            <w:r>
              <w:rPr>
                <w:rStyle w:val="Strong"/>
                <w:rFonts w:eastAsia="Times New Roman"/>
              </w:rPr>
              <w:t>Domain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7C4A8D" w14:textId="77777777" w:rsidR="00C72FB4" w:rsidRDefault="00ED2B76">
            <w:pPr>
              <w:jc w:val="center"/>
              <w:rPr>
                <w:rFonts w:eastAsia="Times New Roman"/>
                <w:b/>
                <w:bCs/>
              </w:rPr>
            </w:pPr>
            <w:r>
              <w:rPr>
                <w:rStyle w:val="Strong"/>
                <w:rFonts w:eastAsia="Times New Roman"/>
              </w:rPr>
              <w:t>Key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44B559" w14:textId="77777777" w:rsidR="00C72FB4" w:rsidRDefault="00ED2B76">
            <w:pPr>
              <w:jc w:val="center"/>
              <w:rPr>
                <w:rFonts w:eastAsia="Times New Roman"/>
                <w:b/>
                <w:bCs/>
              </w:rPr>
            </w:pPr>
            <w:r>
              <w:rPr>
                <w:rStyle w:val="Strong"/>
                <w:rFonts w:eastAsia="Times New Roman"/>
              </w:rPr>
              <w:t>Supporting Evidence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EE0507" w14:textId="77777777" w:rsidR="00C72FB4" w:rsidRDefault="00ED2B76">
            <w:pPr>
              <w:jc w:val="center"/>
              <w:rPr>
                <w:rFonts w:eastAsia="Times New Roman"/>
                <w:b/>
                <w:bCs/>
              </w:rPr>
            </w:pPr>
            <w:r>
              <w:rPr>
                <w:rStyle w:val="Strong"/>
                <w:rFonts w:eastAsia="Times New Roman"/>
              </w:rPr>
              <w:t>Clinical Implications</w:t>
            </w:r>
          </w:p>
        </w:tc>
      </w:tr>
      <w:tr w:rsidR="00C72FB4" w14:paraId="5D5A3E7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6C0173" w14:textId="77777777" w:rsidR="00C72FB4" w:rsidRDefault="00ED2B76">
            <w:pPr>
              <w:rPr>
                <w:rFonts w:eastAsia="Times New Roman"/>
              </w:rPr>
            </w:pPr>
            <w:r>
              <w:rPr>
                <w:rStyle w:val="Strong"/>
                <w:rFonts w:eastAsia="Times New Roman"/>
              </w:rPr>
              <w:t>Baseline Ventricular Dysfunction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805732" w14:textId="77777777" w:rsidR="00C72FB4" w:rsidRDefault="00ED2B76">
            <w:pPr>
              <w:rPr>
                <w:rFonts w:eastAsia="Times New Roman"/>
              </w:rPr>
            </w:pPr>
            <w:r>
              <w:rPr>
                <w:rFonts w:eastAsia="Times New Roman"/>
              </w:rPr>
              <w:t>Reduced LVEF and ventricular dilatation are common at presentation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9DD867" w14:textId="77777777" w:rsidR="00C72FB4" w:rsidRPr="00E66F5A" w:rsidRDefault="00ED2B76">
            <w:pPr>
              <w:rPr>
                <w:rFonts w:eastAsia="Times New Roman"/>
                <w:lang w:val="es-US"/>
              </w:rPr>
            </w:pPr>
            <w:proofErr w:type="spellStart"/>
            <w:r w:rsidRPr="00E66F5A">
              <w:rPr>
                <w:rFonts w:eastAsia="Times New Roman"/>
                <w:lang w:val="es-US"/>
              </w:rPr>
              <w:t>Khasnis</w:t>
            </w:r>
            <w:proofErr w:type="spellEnd"/>
            <w:r w:rsidRPr="00E66F5A">
              <w:rPr>
                <w:rFonts w:eastAsia="Times New Roman"/>
                <w:lang w:val="es-US"/>
              </w:rPr>
              <w:t xml:space="preserve"> et al., 2005; Umana et al., 2003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83CCF2" w14:textId="77777777" w:rsidR="00C72FB4" w:rsidRDefault="00ED2B76">
            <w:pPr>
              <w:rPr>
                <w:rFonts w:eastAsia="Times New Roman"/>
              </w:rPr>
            </w:pPr>
            <w:r>
              <w:rPr>
                <w:rFonts w:eastAsia="Times New Roman"/>
              </w:rPr>
              <w:t>TIC often mimics dilated cardiomyopathy, requiring high clinical suspicion</w:t>
            </w:r>
          </w:p>
        </w:tc>
      </w:tr>
      <w:tr w:rsidR="00C72FB4" w14:paraId="1FA59FC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1B8AA3" w14:textId="77777777" w:rsidR="00C72FB4" w:rsidRDefault="00ED2B76">
            <w:pPr>
              <w:rPr>
                <w:rFonts w:eastAsia="Times New Roman"/>
              </w:rPr>
            </w:pPr>
            <w:r>
              <w:rPr>
                <w:rStyle w:val="Strong"/>
                <w:rFonts w:eastAsia="Times New Roman"/>
              </w:rPr>
              <w:t>Reversibility of Dysfunction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A27185" w14:textId="77777777" w:rsidR="00C72FB4" w:rsidRDefault="00ED2B76">
            <w:pPr>
              <w:rPr>
                <w:rFonts w:eastAsia="Times New Roman"/>
              </w:rPr>
            </w:pPr>
            <w:r>
              <w:rPr>
                <w:rFonts w:eastAsia="Times New Roman"/>
              </w:rPr>
              <w:t>Significant improvement or normalization of LVEF after rhythm control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E9E125" w14:textId="77777777" w:rsidR="00C72FB4" w:rsidRPr="00E66F5A" w:rsidRDefault="00ED2B76">
            <w:pPr>
              <w:rPr>
                <w:rFonts w:eastAsia="Times New Roman"/>
                <w:lang w:val="es-US"/>
              </w:rPr>
            </w:pPr>
            <w:r w:rsidRPr="00E66F5A">
              <w:rPr>
                <w:rFonts w:eastAsia="Times New Roman"/>
                <w:lang w:val="es-US"/>
              </w:rPr>
              <w:t>Gupta &amp; Figueredo, 2014; Cabanillas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6F1C82" w14:textId="77777777" w:rsidR="00C72FB4" w:rsidRDefault="00ED2B76">
            <w:pPr>
              <w:rPr>
                <w:rFonts w:eastAsia="Times New Roman"/>
              </w:rPr>
            </w:pPr>
            <w:r>
              <w:rPr>
                <w:rFonts w:eastAsia="Times New Roman"/>
              </w:rPr>
              <w:t>Confirms TIC as a potentially reversible cause of heart failure</w:t>
            </w:r>
          </w:p>
        </w:tc>
      </w:tr>
      <w:tr w:rsidR="00C72FB4" w14:paraId="3952ECC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EFC5E6" w14:textId="77777777" w:rsidR="00C72FB4" w:rsidRDefault="00ED2B76">
            <w:pPr>
              <w:rPr>
                <w:rFonts w:eastAsia="Times New Roman"/>
              </w:rPr>
            </w:pPr>
            <w:r>
              <w:rPr>
                <w:rStyle w:val="Strong"/>
                <w:rFonts w:eastAsia="Times New Roman"/>
              </w:rPr>
              <w:t>Timeline of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87E744" w14:textId="77777777" w:rsidR="00C72FB4" w:rsidRDefault="00ED2B76">
            <w:pPr>
              <w:rPr>
                <w:rFonts w:eastAsia="Times New Roman"/>
              </w:rPr>
            </w:pPr>
            <w:r>
              <w:rPr>
                <w:rFonts w:eastAsia="Times New Roman"/>
              </w:rPr>
              <w:t>Improvement begins within weeks; full recovery may take months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BFE5F6" w14:textId="77777777" w:rsidR="00C72FB4" w:rsidRDefault="00ED2B76">
            <w:pPr>
              <w:rPr>
                <w:rFonts w:eastAsia="Times New Roman"/>
              </w:rPr>
            </w:pPr>
            <w:r>
              <w:rPr>
                <w:rFonts w:eastAsia="Times New Roman"/>
              </w:rPr>
              <w:t>Gupta &amp; Figueredo, 2014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E5C211" w14:textId="77777777" w:rsidR="00C72FB4" w:rsidRDefault="00ED2B76">
            <w:pPr>
              <w:rPr>
                <w:rFonts w:eastAsia="Times New Roman"/>
              </w:rPr>
            </w:pPr>
            <w:r>
              <w:rPr>
                <w:rFonts w:eastAsia="Times New Roman"/>
              </w:rPr>
              <w:t>Necessitates follow-up before long-term decisions</w:t>
            </w:r>
          </w:p>
        </w:tc>
      </w:tr>
      <w:tr w:rsidR="00C72FB4" w14:paraId="2CDC6E0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517537" w14:textId="77777777" w:rsidR="00C72FB4" w:rsidRDefault="00ED2B76">
            <w:pPr>
              <w:rPr>
                <w:rFonts w:eastAsia="Times New Roman"/>
              </w:rPr>
            </w:pPr>
            <w:r>
              <w:rPr>
                <w:rStyle w:val="Strong"/>
                <w:rFonts w:eastAsia="Times New Roman"/>
              </w:rPr>
              <w:t>Impact of Early Intervention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0A954B" w14:textId="77777777" w:rsidR="00C72FB4" w:rsidRDefault="00ED2B76">
            <w:pPr>
              <w:rPr>
                <w:rFonts w:eastAsia="Times New Roman"/>
              </w:rPr>
            </w:pPr>
            <w:r>
              <w:rPr>
                <w:rFonts w:eastAsia="Times New Roman"/>
              </w:rPr>
              <w:t>Early rhythm control leads to faster and more complete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0E680B" w14:textId="77777777" w:rsidR="00C72FB4" w:rsidRPr="00E66F5A" w:rsidRDefault="00ED2B76">
            <w:pPr>
              <w:rPr>
                <w:rFonts w:eastAsia="Times New Roman"/>
                <w:lang w:val="es-US"/>
              </w:rPr>
            </w:pPr>
            <w:r w:rsidRPr="00E66F5A">
              <w:rPr>
                <w:rFonts w:eastAsia="Times New Roman"/>
                <w:lang w:val="es-US"/>
              </w:rPr>
              <w:t xml:space="preserve">Medi et al., 2009; </w:t>
            </w:r>
            <w:proofErr w:type="spellStart"/>
            <w:r w:rsidRPr="00E66F5A">
              <w:rPr>
                <w:rFonts w:eastAsia="Times New Roman"/>
                <w:lang w:val="es-US"/>
              </w:rPr>
              <w:t>Lishmanov</w:t>
            </w:r>
            <w:proofErr w:type="spellEnd"/>
            <w:r w:rsidRPr="00E66F5A">
              <w:rPr>
                <w:rFonts w:eastAsia="Times New Roman"/>
                <w:lang w:val="es-US"/>
              </w:rPr>
              <w:t xml:space="preserve"> et al., 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BA22F9" w14:textId="77777777" w:rsidR="00C72FB4" w:rsidRDefault="00ED2B76">
            <w:pPr>
              <w:rPr>
                <w:rFonts w:eastAsia="Times New Roman"/>
              </w:rPr>
            </w:pPr>
            <w:r>
              <w:rPr>
                <w:rFonts w:eastAsia="Times New Roman"/>
              </w:rPr>
              <w:t>Supports prompt diagnosis and early rhythm management</w:t>
            </w:r>
          </w:p>
        </w:tc>
      </w:tr>
      <w:tr w:rsidR="00C72FB4" w14:paraId="0FAEA028"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766FB1" w14:textId="77777777" w:rsidR="00C72FB4" w:rsidRDefault="00ED2B76">
            <w:pPr>
              <w:rPr>
                <w:rFonts w:eastAsia="Times New Roman"/>
              </w:rPr>
            </w:pPr>
            <w:r>
              <w:rPr>
                <w:rStyle w:val="Strong"/>
                <w:rFonts w:eastAsia="Times New Roman"/>
              </w:rPr>
              <w:t>Effect of Catheter Ablation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A7AF05" w14:textId="77777777" w:rsidR="00C72FB4" w:rsidRDefault="00ED2B76">
            <w:pPr>
              <w:rPr>
                <w:rFonts w:eastAsia="Times New Roman"/>
              </w:rPr>
            </w:pPr>
            <w:r>
              <w:rPr>
                <w:rFonts w:eastAsia="Times New Roman"/>
              </w:rPr>
              <w:t>Sustained recovery with low recurrence rates after successful ablation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F224DD" w14:textId="77777777" w:rsidR="00C72FB4" w:rsidRDefault="00ED2B76">
            <w:pPr>
              <w:rPr>
                <w:rFonts w:eastAsia="Times New Roman"/>
              </w:rPr>
            </w:pPr>
            <w:r>
              <w:rPr>
                <w:rFonts w:eastAsia="Times New Roman"/>
              </w:rPr>
              <w:t>Medi et al., 2009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7D0828" w14:textId="77777777" w:rsidR="00C72FB4" w:rsidRDefault="00ED2B76">
            <w:pPr>
              <w:rPr>
                <w:rFonts w:eastAsia="Times New Roman"/>
              </w:rPr>
            </w:pPr>
            <w:r>
              <w:rPr>
                <w:rFonts w:eastAsia="Times New Roman"/>
              </w:rPr>
              <w:t>Ablation is a key definitive therapy in selected patients</w:t>
            </w:r>
          </w:p>
        </w:tc>
      </w:tr>
      <w:tr w:rsidR="00C72FB4" w14:paraId="7B376F2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42C5CB" w14:textId="77777777" w:rsidR="00C72FB4" w:rsidRDefault="00ED2B76">
            <w:pPr>
              <w:rPr>
                <w:rFonts w:eastAsia="Times New Roman"/>
              </w:rPr>
            </w:pPr>
            <w:r>
              <w:rPr>
                <w:rStyle w:val="Strong"/>
                <w:rFonts w:eastAsia="Times New Roman"/>
              </w:rPr>
              <w:t>Atrial Fibrillation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AADD7A" w14:textId="77777777" w:rsidR="00C72FB4" w:rsidRDefault="00ED2B76">
            <w:pPr>
              <w:rPr>
                <w:rFonts w:eastAsia="Times New Roman"/>
              </w:rPr>
            </w:pPr>
            <w:r>
              <w:rPr>
                <w:rFonts w:eastAsia="Times New Roman"/>
              </w:rPr>
              <w:t>Rate/rhythm control leads to reverse remodeling and functional improvement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FF7E45" w14:textId="77777777" w:rsidR="00C72FB4" w:rsidRDefault="00ED2B76">
            <w:pPr>
              <w:rPr>
                <w:rFonts w:eastAsia="Times New Roman"/>
              </w:rPr>
            </w:pPr>
            <w:r>
              <w:rPr>
                <w:rFonts w:eastAsia="Times New Roman"/>
              </w:rPr>
              <w:t>Gopinathannair et al., 2009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9BD497" w14:textId="77777777" w:rsidR="00C72FB4" w:rsidRDefault="00ED2B76">
            <w:pPr>
              <w:rPr>
                <w:rFonts w:eastAsia="Times New Roman"/>
              </w:rPr>
            </w:pPr>
            <w:r>
              <w:rPr>
                <w:rFonts w:eastAsia="Times New Roman"/>
              </w:rPr>
              <w:t>AF is a major reversible cause of TIC</w:t>
            </w:r>
          </w:p>
        </w:tc>
      </w:tr>
      <w:tr w:rsidR="00C72FB4" w14:paraId="785F2E5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8B13F1C" w14:textId="77777777" w:rsidR="00C72FB4" w:rsidRDefault="00ED2B76">
            <w:pPr>
              <w:rPr>
                <w:rFonts w:eastAsia="Times New Roman"/>
              </w:rPr>
            </w:pPr>
            <w:r>
              <w:rPr>
                <w:rStyle w:val="Strong"/>
                <w:rFonts w:eastAsia="Times New Roman"/>
              </w:rPr>
              <w:lastRenderedPageBreak/>
              <w:t>Incomplete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CED156" w14:textId="77777777" w:rsidR="00C72FB4" w:rsidRDefault="00ED2B76">
            <w:pPr>
              <w:rPr>
                <w:rFonts w:eastAsia="Times New Roman"/>
              </w:rPr>
            </w:pPr>
            <w:r>
              <w:rPr>
                <w:rFonts w:eastAsia="Times New Roman"/>
              </w:rPr>
              <w:t>Some patients have persistent dysfunction due to fibrosis or underlying disease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41CAFA" w14:textId="77777777" w:rsidR="00C72FB4" w:rsidRDefault="00ED2B76">
            <w:pPr>
              <w:rPr>
                <w:rFonts w:eastAsia="Times New Roman"/>
              </w:rPr>
            </w:pPr>
            <w:r>
              <w:rPr>
                <w:rFonts w:eastAsia="Times New Roman"/>
              </w:rPr>
              <w:t>Albakri, 2018; Kim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14A086" w14:textId="77777777" w:rsidR="00C72FB4" w:rsidRDefault="00ED2B76">
            <w:pPr>
              <w:rPr>
                <w:rFonts w:eastAsia="Times New Roman"/>
              </w:rPr>
            </w:pPr>
            <w:r>
              <w:rPr>
                <w:rFonts w:eastAsia="Times New Roman"/>
              </w:rPr>
              <w:t>Suggests need for individualized evaluation</w:t>
            </w:r>
          </w:p>
        </w:tc>
      </w:tr>
      <w:tr w:rsidR="00C72FB4" w14:paraId="62C3DF7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6827F06" w14:textId="77777777" w:rsidR="00C72FB4" w:rsidRDefault="00ED2B76">
            <w:pPr>
              <w:rPr>
                <w:rFonts w:eastAsia="Times New Roman"/>
              </w:rPr>
            </w:pPr>
            <w:r>
              <w:rPr>
                <w:rStyle w:val="Strong"/>
                <w:rFonts w:eastAsia="Times New Roman"/>
              </w:rPr>
              <w:t>Effect of Prolonged Tachycardia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4FEFE9" w14:textId="77777777" w:rsidR="00C72FB4" w:rsidRDefault="00ED2B76">
            <w:pPr>
              <w:rPr>
                <w:rFonts w:eastAsia="Times New Roman"/>
              </w:rPr>
            </w:pPr>
            <w:r>
              <w:rPr>
                <w:rFonts w:eastAsia="Times New Roman"/>
              </w:rPr>
              <w:t>Longer duration leads to irreversible myocardial damage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B37252" w14:textId="77777777" w:rsidR="00C72FB4" w:rsidRDefault="00ED2B76">
            <w:pPr>
              <w:rPr>
                <w:rFonts w:eastAsia="Times New Roman"/>
              </w:rPr>
            </w:pPr>
            <w:r>
              <w:rPr>
                <w:rFonts w:eastAsia="Times New Roman"/>
              </w:rPr>
              <w:t>Shinbane et al., 1997; Martin et al., 2017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3581DE" w14:textId="77777777" w:rsidR="00C72FB4" w:rsidRDefault="00ED2B76">
            <w:pPr>
              <w:rPr>
                <w:rFonts w:eastAsia="Times New Roman"/>
              </w:rPr>
            </w:pPr>
            <w:r>
              <w:rPr>
                <w:rFonts w:eastAsia="Times New Roman"/>
              </w:rPr>
              <w:t>Highlights importance of early detection</w:t>
            </w:r>
          </w:p>
        </w:tc>
      </w:tr>
      <w:tr w:rsidR="00C72FB4" w14:paraId="200BD4B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60AC74" w14:textId="77777777" w:rsidR="00C72FB4" w:rsidRDefault="00ED2B76">
            <w:pPr>
              <w:rPr>
                <w:rFonts w:eastAsia="Times New Roman"/>
              </w:rPr>
            </w:pPr>
            <w:r>
              <w:rPr>
                <w:rStyle w:val="Strong"/>
                <w:rFonts w:eastAsia="Times New Roman"/>
              </w:rPr>
              <w:t>Recurrence of Arrhythmia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C497EA" w14:textId="77777777" w:rsidR="00C72FB4" w:rsidRDefault="00ED2B76">
            <w:pPr>
              <w:rPr>
                <w:rFonts w:eastAsia="Times New Roman"/>
              </w:rPr>
            </w:pPr>
            <w:r>
              <w:rPr>
                <w:rFonts w:eastAsia="Times New Roman"/>
              </w:rPr>
              <w:t>Recurrence causes rapid decline in recovered ventricular 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04A135" w14:textId="77777777" w:rsidR="00C72FB4" w:rsidRDefault="00ED2B76">
            <w:pPr>
              <w:rPr>
                <w:rFonts w:eastAsia="Times New Roman"/>
              </w:rPr>
            </w:pPr>
            <w:r>
              <w:rPr>
                <w:rFonts w:eastAsia="Times New Roman"/>
              </w:rPr>
              <w:t>Khasnis et al., 2005; Mohamed, 2007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A946BE" w14:textId="77777777" w:rsidR="00C72FB4" w:rsidRDefault="00ED2B76">
            <w:pPr>
              <w:rPr>
                <w:rFonts w:eastAsia="Times New Roman"/>
              </w:rPr>
            </w:pPr>
            <w:r>
              <w:rPr>
                <w:rFonts w:eastAsia="Times New Roman"/>
              </w:rPr>
              <w:t>Emphasizes need for durable rhythm control</w:t>
            </w:r>
          </w:p>
        </w:tc>
      </w:tr>
      <w:tr w:rsidR="00C72FB4" w14:paraId="50AA4BE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EC6DB1" w14:textId="77777777" w:rsidR="00C72FB4" w:rsidRDefault="00ED2B76">
            <w:pPr>
              <w:rPr>
                <w:rFonts w:eastAsia="Times New Roman"/>
              </w:rPr>
            </w:pPr>
            <w:r>
              <w:rPr>
                <w:rStyle w:val="Strong"/>
                <w:rFonts w:eastAsia="Times New Roman"/>
              </w:rPr>
              <w:t>Device Therapy Timing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38C06C" w14:textId="77777777" w:rsidR="00C72FB4" w:rsidRDefault="00ED2B76">
            <w:pPr>
              <w:rPr>
                <w:rFonts w:eastAsia="Times New Roman"/>
              </w:rPr>
            </w:pPr>
            <w:r>
              <w:rPr>
                <w:rFonts w:eastAsia="Times New Roman"/>
              </w:rPr>
              <w:t>Early ICD/CRT implantation may be unnecessary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3AADA6" w14:textId="77777777" w:rsidR="00C72FB4" w:rsidRPr="00E66F5A" w:rsidRDefault="00ED2B76">
            <w:pPr>
              <w:rPr>
                <w:rFonts w:eastAsia="Times New Roman"/>
                <w:lang w:val="es-US"/>
              </w:rPr>
            </w:pPr>
            <w:r w:rsidRPr="00E66F5A">
              <w:rPr>
                <w:rFonts w:eastAsia="Times New Roman"/>
                <w:lang w:val="es-US"/>
              </w:rPr>
              <w:t xml:space="preserve">Umana et al., 2003; </w:t>
            </w:r>
            <w:proofErr w:type="spellStart"/>
            <w:r w:rsidRPr="00E66F5A">
              <w:rPr>
                <w:rFonts w:eastAsia="Times New Roman"/>
                <w:lang w:val="es-US"/>
              </w:rPr>
              <w:t>Lishmanov</w:t>
            </w:r>
            <w:proofErr w:type="spellEnd"/>
            <w:r w:rsidRPr="00E66F5A">
              <w:rPr>
                <w:rFonts w:eastAsia="Times New Roman"/>
                <w:lang w:val="es-US"/>
              </w:rPr>
              <w:t xml:space="preserve"> et al., 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24AA69" w14:textId="77777777" w:rsidR="00C72FB4" w:rsidRDefault="00ED2B76">
            <w:pPr>
              <w:rPr>
                <w:rFonts w:eastAsia="Times New Roman"/>
              </w:rPr>
            </w:pPr>
            <w:r>
              <w:rPr>
                <w:rFonts w:eastAsia="Times New Roman"/>
              </w:rPr>
              <w:t>Supports delayed decision-making</w:t>
            </w:r>
          </w:p>
        </w:tc>
      </w:tr>
      <w:tr w:rsidR="00C72FB4" w14:paraId="64A4655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02F650B" w14:textId="77777777" w:rsidR="00C72FB4" w:rsidRDefault="00ED2B76">
            <w:pPr>
              <w:rPr>
                <w:rFonts w:eastAsia="Times New Roman"/>
              </w:rPr>
            </w:pPr>
            <w:r>
              <w:rPr>
                <w:rStyle w:val="Strong"/>
                <w:rFonts w:eastAsia="Times New Roman"/>
              </w:rPr>
              <w:t>Reassessment Strategy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441557" w14:textId="77777777" w:rsidR="00C72FB4" w:rsidRDefault="00ED2B76">
            <w:pPr>
              <w:rPr>
                <w:rFonts w:eastAsia="Times New Roman"/>
              </w:rPr>
            </w:pPr>
            <w:r>
              <w:rPr>
                <w:rFonts w:eastAsia="Times New Roman"/>
              </w:rPr>
              <w:t>Ventricular function should be reassessed after rhythm control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F362E0" w14:textId="77777777" w:rsidR="00C72FB4" w:rsidRDefault="00ED2B76">
            <w:pPr>
              <w:rPr>
                <w:rFonts w:eastAsia="Times New Roman"/>
              </w:rPr>
            </w:pPr>
            <w:r>
              <w:rPr>
                <w:rFonts w:eastAsia="Times New Roman"/>
              </w:rPr>
              <w:t>Lishmanov et al., 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251505" w14:textId="77777777" w:rsidR="00C72FB4" w:rsidRDefault="00ED2B76">
            <w:pPr>
              <w:rPr>
                <w:rFonts w:eastAsia="Times New Roman"/>
              </w:rPr>
            </w:pPr>
            <w:r>
              <w:rPr>
                <w:rFonts w:eastAsia="Times New Roman"/>
              </w:rPr>
              <w:t>Prevents unnecessary device implantation</w:t>
            </w:r>
          </w:p>
        </w:tc>
      </w:tr>
      <w:tr w:rsidR="00C72FB4" w14:paraId="64FB729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D18711" w14:textId="77777777" w:rsidR="00C72FB4" w:rsidRDefault="00ED2B76">
            <w:pPr>
              <w:rPr>
                <w:rFonts w:eastAsia="Times New Roman"/>
              </w:rPr>
            </w:pPr>
            <w:r>
              <w:rPr>
                <w:rStyle w:val="Strong"/>
                <w:rFonts w:eastAsia="Times New Roman"/>
              </w:rPr>
              <w:t>Arrhythmia-Induced Cardiomyopathy Concept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74855" w14:textId="77777777" w:rsidR="00C72FB4" w:rsidRDefault="00ED2B76">
            <w:pPr>
              <w:rPr>
                <w:rFonts w:eastAsia="Times New Roman"/>
              </w:rPr>
            </w:pPr>
            <w:r>
              <w:rPr>
                <w:rFonts w:eastAsia="Times New Roman"/>
              </w:rPr>
              <w:t>Arrhythmias may be primary or contributory to LV dysfunction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DE9E5A" w14:textId="77777777" w:rsidR="00C72FB4" w:rsidRDefault="00ED2B76">
            <w:pPr>
              <w:rPr>
                <w:rFonts w:eastAsia="Times New Roman"/>
              </w:rPr>
            </w:pPr>
            <w:r>
              <w:rPr>
                <w:rFonts w:eastAsia="Times New Roman"/>
              </w:rPr>
              <w:t>Shoureshi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6DA263" w14:textId="77777777" w:rsidR="00C72FB4" w:rsidRDefault="00ED2B76">
            <w:pPr>
              <w:rPr>
                <w:rFonts w:eastAsia="Times New Roman"/>
              </w:rPr>
            </w:pPr>
            <w:r>
              <w:rPr>
                <w:rFonts w:eastAsia="Times New Roman"/>
              </w:rPr>
              <w:t>Expands diagnostic and therapeutic framework</w:t>
            </w:r>
          </w:p>
        </w:tc>
      </w:tr>
      <w:tr w:rsidR="00C72FB4" w14:paraId="5F9CCBB8"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675D9A" w14:textId="77777777" w:rsidR="00C72FB4" w:rsidRDefault="00ED2B76">
            <w:pPr>
              <w:rPr>
                <w:rFonts w:eastAsia="Times New Roman"/>
              </w:rPr>
            </w:pPr>
            <w:r>
              <w:rPr>
                <w:rStyle w:val="Strong"/>
                <w:rFonts w:eastAsia="Times New Roman"/>
              </w:rPr>
              <w:t>Indications for Device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7E9B83" w14:textId="77777777" w:rsidR="00C72FB4" w:rsidRDefault="00ED2B76">
            <w:pPr>
              <w:rPr>
                <w:rFonts w:eastAsia="Times New Roman"/>
              </w:rPr>
            </w:pPr>
            <w:r>
              <w:rPr>
                <w:rFonts w:eastAsia="Times New Roman"/>
              </w:rPr>
              <w:t>Persistent severe dysfunction or high arrhythmic risk warrants ICD/CRT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20BDC5" w14:textId="77777777" w:rsidR="00C72FB4" w:rsidRDefault="00ED2B76">
            <w:pPr>
              <w:rPr>
                <w:rFonts w:eastAsia="Times New Roman"/>
              </w:rPr>
            </w:pPr>
            <w:r>
              <w:rPr>
                <w:rFonts w:eastAsia="Times New Roman"/>
              </w:rPr>
              <w:t>Kim et al., 2019; Abozaid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1CE57D" w14:textId="77777777" w:rsidR="00C72FB4" w:rsidRDefault="00ED2B76">
            <w:pPr>
              <w:rPr>
                <w:rFonts w:eastAsia="Times New Roman"/>
              </w:rPr>
            </w:pPr>
            <w:r>
              <w:rPr>
                <w:rFonts w:eastAsia="Times New Roman"/>
              </w:rPr>
              <w:t>Identifies subgroup needing definitive intervention</w:t>
            </w:r>
          </w:p>
        </w:tc>
      </w:tr>
      <w:tr w:rsidR="00C72FB4" w14:paraId="27BF926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402D7C" w14:textId="77777777" w:rsidR="00C72FB4" w:rsidRDefault="00ED2B76">
            <w:pPr>
              <w:rPr>
                <w:rFonts w:eastAsia="Times New Roman"/>
              </w:rPr>
            </w:pPr>
            <w:r>
              <w:rPr>
                <w:rStyle w:val="Strong"/>
                <w:rFonts w:eastAsia="Times New Roman"/>
              </w:rPr>
              <w:t>Temporary Measures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1DA724" w14:textId="77777777" w:rsidR="00C72FB4" w:rsidRDefault="00ED2B76">
            <w:pPr>
              <w:rPr>
                <w:rFonts w:eastAsia="Times New Roman"/>
              </w:rPr>
            </w:pPr>
            <w:r>
              <w:rPr>
                <w:rFonts w:eastAsia="Times New Roman"/>
              </w:rPr>
              <w:t>Wearable defibrillators may be used during recovery phase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F9A8" w14:textId="77777777" w:rsidR="00C72FB4" w:rsidRDefault="00ED2B76">
            <w:pPr>
              <w:rPr>
                <w:rFonts w:eastAsia="Times New Roman"/>
              </w:rPr>
            </w:pPr>
            <w:r>
              <w:rPr>
                <w:rFonts w:eastAsia="Times New Roman"/>
              </w:rPr>
              <w:t>Abozaid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F352E3" w14:textId="77777777" w:rsidR="00C72FB4" w:rsidRDefault="00ED2B76">
            <w:pPr>
              <w:rPr>
                <w:rFonts w:eastAsia="Times New Roman"/>
              </w:rPr>
            </w:pPr>
            <w:r>
              <w:rPr>
                <w:rFonts w:eastAsia="Times New Roman"/>
              </w:rPr>
              <w:t>Provides interim protection while awaiting recovery</w:t>
            </w:r>
          </w:p>
        </w:tc>
      </w:tr>
      <w:tr w:rsidR="00C72FB4" w14:paraId="760A266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612FC5" w14:textId="77777777" w:rsidR="00C72FB4" w:rsidRDefault="00ED2B76">
            <w:pPr>
              <w:rPr>
                <w:rFonts w:eastAsia="Times New Roman"/>
              </w:rPr>
            </w:pPr>
            <w:r>
              <w:rPr>
                <w:rStyle w:val="Strong"/>
                <w:rFonts w:eastAsia="Times New Roman"/>
              </w:rPr>
              <w:lastRenderedPageBreak/>
              <w:t>Overall Management Strategy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72800B" w14:textId="77777777" w:rsidR="00C72FB4" w:rsidRDefault="00ED2B76">
            <w:pPr>
              <w:rPr>
                <w:rFonts w:eastAsia="Times New Roman"/>
              </w:rPr>
            </w:pPr>
            <w:r>
              <w:rPr>
                <w:rFonts w:eastAsia="Times New Roman"/>
              </w:rPr>
              <w:t>Early rhythm control + delayed device consideration improves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A6F9FD" w14:textId="77777777" w:rsidR="00C72FB4" w:rsidRDefault="00ED2B76">
            <w:pPr>
              <w:rPr>
                <w:rFonts w:eastAsia="Times New Roman"/>
              </w:rPr>
            </w:pPr>
            <w:r>
              <w:rPr>
                <w:rFonts w:eastAsia="Times New Roman"/>
              </w:rPr>
              <w:t>Multiple sources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D15081" w14:textId="77777777" w:rsidR="00C72FB4" w:rsidRDefault="00ED2B76">
            <w:pPr>
              <w:rPr>
                <w:rFonts w:eastAsia="Times New Roman"/>
              </w:rPr>
            </w:pPr>
            <w:r>
              <w:rPr>
                <w:rFonts w:eastAsia="Times New Roman"/>
              </w:rPr>
              <w:t>Supports individualized, stepwise clinical approach</w:t>
            </w:r>
          </w:p>
        </w:tc>
      </w:tr>
    </w:tbl>
    <w:p w14:paraId="7E70FAF6" w14:textId="77777777" w:rsidR="00C72FB4" w:rsidRDefault="00C72FB4">
      <w:pPr>
        <w:pStyle w:val="NormalWeb"/>
      </w:pPr>
    </w:p>
    <w:p w14:paraId="4F58A7C7" w14:textId="77777777" w:rsidR="00C72FB4" w:rsidRPr="00034AD3" w:rsidRDefault="00ED2B76">
      <w:pPr>
        <w:pStyle w:val="NormalWeb"/>
        <w:rPr>
          <w:b/>
        </w:rPr>
      </w:pPr>
      <w:r w:rsidRPr="00034AD3">
        <w:rPr>
          <w:b/>
        </w:rPr>
        <w:t>Discussion</w:t>
      </w:r>
    </w:p>
    <w:p w14:paraId="1729533D" w14:textId="77777777" w:rsidR="00C72FB4" w:rsidRDefault="00ED2B76">
      <w:pPr>
        <w:pStyle w:val="NormalWeb"/>
      </w:pPr>
      <w:r>
        <w:t>Tachycardia-induced cardiomyopathy (TIC) represents a unique and clinically significant subset of reversible heart failure in which sustained or recurrent tachyarrhythmias lead to ventricular systolic dysfunction. The findings from this study reinforce the central concept that TIC is not only potentially reversible but also highly dependent on the timing and effectiveness of rhythm control strategies. The consistent observation of substantial improvement or normalization of left ventricular ejection fraction (LVEF) following arrhythmia control underscores the importance of early recognition and targeted management. These findings align with earlier reports demonstrating that TIC can mimic other forms of dilated cardiomyopathy, often leading to diagnostic uncertainty and delayed intervention if not carefully considered in the differential diagnosis (Khasnis et al., 2005; Umana et al., 2003).</w:t>
      </w:r>
    </w:p>
    <w:p w14:paraId="276B0BC0" w14:textId="77777777" w:rsidR="00C72FB4" w:rsidRDefault="00ED2B76">
      <w:pPr>
        <w:pStyle w:val="NormalWeb"/>
      </w:pPr>
      <w:r>
        <w:t>The reversibility of ventricular dysfunction in TIC is a defining feature that distinguishes it from primary cardiomyopathies. Mechanistically, prolonged tachycardia induces a cascade of deleterious effects, including impaired calcium handling, mitochondrial dysfunction, neurohormonal activation, and adverse structural remodeling (Kim et al., 2019; Martin et al., 2017). These processes result in reduced contractility and ventricular dilatation; however, unlike irreversible cardiomyopathies, these changes may regress significantly once the inciting arrhythmia is controlled. Experimental models have demonstrated that cessation of tachycardia leads to gradual normalization of myocardial structure and function, although the extent of recovery is influenced by the duration and severity of tachycardia exposure (Shinbane et al., 1997). This biological plasticity provides a critical therapeutic window during which appropriate intervention can lead to near-complete recovery.</w:t>
      </w:r>
    </w:p>
    <w:p w14:paraId="50AE8E41" w14:textId="77777777" w:rsidR="00C72FB4" w:rsidRDefault="00ED2B76">
      <w:pPr>
        <w:pStyle w:val="NormalWeb"/>
      </w:pPr>
      <w:r>
        <w:t xml:space="preserve">One of the most clinically relevant observations from the present analysis is the strong association between early rhythm control and improved outcomes. Patients who undergo prompt intervention, particularly through catheter ablation, tend to experience faster and more complete recovery of ventricular function compared to those with delayed treatment (Medi et al., 2009; Lishmanov et al., 2010). This finding has important implications for clinical practice, as it supports a proactive approach to arrhythmia management rather than a conservative or stepwise escalation of therapy. In the context of atrial fibrillation, for instance, early rhythm control strategies have been associated with reverse remodeling and improved functional capacity, further emphasizing the role of timely intervention (Gopinathannair et al., 2009). These </w:t>
      </w:r>
      <w:r>
        <w:lastRenderedPageBreak/>
        <w:t>observations are consistent with emerging paradigms in electrophysiology that favor early ablation in selected patients to prevent long-term myocardial damage.</w:t>
      </w:r>
    </w:p>
    <w:p w14:paraId="539434B8" w14:textId="77777777" w:rsidR="00C72FB4" w:rsidRDefault="00ED2B76">
      <w:pPr>
        <w:pStyle w:val="NormalWeb"/>
      </w:pPr>
      <w:r>
        <w:t>Despite the generally favorable prognosis, not all patients with TIC achieve complete recovery of ventricular function. A subset of individuals demonstrates persistent systolic dysfunction even after adequate control of the underlying arrhythmia. This phenomenon may be attributed to irreversible myocardial injury, including fibrosis and structural remodeling that occur with prolonged tachycardia exposure (Albakri, 2018; Kim et al., 2019). Experimental evidence supports the notion that sustained tachycardia leads to cumulative cellular damage, which may eventually exceed the threshold for reversibility (Shinbane et al., 1997; Martin et al., 2017). Additionally, the presence of underlying structural heart disease may confound the clinical picture, making it difficult to distinguish pure TIC from mixed or secondary forms of cardiomyopathy. These findings highlight the importance of early diagnosis and intervention, as delayed treatment may limit the potential for full recovery.</w:t>
      </w:r>
    </w:p>
    <w:p w14:paraId="77B76044" w14:textId="77777777" w:rsidR="00C72FB4" w:rsidRDefault="00ED2B76">
      <w:pPr>
        <w:pStyle w:val="NormalWeb"/>
      </w:pPr>
      <w:r>
        <w:t>Another critical consideration is the risk of recurrence and its impact on ventricular function. The literature consistently demonstrates that recurrence of tachyarrhythmias can lead to rapid deterioration of previously recovered ventricular function, often occurring more quickly than the initial development of cardiomyopathy (Khasnis et al., 2005; Mohamed, 2007). This underscores the need for durable rhythm control strategies and close long-term follow-up. Catheter ablation has emerged as a highly effective modality in this regard, offering the potential for definitive treatment in selected patients, particularly those with focal atrial tachycardia or other amenable arrhythmias (Medi et al., 2009). However, even with successful ablation, ongoing monitoring is ضروری to detect recurrence early and prevent relapse of ventricular dysfunction.</w:t>
      </w:r>
    </w:p>
    <w:p w14:paraId="50F50058" w14:textId="77777777" w:rsidR="00C72FB4" w:rsidRDefault="00ED2B76">
      <w:pPr>
        <w:pStyle w:val="NormalWeb"/>
      </w:pPr>
      <w:r>
        <w:t>The implications of these findings extend significantly to the domain of device therapy. Traditionally, patients presenting with reduced LVEF are evaluated for implantation of devices such as implantable cardioverter-defibrillators (ICDs) or cardiac resynchronization therapy (CRT) devices. However, in the context of TIC, where ventricular dysfunction may be transient and reversible, premature device implantation may not only be unnecessary but also potentially harmful. The evidence reviewed in this study supports a strategy of deferring device therapy until reassessment of ventricular function following adequate rhythm control (Umana et al., 2003; Lishmanov et al., 2010). This approach minimizes exposure to procedural risks, device-related complications, and long-term management burdens in patients who may ultimately not require permanent intervention.</w:t>
      </w:r>
    </w:p>
    <w:p w14:paraId="621B22AF" w14:textId="77777777" w:rsidR="00C72FB4" w:rsidRDefault="00ED2B76">
      <w:pPr>
        <w:pStyle w:val="NormalWeb"/>
      </w:pPr>
      <w:r>
        <w:t>The evolving concept of arrhythmia-induced cardiomyopathy further refines this clinical framework by recognizing that arrhythmias can be both primary drivers and contributing factors to ventricular dysfunction (Shoureshi et al., 2024). This broader perspective emphasizes the need for a nuanced approach to diagnosis and management, taking into account the dynamic interplay between arrhythmia burden and myocardial function. In some cases, arrhythmias may exacerbate pre-existing cardiomyopathy, while in others, they may represent the sole reversible cause of dysfunction. Distinguishing between these scenarios is essential for guiding therapeutic decisions, particularly with respect to device implantation.</w:t>
      </w:r>
    </w:p>
    <w:p w14:paraId="460E70EF" w14:textId="77777777" w:rsidR="00C72FB4" w:rsidRDefault="00ED2B76">
      <w:pPr>
        <w:pStyle w:val="NormalWeb"/>
      </w:pPr>
      <w:r>
        <w:lastRenderedPageBreak/>
        <w:t>Nevertheless, device therapy remains an important consideration in selected patients. Individuals with persistent severe ventricular dysfunction despite optimal rhythm control, or those at high risk of life-threatening arrhythmias, may derive significant benefit from ICD or CRT implantation (Kim et al., 2019; Abozaid et al., 2024). In such cases, the decision to proceed with device therapy should be individualized, taking into account the extent of ventricular recovery, the likelihood of further improvement, and the patient’s overall risk profile. Temporary strategies, such as wearable cardioverter-defibrillators, may serve as valuable interim measures during the recovery phase, providing protection while allowing time for reassessment of cardiac function.</w:t>
      </w:r>
    </w:p>
    <w:p w14:paraId="330F671A" w14:textId="77777777" w:rsidR="00C72FB4" w:rsidRDefault="00ED2B76">
      <w:pPr>
        <w:pStyle w:val="NormalWeb"/>
      </w:pPr>
      <w:r>
        <w:t>From a broader clinical perspective, the findings of this study highlight the importance of a tailored and dynamic approach to the management of TIC. Early identification of the condition, prompt initiation of rhythm control, and careful monitoring of ventricular recovery are essential components of optimal care. Clinicians should maintain a high index of suspicion for TIC in patients presenting with unexplained cardiomyopathy and concurrent tachyarrhythmias, as timely intervention can dramatically alter the disease trajectory. Furthermore, serial assessment of ventricular function is crucial to guide decisions regarding long-term therapy, including the need for device implantation.</w:t>
      </w:r>
    </w:p>
    <w:p w14:paraId="70F327F5" w14:textId="77777777" w:rsidR="00C72FB4" w:rsidRDefault="00ED2B76">
      <w:pPr>
        <w:pStyle w:val="NormalWeb"/>
      </w:pPr>
      <w:r>
        <w:t>This study also underscores several gaps in the current literature. While the reversibility of TIC is well established, there remains limited consensus on the optimal duration of observation before considering device therapy. Additionally, predictors of incomplete recovery are not fully defined, and further research is needed to identify clinical, imaging, and biomarker-based indicators that can guide risk stratification. The role of advanced imaging modalities, such as cardiac magnetic resonance imaging, in distinguishing reversible from irreversible myocardial injury represents another area of ongoing investigation. Moreover, the long-term outcomes of patients with TIC, particularly those with recurrent arrhythmias or partial recovery, warrant further study.</w:t>
      </w:r>
    </w:p>
    <w:p w14:paraId="3B50E833" w14:textId="77777777" w:rsidR="00C72FB4" w:rsidRDefault="00C72FB4">
      <w:pPr>
        <w:pStyle w:val="NormalWeb"/>
      </w:pPr>
    </w:p>
    <w:p w14:paraId="29E8D2A8" w14:textId="77777777" w:rsidR="00C72FB4" w:rsidRPr="00034AD3" w:rsidRDefault="00ED2B76">
      <w:pPr>
        <w:pStyle w:val="NormalWeb"/>
        <w:rPr>
          <w:b/>
        </w:rPr>
      </w:pPr>
      <w:r w:rsidRPr="00034AD3">
        <w:rPr>
          <w:b/>
        </w:rPr>
        <w:t xml:space="preserve">Conclusion </w:t>
      </w:r>
    </w:p>
    <w:p w14:paraId="63E6409C" w14:textId="77777777" w:rsidR="00C72FB4" w:rsidRDefault="00ED2B76">
      <w:pPr>
        <w:pStyle w:val="NormalWeb"/>
      </w:pPr>
      <w:r>
        <w:t>Tachycardia-induced cardiomyopathy represents a reversible yet potentially severe form of ventricular dysfunction that requires timely recognition and management. The evidence strongly supports early rhythm control as the cornerstone of therapy, with catheter ablation playing a central role in achieving durable outcomes. The transient nature of ventricular dysfunction in many cases necessitates a cautious and individualized approach to device therapy, emphasizing reassessment after arrhythmia control. By integrating these principles into clinical practice, clinicians can optimize outcomes, avoid unnecessary interventions, and improve the overall management of patients with this unique form of cardiomyopathy.</w:t>
      </w:r>
    </w:p>
    <w:p w14:paraId="36A74916" w14:textId="77777777" w:rsidR="00FB64EE" w:rsidRPr="00CA3906" w:rsidRDefault="00FB64EE" w:rsidP="00FB64EE">
      <w:pPr>
        <w:rPr>
          <w:b/>
          <w:highlight w:val="yellow"/>
        </w:rPr>
      </w:pPr>
      <w:r w:rsidRPr="00CA3906">
        <w:rPr>
          <w:b/>
          <w:highlight w:val="yellow"/>
        </w:rPr>
        <w:t>Disclaimer (Artificial intelligence)</w:t>
      </w:r>
    </w:p>
    <w:p w14:paraId="4AABB35F" w14:textId="77777777" w:rsidR="00FB64EE" w:rsidRPr="00740879" w:rsidRDefault="00FB64EE" w:rsidP="00FB64EE">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34988C0" w14:textId="77777777" w:rsidR="00C72FB4" w:rsidRDefault="00C72FB4">
      <w:pPr>
        <w:pStyle w:val="NormalWeb"/>
      </w:pPr>
    </w:p>
    <w:p w14:paraId="070FECB2" w14:textId="77777777" w:rsidR="00C72FB4" w:rsidRDefault="00C72FB4">
      <w:pPr>
        <w:rPr>
          <w:rFonts w:eastAsia="Times New Roman"/>
        </w:rPr>
      </w:pPr>
    </w:p>
    <w:p w14:paraId="08F80BF5" w14:textId="77777777" w:rsidR="00C72FB4" w:rsidRDefault="00C72FB4">
      <w:pPr>
        <w:rPr>
          <w:rFonts w:eastAsia="Times New Roman"/>
        </w:rPr>
      </w:pPr>
    </w:p>
    <w:p w14:paraId="2EEF7EB0" w14:textId="77777777" w:rsidR="00C72FB4" w:rsidRDefault="00ED2B76">
      <w:pPr>
        <w:pStyle w:val="Heading3"/>
        <w:rPr>
          <w:rFonts w:eastAsia="Times New Roman"/>
        </w:rPr>
      </w:pPr>
      <w:r>
        <w:rPr>
          <w:rFonts w:eastAsia="Times New Roman"/>
        </w:rPr>
        <w:t>References</w:t>
      </w:r>
    </w:p>
    <w:p w14:paraId="34DBE0C2" w14:textId="77777777" w:rsidR="00C72FB4" w:rsidRDefault="00ED2B76">
      <w:pPr>
        <w:pStyle w:val="NormalWeb"/>
        <w:numPr>
          <w:ilvl w:val="0"/>
          <w:numId w:val="1"/>
        </w:numPr>
      </w:pPr>
      <w:r>
        <w:t xml:space="preserve">Khasnis, A., Jongnarangsin, K., Abela, G., Veerareddy, S., Reddy, V., &amp; Thakur, R. (2005). Tachycardia-induced cardiomyopathy: A review of literature. </w:t>
      </w:r>
      <w:r>
        <w:rPr>
          <w:rStyle w:val="Emphasis"/>
        </w:rPr>
        <w:t>Pacing and Clinical Electrophysiology, 28</w:t>
      </w:r>
      <w:r>
        <w:t xml:space="preserve">(7), 710–721. </w:t>
      </w:r>
      <w:hyperlink r:id="rId7" w:history="1">
        <w:r>
          <w:rPr>
            <w:rStyle w:val="Hyperlink"/>
          </w:rPr>
          <w:t>https://doi.org/10.1111/j.1540-8159.2005.00143.x</w:t>
        </w:r>
      </w:hyperlink>
      <w:r>
        <w:t xml:space="preserve"> (</w:t>
      </w:r>
      <w:hyperlink r:id="rId8" w:tooltip="Tachycardia-induced cardiomyopathy: a review of literature" w:history="1">
        <w:r>
          <w:rPr>
            <w:rStyle w:val="Hyperlink"/>
          </w:rPr>
          <w:t>PubMed</w:t>
        </w:r>
      </w:hyperlink>
      <w:r>
        <w:t>)</w:t>
      </w:r>
    </w:p>
    <w:p w14:paraId="724A3C81" w14:textId="77777777" w:rsidR="00C72FB4" w:rsidRDefault="00ED2B76">
      <w:pPr>
        <w:pStyle w:val="NormalWeb"/>
        <w:numPr>
          <w:ilvl w:val="0"/>
          <w:numId w:val="1"/>
        </w:numPr>
      </w:pPr>
      <w:r>
        <w:t xml:space="preserve">Shinbane, J. S., Wood, M. A., Jensen, D. N., Ellenbogen, K. A., Fitzpatrick, A. P., &amp; Scheinman, M. M. (1997). Tachycardia-induced cardiomyopathy: A review of animal models and clinical studies. </w:t>
      </w:r>
      <w:r>
        <w:rPr>
          <w:rStyle w:val="Emphasis"/>
        </w:rPr>
        <w:t>Journal of the American College of Cardiology, 29</w:t>
      </w:r>
      <w:r>
        <w:t xml:space="preserve">(4), 709–715. </w:t>
      </w:r>
      <w:hyperlink r:id="rId9" w:history="1">
        <w:r>
          <w:rPr>
            <w:rStyle w:val="Hyperlink"/>
          </w:rPr>
          <w:t>https://doi.org/10.1016/S0735-1097(96)00592-X</w:t>
        </w:r>
      </w:hyperlink>
      <w:r>
        <w:t xml:space="preserve"> (</w:t>
      </w:r>
      <w:hyperlink r:id="rId10" w:tooltip="Tachycardia-induced cardiomyopathy: a review of animal ..." w:history="1">
        <w:r>
          <w:rPr>
            <w:rStyle w:val="Hyperlink"/>
          </w:rPr>
          <w:t>PubMed</w:t>
        </w:r>
      </w:hyperlink>
      <w:r>
        <w:t>)</w:t>
      </w:r>
    </w:p>
    <w:p w14:paraId="25000C63" w14:textId="77777777" w:rsidR="00C72FB4" w:rsidRDefault="00ED2B76">
      <w:pPr>
        <w:pStyle w:val="NormalWeb"/>
        <w:numPr>
          <w:ilvl w:val="0"/>
          <w:numId w:val="1"/>
        </w:numPr>
      </w:pPr>
      <w:r w:rsidRPr="00E66F5A">
        <w:rPr>
          <w:lang w:val="es-US"/>
        </w:rPr>
        <w:t xml:space="preserve">Umana, E., Solares, C. A., &amp; Alpert, M. A. (2003). </w:t>
      </w:r>
      <w:r>
        <w:t xml:space="preserve">Tachycardia-induced cardiomyopathy. </w:t>
      </w:r>
      <w:r>
        <w:rPr>
          <w:rStyle w:val="Emphasis"/>
        </w:rPr>
        <w:t>The American Journal of Medicine, 114</w:t>
      </w:r>
      <w:r>
        <w:t xml:space="preserve">(1), 51–55. </w:t>
      </w:r>
      <w:hyperlink r:id="rId11" w:history="1">
        <w:r>
          <w:rPr>
            <w:rStyle w:val="Hyperlink"/>
          </w:rPr>
          <w:t>https://doi.org/10.1016/S0002-9343(02)01472-9</w:t>
        </w:r>
      </w:hyperlink>
      <w:r>
        <w:t xml:space="preserve"> (</w:t>
      </w:r>
      <w:hyperlink r:id="rId12" w:tooltip="Tachycardia-induced cardiomyopathy" w:history="1">
        <w:r>
          <w:rPr>
            <w:rStyle w:val="Hyperlink"/>
          </w:rPr>
          <w:t>PubMed</w:t>
        </w:r>
      </w:hyperlink>
      <w:r>
        <w:t>)</w:t>
      </w:r>
    </w:p>
    <w:p w14:paraId="0DE7FE9F" w14:textId="77777777" w:rsidR="00C72FB4" w:rsidRDefault="00ED2B76">
      <w:pPr>
        <w:pStyle w:val="NormalWeb"/>
        <w:numPr>
          <w:ilvl w:val="0"/>
          <w:numId w:val="1"/>
        </w:numPr>
      </w:pPr>
      <w:r>
        <w:t xml:space="preserve">Lishmanov, A., Chockalingam, A., Senthilkumar, A., &amp; Chockalingam, V. (2010). Tachycardia-induced cardiomyopathy: Evaluation and therapeutic options. </w:t>
      </w:r>
      <w:r>
        <w:rPr>
          <w:rStyle w:val="Emphasis"/>
        </w:rPr>
        <w:t>Congestive Heart Failure, 16</w:t>
      </w:r>
      <w:r>
        <w:t xml:space="preserve">(3), 122–126. </w:t>
      </w:r>
      <w:hyperlink r:id="rId13" w:history="1">
        <w:r>
          <w:rPr>
            <w:rStyle w:val="Hyperlink"/>
          </w:rPr>
          <w:t>https://doi.org/10.1111/j.1751-7133.2010.00159.x</w:t>
        </w:r>
      </w:hyperlink>
      <w:r>
        <w:t xml:space="preserve"> (</w:t>
      </w:r>
      <w:hyperlink r:id="rId14" w:tooltip="Tachycardia-induced cardiomyopathy: evaluation and ..." w:history="1">
        <w:r>
          <w:rPr>
            <w:rStyle w:val="Hyperlink"/>
          </w:rPr>
          <w:t>PubMed</w:t>
        </w:r>
      </w:hyperlink>
      <w:r>
        <w:t>)</w:t>
      </w:r>
    </w:p>
    <w:p w14:paraId="181FC646" w14:textId="77777777" w:rsidR="00C72FB4" w:rsidRDefault="00ED2B76">
      <w:pPr>
        <w:pStyle w:val="NormalWeb"/>
        <w:numPr>
          <w:ilvl w:val="0"/>
          <w:numId w:val="1"/>
        </w:numPr>
      </w:pPr>
      <w:r>
        <w:t xml:space="preserve">Mohamed, H. A. (2007). Tachycardia-induced cardiomyopathy. </w:t>
      </w:r>
      <w:r>
        <w:rPr>
          <w:rStyle w:val="Emphasis"/>
        </w:rPr>
        <w:t>Heart Views, 8</w:t>
      </w:r>
      <w:r>
        <w:t>(3), 79–85. (</w:t>
      </w:r>
      <w:hyperlink r:id="rId15" w:tooltip="Tachycardia-induced Cardiomyopathy ..." w:history="1">
        <w:r>
          <w:rPr>
            <w:rStyle w:val="Hyperlink"/>
          </w:rPr>
          <w:t>PMC</w:t>
        </w:r>
      </w:hyperlink>
      <w:r>
        <w:t>)</w:t>
      </w:r>
    </w:p>
    <w:p w14:paraId="16061ADD" w14:textId="77777777" w:rsidR="00C72FB4" w:rsidRDefault="00ED2B76">
      <w:pPr>
        <w:pStyle w:val="NormalWeb"/>
        <w:numPr>
          <w:ilvl w:val="0"/>
          <w:numId w:val="1"/>
        </w:numPr>
      </w:pPr>
      <w:r>
        <w:t xml:space="preserve">Kim, S. H., &amp; colleagues. (2019). Tachycardia-induced cardiomyopathy. </w:t>
      </w:r>
      <w:r>
        <w:rPr>
          <w:rStyle w:val="Emphasis"/>
        </w:rPr>
        <w:t>Korean Circulation Journal, 49</w:t>
      </w:r>
      <w:r>
        <w:t xml:space="preserve">(9), 908–917. </w:t>
      </w:r>
      <w:hyperlink r:id="rId16" w:history="1">
        <w:r>
          <w:rPr>
            <w:rStyle w:val="Hyperlink"/>
          </w:rPr>
          <w:t>https://doi.org/10.4070/kcj.2019.0199</w:t>
        </w:r>
      </w:hyperlink>
      <w:r>
        <w:t xml:space="preserve"> (</w:t>
      </w:r>
      <w:hyperlink r:id="rId17" w:tooltip="Tachycardia induced Cardiomyopathy - PMC" w:history="1">
        <w:r>
          <w:rPr>
            <w:rStyle w:val="Hyperlink"/>
          </w:rPr>
          <w:t>PMC</w:t>
        </w:r>
      </w:hyperlink>
      <w:r>
        <w:t>)</w:t>
      </w:r>
    </w:p>
    <w:p w14:paraId="034142F1" w14:textId="77777777" w:rsidR="00C72FB4" w:rsidRDefault="00ED2B76">
      <w:pPr>
        <w:pStyle w:val="NormalWeb"/>
        <w:numPr>
          <w:ilvl w:val="0"/>
          <w:numId w:val="1"/>
        </w:numPr>
      </w:pPr>
      <w:r>
        <w:t xml:space="preserve">Kim, D. Y., et al. (2019). Tachycardia-mediated cardiomyopathy: Mechanisms and clinical implications. </w:t>
      </w:r>
      <w:r>
        <w:rPr>
          <w:rStyle w:val="Emphasis"/>
        </w:rPr>
        <w:t>Korean Circulation Journal, 49</w:t>
      </w:r>
      <w:r>
        <w:t>(9), 908–917. (</w:t>
      </w:r>
      <w:hyperlink r:id="rId18" w:tooltip="Tachycardia induced Cardiomyopathy" w:history="1">
        <w:r>
          <w:rPr>
            <w:rStyle w:val="Hyperlink"/>
          </w:rPr>
          <w:t>e-kcj.org</w:t>
        </w:r>
      </w:hyperlink>
      <w:r>
        <w:t>)</w:t>
      </w:r>
    </w:p>
    <w:p w14:paraId="79B1C2EE" w14:textId="77777777" w:rsidR="00C72FB4" w:rsidRDefault="00ED2B76">
      <w:pPr>
        <w:pStyle w:val="NormalWeb"/>
        <w:numPr>
          <w:ilvl w:val="0"/>
          <w:numId w:val="1"/>
        </w:numPr>
      </w:pPr>
      <w:r>
        <w:t xml:space="preserve">Martin, C. A., Lambiase, P. D., &amp; Pathmanathan, R. K. (2017). Tachycardia-induced cardiomyopathy: A review of animal models and clinical studies. </w:t>
      </w:r>
      <w:r>
        <w:rPr>
          <w:rStyle w:val="Emphasis"/>
        </w:rPr>
        <w:t>Heart, 103</w:t>
      </w:r>
      <w:r>
        <w:t xml:space="preserve">(19), 1543–1552. </w:t>
      </w:r>
      <w:hyperlink r:id="rId19" w:history="1">
        <w:r>
          <w:rPr>
            <w:rStyle w:val="Hyperlink"/>
          </w:rPr>
          <w:t>https://doi.org/10.1136/heartjnl-2016-310681</w:t>
        </w:r>
      </w:hyperlink>
      <w:r>
        <w:t xml:space="preserve"> (</w:t>
      </w:r>
      <w:hyperlink r:id="rId20" w:tooltip="Pathophysiology, diagnosis and treatment of ..." w:history="1">
        <w:r>
          <w:rPr>
            <w:rStyle w:val="Hyperlink"/>
          </w:rPr>
          <w:t>Heart</w:t>
        </w:r>
      </w:hyperlink>
      <w:r>
        <w:t>)</w:t>
      </w:r>
    </w:p>
    <w:p w14:paraId="33902B2F" w14:textId="77777777" w:rsidR="00C72FB4" w:rsidRDefault="00ED2B76">
      <w:pPr>
        <w:pStyle w:val="NormalWeb"/>
        <w:numPr>
          <w:ilvl w:val="0"/>
          <w:numId w:val="1"/>
        </w:numPr>
      </w:pPr>
      <w:proofErr w:type="spellStart"/>
      <w:r w:rsidRPr="00E66F5A">
        <w:rPr>
          <w:lang w:val="es-US"/>
        </w:rPr>
        <w:t>Shoureshi</w:t>
      </w:r>
      <w:proofErr w:type="spellEnd"/>
      <w:r w:rsidRPr="00E66F5A">
        <w:rPr>
          <w:lang w:val="es-US"/>
        </w:rPr>
        <w:t xml:space="preserve">, P., Tan, A. Y., Koneru, J. N., Ellenbogen, K. A., Kaszala, K., &amp; Huizar, J. F. (2024). </w:t>
      </w:r>
      <w:r>
        <w:t xml:space="preserve">Arrhythmia-induced cardiomyopathy: JACC state-of-the-art review. </w:t>
      </w:r>
      <w:r>
        <w:rPr>
          <w:rStyle w:val="Emphasis"/>
        </w:rPr>
        <w:t>Journal of the American College of Cardiology, 83</w:t>
      </w:r>
      <w:r>
        <w:t>(20), 2214–2232. (</w:t>
      </w:r>
      <w:hyperlink r:id="rId21" w:tooltip="Arrhythmia-Induced Cardiomyopathy: JACC State-of-the- ..." w:history="1">
        <w:r>
          <w:rPr>
            <w:rStyle w:val="Hyperlink"/>
          </w:rPr>
          <w:t>JACC</w:t>
        </w:r>
      </w:hyperlink>
      <w:r>
        <w:t>)</w:t>
      </w:r>
    </w:p>
    <w:p w14:paraId="3CD58B42" w14:textId="77777777" w:rsidR="00C72FB4" w:rsidRDefault="00ED2B76">
      <w:pPr>
        <w:pStyle w:val="NormalWeb"/>
        <w:numPr>
          <w:ilvl w:val="0"/>
          <w:numId w:val="1"/>
        </w:numPr>
      </w:pPr>
      <w:r w:rsidRPr="00E66F5A">
        <w:rPr>
          <w:lang w:val="es-US"/>
        </w:rPr>
        <w:t xml:space="preserve">Cabanillas, M. V. B., et al. </w:t>
      </w:r>
      <w:r>
        <w:t xml:space="preserve">(2023). Tachycardia-induced cardiomyopathy: Clinical features and management. </w:t>
      </w:r>
      <w:r>
        <w:rPr>
          <w:rStyle w:val="Emphasis"/>
        </w:rPr>
        <w:t>Drugs in Context, 12</w:t>
      </w:r>
      <w:r>
        <w:t>, 1–10. (</w:t>
      </w:r>
      <w:hyperlink r:id="rId22" w:tooltip="focus on tachycardia-induced cardiomyopathy" w:history="1">
        <w:r>
          <w:rPr>
            <w:rStyle w:val="Hyperlink"/>
          </w:rPr>
          <w:t>PubMed</w:t>
        </w:r>
      </w:hyperlink>
      <w:r>
        <w:t>)</w:t>
      </w:r>
    </w:p>
    <w:p w14:paraId="674C2D01" w14:textId="77777777" w:rsidR="00C72FB4" w:rsidRDefault="00ED2B76">
      <w:pPr>
        <w:pStyle w:val="NormalWeb"/>
        <w:numPr>
          <w:ilvl w:val="0"/>
          <w:numId w:val="1"/>
        </w:numPr>
      </w:pPr>
      <w:r>
        <w:t xml:space="preserve">Albakri, A. (2018). Tachycardia-induced cardiomyopathy: A review of literature on clinical status and meta-analysis of diagnosis and clinical management. </w:t>
      </w:r>
      <w:r>
        <w:rPr>
          <w:rStyle w:val="Emphasis"/>
        </w:rPr>
        <w:t>Integrative Molecular Medicine, 5</w:t>
      </w:r>
      <w:r>
        <w:t>(1), 1–13. (</w:t>
      </w:r>
      <w:proofErr w:type="spellStart"/>
      <w:r>
        <w:fldChar w:fldCharType="begin"/>
      </w:r>
      <w:r>
        <w:instrText>HYPERLINK "https://www.oatext.com/pdf/IMM-5-324.pdf?utm_source=chatgpt.com" \o "Tachycardia-induced cardiomyopathy: a review of literature ..."</w:instrText>
      </w:r>
      <w:r>
        <w:fldChar w:fldCharType="separate"/>
      </w:r>
      <w:r>
        <w:rPr>
          <w:rStyle w:val="Hyperlink"/>
        </w:rPr>
        <w:t>OAText</w:t>
      </w:r>
      <w:proofErr w:type="spellEnd"/>
      <w:r>
        <w:fldChar w:fldCharType="end"/>
      </w:r>
      <w:r>
        <w:t>)</w:t>
      </w:r>
    </w:p>
    <w:p w14:paraId="70676AE2" w14:textId="77777777" w:rsidR="00C72FB4" w:rsidRDefault="00ED2B76">
      <w:pPr>
        <w:pStyle w:val="NormalWeb"/>
        <w:numPr>
          <w:ilvl w:val="0"/>
          <w:numId w:val="1"/>
        </w:numPr>
      </w:pPr>
      <w:r>
        <w:lastRenderedPageBreak/>
        <w:t xml:space="preserve">Gopinathannair, R., Sullivan, R. M., &amp; Olshansky, B. (2009). Tachycardia-mediated cardiomyopathy: Recognition and management. </w:t>
      </w:r>
      <w:r>
        <w:rPr>
          <w:rStyle w:val="Emphasis"/>
        </w:rPr>
        <w:t>Current Heart Failure Reports, 6</w:t>
      </w:r>
      <w:r>
        <w:t>(4), 257–264.</w:t>
      </w:r>
    </w:p>
    <w:p w14:paraId="4A7C530B" w14:textId="77777777" w:rsidR="00C72FB4" w:rsidRDefault="00ED2B76">
      <w:pPr>
        <w:pStyle w:val="NormalWeb"/>
        <w:numPr>
          <w:ilvl w:val="0"/>
          <w:numId w:val="1"/>
        </w:numPr>
      </w:pPr>
      <w:r w:rsidRPr="00E66F5A">
        <w:rPr>
          <w:lang w:val="es-US"/>
        </w:rPr>
        <w:t xml:space="preserve">Gupta, S., &amp; Figueredo, V. M. (2014). </w:t>
      </w:r>
      <w:r>
        <w:t xml:space="preserve">Tachycardia mediated cardiomyopathy: Pathophysiology, mechanisms, clinical features, and management. </w:t>
      </w:r>
      <w:r>
        <w:rPr>
          <w:rStyle w:val="Emphasis"/>
        </w:rPr>
        <w:t>International Journal of Cardiology, 172</w:t>
      </w:r>
      <w:r>
        <w:t>(1), 40–46.</w:t>
      </w:r>
      <w:bookmarkStart w:id="0" w:name="_GoBack"/>
      <w:bookmarkEnd w:id="0"/>
    </w:p>
    <w:p w14:paraId="1E8A990D" w14:textId="77777777" w:rsidR="00C72FB4" w:rsidRDefault="00ED2B76">
      <w:pPr>
        <w:pStyle w:val="NormalWeb"/>
        <w:numPr>
          <w:ilvl w:val="0"/>
          <w:numId w:val="1"/>
        </w:numPr>
      </w:pPr>
      <w:r>
        <w:t xml:space="preserve">Medi, C., Kalman, J. M., Haqqani, H., Vohra, J. K., Morton, J. B., Sparks, P. B., &amp; Kistler, P. M. (2009). Tachycardia-mediated cardiomyopathy secondary to focal atrial tachycardia: Long-term outcome after catheter ablation. </w:t>
      </w:r>
      <w:r>
        <w:rPr>
          <w:rStyle w:val="Emphasis"/>
        </w:rPr>
        <w:t>Journal of the American College of Cardiology, 53</w:t>
      </w:r>
      <w:r>
        <w:t>(19), 1791–1797.</w:t>
      </w:r>
    </w:p>
    <w:p w14:paraId="66AD8FA4" w14:textId="52242B19" w:rsidR="00E66F5A" w:rsidRDefault="00E66F5A" w:rsidP="00E66F5A">
      <w:pPr>
        <w:pStyle w:val="NormalWeb"/>
        <w:numPr>
          <w:ilvl w:val="0"/>
          <w:numId w:val="1"/>
        </w:numPr>
      </w:pPr>
      <w:r w:rsidRPr="00E66F5A">
        <w:t>‌</w:t>
      </w:r>
      <w:proofErr w:type="spellStart"/>
      <w:r w:rsidRPr="00E66F5A">
        <w:t>Abozaid</w:t>
      </w:r>
      <w:proofErr w:type="spellEnd"/>
      <w:r w:rsidRPr="00E66F5A">
        <w:t xml:space="preserve">, W., Wong, S., </w:t>
      </w:r>
      <w:proofErr w:type="spellStart"/>
      <w:r w:rsidRPr="00E66F5A">
        <w:t>Deyell</w:t>
      </w:r>
      <w:proofErr w:type="spellEnd"/>
      <w:r w:rsidRPr="00E66F5A">
        <w:t xml:space="preserve">, M. W., Sanatani, S., &amp; </w:t>
      </w:r>
      <w:proofErr w:type="spellStart"/>
      <w:r w:rsidRPr="00E66F5A">
        <w:t>Vijayashankar</w:t>
      </w:r>
      <w:proofErr w:type="spellEnd"/>
      <w:r w:rsidRPr="00E66F5A">
        <w:t>, S. S. (2024). Tachycardia-Induced Cardiomyopathy: A Case Series and a Literature Review. </w:t>
      </w:r>
      <w:r w:rsidRPr="00E66F5A">
        <w:rPr>
          <w:i/>
          <w:iCs/>
        </w:rPr>
        <w:t>CJC Pediatric and Congenital Heart Disease</w:t>
      </w:r>
      <w:r w:rsidRPr="00E66F5A">
        <w:t>, </w:t>
      </w:r>
      <w:r w:rsidRPr="00E66F5A">
        <w:rPr>
          <w:i/>
          <w:iCs/>
        </w:rPr>
        <w:t>3</w:t>
      </w:r>
      <w:r w:rsidRPr="00E66F5A">
        <w:t xml:space="preserve">(6), 272–284. </w:t>
      </w:r>
      <w:hyperlink r:id="rId23" w:history="1">
        <w:r w:rsidRPr="00BB227D">
          <w:rPr>
            <w:rStyle w:val="Hyperlink"/>
          </w:rPr>
          <w:t>https://doi.org/10.1016/j.cjcpc.2024.10.007</w:t>
        </w:r>
      </w:hyperlink>
    </w:p>
    <w:p w14:paraId="65A1C1C1" w14:textId="53E3D6A0" w:rsidR="00E66F5A" w:rsidRPr="00ED453E" w:rsidRDefault="00E66F5A" w:rsidP="00E66F5A">
      <w:pPr>
        <w:pStyle w:val="NormalWeb"/>
        <w:numPr>
          <w:ilvl w:val="0"/>
          <w:numId w:val="1"/>
        </w:numPr>
        <w:rPr>
          <w:highlight w:val="yellow"/>
        </w:rPr>
      </w:pPr>
      <w:r>
        <w:t xml:space="preserve"> </w:t>
      </w:r>
      <w:r w:rsidRPr="00ED453E">
        <w:rPr>
          <w:highlight w:val="yellow"/>
        </w:rPr>
        <w:t>Khan, Z., Besis, G., &amp; Tomson, J. (2022). Tachycardia-Induced Cardiomyopathy in a Young Healthy Patient: A Case Report. </w:t>
      </w:r>
      <w:r w:rsidRPr="00ED453E">
        <w:rPr>
          <w:i/>
          <w:iCs/>
          <w:highlight w:val="yellow"/>
        </w:rPr>
        <w:t>Cureus</w:t>
      </w:r>
      <w:r w:rsidRPr="00ED453E">
        <w:rPr>
          <w:highlight w:val="yellow"/>
        </w:rPr>
        <w:t>. https://doi.org/10.7759/cureus.28932</w:t>
      </w:r>
    </w:p>
    <w:p w14:paraId="7A7CDA3F" w14:textId="63DDFA61" w:rsidR="00E66F5A" w:rsidRPr="00ED453E" w:rsidRDefault="00E66F5A" w:rsidP="00E66F5A">
      <w:pPr>
        <w:pStyle w:val="NormalWeb"/>
        <w:numPr>
          <w:ilvl w:val="0"/>
          <w:numId w:val="1"/>
        </w:numPr>
        <w:rPr>
          <w:highlight w:val="yellow"/>
        </w:rPr>
      </w:pPr>
      <w:r w:rsidRPr="00ED453E">
        <w:rPr>
          <w:highlight w:val="yellow"/>
          <w:lang w:val="es-US"/>
        </w:rPr>
        <w:t>‌</w:t>
      </w:r>
      <w:r w:rsidR="004D78BB" w:rsidRPr="00ED453E">
        <w:rPr>
          <w:highlight w:val="yellow"/>
          <w:lang w:val="es-US"/>
        </w:rPr>
        <w:t xml:space="preserve">Báez Cabanillas, M. V., Colque, R., Tibaldi, M. Á., Kaplinsky, E., Perrone, S., &amp; Barbagelata, A. (2023). </w:t>
      </w:r>
      <w:r w:rsidR="004D78BB" w:rsidRPr="00ED453E">
        <w:rPr>
          <w:highlight w:val="yellow"/>
        </w:rPr>
        <w:t>Emerging concepts in heart failure management and treatment: focus on tachycardia-induced cardiomyopathy. </w:t>
      </w:r>
      <w:r w:rsidR="004D78BB" w:rsidRPr="00ED453E">
        <w:rPr>
          <w:i/>
          <w:iCs/>
          <w:highlight w:val="yellow"/>
        </w:rPr>
        <w:t>Drugs in context</w:t>
      </w:r>
      <w:r w:rsidR="004D78BB" w:rsidRPr="00ED453E">
        <w:rPr>
          <w:highlight w:val="yellow"/>
        </w:rPr>
        <w:t>, </w:t>
      </w:r>
      <w:r w:rsidR="004D78BB" w:rsidRPr="00ED453E">
        <w:rPr>
          <w:i/>
          <w:iCs/>
          <w:highlight w:val="yellow"/>
        </w:rPr>
        <w:t>12</w:t>
      </w:r>
      <w:r w:rsidR="004D78BB" w:rsidRPr="00ED453E">
        <w:rPr>
          <w:highlight w:val="yellow"/>
        </w:rPr>
        <w:t xml:space="preserve">, 2022-8-4. </w:t>
      </w:r>
      <w:hyperlink r:id="rId24" w:history="1">
        <w:r w:rsidR="004D78BB" w:rsidRPr="00ED453E">
          <w:rPr>
            <w:rStyle w:val="Hyperlink"/>
            <w:highlight w:val="yellow"/>
          </w:rPr>
          <w:t>https://doi.org/10.7573/dic.2022-8-4</w:t>
        </w:r>
      </w:hyperlink>
      <w:r w:rsidR="004D78BB" w:rsidRPr="00ED453E">
        <w:rPr>
          <w:highlight w:val="yellow"/>
        </w:rPr>
        <w:t xml:space="preserve"> </w:t>
      </w:r>
    </w:p>
    <w:p w14:paraId="09930785" w14:textId="3807DE03" w:rsidR="00E66F5A" w:rsidRPr="00ED453E" w:rsidRDefault="00637CE9" w:rsidP="00E66F5A">
      <w:pPr>
        <w:pStyle w:val="NormalWeb"/>
        <w:numPr>
          <w:ilvl w:val="0"/>
          <w:numId w:val="1"/>
        </w:numPr>
        <w:rPr>
          <w:highlight w:val="yellow"/>
        </w:rPr>
      </w:pPr>
      <w:r w:rsidRPr="00ED453E">
        <w:rPr>
          <w:highlight w:val="yellow"/>
          <w:lang w:val="es-US"/>
        </w:rPr>
        <w:t xml:space="preserve">Trimarchi, G., Teresi, L., </w:t>
      </w:r>
      <w:proofErr w:type="spellStart"/>
      <w:r w:rsidRPr="00ED453E">
        <w:rPr>
          <w:highlight w:val="yellow"/>
          <w:lang w:val="es-US"/>
        </w:rPr>
        <w:t>Licordari</w:t>
      </w:r>
      <w:proofErr w:type="spellEnd"/>
      <w:r w:rsidRPr="00ED453E">
        <w:rPr>
          <w:highlight w:val="yellow"/>
          <w:lang w:val="es-US"/>
        </w:rPr>
        <w:t xml:space="preserve">, R., Pingitore, A., Pizzino, F., Grimaldi, P., </w:t>
      </w:r>
      <w:proofErr w:type="spellStart"/>
      <w:r w:rsidRPr="00ED453E">
        <w:rPr>
          <w:highlight w:val="yellow"/>
          <w:lang w:val="es-US"/>
        </w:rPr>
        <w:t>Calabrò</w:t>
      </w:r>
      <w:proofErr w:type="spellEnd"/>
      <w:r w:rsidRPr="00ED453E">
        <w:rPr>
          <w:highlight w:val="yellow"/>
          <w:lang w:val="es-US"/>
        </w:rPr>
        <w:t xml:space="preserve">, D., Liotta, P., Micari, A., de Gregorio, C., &amp; Di Bella, G. (2024). </w:t>
      </w:r>
      <w:r w:rsidRPr="00ED453E">
        <w:rPr>
          <w:highlight w:val="yellow"/>
        </w:rPr>
        <w:t>Transient Left Ventricular Dysfunction from Cardiomyopathies to Myocardial Viability: When and Why Cardiac Function Recovers. </w:t>
      </w:r>
      <w:r w:rsidRPr="00ED453E">
        <w:rPr>
          <w:i/>
          <w:iCs/>
          <w:highlight w:val="yellow"/>
        </w:rPr>
        <w:t>Biomedicines</w:t>
      </w:r>
      <w:r w:rsidRPr="00ED453E">
        <w:rPr>
          <w:highlight w:val="yellow"/>
        </w:rPr>
        <w:t>, </w:t>
      </w:r>
      <w:r w:rsidRPr="00ED453E">
        <w:rPr>
          <w:i/>
          <w:iCs/>
          <w:highlight w:val="yellow"/>
        </w:rPr>
        <w:t>12</w:t>
      </w:r>
      <w:r w:rsidRPr="00ED453E">
        <w:rPr>
          <w:highlight w:val="yellow"/>
        </w:rPr>
        <w:t xml:space="preserve">(5), 1051. </w:t>
      </w:r>
      <w:hyperlink r:id="rId25" w:history="1">
        <w:r w:rsidRPr="00ED453E">
          <w:rPr>
            <w:rStyle w:val="Hyperlink"/>
            <w:highlight w:val="yellow"/>
          </w:rPr>
          <w:t>https://doi.org/10.3390/biomedicines12051051</w:t>
        </w:r>
      </w:hyperlink>
      <w:r w:rsidRPr="00ED453E">
        <w:rPr>
          <w:b/>
          <w:bCs/>
          <w:highlight w:val="yellow"/>
        </w:rPr>
        <w:t xml:space="preserve"> </w:t>
      </w:r>
    </w:p>
    <w:p w14:paraId="66EFDA5E" w14:textId="77777777" w:rsidR="00637CE9" w:rsidRPr="00ED453E" w:rsidRDefault="00637CE9" w:rsidP="00637CE9">
      <w:pPr>
        <w:pStyle w:val="ListParagraph"/>
        <w:numPr>
          <w:ilvl w:val="0"/>
          <w:numId w:val="1"/>
        </w:numPr>
        <w:spacing w:after="0" w:line="480" w:lineRule="atLeast"/>
        <w:rPr>
          <w:rFonts w:ascii="Times New Roman" w:eastAsia="Times New Roman" w:hAnsi="Times New Roman" w:cs="Times New Roman"/>
          <w:color w:val="000000"/>
          <w:kern w:val="0"/>
          <w:highlight w:val="yellow"/>
          <w14:ligatures w14:val="none"/>
        </w:rPr>
      </w:pPr>
      <w:r w:rsidRPr="00ED453E">
        <w:rPr>
          <w:rFonts w:ascii="Times New Roman" w:eastAsia="Times New Roman" w:hAnsi="Times New Roman" w:cs="Times New Roman"/>
          <w:color w:val="000000"/>
          <w:kern w:val="0"/>
          <w:highlight w:val="yellow"/>
          <w:lang w:val="es-US"/>
          <w14:ligatures w14:val="none"/>
        </w:rPr>
        <w:t xml:space="preserve">Danet, R., </w:t>
      </w:r>
      <w:proofErr w:type="spellStart"/>
      <w:r w:rsidRPr="00ED453E">
        <w:rPr>
          <w:rFonts w:ascii="Times New Roman" w:eastAsia="Times New Roman" w:hAnsi="Times New Roman" w:cs="Times New Roman"/>
          <w:color w:val="000000"/>
          <w:kern w:val="0"/>
          <w:highlight w:val="yellow"/>
          <w:lang w:val="es-US"/>
          <w14:ligatures w14:val="none"/>
        </w:rPr>
        <w:t>Velcea</w:t>
      </w:r>
      <w:proofErr w:type="spellEnd"/>
      <w:r w:rsidRPr="00ED453E">
        <w:rPr>
          <w:rFonts w:ascii="Times New Roman" w:eastAsia="Times New Roman" w:hAnsi="Times New Roman" w:cs="Times New Roman"/>
          <w:color w:val="000000"/>
          <w:kern w:val="0"/>
          <w:highlight w:val="yellow"/>
          <w:lang w:val="es-US"/>
          <w14:ligatures w14:val="none"/>
        </w:rPr>
        <w:t xml:space="preserve">, A. E., Mihaila-Baldea, S., &amp; </w:t>
      </w:r>
      <w:proofErr w:type="spellStart"/>
      <w:r w:rsidRPr="00ED453E">
        <w:rPr>
          <w:rFonts w:ascii="Times New Roman" w:eastAsia="Times New Roman" w:hAnsi="Times New Roman" w:cs="Times New Roman"/>
          <w:color w:val="000000"/>
          <w:kern w:val="0"/>
          <w:highlight w:val="yellow"/>
          <w:lang w:val="es-US"/>
          <w14:ligatures w14:val="none"/>
        </w:rPr>
        <w:t>Vinereanu</w:t>
      </w:r>
      <w:proofErr w:type="spellEnd"/>
      <w:r w:rsidRPr="00ED453E">
        <w:rPr>
          <w:rFonts w:ascii="Times New Roman" w:eastAsia="Times New Roman" w:hAnsi="Times New Roman" w:cs="Times New Roman"/>
          <w:color w:val="000000"/>
          <w:kern w:val="0"/>
          <w:highlight w:val="yellow"/>
          <w:lang w:val="es-US"/>
          <w14:ligatures w14:val="none"/>
        </w:rPr>
        <w:t xml:space="preserve">, D. (2021). </w:t>
      </w:r>
      <w:r w:rsidRPr="00ED453E">
        <w:rPr>
          <w:rFonts w:ascii="Times New Roman" w:eastAsia="Times New Roman" w:hAnsi="Times New Roman" w:cs="Times New Roman"/>
          <w:color w:val="000000"/>
          <w:kern w:val="0"/>
          <w:highlight w:val="yellow"/>
          <w14:ligatures w14:val="none"/>
        </w:rPr>
        <w:t>Tachycardia-Induced Cardiomyopathy. </w:t>
      </w:r>
      <w:r w:rsidRPr="00ED453E">
        <w:rPr>
          <w:rFonts w:ascii="Times New Roman" w:eastAsia="Times New Roman" w:hAnsi="Times New Roman" w:cs="Times New Roman"/>
          <w:i/>
          <w:iCs/>
          <w:color w:val="000000"/>
          <w:kern w:val="0"/>
          <w:highlight w:val="yellow"/>
          <w14:ligatures w14:val="none"/>
        </w:rPr>
        <w:t>Romanian Journal of Cardiology</w:t>
      </w:r>
      <w:r w:rsidRPr="00ED453E">
        <w:rPr>
          <w:rFonts w:ascii="Times New Roman" w:eastAsia="Times New Roman" w:hAnsi="Times New Roman" w:cs="Times New Roman"/>
          <w:color w:val="000000"/>
          <w:kern w:val="0"/>
          <w:highlight w:val="yellow"/>
          <w14:ligatures w14:val="none"/>
        </w:rPr>
        <w:t>, </w:t>
      </w:r>
      <w:r w:rsidRPr="00ED453E">
        <w:rPr>
          <w:rFonts w:ascii="Times New Roman" w:eastAsia="Times New Roman" w:hAnsi="Times New Roman" w:cs="Times New Roman"/>
          <w:i/>
          <w:iCs/>
          <w:color w:val="000000"/>
          <w:kern w:val="0"/>
          <w:highlight w:val="yellow"/>
          <w14:ligatures w14:val="none"/>
        </w:rPr>
        <w:t>31</w:t>
      </w:r>
      <w:r w:rsidRPr="00ED453E">
        <w:rPr>
          <w:rFonts w:ascii="Times New Roman" w:eastAsia="Times New Roman" w:hAnsi="Times New Roman" w:cs="Times New Roman"/>
          <w:color w:val="000000"/>
          <w:kern w:val="0"/>
          <w:highlight w:val="yellow"/>
          <w14:ligatures w14:val="none"/>
        </w:rPr>
        <w:t>(2), 259–267. https://doi.org/10.47803/rjc.2021.31.2.259</w:t>
      </w:r>
    </w:p>
    <w:p w14:paraId="1A99294C" w14:textId="668CFD1C" w:rsidR="00637CE9" w:rsidRPr="00ED453E" w:rsidRDefault="00637CE9" w:rsidP="00ED453E">
      <w:pPr>
        <w:pStyle w:val="ListParagraph"/>
        <w:tabs>
          <w:tab w:val="left" w:pos="720"/>
        </w:tabs>
        <w:spacing w:before="100" w:beforeAutospacing="1" w:after="100" w:afterAutospacing="1" w:line="240" w:lineRule="auto"/>
        <w:rPr>
          <w:rFonts w:ascii="Times New Roman" w:eastAsia="Times New Roman" w:hAnsi="Times New Roman" w:cs="Times New Roman"/>
          <w:color w:val="000000"/>
          <w:kern w:val="0"/>
          <w:highlight w:val="yellow"/>
          <w14:ligatures w14:val="none"/>
        </w:rPr>
      </w:pPr>
    </w:p>
    <w:p w14:paraId="461E4936" w14:textId="68943D33" w:rsidR="00C72FB4" w:rsidRPr="00ED453E" w:rsidRDefault="00C72FB4" w:rsidP="00ED453E">
      <w:pPr>
        <w:pStyle w:val="NormalWeb"/>
        <w:tabs>
          <w:tab w:val="left" w:pos="720"/>
        </w:tabs>
        <w:ind w:left="720"/>
        <w:rPr>
          <w:highlight w:val="yellow"/>
        </w:rPr>
      </w:pPr>
    </w:p>
    <w:sectPr w:rsidR="00C72FB4" w:rsidRPr="00ED453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8CFE3" w14:textId="77777777" w:rsidR="00890355" w:rsidRDefault="00890355" w:rsidP="00E35BD1">
      <w:pPr>
        <w:spacing w:after="0" w:line="240" w:lineRule="auto"/>
      </w:pPr>
      <w:r>
        <w:separator/>
      </w:r>
    </w:p>
  </w:endnote>
  <w:endnote w:type="continuationSeparator" w:id="0">
    <w:p w14:paraId="601E5C11" w14:textId="77777777" w:rsidR="00890355" w:rsidRDefault="00890355" w:rsidP="00E3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06127" w14:textId="77777777" w:rsidR="00E35BD1" w:rsidRDefault="00E35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0F58" w14:textId="77777777" w:rsidR="00E35BD1" w:rsidRDefault="00E35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D19CF" w14:textId="77777777" w:rsidR="00E35BD1" w:rsidRDefault="00E3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95FC" w14:textId="77777777" w:rsidR="00890355" w:rsidRDefault="00890355" w:rsidP="00E35BD1">
      <w:pPr>
        <w:spacing w:after="0" w:line="240" w:lineRule="auto"/>
      </w:pPr>
      <w:r>
        <w:separator/>
      </w:r>
    </w:p>
  </w:footnote>
  <w:footnote w:type="continuationSeparator" w:id="0">
    <w:p w14:paraId="6638475B" w14:textId="77777777" w:rsidR="00890355" w:rsidRDefault="00890355" w:rsidP="00E35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D5495" w14:textId="17E764F8" w:rsidR="00E35BD1" w:rsidRDefault="00890355">
    <w:pPr>
      <w:pStyle w:val="Header"/>
    </w:pPr>
    <w:r>
      <w:rPr>
        <w:noProof/>
      </w:rPr>
      <w:pict w14:anchorId="6CEE9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451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BFEB" w14:textId="07D07C65" w:rsidR="00E35BD1" w:rsidRDefault="00890355">
    <w:pPr>
      <w:pStyle w:val="Header"/>
    </w:pPr>
    <w:r>
      <w:rPr>
        <w:noProof/>
      </w:rPr>
      <w:pict w14:anchorId="2B982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451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DDE4" w14:textId="1B644302" w:rsidR="00E35BD1" w:rsidRDefault="00890355">
    <w:pPr>
      <w:pStyle w:val="Header"/>
    </w:pPr>
    <w:r>
      <w:rPr>
        <w:noProof/>
      </w:rPr>
      <w:pict w14:anchorId="38F7F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451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539115FF"/>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MjawMDEzNDMEcpR0lIJTi4sz8/NACgxrAalrNe8sAAAA"/>
  </w:docVars>
  <w:rsids>
    <w:rsidRoot w:val="00C72FB4"/>
    <w:rsid w:val="00034AD3"/>
    <w:rsid w:val="000837CB"/>
    <w:rsid w:val="001219D6"/>
    <w:rsid w:val="002E4849"/>
    <w:rsid w:val="004D78BB"/>
    <w:rsid w:val="00637CE9"/>
    <w:rsid w:val="006E605A"/>
    <w:rsid w:val="00890355"/>
    <w:rsid w:val="00AD0A0E"/>
    <w:rsid w:val="00C72FB4"/>
    <w:rsid w:val="00E35BD1"/>
    <w:rsid w:val="00E66F5A"/>
    <w:rsid w:val="00ED2B76"/>
    <w:rsid w:val="00ED453E"/>
    <w:rsid w:val="00FB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17A6A"/>
  <w15:docId w15:val="{CA9E0764-36E1-46CC-BD0F-51227178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0837CB"/>
    <w:rPr>
      <w:color w:val="605E5C"/>
      <w:shd w:val="clear" w:color="auto" w:fill="E1DFDD"/>
    </w:rPr>
  </w:style>
  <w:style w:type="paragraph" w:styleId="Header">
    <w:name w:val="header"/>
    <w:basedOn w:val="Normal"/>
    <w:link w:val="HeaderChar"/>
    <w:uiPriority w:val="99"/>
    <w:unhideWhenUsed/>
    <w:rsid w:val="00E3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D1"/>
  </w:style>
  <w:style w:type="paragraph" w:styleId="Footer">
    <w:name w:val="footer"/>
    <w:basedOn w:val="Normal"/>
    <w:link w:val="FooterChar"/>
    <w:uiPriority w:val="99"/>
    <w:unhideWhenUsed/>
    <w:rsid w:val="00E3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D1"/>
  </w:style>
  <w:style w:type="paragraph" w:styleId="Revision">
    <w:name w:val="Revision"/>
    <w:hidden/>
    <w:uiPriority w:val="99"/>
    <w:semiHidden/>
    <w:rsid w:val="00E66F5A"/>
    <w:pPr>
      <w:spacing w:after="0" w:line="240" w:lineRule="auto"/>
    </w:pPr>
  </w:style>
  <w:style w:type="paragraph" w:styleId="BalloonText">
    <w:name w:val="Balloon Text"/>
    <w:basedOn w:val="Normal"/>
    <w:link w:val="BalloonTextChar"/>
    <w:uiPriority w:val="99"/>
    <w:semiHidden/>
    <w:unhideWhenUsed/>
    <w:rsid w:val="00034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11/j.1751-7133.2010.00159.x" TargetMode="External"/><Relationship Id="rId18" Type="http://schemas.openxmlformats.org/officeDocument/2006/relationships/hyperlink" Target="https://e-kcj.org/DOIx.php?id=10.4070%2Fkcj.2019.0199&amp;utm_source=chatgpt.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jacc.org/doi/10.1016/j.jacc.2024.03.416?utm_source=chatgpt.com" TargetMode="External"/><Relationship Id="rId7" Type="http://schemas.openxmlformats.org/officeDocument/2006/relationships/hyperlink" Target="https://doi.org/10.1111/j.1540-8159.2005.00143.x" TargetMode="External"/><Relationship Id="rId12" Type="http://schemas.openxmlformats.org/officeDocument/2006/relationships/hyperlink" Target="https://pubmed.ncbi.nlm.nih.gov/12543289/?utm_source=chatgpt.com" TargetMode="External"/><Relationship Id="rId17" Type="http://schemas.openxmlformats.org/officeDocument/2006/relationships/hyperlink" Target="https://pmc.ncbi.nlm.nih.gov/articles/PMC6713829/?utm_source=chatgpt.com" TargetMode="External"/><Relationship Id="rId25" Type="http://schemas.openxmlformats.org/officeDocument/2006/relationships/hyperlink" Target="https://doi.org/10.3390/biomedicines1205105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070/kcj.2019.0199" TargetMode="External"/><Relationship Id="rId20" Type="http://schemas.openxmlformats.org/officeDocument/2006/relationships/hyperlink" Target="https://heart.bmj.com/content/103/19/1543?utm_source=chatgpt.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002-9343(02)01472-9" TargetMode="External"/><Relationship Id="rId24" Type="http://schemas.openxmlformats.org/officeDocument/2006/relationships/hyperlink" Target="https://doi.org/10.7573/dic.2022-8-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mc.ncbi.nlm.nih.gov/articles/PMC3078232/?utm_source=chatgpt.com" TargetMode="External"/><Relationship Id="rId23" Type="http://schemas.openxmlformats.org/officeDocument/2006/relationships/hyperlink" Target="https://doi.org/10.1016/j.cjcpc.2024.10.007" TargetMode="External"/><Relationship Id="rId28" Type="http://schemas.openxmlformats.org/officeDocument/2006/relationships/footer" Target="footer1.xml"/><Relationship Id="rId10" Type="http://schemas.openxmlformats.org/officeDocument/2006/relationships/hyperlink" Target="https://pubmed.ncbi.nlm.nih.gov/9091514/?utm_source=chatgpt.com" TargetMode="External"/><Relationship Id="rId19" Type="http://schemas.openxmlformats.org/officeDocument/2006/relationships/hyperlink" Target="https://doi.org/10.1136/heartjnl-2016-31068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S0735-1097(96)00592-X" TargetMode="External"/><Relationship Id="rId14" Type="http://schemas.openxmlformats.org/officeDocument/2006/relationships/hyperlink" Target="https://pubmed.ncbi.nlm.nih.gov/20557332/?utm_source=chatgpt.com" TargetMode="External"/><Relationship Id="rId22" Type="http://schemas.openxmlformats.org/officeDocument/2006/relationships/hyperlink" Target="https://pubmed.ncbi.nlm.nih.gov/36660016/?utm_source=chatgpt.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pubmed.ncbi.nlm.nih.gov/16008809/?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12</Pages>
  <Words>5135</Words>
  <Characters>29272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Editor-1183</cp:lastModifiedBy>
  <cp:revision>23</cp:revision>
  <dcterms:created xsi:type="dcterms:W3CDTF">2026-04-02T19:07:00Z</dcterms:created>
  <dcterms:modified xsi:type="dcterms:W3CDTF">2026-04-11T05:31:00Z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e3ea05c7e1224f648693fed2497fe4c0</vt:lpwstr>
  </property>
  <property fmtid="{D5CDD505-2E9C-101B-9397-08002B2CF9AE}" pid="3" name="GrammarlyDocumentId">
    <vt:lpwstr>f1e638e6-ba82-4c1a-99b2-854cd18861ca</vt:lpwstr>
  </property>
</Properties>
</file>