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863" w:rsidRDefault="00DE5863">
      <w:pPr>
        <w:pStyle w:val="Title"/>
        <w:spacing w:after="0"/>
        <w:jc w:val="both"/>
        <w:rPr>
          <w:rFonts w:ascii="Arial" w:eastAsia="Arial" w:hAnsi="Arial" w:cs="Arial"/>
        </w:rPr>
      </w:pPr>
    </w:p>
    <w:p w:rsidR="00DE5863" w:rsidRDefault="008538E9">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Influence of </w:t>
      </w:r>
      <w:proofErr w:type="spellStart"/>
      <w:r>
        <w:rPr>
          <w:rFonts w:ascii="Arial" w:eastAsia="Arial" w:hAnsi="Arial" w:cs="Arial"/>
          <w:b/>
          <w:bCs/>
          <w:sz w:val="36"/>
          <w:szCs w:val="36"/>
        </w:rPr>
        <w:t>phytogenics</w:t>
      </w:r>
      <w:proofErr w:type="spellEnd"/>
      <w:r>
        <w:rPr>
          <w:rFonts w:ascii="Arial" w:eastAsia="Arial" w:hAnsi="Arial" w:cs="Arial"/>
          <w:b/>
          <w:bCs/>
          <w:sz w:val="36"/>
          <w:szCs w:val="36"/>
        </w:rPr>
        <w:t xml:space="preserve"> (clove, garlic, and Pawpaw) on growth, gut health and immune status of broiler chickens</w:t>
      </w:r>
      <w:r>
        <w:rPr>
          <w:rFonts w:ascii="Arial" w:eastAsia="Arial" w:hAnsi="Arial" w:cs="Arial"/>
          <w:b/>
          <w:bCs/>
          <w:color w:val="000000"/>
          <w:sz w:val="36"/>
          <w:szCs w:val="36"/>
        </w:rPr>
        <w:t xml:space="preserve"> </w:t>
      </w:r>
    </w:p>
    <w:p w:rsidR="00DE5863" w:rsidRDefault="00DE5863">
      <w:pPr>
        <w:pBdr>
          <w:top w:val="nil"/>
          <w:left w:val="nil"/>
          <w:bottom w:val="nil"/>
          <w:right w:val="nil"/>
          <w:between w:val="nil"/>
        </w:pBdr>
        <w:jc w:val="both"/>
        <w:rPr>
          <w:rFonts w:ascii="Arial" w:eastAsia="Arial" w:hAnsi="Arial" w:cs="Arial"/>
          <w:b/>
          <w:bCs/>
          <w:color w:val="000000"/>
          <w:sz w:val="36"/>
          <w:szCs w:val="36"/>
        </w:rPr>
      </w:pPr>
    </w:p>
    <w:p w:rsidR="00DE5863" w:rsidRDefault="00DE5863">
      <w:pPr>
        <w:pBdr>
          <w:top w:val="nil"/>
          <w:left w:val="nil"/>
          <w:bottom w:val="nil"/>
          <w:right w:val="nil"/>
          <w:between w:val="nil"/>
        </w:pBdr>
        <w:jc w:val="both"/>
        <w:rPr>
          <w:rFonts w:ascii="Arial" w:eastAsia="Arial" w:hAnsi="Arial" w:cs="Arial"/>
          <w:color w:val="000000"/>
        </w:rPr>
      </w:pPr>
    </w:p>
    <w:p w:rsidR="00DE5863" w:rsidRDefault="00DE5863">
      <w:pPr>
        <w:pBdr>
          <w:top w:val="nil"/>
          <w:left w:val="nil"/>
          <w:bottom w:val="nil"/>
          <w:right w:val="nil"/>
          <w:between w:val="nil"/>
        </w:pBdr>
        <w:jc w:val="both"/>
        <w:rPr>
          <w:rFonts w:ascii="Arial" w:eastAsia="Arial" w:hAnsi="Arial" w:cs="Arial"/>
          <w:color w:val="000000"/>
        </w:rPr>
      </w:pPr>
    </w:p>
    <w:p w:rsidR="00DE5863" w:rsidRDefault="008538E9">
      <w:pPr>
        <w:pBdr>
          <w:top w:val="nil"/>
          <w:left w:val="nil"/>
          <w:bottom w:val="nil"/>
          <w:right w:val="nil"/>
          <w:between w:val="nil"/>
        </w:pBdr>
        <w:jc w:val="both"/>
        <w:rPr>
          <w:rFonts w:ascii="Arial" w:eastAsia="Arial" w:hAnsi="Arial" w:cs="Arial"/>
          <w:color w:val="000000"/>
          <w:sz w:val="16"/>
          <w:szCs w:val="16"/>
        </w:rPr>
        <w:sectPr w:rsidR="00DE5863">
          <w:headerReference w:type="even" r:id="rId6"/>
          <w:headerReference w:type="default" r:id="rId7"/>
          <w:footerReference w:type="even" r:id="rId8"/>
          <w:headerReference w:type="first" r:id="rId9"/>
          <w:footerReference w:type="first" r:id="rId10"/>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g">
            <w:drawing>
              <wp:inline distT="0" distB="0" distL="114300" distR="114300">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rsidR="00DE5863" w:rsidRDefault="008538E9">
      <w:pPr>
        <w:keepNext/>
        <w:pBdr>
          <w:top w:val="nil"/>
          <w:left w:val="nil"/>
          <w:bottom w:val="nil"/>
          <w:right w:val="nil"/>
          <w:between w:val="nil"/>
        </w:pBdr>
        <w:jc w:val="both"/>
        <w:rPr>
          <w:rFonts w:ascii="Arial" w:eastAsia="Arial" w:hAnsi="Arial" w:cs="Arial"/>
          <w:i/>
          <w:iCs/>
          <w:color w:val="000000"/>
        </w:rPr>
      </w:pPr>
      <w:r>
        <w:rPr>
          <w:rFonts w:ascii="Arial" w:eastAsia="Arial" w:hAnsi="Arial" w:cs="Arial"/>
          <w:b/>
          <w:bCs/>
          <w:smallCaps/>
          <w:color w:val="000000"/>
          <w:sz w:val="22"/>
          <w:szCs w:val="22"/>
        </w:rPr>
        <w:t xml:space="preserve">ABSTRACT </w:t>
      </w:r>
    </w:p>
    <w:p w:rsidR="00DE5863" w:rsidRDefault="008538E9">
      <w:pPr>
        <w:jc w:val="both"/>
        <w:rPr>
          <w:rFonts w:ascii="Arial" w:eastAsia="Arial" w:hAnsi="Arial" w:cs="Arial"/>
        </w:rPr>
      </w:pPr>
      <w:r>
        <w:rPr>
          <w:rFonts w:ascii="Arial" w:eastAsia="Arial" w:hAnsi="Arial" w:cs="Arial"/>
        </w:rPr>
        <w:t>The study assessed the growth performance, gut health, immune response, and antioxidative status of broiler chickens fed Clove Meal (CL), Garlic Meal (GA), and Pawpaw Leaf Meal (PLM) in diets.</w:t>
      </w:r>
    </w:p>
    <w:p w:rsidR="00DE5863" w:rsidRDefault="008538E9">
      <w:pPr>
        <w:jc w:val="both"/>
        <w:rPr>
          <w:rFonts w:ascii="Arial" w:eastAsia="Arial" w:hAnsi="Arial" w:cs="Arial"/>
        </w:rPr>
      </w:pPr>
      <w:r>
        <w:rPr>
          <w:rFonts w:ascii="Arial" w:eastAsia="Arial" w:hAnsi="Arial" w:cs="Arial"/>
        </w:rPr>
        <w:t xml:space="preserve">Three hundred and sixty 1-day old Ross 308 broiler chicks were randomly assigned into nine dietary </w:t>
      </w:r>
      <w:proofErr w:type="gramStart"/>
      <w:r>
        <w:rPr>
          <w:rFonts w:ascii="Arial" w:eastAsia="Arial" w:hAnsi="Arial" w:cs="Arial"/>
        </w:rPr>
        <w:t>treatments  in</w:t>
      </w:r>
      <w:proofErr w:type="gramEnd"/>
      <w:r>
        <w:rPr>
          <w:rFonts w:ascii="Arial" w:eastAsia="Arial" w:hAnsi="Arial" w:cs="Arial"/>
        </w:rPr>
        <w:t xml:space="preserve"> a completely </w:t>
      </w:r>
      <w:proofErr w:type="spellStart"/>
      <w:r>
        <w:rPr>
          <w:rFonts w:ascii="Arial" w:eastAsia="Arial" w:hAnsi="Arial" w:cs="Arial"/>
        </w:rPr>
        <w:t>randomised</w:t>
      </w:r>
      <w:proofErr w:type="spellEnd"/>
      <w:r>
        <w:rPr>
          <w:rFonts w:ascii="Arial" w:eastAsia="Arial" w:hAnsi="Arial" w:cs="Arial"/>
        </w:rPr>
        <w:t xml:space="preserve"> design. Each treatment had five replicates with eight birds per replicate. Treatments 1 and 2 were fed basal diets designating as; positive control (vaccinated) and negative control (not vaccinated), while diets of treatment 3 to 9 contained 0.15%CL, 0.25%GA, 3.0%PLM, 0.15%CL+0.25%GA, 0.15%CL+3.0%PLM, 0.25%GA+3.0%PLM, 0.15%CL+0.25%GA+3.0%PLM, respectively. Growth performance indices (ADW, ADFI and FCR,) were measured. At day 35, intestinal and blood samples were collected according to established guidelines. The resulting data were </w:t>
      </w:r>
      <w:proofErr w:type="spellStart"/>
      <w:r>
        <w:rPr>
          <w:rFonts w:ascii="Arial" w:eastAsia="Arial" w:hAnsi="Arial" w:cs="Arial"/>
        </w:rPr>
        <w:t>analysed</w:t>
      </w:r>
      <w:proofErr w:type="spellEnd"/>
      <w:r>
        <w:rPr>
          <w:rFonts w:ascii="Arial" w:eastAsia="Arial" w:hAnsi="Arial" w:cs="Arial"/>
        </w:rPr>
        <w:t xml:space="preserve"> using descriptive statistics and ANOVA to compare means.</w:t>
      </w:r>
    </w:p>
    <w:p w:rsidR="00DE5863" w:rsidRDefault="008538E9">
      <w:pPr>
        <w:jc w:val="both"/>
        <w:rPr>
          <w:rFonts w:ascii="Arial" w:eastAsia="Arial" w:hAnsi="Arial" w:cs="Arial"/>
        </w:rPr>
      </w:pPr>
      <w:r>
        <w:rPr>
          <w:rFonts w:ascii="Arial" w:eastAsia="Arial" w:hAnsi="Arial" w:cs="Arial"/>
        </w:rPr>
        <w:t xml:space="preserve">Birds fed phytogenic had lower FCR compared with the control groups with exception of birds fed 0.15% CL (1.61) and 0.25% GA (1.61). Birds fed </w:t>
      </w:r>
      <w:proofErr w:type="gramStart"/>
      <w:r>
        <w:rPr>
          <w:rFonts w:ascii="Arial" w:eastAsia="Arial" w:hAnsi="Arial" w:cs="Arial"/>
        </w:rPr>
        <w:t>with  phytogenic</w:t>
      </w:r>
      <w:proofErr w:type="gramEnd"/>
      <w:r>
        <w:rPr>
          <w:rFonts w:ascii="Arial" w:eastAsia="Arial" w:hAnsi="Arial" w:cs="Arial"/>
        </w:rPr>
        <w:t xml:space="preserve"> and positive control  had higher villi height than those fed negative control (2209.80µm). Birds fed 0.15%CL+0.25GA+3%PLM had higher Glutathione Peroxidase concentration (16.33units/mg protein), Glutathione S Transferase (64.16units/mg protein), Superoxide Dismutase (7.28units/mg protein), and Total Antioxidant Capacity (4.11units/mg protein) compared to other treatments.</w:t>
      </w:r>
    </w:p>
    <w:p w:rsidR="00DE5863" w:rsidRDefault="008538E9">
      <w:pPr>
        <w:jc w:val="both"/>
        <w:rPr>
          <w:rFonts w:ascii="Arial" w:eastAsia="Arial" w:hAnsi="Arial" w:cs="Arial"/>
        </w:rPr>
      </w:pPr>
      <w:r>
        <w:rPr>
          <w:rFonts w:ascii="Arial" w:eastAsia="Arial" w:hAnsi="Arial" w:cs="Arial"/>
        </w:rPr>
        <w:t xml:space="preserve">Basal diet with a combination of 0.15% clove, 0.25% garlic and 3% pawpaw leaf meals improved the FCR, gut </w:t>
      </w:r>
      <w:proofErr w:type="spellStart"/>
      <w:proofErr w:type="gramStart"/>
      <w:r>
        <w:rPr>
          <w:rFonts w:ascii="Arial" w:eastAsia="Arial" w:hAnsi="Arial" w:cs="Arial"/>
        </w:rPr>
        <w:t>morphology,glutathione</w:t>
      </w:r>
      <w:proofErr w:type="spellEnd"/>
      <w:proofErr w:type="gramEnd"/>
      <w:r>
        <w:rPr>
          <w:rFonts w:ascii="Arial" w:eastAsia="Arial" w:hAnsi="Arial" w:cs="Arial"/>
        </w:rPr>
        <w:t xml:space="preserve"> peroxidase concentration and total antioxidant capacity.</w:t>
      </w:r>
    </w:p>
    <w:p w:rsidR="00DE5863" w:rsidRDefault="008538E9">
      <w:pPr>
        <w:jc w:val="both"/>
        <w:rPr>
          <w:rFonts w:ascii="Arial" w:eastAsia="Arial" w:hAnsi="Arial" w:cs="Arial"/>
          <w:i/>
          <w:iCs/>
        </w:rPr>
      </w:pPr>
      <w:r>
        <w:rPr>
          <w:rFonts w:ascii="Arial" w:eastAsia="Arial" w:hAnsi="Arial" w:cs="Arial"/>
        </w:rPr>
        <w:t>From the data obtained, 3% pawpaw leaf meal (PLM) appears optimal among the tested levels</w:t>
      </w:r>
      <w:r>
        <w:rPr>
          <w:rFonts w:ascii="Arial" w:eastAsia="Arial" w:hAnsi="Arial" w:cs="Arial"/>
          <w:i/>
          <w:iCs/>
        </w:rPr>
        <w:t xml:space="preserve">. </w:t>
      </w:r>
    </w:p>
    <w:p w:rsidR="00DE5863" w:rsidRDefault="008538E9">
      <w:pPr>
        <w:jc w:val="both"/>
        <w:rPr>
          <w:rFonts w:ascii="Arial" w:eastAsia="Arial" w:hAnsi="Arial" w:cs="Arial"/>
          <w:i/>
          <w:iCs/>
        </w:rPr>
      </w:pPr>
      <w:r>
        <w:rPr>
          <w:rFonts w:ascii="Arial" w:eastAsia="Arial" w:hAnsi="Arial" w:cs="Arial"/>
          <w:i/>
          <w:iCs/>
        </w:rPr>
        <w:t xml:space="preserve">Keywords: Clove, garlic, pawpaw leaf, </w:t>
      </w:r>
      <w:proofErr w:type="spellStart"/>
      <w:r>
        <w:rPr>
          <w:rFonts w:ascii="Arial" w:eastAsia="Arial" w:hAnsi="Arial" w:cs="Arial"/>
          <w:i/>
          <w:iCs/>
        </w:rPr>
        <w:t>phytobiotics</w:t>
      </w:r>
      <w:proofErr w:type="spellEnd"/>
      <w:r>
        <w:rPr>
          <w:rFonts w:ascii="Arial" w:eastAsia="Arial" w:hAnsi="Arial" w:cs="Arial"/>
          <w:i/>
          <w:iCs/>
        </w:rPr>
        <w:t>, broiler chicken</w:t>
      </w:r>
    </w:p>
    <w:p w:rsidR="00DE5863" w:rsidRDefault="00DE5863">
      <w:pPr>
        <w:jc w:val="both"/>
        <w:rPr>
          <w:rFonts w:ascii="Arial" w:eastAsia="Arial" w:hAnsi="Arial" w:cs="Arial"/>
          <w:i/>
          <w:iCs/>
        </w:rPr>
      </w:pPr>
    </w:p>
    <w:p w:rsidR="00DE5863" w:rsidRDefault="00DE5863">
      <w:pPr>
        <w:pBdr>
          <w:top w:val="nil"/>
          <w:left w:val="nil"/>
          <w:bottom w:val="nil"/>
          <w:right w:val="nil"/>
          <w:between w:val="nil"/>
        </w:pBdr>
        <w:jc w:val="both"/>
        <w:rPr>
          <w:rFonts w:ascii="Arial" w:eastAsia="Arial" w:hAnsi="Arial" w:cs="Arial"/>
          <w:i/>
          <w:iCs/>
          <w:color w:val="000000"/>
          <w:sz w:val="18"/>
          <w:szCs w:val="18"/>
        </w:rPr>
      </w:pPr>
    </w:p>
    <w:p w:rsidR="00DE5863" w:rsidRDefault="00DE5863">
      <w:pPr>
        <w:pBdr>
          <w:top w:val="nil"/>
          <w:left w:val="nil"/>
          <w:bottom w:val="nil"/>
          <w:right w:val="nil"/>
          <w:between w:val="nil"/>
        </w:pBdr>
        <w:jc w:val="both"/>
        <w:rPr>
          <w:rFonts w:ascii="Arial" w:eastAsia="Arial" w:hAnsi="Arial" w:cs="Arial"/>
          <w:i/>
          <w:iCs/>
          <w:color w:val="000000"/>
        </w:rPr>
      </w:pP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Farms in commercial and large-scale broilers production systems face one of the biggest problems of ensuring the optimal health of the birds at minimum cost of production.</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Various measures have been embraced to improve the health and productivity of poultry over the years including vaccination programs and synthetic drugs. Nevertheless, there have been a number of concerns raised by the on-going and even unselective use of antibiotics which include the occurrence of drug residues in meat and meat products, the rise of antibiotic resistance, and in some </w:t>
      </w:r>
      <w:proofErr w:type="gramStart"/>
      <w:r>
        <w:rPr>
          <w:rFonts w:ascii="Arial" w:eastAsia="Arial" w:hAnsi="Arial" w:cs="Arial"/>
        </w:rPr>
        <w:t>instances</w:t>
      </w:r>
      <w:proofErr w:type="gramEnd"/>
      <w:r>
        <w:rPr>
          <w:rFonts w:ascii="Arial" w:eastAsia="Arial" w:hAnsi="Arial" w:cs="Arial"/>
        </w:rPr>
        <w:t xml:space="preserve"> failure of vaccines. These have brought up peeved public health issues and also increased the interest in safer and more sustainable options to poultry nutrition and management.</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There has been increasing search for effective and safe alternatives. Some researchers have proposed the use of </w:t>
      </w:r>
      <w:proofErr w:type="spellStart"/>
      <w:r>
        <w:rPr>
          <w:rFonts w:ascii="Arial" w:eastAsia="Arial" w:hAnsi="Arial" w:cs="Arial"/>
        </w:rPr>
        <w:t>phytogenics</w:t>
      </w:r>
      <w:proofErr w:type="spellEnd"/>
      <w:r>
        <w:rPr>
          <w:rFonts w:ascii="Arial" w:eastAsia="Arial" w:hAnsi="Arial" w:cs="Arial"/>
        </w:rPr>
        <w:t xml:space="preserve">, bacterial phages, prebiotics, probiotics, </w:t>
      </w:r>
      <w:proofErr w:type="spellStart"/>
      <w:r>
        <w:rPr>
          <w:rFonts w:ascii="Arial" w:eastAsia="Arial" w:hAnsi="Arial" w:cs="Arial"/>
        </w:rPr>
        <w:t>eubiotics</w:t>
      </w:r>
      <w:proofErr w:type="spellEnd"/>
      <w:r>
        <w:rPr>
          <w:rFonts w:ascii="Arial" w:eastAsia="Arial" w:hAnsi="Arial" w:cs="Arial"/>
        </w:rPr>
        <w:t xml:space="preserve"> and </w:t>
      </w:r>
      <w:r>
        <w:rPr>
          <w:rFonts w:ascii="Arial" w:eastAsia="Arial" w:hAnsi="Arial" w:cs="Arial"/>
        </w:rPr>
        <w:lastRenderedPageBreak/>
        <w:t>organic minerals as alternatives to antibiotics in the production of livestock (Nguyen</w:t>
      </w:r>
      <w:r>
        <w:rPr>
          <w:rFonts w:ascii="Arial" w:eastAsia="Arial" w:hAnsi="Arial" w:cs="Arial"/>
          <w:i/>
          <w:iCs/>
        </w:rPr>
        <w:t xml:space="preserve"> et al</w:t>
      </w:r>
      <w:r>
        <w:rPr>
          <w:rFonts w:ascii="Arial" w:eastAsia="Arial" w:hAnsi="Arial" w:cs="Arial"/>
        </w:rPr>
        <w:t xml:space="preserve">., 2020). Nonetheless, the application of these plant-derived compounds as strategic nutritional interventions to protect the health of poultry, promote their innate immunity, and maintain their productivity nowadays is seen as the key to the safety and healthy consumption of the products obtained due to the poultry (Muhammad </w:t>
      </w:r>
      <w:r>
        <w:rPr>
          <w:rFonts w:ascii="Arial" w:eastAsia="Arial" w:hAnsi="Arial" w:cs="Arial"/>
          <w:i/>
          <w:iCs/>
        </w:rPr>
        <w:t>et al</w:t>
      </w:r>
      <w:r>
        <w:rPr>
          <w:rFonts w:ascii="Arial" w:eastAsia="Arial" w:hAnsi="Arial" w:cs="Arial"/>
        </w:rPr>
        <w:t xml:space="preserve">., 2025). Phytogenic compounds are secondary plant metabolites that are accountable towards the </w:t>
      </w:r>
      <w:proofErr w:type="spellStart"/>
      <w:r>
        <w:rPr>
          <w:rFonts w:ascii="Arial" w:eastAsia="Arial" w:hAnsi="Arial" w:cs="Arial"/>
        </w:rPr>
        <w:t>colour</w:t>
      </w:r>
      <w:proofErr w:type="spellEnd"/>
      <w:r>
        <w:rPr>
          <w:rFonts w:ascii="Arial" w:eastAsia="Arial" w:hAnsi="Arial" w:cs="Arial"/>
        </w:rPr>
        <w:t xml:space="preserve"> and smell of plants (Liu </w:t>
      </w:r>
      <w:r>
        <w:rPr>
          <w:rFonts w:ascii="Arial" w:eastAsia="Arial" w:hAnsi="Arial" w:cs="Arial"/>
          <w:i/>
          <w:iCs/>
        </w:rPr>
        <w:t>et al</w:t>
      </w:r>
      <w:r>
        <w:rPr>
          <w:rFonts w:ascii="Arial" w:eastAsia="Arial" w:hAnsi="Arial" w:cs="Arial"/>
        </w:rPr>
        <w:t xml:space="preserve">., 2018). They are also endowed with different bio-active compounds including thymol, eugenol, carvacrol, cineole, capsaicin among many others that have antifungal, antibacterial, antioxidant and antiviral effects (Yang et al., 2019). Many researchers have also reported that they have positive effects on antimicrobial, antiviral, anti-inflammatory, antioxidative, growth-promoting, and immunomodulatory in livestock (Yang et al., 2019). The mono effects of these </w:t>
      </w:r>
      <w:proofErr w:type="spellStart"/>
      <w:r>
        <w:rPr>
          <w:rFonts w:ascii="Arial" w:eastAsia="Arial" w:hAnsi="Arial" w:cs="Arial"/>
        </w:rPr>
        <w:t>phytogenics</w:t>
      </w:r>
      <w:proofErr w:type="spellEnd"/>
      <w:r>
        <w:rPr>
          <w:rFonts w:ascii="Arial" w:eastAsia="Arial" w:hAnsi="Arial" w:cs="Arial"/>
        </w:rPr>
        <w:t xml:space="preserve"> are well-chosen, and the lack of information about their joint application is very evident. There is a possibility of synergistic actions whereby the overall effect of two or more </w:t>
      </w:r>
      <w:proofErr w:type="spellStart"/>
      <w:r>
        <w:rPr>
          <w:rFonts w:ascii="Arial" w:eastAsia="Arial" w:hAnsi="Arial" w:cs="Arial"/>
        </w:rPr>
        <w:t>phytogenics</w:t>
      </w:r>
      <w:proofErr w:type="spellEnd"/>
      <w:r>
        <w:rPr>
          <w:rFonts w:ascii="Arial" w:eastAsia="Arial" w:hAnsi="Arial" w:cs="Arial"/>
        </w:rPr>
        <w:t xml:space="preserve"> is highly-influenced as compared to the overall effect of the individual ones, which is still under-explored. As a result, there is no detailed information on the effectiveness of particular phytogenic blends in the scientific community to serve as synergistic agents that can be used to improve growth performance, increase antioxidant status, and enhance strong immune response in broiler chicken. These combinatorial effects are thus a necessary step to elucidate in the </w:t>
      </w:r>
      <w:proofErr w:type="spellStart"/>
      <w:r>
        <w:rPr>
          <w:rFonts w:ascii="Arial" w:eastAsia="Arial" w:hAnsi="Arial" w:cs="Arial"/>
        </w:rPr>
        <w:t>optimisation</w:t>
      </w:r>
      <w:proofErr w:type="spellEnd"/>
      <w:r>
        <w:rPr>
          <w:rFonts w:ascii="Arial" w:eastAsia="Arial" w:hAnsi="Arial" w:cs="Arial"/>
        </w:rPr>
        <w:t xml:space="preserve"> of natural strategies in using poultry production as a way of sustainable and effective production. </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 The objective of the present research was to determine the effects of the clove (</w:t>
      </w:r>
      <w:proofErr w:type="spellStart"/>
      <w:r>
        <w:rPr>
          <w:rFonts w:ascii="Arial" w:eastAsia="Arial" w:hAnsi="Arial" w:cs="Arial"/>
          <w:i/>
          <w:iCs/>
        </w:rPr>
        <w:t>Syzgium</w:t>
      </w:r>
      <w:proofErr w:type="spellEnd"/>
      <w:r>
        <w:rPr>
          <w:rFonts w:ascii="Arial" w:eastAsia="Arial" w:hAnsi="Arial" w:cs="Arial"/>
          <w:i/>
          <w:iCs/>
        </w:rPr>
        <w:t xml:space="preserve"> </w:t>
      </w:r>
      <w:proofErr w:type="spellStart"/>
      <w:r>
        <w:rPr>
          <w:rFonts w:ascii="Arial" w:eastAsia="Arial" w:hAnsi="Arial" w:cs="Arial"/>
          <w:i/>
          <w:iCs/>
        </w:rPr>
        <w:t>aromaticum</w:t>
      </w:r>
      <w:proofErr w:type="spellEnd"/>
      <w:r>
        <w:rPr>
          <w:rFonts w:ascii="Arial" w:eastAsia="Arial" w:hAnsi="Arial" w:cs="Arial"/>
        </w:rPr>
        <w:t>), garlic (</w:t>
      </w:r>
      <w:r>
        <w:rPr>
          <w:rFonts w:ascii="Arial" w:eastAsia="Arial" w:hAnsi="Arial" w:cs="Arial"/>
          <w:i/>
          <w:iCs/>
        </w:rPr>
        <w:t>Allium sativum</w:t>
      </w:r>
      <w:r>
        <w:rPr>
          <w:rFonts w:ascii="Arial" w:eastAsia="Arial" w:hAnsi="Arial" w:cs="Arial"/>
        </w:rPr>
        <w:t>) and pawpaw (</w:t>
      </w:r>
      <w:proofErr w:type="spellStart"/>
      <w:r>
        <w:rPr>
          <w:rFonts w:ascii="Arial" w:eastAsia="Arial" w:hAnsi="Arial" w:cs="Arial"/>
          <w:i/>
          <w:iCs/>
        </w:rPr>
        <w:t>Carica</w:t>
      </w:r>
      <w:proofErr w:type="spellEnd"/>
      <w:r>
        <w:rPr>
          <w:rFonts w:ascii="Arial" w:eastAsia="Arial" w:hAnsi="Arial" w:cs="Arial"/>
          <w:i/>
          <w:iCs/>
        </w:rPr>
        <w:t xml:space="preserve"> papaya</w:t>
      </w:r>
      <w:r>
        <w:rPr>
          <w:rFonts w:ascii="Arial" w:eastAsia="Arial" w:hAnsi="Arial" w:cs="Arial"/>
        </w:rPr>
        <w:t>) leaf-supplemented diets in terms of growth performance, antioxidative potential, and immunological response of the broiler chicken.</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color w:val="000000"/>
        </w:rPr>
      </w:pPr>
    </w:p>
    <w:p w:rsidR="00DE5863" w:rsidRDefault="008538E9">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material and methods </w:t>
      </w:r>
    </w:p>
    <w:p w:rsidR="00DE5863" w:rsidRDefault="008538E9">
      <w:pPr>
        <w:jc w:val="both"/>
        <w:rPr>
          <w:rFonts w:ascii="Arial" w:eastAsia="Arial" w:hAnsi="Arial" w:cs="Arial"/>
        </w:rPr>
      </w:pPr>
      <w:r>
        <w:rPr>
          <w:rFonts w:ascii="Arial" w:eastAsia="Arial" w:hAnsi="Arial" w:cs="Arial"/>
        </w:rPr>
        <w:t xml:space="preserve">This research was conducted at UPTOWN’S farm at </w:t>
      </w:r>
      <w:proofErr w:type="spellStart"/>
      <w:r>
        <w:rPr>
          <w:rFonts w:ascii="Arial" w:eastAsia="Arial" w:hAnsi="Arial" w:cs="Arial"/>
        </w:rPr>
        <w:t>Ayegun</w:t>
      </w:r>
      <w:proofErr w:type="spellEnd"/>
      <w:r>
        <w:rPr>
          <w:rFonts w:ascii="Arial" w:eastAsia="Arial" w:hAnsi="Arial" w:cs="Arial"/>
        </w:rPr>
        <w:t xml:space="preserve">, </w:t>
      </w:r>
      <w:proofErr w:type="spellStart"/>
      <w:r>
        <w:rPr>
          <w:rFonts w:ascii="Arial" w:eastAsia="Arial" w:hAnsi="Arial" w:cs="Arial"/>
        </w:rPr>
        <w:t>Olomi</w:t>
      </w:r>
      <w:proofErr w:type="spellEnd"/>
      <w:r>
        <w:rPr>
          <w:rFonts w:ascii="Arial" w:eastAsia="Arial" w:hAnsi="Arial" w:cs="Arial"/>
        </w:rPr>
        <w:t xml:space="preserve"> road, Academy, Ibadan, Oyo state.</w:t>
      </w:r>
    </w:p>
    <w:p w:rsidR="00DE5863" w:rsidRDefault="008538E9">
      <w:pPr>
        <w:keepNext/>
        <w:jc w:val="both"/>
        <w:rPr>
          <w:rFonts w:ascii="Arial" w:eastAsia="Arial" w:hAnsi="Arial" w:cs="Arial"/>
          <w:sz w:val="22"/>
          <w:szCs w:val="22"/>
        </w:rPr>
      </w:pPr>
      <w:r>
        <w:rPr>
          <w:rFonts w:ascii="Arial" w:eastAsia="Arial" w:hAnsi="Arial" w:cs="Arial"/>
          <w:b/>
          <w:bCs/>
          <w:smallCaps/>
          <w:sz w:val="22"/>
          <w:szCs w:val="22"/>
        </w:rPr>
        <w:t>2.1 study duration</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 35 days.</w:t>
      </w:r>
    </w:p>
    <w:p w:rsidR="00DE5863" w:rsidRDefault="008538E9">
      <w:pPr>
        <w:keepNext/>
        <w:jc w:val="both"/>
        <w:rPr>
          <w:rFonts w:ascii="Arial" w:eastAsia="Arial" w:hAnsi="Arial" w:cs="Arial"/>
        </w:rPr>
      </w:pPr>
      <w:r>
        <w:rPr>
          <w:rFonts w:ascii="Arial" w:eastAsia="Arial" w:hAnsi="Arial" w:cs="Arial"/>
          <w:b/>
          <w:bCs/>
          <w:smallCaps/>
          <w:sz w:val="22"/>
          <w:szCs w:val="22"/>
        </w:rPr>
        <w:t>2.2 sample preparation</w:t>
      </w:r>
    </w:p>
    <w:p w:rsidR="00DE5863" w:rsidRDefault="008538E9">
      <w:pPr>
        <w:jc w:val="both"/>
        <w:rPr>
          <w:rFonts w:ascii="Arial" w:eastAsia="Arial" w:hAnsi="Arial" w:cs="Arial"/>
        </w:rPr>
      </w:pPr>
      <w:r>
        <w:rPr>
          <w:rFonts w:ascii="Arial" w:eastAsia="Arial" w:hAnsi="Arial" w:cs="Arial"/>
        </w:rPr>
        <w:t>Clove (</w:t>
      </w:r>
      <w:proofErr w:type="spellStart"/>
      <w:r>
        <w:rPr>
          <w:rFonts w:ascii="Arial" w:eastAsia="Arial" w:hAnsi="Arial" w:cs="Arial"/>
        </w:rPr>
        <w:t>Syzgium</w:t>
      </w:r>
      <w:proofErr w:type="spellEnd"/>
      <w:r>
        <w:rPr>
          <w:rFonts w:ascii="Arial" w:eastAsia="Arial" w:hAnsi="Arial" w:cs="Arial"/>
        </w:rPr>
        <w:t xml:space="preserve"> </w:t>
      </w:r>
      <w:proofErr w:type="spellStart"/>
      <w:r>
        <w:rPr>
          <w:rFonts w:ascii="Arial" w:eastAsia="Arial" w:hAnsi="Arial" w:cs="Arial"/>
        </w:rPr>
        <w:t>aromaticum</w:t>
      </w:r>
      <w:proofErr w:type="spellEnd"/>
      <w:r>
        <w:rPr>
          <w:rFonts w:ascii="Arial" w:eastAsia="Arial" w:hAnsi="Arial" w:cs="Arial"/>
        </w:rPr>
        <w:t>), garlic (Allium sativum) and pawpaw (</w:t>
      </w:r>
      <w:proofErr w:type="spellStart"/>
      <w:r>
        <w:rPr>
          <w:rFonts w:ascii="Arial" w:eastAsia="Arial" w:hAnsi="Arial" w:cs="Arial"/>
        </w:rPr>
        <w:t>Carica</w:t>
      </w:r>
      <w:proofErr w:type="spellEnd"/>
      <w:r>
        <w:rPr>
          <w:rFonts w:ascii="Arial" w:eastAsia="Arial" w:hAnsi="Arial" w:cs="Arial"/>
        </w:rPr>
        <w:t xml:space="preserve"> papaya) leaves were purchased from nearby market in Ibadan, dried till constant weight were achieved while fresh pawpaw leaves were sourced from University of Ibadan premises. They were air-dried for 30 days. The ingredients were milled to pass through 1mm sieve and stored at room temperature in air-tight containers until use.</w:t>
      </w:r>
    </w:p>
    <w:p w:rsidR="00DE5863" w:rsidRDefault="00DE5863">
      <w:pPr>
        <w:pBdr>
          <w:top w:val="nil"/>
          <w:left w:val="nil"/>
          <w:bottom w:val="nil"/>
          <w:right w:val="nil"/>
          <w:between w:val="nil"/>
        </w:pBdr>
        <w:jc w:val="both"/>
        <w:rPr>
          <w:rFonts w:ascii="Arial" w:eastAsia="Arial" w:hAnsi="Arial" w:cs="Arial"/>
        </w:rPr>
      </w:pPr>
    </w:p>
    <w:p w:rsidR="00DE5863" w:rsidRDefault="008538E9">
      <w:pPr>
        <w:keepNext/>
        <w:jc w:val="both"/>
        <w:rPr>
          <w:rFonts w:ascii="Arial" w:eastAsia="Arial" w:hAnsi="Arial" w:cs="Arial"/>
        </w:rPr>
      </w:pPr>
      <w:r>
        <w:rPr>
          <w:rFonts w:ascii="Arial" w:eastAsia="Arial" w:hAnsi="Arial" w:cs="Arial"/>
          <w:b/>
          <w:bCs/>
          <w:smallCaps/>
          <w:sz w:val="22"/>
          <w:szCs w:val="22"/>
        </w:rPr>
        <w:t>2.3 Experimental design</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 Three hundred and sixty one-day old Ross 308 broiler chicks were sourced from a reputable hatchery in Ibadan Oyo state, </w:t>
      </w:r>
      <w:proofErr w:type="spellStart"/>
      <w:r>
        <w:rPr>
          <w:rFonts w:ascii="Arial" w:eastAsia="Arial" w:hAnsi="Arial" w:cs="Arial"/>
        </w:rPr>
        <w:t>Nigeriaand</w:t>
      </w:r>
      <w:proofErr w:type="spellEnd"/>
      <w:r>
        <w:rPr>
          <w:rFonts w:ascii="Arial" w:eastAsia="Arial" w:hAnsi="Arial" w:cs="Arial"/>
        </w:rPr>
        <w:t xml:space="preserve"> subjected to individual weighing and </w:t>
      </w:r>
      <w:proofErr w:type="spellStart"/>
      <w:proofErr w:type="gramStart"/>
      <w:r>
        <w:rPr>
          <w:rFonts w:ascii="Arial" w:eastAsia="Arial" w:hAnsi="Arial" w:cs="Arial"/>
        </w:rPr>
        <w:t>tagging.Treatment</w:t>
      </w:r>
      <w:proofErr w:type="spellEnd"/>
      <w:proofErr w:type="gramEnd"/>
      <w:r>
        <w:rPr>
          <w:rFonts w:ascii="Arial" w:eastAsia="Arial" w:hAnsi="Arial" w:cs="Arial"/>
        </w:rPr>
        <w:t xml:space="preserve"> were prepared as </w:t>
      </w:r>
      <w:proofErr w:type="spellStart"/>
      <w:r>
        <w:rPr>
          <w:rFonts w:ascii="Arial" w:eastAsia="Arial" w:hAnsi="Arial" w:cs="Arial"/>
        </w:rPr>
        <w:t>foolow</w:t>
      </w:r>
      <w:proofErr w:type="spellEnd"/>
      <w:r>
        <w:rPr>
          <w:rFonts w:ascii="Arial" w:eastAsia="Arial" w:hAnsi="Arial" w:cs="Arial"/>
        </w:rPr>
        <w:t>;</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T1 – Basal diet with no phytogenic plant (Vaccinated, Positive Control)</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T2 - Basal diet with no phytogenic plant (Unvaccinated, Negative Control)</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T3 – Basal diet + 3.00% Pawpaw Leaf Meal (PLM)</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T4 – Basal diet + 0.15% Clove Meal (CM) </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T5 – Basal diet + 0.25% Garlic Meal (GM)</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T6 – Basal diet + 3.00% PLM + 0.15% CM</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T7 – Basal diet + 3.00% PLM + 0.25% GM</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T8 – Basal diet + 0.15% CM + 0.25% GM</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T9 – Basal diet + 3.00% PLM + 0.15% CM + 0.25% GM</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lastRenderedPageBreak/>
        <w:t>2.4 procedure and methodology</w:t>
      </w:r>
      <w:r>
        <w:rPr>
          <w:rFonts w:ascii="Arial" w:eastAsia="Arial" w:hAnsi="Arial" w:cs="Arial"/>
        </w:rPr>
        <w:t xml:space="preserve"> </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 The birds were managed according to standard practices. After arrival of the chicks, they were subjected to individual weighing, tagging, after which they were allotted into nine dietary groups comprising five replicates of eight birds each, in a completely </w:t>
      </w:r>
      <w:proofErr w:type="spellStart"/>
      <w:r>
        <w:rPr>
          <w:rFonts w:ascii="Arial" w:eastAsia="Arial" w:hAnsi="Arial" w:cs="Arial"/>
        </w:rPr>
        <w:t>randomised</w:t>
      </w:r>
      <w:proofErr w:type="spellEnd"/>
      <w:r>
        <w:rPr>
          <w:rFonts w:ascii="Arial" w:eastAsia="Arial" w:hAnsi="Arial" w:cs="Arial"/>
        </w:rPr>
        <w:t xml:space="preserve"> design. The birds were not vaccinated with the exception of the positive control group. Throughout the five-week experimental period, the birds were provided access to feed and water without restrictions.</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Upon conclusion of the feeding trial, blood samples were collected from all animals via jugular venipuncture following a 12-hour fasting period. Whole blood was preserved in K₃EDTA (</w:t>
      </w:r>
      <w:proofErr w:type="spellStart"/>
      <w:r>
        <w:rPr>
          <w:rFonts w:ascii="Arial" w:eastAsia="Arial" w:hAnsi="Arial" w:cs="Arial"/>
        </w:rPr>
        <w:t>Tripotassium</w:t>
      </w:r>
      <w:proofErr w:type="spellEnd"/>
      <w:r>
        <w:rPr>
          <w:rFonts w:ascii="Arial" w:eastAsia="Arial" w:hAnsi="Arial" w:cs="Arial"/>
        </w:rPr>
        <w:t xml:space="preserve"> ethylenediaminetetraacetic acid) vacutainers, while serum samples were obtained using non-</w:t>
      </w:r>
      <w:proofErr w:type="spellStart"/>
      <w:r>
        <w:rPr>
          <w:rFonts w:ascii="Arial" w:eastAsia="Arial" w:hAnsi="Arial" w:cs="Arial"/>
        </w:rPr>
        <w:t>heparinised</w:t>
      </w:r>
      <w:proofErr w:type="spellEnd"/>
      <w:r>
        <w:rPr>
          <w:rFonts w:ascii="Arial" w:eastAsia="Arial" w:hAnsi="Arial" w:cs="Arial"/>
        </w:rPr>
        <w:t xml:space="preserve"> tubes, allowed to clot for 30 minutes at room temperature, and centrifuged at 3,000 × g for 15 minutes at 24 °C (WHO, 2010). All biological samples were immediately frozen at -20 °C pending further analysis and also a </w:t>
      </w:r>
      <w:proofErr w:type="spellStart"/>
      <w:r>
        <w:rPr>
          <w:rFonts w:ascii="Arial" w:eastAsia="Arial" w:hAnsi="Arial" w:cs="Arial"/>
        </w:rPr>
        <w:t>standardised</w:t>
      </w:r>
      <w:proofErr w:type="spellEnd"/>
      <w:r>
        <w:rPr>
          <w:rFonts w:ascii="Arial" w:eastAsia="Arial" w:hAnsi="Arial" w:cs="Arial"/>
        </w:rPr>
        <w:t xml:space="preserve"> histological procedure was employed to evaluate intestinal morphometry. Three birds per treatment group were randomly selected and </w:t>
      </w:r>
      <w:proofErr w:type="spellStart"/>
      <w:r>
        <w:rPr>
          <w:rFonts w:ascii="Arial" w:eastAsia="Arial" w:hAnsi="Arial" w:cs="Arial"/>
        </w:rPr>
        <w:t>euthanised</w:t>
      </w:r>
      <w:proofErr w:type="spellEnd"/>
      <w:r>
        <w:rPr>
          <w:rFonts w:ascii="Arial" w:eastAsia="Arial" w:hAnsi="Arial" w:cs="Arial"/>
        </w:rPr>
        <w:t xml:space="preserve"> for intestinal sampling. The small intestine was excised and flushed with sterile phosphate-buffered saline (PBS) to remove luminal contents. Segments (3–4 cm) were aseptically collected from the duodenum, jejunum (pancreatic loop to Meckel’s diverticulum), and ileum (Meckel’s diverticulum to the ileo-</w:t>
      </w:r>
      <w:proofErr w:type="spellStart"/>
      <w:r>
        <w:rPr>
          <w:rFonts w:ascii="Arial" w:eastAsia="Arial" w:hAnsi="Arial" w:cs="Arial"/>
        </w:rPr>
        <w:t>ceco</w:t>
      </w:r>
      <w:proofErr w:type="spellEnd"/>
      <w:r>
        <w:rPr>
          <w:rFonts w:ascii="Arial" w:eastAsia="Arial" w:hAnsi="Arial" w:cs="Arial"/>
        </w:rPr>
        <w:t xml:space="preserve">-colic junction) for histological assessment following the method of </w:t>
      </w:r>
      <w:proofErr w:type="spellStart"/>
      <w:r>
        <w:rPr>
          <w:rFonts w:ascii="Arial" w:eastAsia="Arial" w:hAnsi="Arial" w:cs="Arial"/>
        </w:rPr>
        <w:t>Giannenas</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(2011).</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University </w:t>
      </w:r>
      <w:proofErr w:type="gramStart"/>
      <w:r>
        <w:rPr>
          <w:rFonts w:ascii="Arial" w:eastAsia="Arial" w:hAnsi="Arial" w:cs="Arial"/>
        </w:rPr>
        <w:t>of  Ibadan</w:t>
      </w:r>
      <w:proofErr w:type="gramEnd"/>
      <w:r>
        <w:rPr>
          <w:rFonts w:ascii="Arial" w:eastAsia="Arial" w:hAnsi="Arial" w:cs="Arial"/>
        </w:rPr>
        <w:t xml:space="preserve"> Animal care and Research ethics committee Number was obtained for the research (UI-ACUREC/090-0525/29).</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2.6 statistical analysis</w:t>
      </w:r>
      <w:r>
        <w:rPr>
          <w:rFonts w:ascii="Arial" w:eastAsia="Arial" w:hAnsi="Arial" w:cs="Arial"/>
        </w:rPr>
        <w:t xml:space="preserve"> </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Data were </w:t>
      </w:r>
      <w:proofErr w:type="spellStart"/>
      <w:r>
        <w:rPr>
          <w:rFonts w:ascii="Arial" w:eastAsia="Arial" w:hAnsi="Arial" w:cs="Arial"/>
        </w:rPr>
        <w:t>analysed</w:t>
      </w:r>
      <w:proofErr w:type="spellEnd"/>
      <w:r>
        <w:rPr>
          <w:rFonts w:ascii="Arial" w:eastAsia="Arial" w:hAnsi="Arial" w:cs="Arial"/>
        </w:rPr>
        <w:t xml:space="preserve"> using ANOVA (SAS, 2020) and differences between treatment means differences were separated using Duncan Multiple Range Test (P&lt;0.05).</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color w:val="000000"/>
        </w:rPr>
      </w:pP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DE5863" w:rsidRDefault="00DE5863">
      <w:pPr>
        <w:keepNext/>
        <w:pBdr>
          <w:top w:val="nil"/>
          <w:left w:val="nil"/>
          <w:bottom w:val="nil"/>
          <w:right w:val="nil"/>
          <w:between w:val="nil"/>
        </w:pBdr>
        <w:jc w:val="both"/>
        <w:rPr>
          <w:rFonts w:ascii="Arial" w:eastAsia="Arial" w:hAnsi="Arial" w:cs="Arial"/>
          <w:b/>
          <w:bCs/>
          <w:smallCaps/>
          <w:color w:val="000000"/>
          <w:sz w:val="22"/>
          <w:szCs w:val="22"/>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Growth performance</w:t>
      </w:r>
    </w:p>
    <w:p w:rsidR="00DE5863" w:rsidRDefault="008538E9">
      <w:pPr>
        <w:pBdr>
          <w:top w:val="nil"/>
          <w:left w:val="nil"/>
          <w:bottom w:val="nil"/>
          <w:right w:val="nil"/>
          <w:between w:val="nil"/>
        </w:pBdr>
        <w:jc w:val="both"/>
        <w:rPr>
          <w:rFonts w:ascii="Arial" w:eastAsia="Arial" w:hAnsi="Arial" w:cs="Arial"/>
        </w:rPr>
      </w:pPr>
      <w:proofErr w:type="spellStart"/>
      <w:r>
        <w:rPr>
          <w:rFonts w:ascii="Arial" w:eastAsia="Arial" w:hAnsi="Arial" w:cs="Arial"/>
        </w:rPr>
        <w:t>Phytogenics</w:t>
      </w:r>
      <w:proofErr w:type="spellEnd"/>
      <w:r>
        <w:rPr>
          <w:rFonts w:ascii="Arial" w:eastAsia="Arial" w:hAnsi="Arial" w:cs="Arial"/>
        </w:rPr>
        <w:t xml:space="preserve"> were documented to improve growth performance by enhancing nutrient digestibility, gut health, and immune function. In the present study, the inclusion of 3% Pawpaw (</w:t>
      </w:r>
      <w:proofErr w:type="spellStart"/>
      <w:r>
        <w:rPr>
          <w:rFonts w:ascii="Arial" w:eastAsia="Arial" w:hAnsi="Arial" w:cs="Arial"/>
          <w:i/>
          <w:iCs/>
        </w:rPr>
        <w:t>Carica</w:t>
      </w:r>
      <w:proofErr w:type="spellEnd"/>
      <w:r>
        <w:rPr>
          <w:rFonts w:ascii="Arial" w:eastAsia="Arial" w:hAnsi="Arial" w:cs="Arial"/>
          <w:i/>
          <w:iCs/>
        </w:rPr>
        <w:t xml:space="preserve"> papaya</w:t>
      </w:r>
      <w:r>
        <w:rPr>
          <w:rFonts w:ascii="Arial" w:eastAsia="Arial" w:hAnsi="Arial" w:cs="Arial"/>
        </w:rPr>
        <w:t xml:space="preserve">) Leaf Meal (PLM) in the diet resulted in a significantly higher Average Daily Gain (ADG) of 52.85g and improved Feed Conversion Ratio (FCR) of 1.48. The synergistic effect of combining PLM with garlic was further demonstrated, as the unit receiving PLM supplemented with 0.25% garlic achieved the optimal FCR of 1.41. In a simple contrast, the negative control group, which received no supplementation, vaccination, or medication, exhibited the poorest performance metrics in both ADG and FCR. Statistical analysis confirmed that these observed differences in growth performance were significant (P&lt;0.05). These findings are consistent with the existing scientific literature </w:t>
      </w:r>
      <w:proofErr w:type="spellStart"/>
      <w:r>
        <w:rPr>
          <w:rFonts w:ascii="Arial" w:eastAsia="Arial" w:hAnsi="Arial" w:cs="Arial"/>
        </w:rPr>
        <w:t>Omidiwura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(2020) and </w:t>
      </w:r>
      <w:proofErr w:type="spellStart"/>
      <w:r>
        <w:rPr>
          <w:rFonts w:ascii="Arial" w:eastAsia="Arial" w:hAnsi="Arial" w:cs="Arial"/>
        </w:rPr>
        <w:t>Oloruntola</w:t>
      </w:r>
      <w:proofErr w:type="spellEnd"/>
      <w:r>
        <w:rPr>
          <w:rFonts w:ascii="Arial" w:eastAsia="Arial" w:hAnsi="Arial" w:cs="Arial"/>
        </w:rPr>
        <w:t xml:space="preserve"> (2019), that at a 3% PLM inclusion rate growth performance is enhanced and the gut health without adverse effects. The positive outcomes associated with low-level garlic and clove supplementation which is supported with some previous research. For instance, studies on clove essential oil or powder, by Al-</w:t>
      </w:r>
      <w:proofErr w:type="spellStart"/>
      <w:r>
        <w:rPr>
          <w:rFonts w:ascii="Arial" w:eastAsia="Arial" w:hAnsi="Arial" w:cs="Arial"/>
        </w:rPr>
        <w:t>Mufarrej</w:t>
      </w:r>
      <w:proofErr w:type="spellEnd"/>
      <w:r>
        <w:rPr>
          <w:rFonts w:ascii="Arial" w:eastAsia="Arial" w:hAnsi="Arial" w:cs="Arial"/>
          <w:i/>
          <w:iCs/>
        </w:rPr>
        <w:t xml:space="preserve"> et al</w:t>
      </w:r>
      <w:r>
        <w:rPr>
          <w:rFonts w:ascii="Arial" w:eastAsia="Arial" w:hAnsi="Arial" w:cs="Arial"/>
        </w:rPr>
        <w:t xml:space="preserve">. (2019), document dose-dependent improvements in weight gain and FCR at low concentrations (e.g., 100–300 mg/kg), while at higher inclusion rates may depress performance. Similarly, variable outcomes are reported for garlic, which often depend on its dose and formulation. A consensus, supported by researchers like Ismail </w:t>
      </w:r>
      <w:r>
        <w:rPr>
          <w:rFonts w:ascii="Arial" w:eastAsia="Arial" w:hAnsi="Arial" w:cs="Arial"/>
          <w:i/>
          <w:iCs/>
        </w:rPr>
        <w:t>et a</w:t>
      </w:r>
      <w:r>
        <w:rPr>
          <w:rFonts w:ascii="Arial" w:eastAsia="Arial" w:hAnsi="Arial" w:cs="Arial"/>
        </w:rPr>
        <w:t>l. (2021), indicates that moderate inclusion rates can yield significant immune-modulatory and growth-promoting benefits.</w:t>
      </w:r>
    </w:p>
    <w:p w:rsidR="00DE5863" w:rsidRDefault="00DE5863">
      <w:pPr>
        <w:spacing w:after="200"/>
        <w:rPr>
          <w:rFonts w:ascii="Arial" w:eastAsia="Arial" w:hAnsi="Arial" w:cs="Arial"/>
          <w:sz w:val="16"/>
          <w:szCs w:val="16"/>
        </w:rPr>
      </w:pPr>
      <w:bookmarkStart w:id="0" w:name="_xahlleepdjp9" w:colFirst="0" w:colLast="0"/>
      <w:bookmarkEnd w:id="0"/>
    </w:p>
    <w:p w:rsidR="00DE5863" w:rsidRDefault="008538E9">
      <w:pPr>
        <w:spacing w:after="200"/>
        <w:rPr>
          <w:rFonts w:ascii="Arial" w:eastAsia="Arial" w:hAnsi="Arial" w:cs="Arial"/>
          <w:sz w:val="14"/>
          <w:szCs w:val="14"/>
        </w:rPr>
      </w:pPr>
      <w:bookmarkStart w:id="1" w:name="_jopsmmy0qq94" w:colFirst="0" w:colLast="0"/>
      <w:bookmarkEnd w:id="1"/>
      <w:r>
        <w:rPr>
          <w:rFonts w:ascii="Arial" w:eastAsia="Arial" w:hAnsi="Arial" w:cs="Arial"/>
          <w:b/>
          <w:bCs/>
          <w:sz w:val="14"/>
          <w:szCs w:val="14"/>
        </w:rPr>
        <w:t>Table 1</w:t>
      </w:r>
      <w:r>
        <w:rPr>
          <w:rFonts w:ascii="Arial" w:eastAsia="Arial" w:hAnsi="Arial" w:cs="Arial"/>
          <w:sz w:val="14"/>
          <w:szCs w:val="14"/>
        </w:rPr>
        <w:t>:</w:t>
      </w:r>
      <w:r>
        <w:rPr>
          <w:rFonts w:ascii="Arial" w:eastAsia="Arial" w:hAnsi="Arial" w:cs="Arial"/>
          <w:sz w:val="14"/>
          <w:szCs w:val="14"/>
        </w:rPr>
        <w:tab/>
        <w:t>Effect of Clove, Garlic, and Pawpaw</w:t>
      </w:r>
      <w:r>
        <w:rPr>
          <w:rFonts w:ascii="Arial" w:eastAsia="Arial" w:hAnsi="Arial" w:cs="Arial"/>
          <w:i/>
          <w:iCs/>
          <w:sz w:val="14"/>
          <w:szCs w:val="14"/>
        </w:rPr>
        <w:t xml:space="preserve"> </w:t>
      </w:r>
      <w:r>
        <w:rPr>
          <w:rFonts w:ascii="Arial" w:eastAsia="Arial" w:hAnsi="Arial" w:cs="Arial"/>
          <w:sz w:val="14"/>
          <w:szCs w:val="14"/>
        </w:rPr>
        <w:t xml:space="preserve">Leaf Meals Supplementation on Growth performance of Broiler Chicken </w:t>
      </w:r>
    </w:p>
    <w:tbl>
      <w:tblPr>
        <w:tblStyle w:val="a"/>
        <w:tblpPr w:leftFromText="180" w:rightFromText="180" w:topFromText="180" w:bottomFromText="180" w:vertAnchor="text" w:tblpX="-860"/>
        <w:tblW w:w="10820" w:type="dxa"/>
        <w:tblInd w:w="0" w:type="dxa"/>
        <w:tblBorders>
          <w:bottom w:val="single" w:sz="4" w:space="0" w:color="000000"/>
        </w:tblBorders>
        <w:tblLayout w:type="fixed"/>
        <w:tblLook w:val="0400" w:firstRow="0" w:lastRow="0" w:firstColumn="0" w:lastColumn="0" w:noHBand="0" w:noVBand="1"/>
      </w:tblPr>
      <w:tblGrid>
        <w:gridCol w:w="1080"/>
        <w:gridCol w:w="780"/>
        <w:gridCol w:w="760"/>
        <w:gridCol w:w="800"/>
        <w:gridCol w:w="800"/>
        <w:gridCol w:w="760"/>
        <w:gridCol w:w="1140"/>
        <w:gridCol w:w="1060"/>
        <w:gridCol w:w="1060"/>
        <w:gridCol w:w="1060"/>
        <w:gridCol w:w="760"/>
        <w:gridCol w:w="760"/>
      </w:tblGrid>
      <w:tr w:rsidR="00DE5863">
        <w:trPr>
          <w:trHeight w:val="947"/>
        </w:trPr>
        <w:tc>
          <w:tcPr>
            <w:tcW w:w="1080" w:type="dxa"/>
            <w:tcBorders>
              <w:top w:val="single" w:sz="4" w:space="0" w:color="000000"/>
              <w:bottom w:val="single" w:sz="4" w:space="0" w:color="000000"/>
            </w:tcBorders>
            <w:vAlign w:val="bottom"/>
          </w:tcPr>
          <w:p w:rsidR="00DE5863" w:rsidRDefault="008538E9">
            <w:pPr>
              <w:spacing w:line="360" w:lineRule="auto"/>
              <w:rPr>
                <w:rFonts w:ascii="Arial" w:eastAsia="Arial" w:hAnsi="Arial" w:cs="Arial"/>
                <w:sz w:val="14"/>
                <w:szCs w:val="14"/>
              </w:rPr>
            </w:pPr>
            <w:r>
              <w:rPr>
                <w:rFonts w:ascii="Arial" w:eastAsia="Arial" w:hAnsi="Arial" w:cs="Arial"/>
                <w:sz w:val="14"/>
                <w:szCs w:val="14"/>
              </w:rPr>
              <w:lastRenderedPageBreak/>
              <w:t>Parameters</w:t>
            </w:r>
          </w:p>
        </w:tc>
        <w:tc>
          <w:tcPr>
            <w:tcW w:w="78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PC</w:t>
            </w:r>
          </w:p>
        </w:tc>
        <w:tc>
          <w:tcPr>
            <w:tcW w:w="76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NC</w:t>
            </w:r>
          </w:p>
        </w:tc>
        <w:tc>
          <w:tcPr>
            <w:tcW w:w="80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0.15% CL</w:t>
            </w:r>
          </w:p>
        </w:tc>
        <w:tc>
          <w:tcPr>
            <w:tcW w:w="80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0.25% GA</w:t>
            </w:r>
          </w:p>
        </w:tc>
        <w:tc>
          <w:tcPr>
            <w:tcW w:w="76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3%</w:t>
            </w:r>
          </w:p>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PLM</w:t>
            </w:r>
          </w:p>
          <w:p w:rsidR="00DE5863" w:rsidRDefault="00DE5863">
            <w:pPr>
              <w:spacing w:line="360" w:lineRule="auto"/>
              <w:jc w:val="both"/>
              <w:rPr>
                <w:rFonts w:ascii="Arial" w:eastAsia="Arial" w:hAnsi="Arial" w:cs="Arial"/>
                <w:sz w:val="14"/>
                <w:szCs w:val="14"/>
              </w:rPr>
            </w:pPr>
          </w:p>
        </w:tc>
        <w:tc>
          <w:tcPr>
            <w:tcW w:w="114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0.15%CL+ 0.25%GA</w:t>
            </w:r>
          </w:p>
        </w:tc>
        <w:tc>
          <w:tcPr>
            <w:tcW w:w="106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0.15%CL</w:t>
            </w:r>
          </w:p>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+3%PLM</w:t>
            </w:r>
          </w:p>
        </w:tc>
        <w:tc>
          <w:tcPr>
            <w:tcW w:w="106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3%PLM+ 0.25%GA</w:t>
            </w:r>
          </w:p>
        </w:tc>
        <w:tc>
          <w:tcPr>
            <w:tcW w:w="106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0.25%CL</w:t>
            </w:r>
          </w:p>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+0.15%GA</w:t>
            </w:r>
          </w:p>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+3%PLM</w:t>
            </w:r>
          </w:p>
        </w:tc>
        <w:tc>
          <w:tcPr>
            <w:tcW w:w="760" w:type="dxa"/>
            <w:tcBorders>
              <w:top w:val="single" w:sz="4" w:space="0" w:color="000000"/>
              <w:bottom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SEM</w:t>
            </w:r>
          </w:p>
        </w:tc>
        <w:tc>
          <w:tcPr>
            <w:tcW w:w="760" w:type="dxa"/>
            <w:tcBorders>
              <w:top w:val="single" w:sz="4" w:space="0" w:color="000000"/>
              <w:bottom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P-Value</w:t>
            </w:r>
          </w:p>
        </w:tc>
      </w:tr>
      <w:tr w:rsidR="00DE5863">
        <w:trPr>
          <w:trHeight w:val="300"/>
        </w:trPr>
        <w:tc>
          <w:tcPr>
            <w:tcW w:w="1080" w:type="dxa"/>
            <w:tcBorders>
              <w:top w:val="single" w:sz="4" w:space="0" w:color="000000"/>
            </w:tcBorders>
            <w:vAlign w:val="bottom"/>
          </w:tcPr>
          <w:p w:rsidR="00DE5863" w:rsidRDefault="008538E9">
            <w:pPr>
              <w:spacing w:line="360" w:lineRule="auto"/>
              <w:rPr>
                <w:rFonts w:ascii="Arial" w:eastAsia="Arial" w:hAnsi="Arial" w:cs="Arial"/>
                <w:sz w:val="14"/>
                <w:szCs w:val="14"/>
              </w:rPr>
            </w:pPr>
            <w:r>
              <w:rPr>
                <w:rFonts w:ascii="Arial" w:eastAsia="Arial" w:hAnsi="Arial" w:cs="Arial"/>
                <w:sz w:val="14"/>
                <w:szCs w:val="14"/>
              </w:rPr>
              <w:t>IBW (g)</w:t>
            </w:r>
          </w:p>
        </w:tc>
        <w:tc>
          <w:tcPr>
            <w:tcW w:w="78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40.28</w:t>
            </w:r>
          </w:p>
        </w:tc>
        <w:tc>
          <w:tcPr>
            <w:tcW w:w="7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40.18</w:t>
            </w:r>
          </w:p>
        </w:tc>
        <w:tc>
          <w:tcPr>
            <w:tcW w:w="80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39.98</w:t>
            </w:r>
          </w:p>
        </w:tc>
        <w:tc>
          <w:tcPr>
            <w:tcW w:w="80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40.20</w:t>
            </w:r>
          </w:p>
        </w:tc>
        <w:tc>
          <w:tcPr>
            <w:tcW w:w="7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40.14</w:t>
            </w:r>
          </w:p>
        </w:tc>
        <w:tc>
          <w:tcPr>
            <w:tcW w:w="114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40.10</w:t>
            </w:r>
          </w:p>
        </w:tc>
        <w:tc>
          <w:tcPr>
            <w:tcW w:w="10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40.06</w:t>
            </w:r>
          </w:p>
        </w:tc>
        <w:tc>
          <w:tcPr>
            <w:tcW w:w="10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39.90</w:t>
            </w:r>
          </w:p>
        </w:tc>
        <w:tc>
          <w:tcPr>
            <w:tcW w:w="10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40.16</w:t>
            </w:r>
          </w:p>
        </w:tc>
        <w:tc>
          <w:tcPr>
            <w:tcW w:w="7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0.07</w:t>
            </w:r>
          </w:p>
        </w:tc>
        <w:tc>
          <w:tcPr>
            <w:tcW w:w="76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0.975</w:t>
            </w:r>
          </w:p>
        </w:tc>
      </w:tr>
      <w:tr w:rsidR="00DE5863">
        <w:trPr>
          <w:trHeight w:val="300"/>
        </w:trPr>
        <w:tc>
          <w:tcPr>
            <w:tcW w:w="1080" w:type="dxa"/>
            <w:vAlign w:val="bottom"/>
          </w:tcPr>
          <w:p w:rsidR="00DE5863" w:rsidRDefault="008538E9">
            <w:pPr>
              <w:spacing w:line="360" w:lineRule="auto"/>
              <w:rPr>
                <w:rFonts w:ascii="Arial" w:eastAsia="Arial" w:hAnsi="Arial" w:cs="Arial"/>
                <w:sz w:val="14"/>
                <w:szCs w:val="14"/>
              </w:rPr>
            </w:pPr>
            <w:r>
              <w:rPr>
                <w:rFonts w:ascii="Arial" w:eastAsia="Arial" w:hAnsi="Arial" w:cs="Arial"/>
                <w:sz w:val="14"/>
                <w:szCs w:val="14"/>
              </w:rPr>
              <w:t>ADWG (g)</w:t>
            </w:r>
          </w:p>
        </w:tc>
        <w:tc>
          <w:tcPr>
            <w:tcW w:w="78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47.93</w:t>
            </w:r>
            <w:r>
              <w:rPr>
                <w:rFonts w:ascii="Arial" w:eastAsia="Arial" w:hAnsi="Arial" w:cs="Arial"/>
                <w:sz w:val="14"/>
                <w:szCs w:val="14"/>
                <w:vertAlign w:val="superscript"/>
              </w:rPr>
              <w:t>abc</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44.22</w:t>
            </w:r>
            <w:r>
              <w:rPr>
                <w:rFonts w:ascii="Arial" w:eastAsia="Arial" w:hAnsi="Arial" w:cs="Arial"/>
                <w:sz w:val="14"/>
                <w:szCs w:val="14"/>
                <w:vertAlign w:val="superscript"/>
              </w:rPr>
              <w:t>c</w:t>
            </w:r>
          </w:p>
        </w:tc>
        <w:tc>
          <w:tcPr>
            <w:tcW w:w="80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47.31</w:t>
            </w:r>
            <w:r>
              <w:rPr>
                <w:rFonts w:ascii="Arial" w:eastAsia="Arial" w:hAnsi="Arial" w:cs="Arial"/>
                <w:sz w:val="14"/>
                <w:szCs w:val="14"/>
                <w:vertAlign w:val="superscript"/>
              </w:rPr>
              <w:t>bc</w:t>
            </w:r>
          </w:p>
        </w:tc>
        <w:tc>
          <w:tcPr>
            <w:tcW w:w="80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47.94</w:t>
            </w:r>
            <w:r>
              <w:rPr>
                <w:rFonts w:ascii="Arial" w:eastAsia="Arial" w:hAnsi="Arial" w:cs="Arial"/>
                <w:sz w:val="14"/>
                <w:szCs w:val="14"/>
                <w:vertAlign w:val="superscript"/>
              </w:rPr>
              <w:t>abc</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52.85</w:t>
            </w:r>
            <w:r>
              <w:rPr>
                <w:rFonts w:ascii="Arial" w:eastAsia="Arial" w:hAnsi="Arial" w:cs="Arial"/>
                <w:sz w:val="14"/>
                <w:szCs w:val="14"/>
                <w:vertAlign w:val="superscript"/>
              </w:rPr>
              <w:t>a</w:t>
            </w:r>
          </w:p>
        </w:tc>
        <w:tc>
          <w:tcPr>
            <w:tcW w:w="11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50.51</w:t>
            </w:r>
            <w:r>
              <w:rPr>
                <w:rFonts w:ascii="Arial" w:eastAsia="Arial" w:hAnsi="Arial" w:cs="Arial"/>
                <w:sz w:val="14"/>
                <w:szCs w:val="14"/>
                <w:vertAlign w:val="superscript"/>
              </w:rPr>
              <w:t>ab</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50.91</w:t>
            </w:r>
            <w:r>
              <w:rPr>
                <w:rFonts w:ascii="Arial" w:eastAsia="Arial" w:hAnsi="Arial" w:cs="Arial"/>
                <w:sz w:val="14"/>
                <w:szCs w:val="14"/>
                <w:vertAlign w:val="superscript"/>
              </w:rPr>
              <w:t>ab</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52.52</w:t>
            </w:r>
            <w:r>
              <w:rPr>
                <w:rFonts w:ascii="Arial" w:eastAsia="Arial" w:hAnsi="Arial" w:cs="Arial"/>
                <w:sz w:val="14"/>
                <w:szCs w:val="14"/>
                <w:vertAlign w:val="superscript"/>
              </w:rPr>
              <w:t>ab</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51.82</w:t>
            </w:r>
            <w:r>
              <w:rPr>
                <w:rFonts w:ascii="Arial" w:eastAsia="Arial" w:hAnsi="Arial" w:cs="Arial"/>
                <w:sz w:val="14"/>
                <w:szCs w:val="14"/>
                <w:vertAlign w:val="superscript"/>
              </w:rPr>
              <w:t>ab</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0.65</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0.011</w:t>
            </w:r>
          </w:p>
        </w:tc>
      </w:tr>
      <w:tr w:rsidR="00DE5863">
        <w:trPr>
          <w:trHeight w:val="300"/>
        </w:trPr>
        <w:tc>
          <w:tcPr>
            <w:tcW w:w="1080" w:type="dxa"/>
            <w:vAlign w:val="bottom"/>
          </w:tcPr>
          <w:p w:rsidR="00DE5863" w:rsidRDefault="008538E9">
            <w:pPr>
              <w:spacing w:line="360" w:lineRule="auto"/>
              <w:rPr>
                <w:rFonts w:ascii="Arial" w:eastAsia="Arial" w:hAnsi="Arial" w:cs="Arial"/>
                <w:sz w:val="14"/>
                <w:szCs w:val="14"/>
              </w:rPr>
            </w:pPr>
            <w:r>
              <w:rPr>
                <w:rFonts w:ascii="Arial" w:eastAsia="Arial" w:hAnsi="Arial" w:cs="Arial"/>
                <w:sz w:val="14"/>
                <w:szCs w:val="14"/>
              </w:rPr>
              <w:t>ADFI (g)</w:t>
            </w:r>
          </w:p>
        </w:tc>
        <w:tc>
          <w:tcPr>
            <w:tcW w:w="78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78.65</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77.96</w:t>
            </w:r>
          </w:p>
        </w:tc>
        <w:tc>
          <w:tcPr>
            <w:tcW w:w="80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75.66</w:t>
            </w:r>
          </w:p>
        </w:tc>
        <w:tc>
          <w:tcPr>
            <w:tcW w:w="80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77.15</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78.23</w:t>
            </w:r>
          </w:p>
        </w:tc>
        <w:tc>
          <w:tcPr>
            <w:tcW w:w="11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74.90</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75.31</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73.69</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79.61</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0.91</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0.864</w:t>
            </w:r>
          </w:p>
        </w:tc>
      </w:tr>
      <w:tr w:rsidR="00DE5863">
        <w:trPr>
          <w:trHeight w:val="300"/>
        </w:trPr>
        <w:tc>
          <w:tcPr>
            <w:tcW w:w="1080" w:type="dxa"/>
            <w:vAlign w:val="bottom"/>
          </w:tcPr>
          <w:p w:rsidR="00DE5863" w:rsidRDefault="008538E9">
            <w:pPr>
              <w:spacing w:line="360" w:lineRule="auto"/>
              <w:rPr>
                <w:rFonts w:ascii="Arial" w:eastAsia="Arial" w:hAnsi="Arial" w:cs="Arial"/>
                <w:sz w:val="14"/>
                <w:szCs w:val="14"/>
              </w:rPr>
            </w:pPr>
            <w:r>
              <w:rPr>
                <w:rFonts w:ascii="Arial" w:eastAsia="Arial" w:hAnsi="Arial" w:cs="Arial"/>
                <w:sz w:val="14"/>
                <w:szCs w:val="14"/>
              </w:rPr>
              <w:t xml:space="preserve">FCR </w:t>
            </w:r>
          </w:p>
        </w:tc>
        <w:tc>
          <w:tcPr>
            <w:tcW w:w="78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1.65</w:t>
            </w:r>
            <w:r>
              <w:rPr>
                <w:rFonts w:ascii="Arial" w:eastAsia="Arial" w:hAnsi="Arial" w:cs="Arial"/>
                <w:sz w:val="14"/>
                <w:szCs w:val="14"/>
                <w:vertAlign w:val="superscript"/>
              </w:rPr>
              <w:t>ab</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1.78</w:t>
            </w:r>
            <w:r>
              <w:rPr>
                <w:rFonts w:ascii="Arial" w:eastAsia="Arial" w:hAnsi="Arial" w:cs="Arial"/>
                <w:sz w:val="14"/>
                <w:szCs w:val="14"/>
                <w:vertAlign w:val="superscript"/>
              </w:rPr>
              <w:t>a</w:t>
            </w:r>
          </w:p>
        </w:tc>
        <w:tc>
          <w:tcPr>
            <w:tcW w:w="80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1.61</w:t>
            </w:r>
            <w:r>
              <w:rPr>
                <w:rFonts w:ascii="Arial" w:eastAsia="Arial" w:hAnsi="Arial" w:cs="Arial"/>
                <w:sz w:val="14"/>
                <w:szCs w:val="14"/>
                <w:vertAlign w:val="superscript"/>
              </w:rPr>
              <w:t>ab</w:t>
            </w:r>
          </w:p>
        </w:tc>
        <w:tc>
          <w:tcPr>
            <w:tcW w:w="80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1.61</w:t>
            </w:r>
            <w:r>
              <w:rPr>
                <w:rFonts w:ascii="Arial" w:eastAsia="Arial" w:hAnsi="Arial" w:cs="Arial"/>
                <w:sz w:val="14"/>
                <w:szCs w:val="14"/>
                <w:vertAlign w:val="superscript"/>
              </w:rPr>
              <w:t>ab</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1.48</w:t>
            </w:r>
            <w:r>
              <w:rPr>
                <w:rFonts w:ascii="Arial" w:eastAsia="Arial" w:hAnsi="Arial" w:cs="Arial"/>
                <w:sz w:val="14"/>
                <w:szCs w:val="14"/>
                <w:vertAlign w:val="superscript"/>
              </w:rPr>
              <w:t>c</w:t>
            </w:r>
          </w:p>
        </w:tc>
        <w:tc>
          <w:tcPr>
            <w:tcW w:w="11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1.49</w:t>
            </w:r>
            <w:r>
              <w:rPr>
                <w:rFonts w:ascii="Arial" w:eastAsia="Arial" w:hAnsi="Arial" w:cs="Arial"/>
                <w:sz w:val="14"/>
                <w:szCs w:val="14"/>
                <w:vertAlign w:val="superscript"/>
              </w:rPr>
              <w:t>c</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1.48</w:t>
            </w:r>
            <w:r>
              <w:rPr>
                <w:rFonts w:ascii="Arial" w:eastAsia="Arial" w:hAnsi="Arial" w:cs="Arial"/>
                <w:sz w:val="14"/>
                <w:szCs w:val="14"/>
                <w:vertAlign w:val="superscript"/>
              </w:rPr>
              <w:t>c</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1.41</w:t>
            </w:r>
            <w:r>
              <w:rPr>
                <w:rFonts w:ascii="Arial" w:eastAsia="Arial" w:hAnsi="Arial" w:cs="Arial"/>
                <w:sz w:val="14"/>
                <w:szCs w:val="14"/>
                <w:vertAlign w:val="superscript"/>
              </w:rPr>
              <w:t>c</w:t>
            </w:r>
          </w:p>
        </w:tc>
        <w:tc>
          <w:tcPr>
            <w:tcW w:w="10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1.54</w:t>
            </w:r>
            <w:r>
              <w:rPr>
                <w:rFonts w:ascii="Arial" w:eastAsia="Arial" w:hAnsi="Arial" w:cs="Arial"/>
                <w:sz w:val="14"/>
                <w:szCs w:val="14"/>
                <w:vertAlign w:val="superscript"/>
              </w:rPr>
              <w:t>c</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0.03</w:t>
            </w:r>
          </w:p>
        </w:tc>
        <w:tc>
          <w:tcPr>
            <w:tcW w:w="76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0.035</w:t>
            </w:r>
          </w:p>
        </w:tc>
      </w:tr>
    </w:tbl>
    <w:p w:rsidR="00DE5863" w:rsidRDefault="008538E9">
      <w:pPr>
        <w:jc w:val="both"/>
        <w:rPr>
          <w:rFonts w:ascii="Arial" w:eastAsia="Arial" w:hAnsi="Arial" w:cs="Arial"/>
          <w:sz w:val="16"/>
          <w:szCs w:val="16"/>
        </w:rPr>
      </w:pPr>
      <w:proofErr w:type="spellStart"/>
      <w:proofErr w:type="gramStart"/>
      <w:r>
        <w:rPr>
          <w:rFonts w:ascii="Arial" w:eastAsia="Arial" w:hAnsi="Arial" w:cs="Arial"/>
          <w:sz w:val="14"/>
          <w:szCs w:val="14"/>
          <w:vertAlign w:val="superscript"/>
        </w:rPr>
        <w:t>a,b</w:t>
      </w:r>
      <w:proofErr w:type="gramEnd"/>
      <w:r>
        <w:rPr>
          <w:rFonts w:ascii="Arial" w:eastAsia="Arial" w:hAnsi="Arial" w:cs="Arial"/>
          <w:sz w:val="14"/>
          <w:szCs w:val="14"/>
          <w:vertAlign w:val="superscript"/>
        </w:rPr>
        <w:t>,c</w:t>
      </w:r>
      <w:proofErr w:type="spellEnd"/>
      <w:r>
        <w:rPr>
          <w:rFonts w:ascii="Arial" w:eastAsia="Arial" w:hAnsi="Arial" w:cs="Arial"/>
          <w:sz w:val="14"/>
          <w:szCs w:val="14"/>
        </w:rPr>
        <w:t xml:space="preserve"> Means in the same row with different superscripts differ (P&lt;0.05), FCR: Feed Conversion Ratio, ADFI: Average Daily Feed Intake, ADGW: Average Daily Gain Weight, IBW: Initial Body Weight, NC: Negative Control, PC: Positive Control, SEM: Standard Error of Mean, CL: Clove Meal, GA: Garlic, PLM: Pawpaw Leaf Meal</w:t>
      </w:r>
      <w:r>
        <w:rPr>
          <w:rFonts w:ascii="Arial" w:eastAsia="Arial" w:hAnsi="Arial" w:cs="Arial"/>
          <w:sz w:val="16"/>
          <w:szCs w:val="16"/>
        </w:rPr>
        <w:t>.</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Intestinal Morphology</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Intestinal morphology data provide insight on how diet affects absorptive surfaces, gut health and nutrient uptake. In this research, inclusion of CL, GA and PLM significantly affected several parameters such as villus height (VH), villus width (VW), crypt depth (CD), muscle thickness (MT), and the villus </w:t>
      </w:r>
      <w:proofErr w:type="spellStart"/>
      <w:proofErr w:type="gramStart"/>
      <w:r>
        <w:rPr>
          <w:rFonts w:ascii="Arial" w:eastAsia="Arial" w:hAnsi="Arial" w:cs="Arial"/>
        </w:rPr>
        <w:t>height:crypt</w:t>
      </w:r>
      <w:proofErr w:type="spellEnd"/>
      <w:proofErr w:type="gramEnd"/>
      <w:r>
        <w:rPr>
          <w:rFonts w:ascii="Arial" w:eastAsia="Arial" w:hAnsi="Arial" w:cs="Arial"/>
        </w:rPr>
        <w:t xml:space="preserve"> depth (VH/CD) ratio. Birds on the negative control had the lowest villi height (2.21) and lowest VH/CD ratio (3.80). In contrast, birds on supplemented treatments had significantly higher villi height (up to 3.19) and markedly improved VH/CD ratios (up to 7.03). The improved morphology suggests enhanced absorptive capacity, longer villi provide greater surface area for nutrient absorption, and shallow crypts indicate lower epithelial cell turnover and less stress related tissue renewal (Uni </w:t>
      </w:r>
      <w:r>
        <w:rPr>
          <w:rFonts w:ascii="Arial" w:eastAsia="Arial" w:hAnsi="Arial" w:cs="Arial"/>
          <w:i/>
          <w:iCs/>
        </w:rPr>
        <w:t>et al</w:t>
      </w:r>
      <w:r>
        <w:rPr>
          <w:rFonts w:ascii="Arial" w:eastAsia="Arial" w:hAnsi="Arial" w:cs="Arial"/>
        </w:rPr>
        <w:t xml:space="preserve">., 2020) </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These morphological improvements likely underlie the better growth performance in supplemented birds. The improved VH/CD ratio is of particular interest; higher ratios are widely considered to signify healthier and more efficient intestines (Hashemi and </w:t>
      </w:r>
      <w:proofErr w:type="spellStart"/>
      <w:r>
        <w:rPr>
          <w:rFonts w:ascii="Arial" w:eastAsia="Arial" w:hAnsi="Arial" w:cs="Arial"/>
        </w:rPr>
        <w:t>Davoodi</w:t>
      </w:r>
      <w:proofErr w:type="spellEnd"/>
      <w:r>
        <w:rPr>
          <w:rFonts w:ascii="Arial" w:eastAsia="Arial" w:hAnsi="Arial" w:cs="Arial"/>
        </w:rPr>
        <w:t xml:space="preserve">, 2011). The fact that crypt depth was reduced in combining treatments, as seen in 0.15 % CL + 0.25 % GA + 3 % PLM had a CD of 4.35, the lowest in the study, which further confirms the improved gut health. The mechanisms by which CL, GA and PLM improve morphology may include antimicrobial effects reducing pathogen load, antioxidant effects reducing epithelial oxidative damage, and stimulation of digestive enzyme secretion. For instance, allicin (from garlic) and eugenol (from clove) have been shown to promote gut health by modulating microbiota and reducing inflammation (Abd El-Hack </w:t>
      </w:r>
      <w:r>
        <w:rPr>
          <w:rFonts w:ascii="Arial" w:eastAsia="Arial" w:hAnsi="Arial" w:cs="Arial"/>
          <w:i/>
          <w:iCs/>
        </w:rPr>
        <w:t>et al.</w:t>
      </w:r>
      <w:r>
        <w:rPr>
          <w:rFonts w:ascii="Arial" w:eastAsia="Arial" w:hAnsi="Arial" w:cs="Arial"/>
        </w:rPr>
        <w:t xml:space="preserve">, 2022). The pawpaw leaf meal may add further benefits via proteolytic enzymes (papain) and bioactive phenolics supporting gut integrity and nutrient </w:t>
      </w:r>
      <w:proofErr w:type="gramStart"/>
      <w:r>
        <w:rPr>
          <w:rFonts w:ascii="Arial" w:eastAsia="Arial" w:hAnsi="Arial" w:cs="Arial"/>
        </w:rPr>
        <w:t>absorption(</w:t>
      </w:r>
      <w:proofErr w:type="spellStart"/>
      <w:proofErr w:type="gramEnd"/>
      <w:r>
        <w:rPr>
          <w:rFonts w:ascii="Arial" w:eastAsia="Arial" w:hAnsi="Arial" w:cs="Arial"/>
        </w:rPr>
        <w:t>Chaijan</w:t>
      </w:r>
      <w:proofErr w:type="spellEnd"/>
      <w:r>
        <w:rPr>
          <w:rFonts w:ascii="Arial" w:eastAsia="Arial" w:hAnsi="Arial" w:cs="Arial"/>
        </w:rPr>
        <w:t xml:space="preserve"> </w:t>
      </w:r>
      <w:r>
        <w:rPr>
          <w:rFonts w:ascii="Arial" w:eastAsia="Arial" w:hAnsi="Arial" w:cs="Arial"/>
          <w:i/>
          <w:iCs/>
        </w:rPr>
        <w:t xml:space="preserve">et al., </w:t>
      </w:r>
      <w:r>
        <w:rPr>
          <w:rFonts w:ascii="Arial" w:eastAsia="Arial" w:hAnsi="Arial" w:cs="Arial"/>
        </w:rPr>
        <w:t>2024).</w:t>
      </w:r>
    </w:p>
    <w:p w:rsidR="00DE5863" w:rsidRDefault="00DE5863">
      <w:pPr>
        <w:pStyle w:val="Heading1"/>
        <w:keepLines/>
        <w:spacing w:before="0" w:after="0" w:line="360" w:lineRule="auto"/>
        <w:jc w:val="both"/>
        <w:rPr>
          <w:sz w:val="16"/>
          <w:szCs w:val="16"/>
        </w:rPr>
      </w:pPr>
      <w:bookmarkStart w:id="2" w:name="_jr7hi5ygmver" w:colFirst="0" w:colLast="0"/>
      <w:bookmarkEnd w:id="2"/>
    </w:p>
    <w:p w:rsidR="00DE5863" w:rsidRDefault="00DE5863">
      <w:pPr>
        <w:rPr>
          <w:rFonts w:ascii="Arial" w:eastAsia="Arial" w:hAnsi="Arial" w:cs="Arial"/>
        </w:rPr>
      </w:pPr>
    </w:p>
    <w:p w:rsidR="00DE5863" w:rsidRDefault="00DE5863">
      <w:pPr>
        <w:pStyle w:val="Heading1"/>
        <w:keepLines/>
        <w:spacing w:before="0" w:after="0" w:line="360" w:lineRule="auto"/>
        <w:jc w:val="both"/>
        <w:rPr>
          <w:sz w:val="16"/>
          <w:szCs w:val="16"/>
        </w:rPr>
      </w:pPr>
      <w:bookmarkStart w:id="3" w:name="_ivsl61jh70e3" w:colFirst="0" w:colLast="0"/>
      <w:bookmarkEnd w:id="3"/>
    </w:p>
    <w:p w:rsidR="00DE5863" w:rsidRDefault="00DE5863"/>
    <w:p w:rsidR="00DE5863" w:rsidRDefault="00DE5863">
      <w:pPr>
        <w:pStyle w:val="Heading1"/>
        <w:keepLines/>
        <w:spacing w:before="0" w:after="0" w:line="360" w:lineRule="auto"/>
        <w:jc w:val="both"/>
        <w:rPr>
          <w:sz w:val="14"/>
          <w:szCs w:val="14"/>
        </w:rPr>
      </w:pPr>
      <w:bookmarkStart w:id="4" w:name="_c62dst2n5moo" w:colFirst="0" w:colLast="0"/>
      <w:bookmarkEnd w:id="4"/>
    </w:p>
    <w:p w:rsidR="00DE5863" w:rsidRDefault="00DE5863">
      <w:pPr>
        <w:pStyle w:val="Heading1"/>
        <w:keepLines/>
        <w:spacing w:before="0" w:after="0" w:line="360" w:lineRule="auto"/>
        <w:jc w:val="both"/>
        <w:rPr>
          <w:sz w:val="14"/>
          <w:szCs w:val="14"/>
        </w:rPr>
      </w:pPr>
      <w:bookmarkStart w:id="5" w:name="_136mrshpjsne" w:colFirst="0" w:colLast="0"/>
      <w:bookmarkEnd w:id="5"/>
    </w:p>
    <w:p w:rsidR="00DE5863" w:rsidRDefault="00DE5863">
      <w:pPr>
        <w:pStyle w:val="Heading1"/>
        <w:keepLines/>
        <w:spacing w:before="0" w:after="0" w:line="360" w:lineRule="auto"/>
        <w:jc w:val="both"/>
        <w:rPr>
          <w:sz w:val="14"/>
          <w:szCs w:val="14"/>
        </w:rPr>
      </w:pPr>
      <w:bookmarkStart w:id="6" w:name="_hwc2uaeom7je" w:colFirst="0" w:colLast="0"/>
      <w:bookmarkEnd w:id="6"/>
    </w:p>
    <w:p w:rsidR="00DE5863" w:rsidRDefault="008538E9">
      <w:pPr>
        <w:pStyle w:val="Heading1"/>
        <w:keepLines/>
        <w:spacing w:before="0" w:after="0" w:line="360" w:lineRule="auto"/>
        <w:jc w:val="both"/>
        <w:rPr>
          <w:sz w:val="14"/>
          <w:szCs w:val="14"/>
        </w:rPr>
      </w:pPr>
      <w:bookmarkStart w:id="7" w:name="_6okk68lamr7" w:colFirst="0" w:colLast="0"/>
      <w:bookmarkEnd w:id="7"/>
      <w:r>
        <w:rPr>
          <w:sz w:val="14"/>
          <w:szCs w:val="14"/>
        </w:rPr>
        <w:t xml:space="preserve">Table 2: </w:t>
      </w:r>
      <w:r>
        <w:rPr>
          <w:b w:val="0"/>
          <w:bCs w:val="0"/>
          <w:sz w:val="14"/>
          <w:szCs w:val="14"/>
        </w:rPr>
        <w:t>Influence of clove, garlic, and pawpaw leaf meals on gut morphology of broiler chickens</w:t>
      </w:r>
    </w:p>
    <w:tbl>
      <w:tblPr>
        <w:tblStyle w:val="a0"/>
        <w:tblpPr w:leftFromText="180" w:rightFromText="180" w:topFromText="180" w:bottomFromText="180" w:vertAnchor="text" w:tblpX="-1070"/>
        <w:tblW w:w="10740" w:type="dxa"/>
        <w:tblInd w:w="0" w:type="dxa"/>
        <w:tblBorders>
          <w:top w:val="single" w:sz="4" w:space="0" w:color="000000"/>
          <w:bottom w:val="single" w:sz="4" w:space="0" w:color="000000"/>
        </w:tblBorders>
        <w:tblLayout w:type="fixed"/>
        <w:tblLook w:val="0400" w:firstRow="0" w:lastRow="0" w:firstColumn="0" w:lastColumn="0" w:noHBand="0" w:noVBand="1"/>
      </w:tblPr>
      <w:tblGrid>
        <w:gridCol w:w="1159"/>
        <w:gridCol w:w="859"/>
        <w:gridCol w:w="880"/>
        <w:gridCol w:w="860"/>
        <w:gridCol w:w="860"/>
        <w:gridCol w:w="860"/>
        <w:gridCol w:w="1021"/>
        <w:gridCol w:w="861"/>
        <w:gridCol w:w="119"/>
        <w:gridCol w:w="821"/>
        <w:gridCol w:w="119"/>
        <w:gridCol w:w="921"/>
        <w:gridCol w:w="139"/>
        <w:gridCol w:w="561"/>
        <w:gridCol w:w="59"/>
        <w:gridCol w:w="541"/>
        <w:gridCol w:w="100"/>
      </w:tblGrid>
      <w:tr w:rsidR="00DE5863">
        <w:trPr>
          <w:trHeight w:val="323"/>
        </w:trPr>
        <w:tc>
          <w:tcPr>
            <w:tcW w:w="1160" w:type="dxa"/>
            <w:tcBorders>
              <w:bottom w:val="single" w:sz="4" w:space="0" w:color="000000"/>
            </w:tcBorders>
            <w:vAlign w:val="bottom"/>
          </w:tcPr>
          <w:p w:rsidR="00DE5863" w:rsidRDefault="008538E9">
            <w:pPr>
              <w:jc w:val="both"/>
              <w:rPr>
                <w:rFonts w:ascii="Arial" w:eastAsia="Arial" w:hAnsi="Arial" w:cs="Arial"/>
                <w:sz w:val="14"/>
                <w:szCs w:val="14"/>
              </w:rPr>
            </w:pPr>
            <w:r>
              <w:rPr>
                <w:rFonts w:ascii="Arial" w:eastAsia="Arial" w:hAnsi="Arial" w:cs="Arial"/>
                <w:sz w:val="14"/>
                <w:szCs w:val="14"/>
              </w:rPr>
              <w:t>Parameters</w:t>
            </w:r>
          </w:p>
        </w:tc>
        <w:tc>
          <w:tcPr>
            <w:tcW w:w="86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PC</w:t>
            </w:r>
          </w:p>
        </w:tc>
        <w:tc>
          <w:tcPr>
            <w:tcW w:w="88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NC</w:t>
            </w:r>
          </w:p>
        </w:tc>
        <w:tc>
          <w:tcPr>
            <w:tcW w:w="86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0.15% CL</w:t>
            </w:r>
          </w:p>
        </w:tc>
        <w:tc>
          <w:tcPr>
            <w:tcW w:w="86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0.25% GA</w:t>
            </w:r>
          </w:p>
        </w:tc>
        <w:tc>
          <w:tcPr>
            <w:tcW w:w="860" w:type="dxa"/>
            <w:tcBorders>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3%</w:t>
            </w:r>
          </w:p>
          <w:p w:rsidR="00DE5863" w:rsidRDefault="008538E9">
            <w:pPr>
              <w:jc w:val="both"/>
              <w:rPr>
                <w:rFonts w:ascii="Arial" w:eastAsia="Arial" w:hAnsi="Arial" w:cs="Arial"/>
                <w:sz w:val="14"/>
                <w:szCs w:val="14"/>
              </w:rPr>
            </w:pPr>
            <w:r>
              <w:rPr>
                <w:rFonts w:ascii="Arial" w:eastAsia="Arial" w:hAnsi="Arial" w:cs="Arial"/>
                <w:sz w:val="14"/>
                <w:szCs w:val="14"/>
              </w:rPr>
              <w:t>PLM</w:t>
            </w:r>
          </w:p>
          <w:p w:rsidR="00DE5863" w:rsidRDefault="00DE5863">
            <w:pPr>
              <w:jc w:val="center"/>
              <w:rPr>
                <w:rFonts w:ascii="Arial" w:eastAsia="Arial" w:hAnsi="Arial" w:cs="Arial"/>
                <w:sz w:val="14"/>
                <w:szCs w:val="14"/>
              </w:rPr>
            </w:pPr>
          </w:p>
        </w:tc>
        <w:tc>
          <w:tcPr>
            <w:tcW w:w="1021"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0.15%CL+ 0.25%GA</w:t>
            </w:r>
          </w:p>
        </w:tc>
        <w:tc>
          <w:tcPr>
            <w:tcW w:w="980" w:type="dxa"/>
            <w:gridSpan w:val="2"/>
            <w:tcBorders>
              <w:bottom w:val="single" w:sz="4" w:space="0" w:color="000000"/>
            </w:tcBorders>
            <w:vAlign w:val="center"/>
          </w:tcPr>
          <w:p w:rsidR="00DE5863" w:rsidRDefault="008538E9">
            <w:pPr>
              <w:ind w:right="-165"/>
              <w:jc w:val="both"/>
              <w:rPr>
                <w:rFonts w:ascii="Arial" w:eastAsia="Arial" w:hAnsi="Arial" w:cs="Arial"/>
                <w:sz w:val="14"/>
                <w:szCs w:val="14"/>
              </w:rPr>
            </w:pPr>
            <w:r>
              <w:rPr>
                <w:rFonts w:ascii="Arial" w:eastAsia="Arial" w:hAnsi="Arial" w:cs="Arial"/>
                <w:sz w:val="14"/>
                <w:szCs w:val="14"/>
              </w:rPr>
              <w:t>0.15%CL</w:t>
            </w:r>
          </w:p>
          <w:p w:rsidR="00DE5863" w:rsidRDefault="008538E9">
            <w:pPr>
              <w:ind w:right="-165"/>
              <w:jc w:val="center"/>
              <w:rPr>
                <w:rFonts w:ascii="Arial" w:eastAsia="Arial" w:hAnsi="Arial" w:cs="Arial"/>
                <w:sz w:val="14"/>
                <w:szCs w:val="14"/>
              </w:rPr>
            </w:pPr>
            <w:r>
              <w:rPr>
                <w:rFonts w:ascii="Arial" w:eastAsia="Arial" w:hAnsi="Arial" w:cs="Arial"/>
                <w:sz w:val="14"/>
                <w:szCs w:val="14"/>
              </w:rPr>
              <w:t>+3%PLM</w:t>
            </w:r>
          </w:p>
        </w:tc>
        <w:tc>
          <w:tcPr>
            <w:tcW w:w="940" w:type="dxa"/>
            <w:gridSpan w:val="2"/>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3%PLM+ 0.25%GA</w:t>
            </w:r>
          </w:p>
        </w:tc>
        <w:tc>
          <w:tcPr>
            <w:tcW w:w="1060" w:type="dxa"/>
            <w:gridSpan w:val="2"/>
            <w:tcBorders>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0.25%CL</w:t>
            </w:r>
          </w:p>
          <w:p w:rsidR="00DE5863" w:rsidRDefault="008538E9">
            <w:pPr>
              <w:jc w:val="both"/>
              <w:rPr>
                <w:rFonts w:ascii="Arial" w:eastAsia="Arial" w:hAnsi="Arial" w:cs="Arial"/>
                <w:sz w:val="14"/>
                <w:szCs w:val="14"/>
              </w:rPr>
            </w:pPr>
            <w:r>
              <w:rPr>
                <w:rFonts w:ascii="Arial" w:eastAsia="Arial" w:hAnsi="Arial" w:cs="Arial"/>
                <w:sz w:val="14"/>
                <w:szCs w:val="14"/>
              </w:rPr>
              <w:t>+0.15%GA</w:t>
            </w:r>
          </w:p>
          <w:p w:rsidR="00DE5863" w:rsidRDefault="008538E9">
            <w:pPr>
              <w:jc w:val="center"/>
              <w:rPr>
                <w:rFonts w:ascii="Arial" w:eastAsia="Arial" w:hAnsi="Arial" w:cs="Arial"/>
                <w:sz w:val="14"/>
                <w:szCs w:val="14"/>
              </w:rPr>
            </w:pPr>
            <w:r>
              <w:rPr>
                <w:rFonts w:ascii="Arial" w:eastAsia="Arial" w:hAnsi="Arial" w:cs="Arial"/>
                <w:sz w:val="14"/>
                <w:szCs w:val="14"/>
              </w:rPr>
              <w:t>+3%PLM</w:t>
            </w:r>
          </w:p>
        </w:tc>
        <w:tc>
          <w:tcPr>
            <w:tcW w:w="620" w:type="dxa"/>
            <w:gridSpan w:val="2"/>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SEM</w:t>
            </w:r>
          </w:p>
        </w:tc>
        <w:tc>
          <w:tcPr>
            <w:tcW w:w="640" w:type="dxa"/>
            <w:gridSpan w:val="2"/>
            <w:tcBorders>
              <w:bottom w:val="single" w:sz="4" w:space="0" w:color="000000"/>
            </w:tcBorders>
            <w:vAlign w:val="bottom"/>
          </w:tcPr>
          <w:p w:rsidR="00DE5863" w:rsidRDefault="008538E9">
            <w:pPr>
              <w:ind w:right="-180"/>
              <w:jc w:val="center"/>
              <w:rPr>
                <w:rFonts w:ascii="Arial" w:eastAsia="Arial" w:hAnsi="Arial" w:cs="Arial"/>
                <w:sz w:val="14"/>
                <w:szCs w:val="14"/>
              </w:rPr>
            </w:pPr>
            <w:r>
              <w:rPr>
                <w:rFonts w:ascii="Arial" w:eastAsia="Arial" w:hAnsi="Arial" w:cs="Arial"/>
                <w:sz w:val="14"/>
                <w:szCs w:val="14"/>
              </w:rPr>
              <w:t>P-Value</w:t>
            </w:r>
          </w:p>
        </w:tc>
      </w:tr>
      <w:tr w:rsidR="00DE5863">
        <w:trPr>
          <w:gridAfter w:val="1"/>
          <w:wAfter w:w="100" w:type="dxa"/>
          <w:trHeight w:val="323"/>
        </w:trPr>
        <w:tc>
          <w:tcPr>
            <w:tcW w:w="1160" w:type="dxa"/>
            <w:tcBorders>
              <w:top w:val="single" w:sz="4" w:space="0" w:color="000000"/>
            </w:tcBorders>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VH (µm)</w:t>
            </w:r>
          </w:p>
        </w:tc>
        <w:tc>
          <w:tcPr>
            <w:tcW w:w="860" w:type="dxa"/>
            <w:tcBorders>
              <w:top w:val="single" w:sz="4" w:space="0" w:color="000000"/>
            </w:tcBorders>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2707.50</w:t>
            </w:r>
            <w:r>
              <w:rPr>
                <w:rFonts w:ascii="Arial" w:eastAsia="Arial" w:hAnsi="Arial" w:cs="Arial"/>
                <w:sz w:val="14"/>
                <w:szCs w:val="14"/>
                <w:vertAlign w:val="superscript"/>
              </w:rPr>
              <w:t>a</w:t>
            </w:r>
          </w:p>
        </w:tc>
        <w:tc>
          <w:tcPr>
            <w:tcW w:w="880" w:type="dxa"/>
            <w:tcBorders>
              <w:top w:val="single" w:sz="4" w:space="0" w:color="000000"/>
            </w:tcBorders>
          </w:tcPr>
          <w:p w:rsidR="00DE5863" w:rsidRDefault="008538E9">
            <w:pPr>
              <w:spacing w:line="360" w:lineRule="auto"/>
              <w:ind w:right="-150"/>
              <w:jc w:val="center"/>
              <w:rPr>
                <w:rFonts w:ascii="Arial" w:eastAsia="Arial" w:hAnsi="Arial" w:cs="Arial"/>
                <w:sz w:val="14"/>
                <w:szCs w:val="14"/>
              </w:rPr>
            </w:pPr>
            <w:r>
              <w:rPr>
                <w:rFonts w:ascii="Arial" w:eastAsia="Arial" w:hAnsi="Arial" w:cs="Arial"/>
                <w:sz w:val="14"/>
                <w:szCs w:val="14"/>
              </w:rPr>
              <w:t>2209.80</w:t>
            </w:r>
            <w:r>
              <w:rPr>
                <w:rFonts w:ascii="Arial" w:eastAsia="Arial" w:hAnsi="Arial" w:cs="Arial"/>
                <w:sz w:val="14"/>
                <w:szCs w:val="14"/>
                <w:vertAlign w:val="superscript"/>
              </w:rPr>
              <w:t>b</w:t>
            </w:r>
          </w:p>
        </w:tc>
        <w:tc>
          <w:tcPr>
            <w:tcW w:w="860" w:type="dxa"/>
            <w:tcBorders>
              <w:top w:val="single" w:sz="4" w:space="0" w:color="000000"/>
            </w:tcBorders>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2723.50</w:t>
            </w:r>
            <w:r>
              <w:rPr>
                <w:rFonts w:ascii="Arial" w:eastAsia="Arial" w:hAnsi="Arial" w:cs="Arial"/>
                <w:sz w:val="14"/>
                <w:szCs w:val="14"/>
                <w:vertAlign w:val="superscript"/>
              </w:rPr>
              <w:t>a</w:t>
            </w:r>
          </w:p>
        </w:tc>
        <w:tc>
          <w:tcPr>
            <w:tcW w:w="860" w:type="dxa"/>
            <w:tcBorders>
              <w:top w:val="single" w:sz="4" w:space="0" w:color="000000"/>
            </w:tcBorders>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3123.70</w:t>
            </w:r>
            <w:r>
              <w:rPr>
                <w:rFonts w:ascii="Arial" w:eastAsia="Arial" w:hAnsi="Arial" w:cs="Arial"/>
                <w:sz w:val="14"/>
                <w:szCs w:val="14"/>
                <w:vertAlign w:val="superscript"/>
              </w:rPr>
              <w:t>a</w:t>
            </w:r>
          </w:p>
        </w:tc>
        <w:tc>
          <w:tcPr>
            <w:tcW w:w="860" w:type="dxa"/>
            <w:tcBorders>
              <w:top w:val="single" w:sz="4" w:space="0" w:color="000000"/>
            </w:tcBorders>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3036.50</w:t>
            </w:r>
            <w:r>
              <w:rPr>
                <w:rFonts w:ascii="Arial" w:eastAsia="Arial" w:hAnsi="Arial" w:cs="Arial"/>
                <w:sz w:val="14"/>
                <w:szCs w:val="14"/>
                <w:vertAlign w:val="superscript"/>
              </w:rPr>
              <w:t>a</w:t>
            </w:r>
          </w:p>
        </w:tc>
        <w:tc>
          <w:tcPr>
            <w:tcW w:w="1020" w:type="dxa"/>
            <w:tcBorders>
              <w:top w:val="single" w:sz="4" w:space="0" w:color="000000"/>
            </w:tcBorders>
          </w:tcPr>
          <w:p w:rsidR="00DE5863" w:rsidRDefault="008538E9">
            <w:pPr>
              <w:spacing w:line="360" w:lineRule="auto"/>
              <w:ind w:right="-135"/>
              <w:jc w:val="center"/>
              <w:rPr>
                <w:rFonts w:ascii="Arial" w:eastAsia="Arial" w:hAnsi="Arial" w:cs="Arial"/>
                <w:sz w:val="14"/>
                <w:szCs w:val="14"/>
              </w:rPr>
            </w:pPr>
            <w:r>
              <w:rPr>
                <w:rFonts w:ascii="Arial" w:eastAsia="Arial" w:hAnsi="Arial" w:cs="Arial"/>
                <w:sz w:val="14"/>
                <w:szCs w:val="14"/>
              </w:rPr>
              <w:t>3027.40</w:t>
            </w:r>
            <w:r>
              <w:rPr>
                <w:rFonts w:ascii="Arial" w:eastAsia="Arial" w:hAnsi="Arial" w:cs="Arial"/>
                <w:sz w:val="14"/>
                <w:szCs w:val="14"/>
                <w:vertAlign w:val="superscript"/>
              </w:rPr>
              <w:t>a</w:t>
            </w:r>
          </w:p>
        </w:tc>
        <w:tc>
          <w:tcPr>
            <w:tcW w:w="861" w:type="dxa"/>
            <w:tcBorders>
              <w:top w:val="single" w:sz="4" w:space="0" w:color="000000"/>
            </w:tcBorders>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3186.20</w:t>
            </w:r>
            <w:r>
              <w:rPr>
                <w:rFonts w:ascii="Arial" w:eastAsia="Arial" w:hAnsi="Arial" w:cs="Arial"/>
                <w:sz w:val="14"/>
                <w:szCs w:val="14"/>
                <w:vertAlign w:val="superscript"/>
              </w:rPr>
              <w:t>a</w:t>
            </w:r>
          </w:p>
        </w:tc>
        <w:tc>
          <w:tcPr>
            <w:tcW w:w="940" w:type="dxa"/>
            <w:gridSpan w:val="2"/>
            <w:tcBorders>
              <w:top w:val="single" w:sz="4" w:space="0" w:color="000000"/>
            </w:tcBorders>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2809.10</w:t>
            </w:r>
            <w:r>
              <w:rPr>
                <w:rFonts w:ascii="Arial" w:eastAsia="Arial" w:hAnsi="Arial" w:cs="Arial"/>
                <w:sz w:val="14"/>
                <w:szCs w:val="14"/>
                <w:vertAlign w:val="superscript"/>
              </w:rPr>
              <w:t>a</w:t>
            </w:r>
          </w:p>
        </w:tc>
        <w:tc>
          <w:tcPr>
            <w:tcW w:w="1040" w:type="dxa"/>
            <w:gridSpan w:val="2"/>
            <w:tcBorders>
              <w:top w:val="single" w:sz="4" w:space="0" w:color="000000"/>
            </w:tcBorders>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2898.60</w:t>
            </w:r>
            <w:r>
              <w:rPr>
                <w:rFonts w:ascii="Arial" w:eastAsia="Arial" w:hAnsi="Arial" w:cs="Arial"/>
                <w:sz w:val="14"/>
                <w:szCs w:val="14"/>
                <w:vertAlign w:val="superscript"/>
              </w:rPr>
              <w:t>a</w:t>
            </w:r>
          </w:p>
        </w:tc>
        <w:tc>
          <w:tcPr>
            <w:tcW w:w="700" w:type="dxa"/>
            <w:gridSpan w:val="2"/>
            <w:tcBorders>
              <w:top w:val="single" w:sz="4" w:space="0" w:color="000000"/>
            </w:tcBorders>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71.358</w:t>
            </w:r>
          </w:p>
        </w:tc>
        <w:tc>
          <w:tcPr>
            <w:tcW w:w="600" w:type="dxa"/>
            <w:gridSpan w:val="2"/>
            <w:tcBorders>
              <w:top w:val="single" w:sz="4" w:space="0" w:color="000000"/>
            </w:tcBorders>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0.018</w:t>
            </w:r>
          </w:p>
        </w:tc>
      </w:tr>
      <w:tr w:rsidR="00DE5863">
        <w:trPr>
          <w:gridAfter w:val="1"/>
          <w:wAfter w:w="100" w:type="dxa"/>
          <w:trHeight w:val="323"/>
        </w:trPr>
        <w:tc>
          <w:tcPr>
            <w:tcW w:w="1160" w:type="dxa"/>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VW (µm)</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271.94</w:t>
            </w:r>
            <w:r>
              <w:rPr>
                <w:rFonts w:ascii="Arial" w:eastAsia="Arial" w:hAnsi="Arial" w:cs="Arial"/>
                <w:sz w:val="14"/>
                <w:szCs w:val="14"/>
                <w:vertAlign w:val="superscript"/>
              </w:rPr>
              <w:t>b</w:t>
            </w:r>
          </w:p>
        </w:tc>
        <w:tc>
          <w:tcPr>
            <w:tcW w:w="88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222.60</w:t>
            </w:r>
            <w:r>
              <w:rPr>
                <w:rFonts w:ascii="Arial" w:eastAsia="Arial" w:hAnsi="Arial" w:cs="Arial"/>
                <w:sz w:val="14"/>
                <w:szCs w:val="14"/>
                <w:vertAlign w:val="superscript"/>
              </w:rPr>
              <w:t>b</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271.24</w:t>
            </w:r>
            <w:r>
              <w:rPr>
                <w:rFonts w:ascii="Arial" w:eastAsia="Arial" w:hAnsi="Arial" w:cs="Arial"/>
                <w:sz w:val="14"/>
                <w:szCs w:val="14"/>
                <w:vertAlign w:val="superscript"/>
              </w:rPr>
              <w:t>ab</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308.22</w:t>
            </w:r>
            <w:r>
              <w:rPr>
                <w:rFonts w:ascii="Arial" w:eastAsia="Arial" w:hAnsi="Arial" w:cs="Arial"/>
                <w:sz w:val="14"/>
                <w:szCs w:val="14"/>
                <w:vertAlign w:val="superscript"/>
              </w:rPr>
              <w:t>a</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305.62</w:t>
            </w:r>
            <w:r>
              <w:rPr>
                <w:rFonts w:ascii="Arial" w:eastAsia="Arial" w:hAnsi="Arial" w:cs="Arial"/>
                <w:sz w:val="14"/>
                <w:szCs w:val="14"/>
                <w:vertAlign w:val="superscript"/>
              </w:rPr>
              <w:t>a</w:t>
            </w:r>
          </w:p>
        </w:tc>
        <w:tc>
          <w:tcPr>
            <w:tcW w:w="102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300.33</w:t>
            </w:r>
            <w:r>
              <w:rPr>
                <w:rFonts w:ascii="Arial" w:eastAsia="Arial" w:hAnsi="Arial" w:cs="Arial"/>
                <w:sz w:val="14"/>
                <w:szCs w:val="14"/>
                <w:vertAlign w:val="superscript"/>
              </w:rPr>
              <w:t>a</w:t>
            </w:r>
          </w:p>
        </w:tc>
        <w:tc>
          <w:tcPr>
            <w:tcW w:w="861" w:type="dxa"/>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317.34</w:t>
            </w:r>
            <w:r>
              <w:rPr>
                <w:rFonts w:ascii="Arial" w:eastAsia="Arial" w:hAnsi="Arial" w:cs="Arial"/>
                <w:sz w:val="14"/>
                <w:szCs w:val="14"/>
                <w:vertAlign w:val="superscript"/>
              </w:rPr>
              <w:t>a</w:t>
            </w:r>
          </w:p>
        </w:tc>
        <w:tc>
          <w:tcPr>
            <w:tcW w:w="9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282.2</w:t>
            </w:r>
            <w:r>
              <w:rPr>
                <w:rFonts w:ascii="Arial" w:eastAsia="Arial" w:hAnsi="Arial" w:cs="Arial"/>
                <w:sz w:val="14"/>
                <w:szCs w:val="14"/>
                <w:vertAlign w:val="superscript"/>
              </w:rPr>
              <w:t>a</w:t>
            </w:r>
          </w:p>
        </w:tc>
        <w:tc>
          <w:tcPr>
            <w:tcW w:w="10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291.8</w:t>
            </w:r>
            <w:r>
              <w:rPr>
                <w:rFonts w:ascii="Arial" w:eastAsia="Arial" w:hAnsi="Arial" w:cs="Arial"/>
                <w:sz w:val="14"/>
                <w:szCs w:val="14"/>
                <w:vertAlign w:val="superscript"/>
              </w:rPr>
              <w:t>a</w:t>
            </w:r>
          </w:p>
        </w:tc>
        <w:tc>
          <w:tcPr>
            <w:tcW w:w="70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7.195</w:t>
            </w:r>
          </w:p>
        </w:tc>
        <w:tc>
          <w:tcPr>
            <w:tcW w:w="600" w:type="dxa"/>
            <w:gridSpan w:val="2"/>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0.041</w:t>
            </w:r>
          </w:p>
        </w:tc>
      </w:tr>
      <w:tr w:rsidR="00DE5863">
        <w:trPr>
          <w:gridAfter w:val="1"/>
          <w:wAfter w:w="100" w:type="dxa"/>
          <w:trHeight w:val="323"/>
        </w:trPr>
        <w:tc>
          <w:tcPr>
            <w:tcW w:w="1160" w:type="dxa"/>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CD (µm)</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678.84</w:t>
            </w:r>
            <w:r>
              <w:rPr>
                <w:rFonts w:ascii="Arial" w:eastAsia="Arial" w:hAnsi="Arial" w:cs="Arial"/>
                <w:sz w:val="14"/>
                <w:szCs w:val="14"/>
                <w:vertAlign w:val="superscript"/>
              </w:rPr>
              <w:t>a</w:t>
            </w:r>
          </w:p>
        </w:tc>
        <w:tc>
          <w:tcPr>
            <w:tcW w:w="88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580.50</w:t>
            </w:r>
            <w:r>
              <w:rPr>
                <w:rFonts w:ascii="Arial" w:eastAsia="Arial" w:hAnsi="Arial" w:cs="Arial"/>
                <w:sz w:val="14"/>
                <w:szCs w:val="14"/>
                <w:vertAlign w:val="superscript"/>
              </w:rPr>
              <w:t>b</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587.78</w:t>
            </w:r>
            <w:r>
              <w:rPr>
                <w:rFonts w:ascii="Arial" w:eastAsia="Arial" w:hAnsi="Arial" w:cs="Arial"/>
                <w:sz w:val="14"/>
                <w:szCs w:val="14"/>
                <w:vertAlign w:val="superscript"/>
              </w:rPr>
              <w:t>b</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636.73</w:t>
            </w:r>
            <w:r>
              <w:rPr>
                <w:rFonts w:ascii="Arial" w:eastAsia="Arial" w:hAnsi="Arial" w:cs="Arial"/>
                <w:sz w:val="14"/>
                <w:szCs w:val="14"/>
                <w:vertAlign w:val="superscript"/>
              </w:rPr>
              <w:t>ab</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557.09</w:t>
            </w:r>
            <w:r>
              <w:rPr>
                <w:rFonts w:ascii="Arial" w:eastAsia="Arial" w:hAnsi="Arial" w:cs="Arial"/>
                <w:sz w:val="14"/>
                <w:szCs w:val="14"/>
                <w:vertAlign w:val="superscript"/>
              </w:rPr>
              <w:t>b</w:t>
            </w:r>
          </w:p>
        </w:tc>
        <w:tc>
          <w:tcPr>
            <w:tcW w:w="102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474.83</w:t>
            </w:r>
            <w:r>
              <w:rPr>
                <w:rFonts w:ascii="Arial" w:eastAsia="Arial" w:hAnsi="Arial" w:cs="Arial"/>
                <w:sz w:val="14"/>
                <w:szCs w:val="14"/>
                <w:vertAlign w:val="superscript"/>
              </w:rPr>
              <w:t>c</w:t>
            </w:r>
          </w:p>
        </w:tc>
        <w:tc>
          <w:tcPr>
            <w:tcW w:w="861" w:type="dxa"/>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631.40</w:t>
            </w:r>
            <w:r>
              <w:rPr>
                <w:rFonts w:ascii="Arial" w:eastAsia="Arial" w:hAnsi="Arial" w:cs="Arial"/>
                <w:sz w:val="14"/>
                <w:szCs w:val="14"/>
                <w:vertAlign w:val="superscript"/>
              </w:rPr>
              <w:t>ab</w:t>
            </w:r>
          </w:p>
        </w:tc>
        <w:tc>
          <w:tcPr>
            <w:tcW w:w="9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478.97</w:t>
            </w:r>
            <w:r>
              <w:rPr>
                <w:rFonts w:ascii="Arial" w:eastAsia="Arial" w:hAnsi="Arial" w:cs="Arial"/>
                <w:sz w:val="14"/>
                <w:szCs w:val="14"/>
                <w:vertAlign w:val="superscript"/>
              </w:rPr>
              <w:t>c</w:t>
            </w:r>
          </w:p>
        </w:tc>
        <w:tc>
          <w:tcPr>
            <w:tcW w:w="10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434.76</w:t>
            </w:r>
            <w:r>
              <w:rPr>
                <w:rFonts w:ascii="Arial" w:eastAsia="Arial" w:hAnsi="Arial" w:cs="Arial"/>
                <w:sz w:val="14"/>
                <w:szCs w:val="14"/>
                <w:vertAlign w:val="superscript"/>
              </w:rPr>
              <w:t>c</w:t>
            </w:r>
          </w:p>
        </w:tc>
        <w:tc>
          <w:tcPr>
            <w:tcW w:w="700" w:type="dxa"/>
            <w:gridSpan w:val="2"/>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21.229</w:t>
            </w:r>
          </w:p>
        </w:tc>
        <w:tc>
          <w:tcPr>
            <w:tcW w:w="600" w:type="dxa"/>
            <w:gridSpan w:val="2"/>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0.049</w:t>
            </w:r>
          </w:p>
        </w:tc>
      </w:tr>
      <w:tr w:rsidR="00DE5863">
        <w:trPr>
          <w:gridAfter w:val="1"/>
          <w:wAfter w:w="100" w:type="dxa"/>
          <w:trHeight w:val="323"/>
        </w:trPr>
        <w:tc>
          <w:tcPr>
            <w:tcW w:w="1160" w:type="dxa"/>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CW (µm)</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272.23</w:t>
            </w:r>
          </w:p>
        </w:tc>
        <w:tc>
          <w:tcPr>
            <w:tcW w:w="88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223.19</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268.80</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312.60</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306.90</w:t>
            </w:r>
          </w:p>
        </w:tc>
        <w:tc>
          <w:tcPr>
            <w:tcW w:w="102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300.49</w:t>
            </w:r>
          </w:p>
        </w:tc>
        <w:tc>
          <w:tcPr>
            <w:tcW w:w="861" w:type="dxa"/>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266.04</w:t>
            </w:r>
          </w:p>
        </w:tc>
        <w:tc>
          <w:tcPr>
            <w:tcW w:w="9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284.05</w:t>
            </w:r>
          </w:p>
        </w:tc>
        <w:tc>
          <w:tcPr>
            <w:tcW w:w="10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291.84</w:t>
            </w:r>
          </w:p>
        </w:tc>
        <w:tc>
          <w:tcPr>
            <w:tcW w:w="70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8.826</w:t>
            </w:r>
          </w:p>
        </w:tc>
        <w:tc>
          <w:tcPr>
            <w:tcW w:w="600" w:type="dxa"/>
            <w:gridSpan w:val="2"/>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0.410</w:t>
            </w:r>
          </w:p>
        </w:tc>
      </w:tr>
      <w:tr w:rsidR="00DE5863">
        <w:trPr>
          <w:gridAfter w:val="1"/>
          <w:wAfter w:w="100" w:type="dxa"/>
          <w:trHeight w:val="323"/>
        </w:trPr>
        <w:tc>
          <w:tcPr>
            <w:tcW w:w="1160" w:type="dxa"/>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MT (µm)</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273.56</w:t>
            </w:r>
            <w:r>
              <w:rPr>
                <w:rFonts w:ascii="Arial" w:eastAsia="Arial" w:hAnsi="Arial" w:cs="Arial"/>
                <w:sz w:val="14"/>
                <w:szCs w:val="14"/>
                <w:vertAlign w:val="superscript"/>
              </w:rPr>
              <w:t>de</w:t>
            </w:r>
          </w:p>
        </w:tc>
        <w:tc>
          <w:tcPr>
            <w:tcW w:w="88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293.99</w:t>
            </w:r>
            <w:r>
              <w:rPr>
                <w:rFonts w:ascii="Arial" w:eastAsia="Arial" w:hAnsi="Arial" w:cs="Arial"/>
                <w:sz w:val="14"/>
                <w:szCs w:val="14"/>
                <w:vertAlign w:val="superscript"/>
              </w:rPr>
              <w:t>cd</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297.45</w:t>
            </w:r>
            <w:r>
              <w:rPr>
                <w:rFonts w:ascii="Arial" w:eastAsia="Arial" w:hAnsi="Arial" w:cs="Arial"/>
                <w:sz w:val="14"/>
                <w:szCs w:val="14"/>
                <w:vertAlign w:val="superscript"/>
              </w:rPr>
              <w:t>cd</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332.18</w:t>
            </w:r>
            <w:r>
              <w:rPr>
                <w:rFonts w:ascii="Arial" w:eastAsia="Arial" w:hAnsi="Arial" w:cs="Arial"/>
                <w:sz w:val="14"/>
                <w:szCs w:val="14"/>
                <w:vertAlign w:val="superscript"/>
              </w:rPr>
              <w:t>ab</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261.23</w:t>
            </w:r>
            <w:r>
              <w:rPr>
                <w:rFonts w:ascii="Arial" w:eastAsia="Arial" w:hAnsi="Arial" w:cs="Arial"/>
                <w:sz w:val="14"/>
                <w:szCs w:val="14"/>
                <w:vertAlign w:val="superscript"/>
              </w:rPr>
              <w:t>e</w:t>
            </w:r>
          </w:p>
        </w:tc>
        <w:tc>
          <w:tcPr>
            <w:tcW w:w="102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313.29</w:t>
            </w:r>
            <w:r>
              <w:rPr>
                <w:rFonts w:ascii="Arial" w:eastAsia="Arial" w:hAnsi="Arial" w:cs="Arial"/>
                <w:sz w:val="14"/>
                <w:szCs w:val="14"/>
                <w:vertAlign w:val="superscript"/>
              </w:rPr>
              <w:t>bc</w:t>
            </w:r>
          </w:p>
        </w:tc>
        <w:tc>
          <w:tcPr>
            <w:tcW w:w="861" w:type="dxa"/>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311.43</w:t>
            </w:r>
            <w:r>
              <w:rPr>
                <w:rFonts w:ascii="Arial" w:eastAsia="Arial" w:hAnsi="Arial" w:cs="Arial"/>
                <w:sz w:val="14"/>
                <w:szCs w:val="14"/>
                <w:vertAlign w:val="superscript"/>
              </w:rPr>
              <w:t>bc</w:t>
            </w:r>
          </w:p>
        </w:tc>
        <w:tc>
          <w:tcPr>
            <w:tcW w:w="9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362.96</w:t>
            </w:r>
            <w:r>
              <w:rPr>
                <w:rFonts w:ascii="Arial" w:eastAsia="Arial" w:hAnsi="Arial" w:cs="Arial"/>
                <w:sz w:val="14"/>
                <w:szCs w:val="14"/>
                <w:vertAlign w:val="superscript"/>
              </w:rPr>
              <w:t>a</w:t>
            </w:r>
          </w:p>
        </w:tc>
        <w:tc>
          <w:tcPr>
            <w:tcW w:w="10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345.19</w:t>
            </w:r>
            <w:r>
              <w:rPr>
                <w:rFonts w:ascii="Arial" w:eastAsia="Arial" w:hAnsi="Arial" w:cs="Arial"/>
                <w:sz w:val="14"/>
                <w:szCs w:val="14"/>
                <w:vertAlign w:val="superscript"/>
              </w:rPr>
              <w:t>a</w:t>
            </w:r>
          </w:p>
        </w:tc>
        <w:tc>
          <w:tcPr>
            <w:tcW w:w="70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8.128</w:t>
            </w:r>
          </w:p>
        </w:tc>
        <w:tc>
          <w:tcPr>
            <w:tcW w:w="600" w:type="dxa"/>
            <w:gridSpan w:val="2"/>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0.030</w:t>
            </w:r>
          </w:p>
        </w:tc>
      </w:tr>
      <w:tr w:rsidR="00DE5863">
        <w:trPr>
          <w:gridAfter w:val="1"/>
          <w:wAfter w:w="100" w:type="dxa"/>
          <w:trHeight w:val="323"/>
        </w:trPr>
        <w:tc>
          <w:tcPr>
            <w:tcW w:w="1160" w:type="dxa"/>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VH/CD</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4.01</w:t>
            </w:r>
            <w:r>
              <w:rPr>
                <w:rFonts w:ascii="Arial" w:eastAsia="Arial" w:hAnsi="Arial" w:cs="Arial"/>
                <w:sz w:val="14"/>
                <w:szCs w:val="14"/>
                <w:vertAlign w:val="superscript"/>
              </w:rPr>
              <w:t>c</w:t>
            </w:r>
          </w:p>
        </w:tc>
        <w:tc>
          <w:tcPr>
            <w:tcW w:w="88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3.80</w:t>
            </w:r>
            <w:r>
              <w:rPr>
                <w:rFonts w:ascii="Arial" w:eastAsia="Arial" w:hAnsi="Arial" w:cs="Arial"/>
                <w:sz w:val="14"/>
                <w:szCs w:val="14"/>
                <w:vertAlign w:val="superscript"/>
              </w:rPr>
              <w:t>c</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4.72</w:t>
            </w:r>
            <w:r>
              <w:rPr>
                <w:rFonts w:ascii="Arial" w:eastAsia="Arial" w:hAnsi="Arial" w:cs="Arial"/>
                <w:sz w:val="14"/>
                <w:szCs w:val="14"/>
                <w:vertAlign w:val="superscript"/>
              </w:rPr>
              <w:t>bc</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4.91</w:t>
            </w:r>
            <w:r>
              <w:rPr>
                <w:rFonts w:ascii="Arial" w:eastAsia="Arial" w:hAnsi="Arial" w:cs="Arial"/>
                <w:sz w:val="14"/>
                <w:szCs w:val="14"/>
                <w:vertAlign w:val="superscript"/>
              </w:rPr>
              <w:t>bc</w:t>
            </w:r>
          </w:p>
        </w:tc>
        <w:tc>
          <w:tcPr>
            <w:tcW w:w="86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5.45</w:t>
            </w:r>
            <w:r>
              <w:rPr>
                <w:rFonts w:ascii="Arial" w:eastAsia="Arial" w:hAnsi="Arial" w:cs="Arial"/>
                <w:sz w:val="14"/>
                <w:szCs w:val="14"/>
                <w:vertAlign w:val="superscript"/>
              </w:rPr>
              <w:t>abc</w:t>
            </w:r>
          </w:p>
        </w:tc>
        <w:tc>
          <w:tcPr>
            <w:tcW w:w="1020" w:type="dxa"/>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7.03</w:t>
            </w:r>
            <w:r>
              <w:rPr>
                <w:rFonts w:ascii="Arial" w:eastAsia="Arial" w:hAnsi="Arial" w:cs="Arial"/>
                <w:sz w:val="14"/>
                <w:szCs w:val="14"/>
                <w:vertAlign w:val="superscript"/>
              </w:rPr>
              <w:t>a</w:t>
            </w:r>
          </w:p>
        </w:tc>
        <w:tc>
          <w:tcPr>
            <w:tcW w:w="861" w:type="dxa"/>
          </w:tcPr>
          <w:p w:rsidR="00DE5863" w:rsidRDefault="008538E9">
            <w:pPr>
              <w:spacing w:line="360" w:lineRule="auto"/>
              <w:ind w:right="-165"/>
              <w:jc w:val="center"/>
              <w:rPr>
                <w:rFonts w:ascii="Arial" w:eastAsia="Arial" w:hAnsi="Arial" w:cs="Arial"/>
                <w:sz w:val="14"/>
                <w:szCs w:val="14"/>
              </w:rPr>
            </w:pPr>
            <w:r>
              <w:rPr>
                <w:rFonts w:ascii="Arial" w:eastAsia="Arial" w:hAnsi="Arial" w:cs="Arial"/>
                <w:sz w:val="14"/>
                <w:szCs w:val="14"/>
              </w:rPr>
              <w:t>5.08</w:t>
            </w:r>
            <w:r>
              <w:rPr>
                <w:rFonts w:ascii="Arial" w:eastAsia="Arial" w:hAnsi="Arial" w:cs="Arial"/>
                <w:sz w:val="14"/>
                <w:szCs w:val="14"/>
                <w:vertAlign w:val="superscript"/>
              </w:rPr>
              <w:t>abc</w:t>
            </w:r>
          </w:p>
        </w:tc>
        <w:tc>
          <w:tcPr>
            <w:tcW w:w="9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5.87</w:t>
            </w:r>
            <w:r>
              <w:rPr>
                <w:rFonts w:ascii="Arial" w:eastAsia="Arial" w:hAnsi="Arial" w:cs="Arial"/>
                <w:sz w:val="14"/>
                <w:szCs w:val="14"/>
                <w:vertAlign w:val="superscript"/>
              </w:rPr>
              <w:t>abc</w:t>
            </w:r>
          </w:p>
        </w:tc>
        <w:tc>
          <w:tcPr>
            <w:tcW w:w="104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6.73</w:t>
            </w:r>
            <w:r>
              <w:rPr>
                <w:rFonts w:ascii="Arial" w:eastAsia="Arial" w:hAnsi="Arial" w:cs="Arial"/>
                <w:sz w:val="14"/>
                <w:szCs w:val="14"/>
                <w:vertAlign w:val="superscript"/>
              </w:rPr>
              <w:t>ab</w:t>
            </w:r>
          </w:p>
        </w:tc>
        <w:tc>
          <w:tcPr>
            <w:tcW w:w="700" w:type="dxa"/>
            <w:gridSpan w:val="2"/>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0.270</w:t>
            </w:r>
          </w:p>
        </w:tc>
        <w:tc>
          <w:tcPr>
            <w:tcW w:w="600" w:type="dxa"/>
            <w:gridSpan w:val="2"/>
          </w:tcPr>
          <w:p w:rsidR="00DE5863" w:rsidRDefault="008538E9">
            <w:pPr>
              <w:spacing w:line="360" w:lineRule="auto"/>
              <w:ind w:right="-180"/>
              <w:jc w:val="center"/>
              <w:rPr>
                <w:rFonts w:ascii="Arial" w:eastAsia="Arial" w:hAnsi="Arial" w:cs="Arial"/>
                <w:sz w:val="14"/>
                <w:szCs w:val="14"/>
              </w:rPr>
            </w:pPr>
            <w:r>
              <w:rPr>
                <w:rFonts w:ascii="Arial" w:eastAsia="Arial" w:hAnsi="Arial" w:cs="Arial"/>
                <w:sz w:val="14"/>
                <w:szCs w:val="14"/>
              </w:rPr>
              <w:t>0.023</w:t>
            </w:r>
          </w:p>
        </w:tc>
      </w:tr>
    </w:tbl>
    <w:p w:rsidR="00DE5863" w:rsidRDefault="008538E9">
      <w:pPr>
        <w:spacing w:line="360" w:lineRule="auto"/>
        <w:jc w:val="both"/>
        <w:rPr>
          <w:rFonts w:ascii="Arial" w:eastAsia="Arial" w:hAnsi="Arial" w:cs="Arial"/>
          <w:sz w:val="14"/>
          <w:szCs w:val="14"/>
        </w:rPr>
      </w:pPr>
      <w:proofErr w:type="spellStart"/>
      <w:r>
        <w:rPr>
          <w:rFonts w:ascii="Arial" w:eastAsia="Arial" w:hAnsi="Arial" w:cs="Arial"/>
          <w:sz w:val="14"/>
          <w:szCs w:val="14"/>
          <w:vertAlign w:val="superscript"/>
        </w:rPr>
        <w:t>abc</w:t>
      </w:r>
      <w:proofErr w:type="spellEnd"/>
      <w:r>
        <w:rPr>
          <w:rFonts w:ascii="Arial" w:eastAsia="Arial" w:hAnsi="Arial" w:cs="Arial"/>
          <w:sz w:val="14"/>
          <w:szCs w:val="14"/>
          <w:vertAlign w:val="superscript"/>
        </w:rPr>
        <w:t xml:space="preserve"> </w:t>
      </w:r>
      <w:r>
        <w:rPr>
          <w:rFonts w:ascii="Arial" w:eastAsia="Arial" w:hAnsi="Arial" w:cs="Arial"/>
          <w:sz w:val="14"/>
          <w:szCs w:val="14"/>
        </w:rPr>
        <w:t xml:space="preserve">Means along the same row with different superscripts are significantly different (P &lt; 0.05) SEM: Standard error of mean; </w:t>
      </w:r>
    </w:p>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CD: Crypt Width; CD: Crypt Depth; VW: Villi Width; VH: Villi Height MT: Muscle Thickness; VH/CD: Villi Height to Crypt Depth Ratio</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pBdr>
          <w:top w:val="nil"/>
          <w:left w:val="nil"/>
          <w:bottom w:val="nil"/>
          <w:right w:val="nil"/>
          <w:between w:val="nil"/>
        </w:pBdr>
        <w:jc w:val="both"/>
        <w:rPr>
          <w:rFonts w:ascii="Arial" w:eastAsia="Arial" w:hAnsi="Arial" w:cs="Arial"/>
        </w:rPr>
      </w:pPr>
      <w:proofErr w:type="spellStart"/>
      <w:r>
        <w:rPr>
          <w:rFonts w:ascii="Arial" w:eastAsia="Arial" w:hAnsi="Arial" w:cs="Arial"/>
        </w:rPr>
        <w:t>Haematology</w:t>
      </w:r>
      <w:proofErr w:type="spellEnd"/>
      <w:r>
        <w:rPr>
          <w:rFonts w:ascii="Arial" w:eastAsia="Arial" w:hAnsi="Arial" w:cs="Arial"/>
        </w:rPr>
        <w:t xml:space="preserve"> </w:t>
      </w:r>
    </w:p>
    <w:p w:rsidR="00DE5863" w:rsidRDefault="008538E9">
      <w:pPr>
        <w:pBdr>
          <w:top w:val="nil"/>
          <w:left w:val="nil"/>
          <w:bottom w:val="nil"/>
          <w:right w:val="nil"/>
          <w:between w:val="nil"/>
        </w:pBdr>
        <w:jc w:val="both"/>
        <w:rPr>
          <w:rFonts w:ascii="Arial" w:eastAsia="Arial" w:hAnsi="Arial" w:cs="Arial"/>
        </w:rPr>
      </w:pPr>
      <w:proofErr w:type="spellStart"/>
      <w:r>
        <w:rPr>
          <w:rFonts w:ascii="Arial" w:eastAsia="Arial" w:hAnsi="Arial" w:cs="Arial"/>
        </w:rPr>
        <w:t>Haematological</w:t>
      </w:r>
      <w:proofErr w:type="spellEnd"/>
      <w:r>
        <w:rPr>
          <w:rFonts w:ascii="Arial" w:eastAsia="Arial" w:hAnsi="Arial" w:cs="Arial"/>
        </w:rPr>
        <w:t xml:space="preserve"> indices provide insight into the health, immune status and safety of alternative feed additives in broiler production. The </w:t>
      </w:r>
      <w:proofErr w:type="spellStart"/>
      <w:r>
        <w:rPr>
          <w:rFonts w:ascii="Arial" w:eastAsia="Arial" w:hAnsi="Arial" w:cs="Arial"/>
        </w:rPr>
        <w:t>haematological</w:t>
      </w:r>
      <w:proofErr w:type="spellEnd"/>
      <w:r>
        <w:rPr>
          <w:rFonts w:ascii="Arial" w:eastAsia="Arial" w:hAnsi="Arial" w:cs="Arial"/>
        </w:rPr>
        <w:t xml:space="preserve"> indices of broiler chickens fed supplemented diets are shown in Table 3. There were no significant (P&gt;0.05) differences in the </w:t>
      </w:r>
      <w:proofErr w:type="spellStart"/>
      <w:r>
        <w:rPr>
          <w:rFonts w:ascii="Arial" w:eastAsia="Arial" w:hAnsi="Arial" w:cs="Arial"/>
        </w:rPr>
        <w:t>haematologial</w:t>
      </w:r>
      <w:proofErr w:type="spellEnd"/>
      <w:r>
        <w:rPr>
          <w:rFonts w:ascii="Arial" w:eastAsia="Arial" w:hAnsi="Arial" w:cs="Arial"/>
        </w:rPr>
        <w:t xml:space="preserve"> parameters </w:t>
      </w:r>
      <w:proofErr w:type="spellStart"/>
      <w:r>
        <w:rPr>
          <w:rFonts w:ascii="Arial" w:eastAsia="Arial" w:hAnsi="Arial" w:cs="Arial"/>
        </w:rPr>
        <w:t>analysed</w:t>
      </w:r>
      <w:proofErr w:type="spellEnd"/>
      <w:r>
        <w:rPr>
          <w:rFonts w:ascii="Arial" w:eastAsia="Arial" w:hAnsi="Arial" w:cs="Arial"/>
        </w:rPr>
        <w:t xml:space="preserve">, with the exception of PCV, WBC, and lymphocytes across the treatments. This agrees with previous reports that phytogenic feed additives, when included at appropriate levels, are safe and non-toxic to broilers (Abd El-Hack </w:t>
      </w:r>
      <w:r>
        <w:rPr>
          <w:rFonts w:ascii="Arial" w:eastAsia="Arial" w:hAnsi="Arial" w:cs="Arial"/>
          <w:i/>
          <w:iCs/>
        </w:rPr>
        <w:t>et al</w:t>
      </w:r>
      <w:r>
        <w:rPr>
          <w:rFonts w:ascii="Arial" w:eastAsia="Arial" w:hAnsi="Arial" w:cs="Arial"/>
        </w:rPr>
        <w:t xml:space="preserve">., 2020; </w:t>
      </w:r>
      <w:proofErr w:type="spellStart"/>
      <w:r>
        <w:rPr>
          <w:rFonts w:ascii="Arial" w:eastAsia="Arial" w:hAnsi="Arial" w:cs="Arial"/>
        </w:rPr>
        <w:t>Windisch</w:t>
      </w:r>
      <w:proofErr w:type="spellEnd"/>
      <w:r>
        <w:rPr>
          <w:rFonts w:ascii="Arial" w:eastAsia="Arial" w:hAnsi="Arial" w:cs="Arial"/>
          <w:i/>
          <w:iCs/>
        </w:rPr>
        <w:t xml:space="preserve"> et al</w:t>
      </w:r>
      <w:r>
        <w:rPr>
          <w:rFonts w:ascii="Arial" w:eastAsia="Arial" w:hAnsi="Arial" w:cs="Arial"/>
        </w:rPr>
        <w:t xml:space="preserve">., 2008). Birds fed NC and 0.15%CL +0.25% GA had higher PCV (32.00% and 31.67%) than other treatment groups, but were similar to birds 3%PLM (30.67%) and 3% PLM + 0.25%GA (30.67%). Also, birds fed 0.15%CL +0.25% GA had higher WBC (16.37 × 1012 L), than other treatment groups, but were similar to birds fed NC (15.42 × 1012L) and 0.25% GA (15.40 × 1012L). The significant differences observed in packed cell volume (PCV) suggest improved erythrocytic function in birds fed the negative control, clove–garlic combination, and pawpaw leaf meal–based diets. Elevated PCV values within normal physiological ranges are indicative of enhanced oxygen-carrying capacity and absence of </w:t>
      </w:r>
      <w:proofErr w:type="spellStart"/>
      <w:r>
        <w:rPr>
          <w:rFonts w:ascii="Arial" w:eastAsia="Arial" w:hAnsi="Arial" w:cs="Arial"/>
        </w:rPr>
        <w:t>anaemia</w:t>
      </w:r>
      <w:proofErr w:type="spellEnd"/>
      <w:r>
        <w:rPr>
          <w:rFonts w:ascii="Arial" w:eastAsia="Arial" w:hAnsi="Arial" w:cs="Arial"/>
        </w:rPr>
        <w:t>, consistent with findings in broilers fed garlic or pawpaw leaf meal (</w:t>
      </w:r>
      <w:proofErr w:type="spellStart"/>
      <w:r>
        <w:rPr>
          <w:rFonts w:ascii="Arial" w:eastAsia="Arial" w:hAnsi="Arial" w:cs="Arial"/>
        </w:rPr>
        <w:t>Oloruntola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2018; </w:t>
      </w:r>
      <w:proofErr w:type="spellStart"/>
      <w:r>
        <w:rPr>
          <w:rFonts w:ascii="Arial" w:eastAsia="Arial" w:hAnsi="Arial" w:cs="Arial"/>
        </w:rPr>
        <w:t>Onyimonyi</w:t>
      </w:r>
      <w:proofErr w:type="spellEnd"/>
      <w:r>
        <w:rPr>
          <w:rFonts w:ascii="Arial" w:eastAsia="Arial" w:hAnsi="Arial" w:cs="Arial"/>
        </w:rPr>
        <w:t xml:space="preserve"> and Ernest, 2009). These effects have been attributed to the </w:t>
      </w:r>
      <w:proofErr w:type="spellStart"/>
      <w:r>
        <w:rPr>
          <w:rFonts w:ascii="Arial" w:eastAsia="Arial" w:hAnsi="Arial" w:cs="Arial"/>
        </w:rPr>
        <w:t>haematinic</w:t>
      </w:r>
      <w:proofErr w:type="spellEnd"/>
      <w:r>
        <w:rPr>
          <w:rFonts w:ascii="Arial" w:eastAsia="Arial" w:hAnsi="Arial" w:cs="Arial"/>
        </w:rPr>
        <w:t xml:space="preserve"> and antioxidant properties of phytochemicals present in these plants.</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White blood cell (WBC) counts were highest in birds fed the clove–garlic combination, with comparable values in the negative control and garlic-only diets, suggesting enhanced immune responsiveness. Increased WBC counts within normal limits reflect </w:t>
      </w:r>
      <w:proofErr w:type="spellStart"/>
      <w:r>
        <w:rPr>
          <w:rFonts w:ascii="Arial" w:eastAsia="Arial" w:hAnsi="Arial" w:cs="Arial"/>
        </w:rPr>
        <w:t>immunostimulation</w:t>
      </w:r>
      <w:proofErr w:type="spellEnd"/>
      <w:r>
        <w:rPr>
          <w:rFonts w:ascii="Arial" w:eastAsia="Arial" w:hAnsi="Arial" w:cs="Arial"/>
        </w:rPr>
        <w:t xml:space="preserve"> rather than pathological stress and align with earlier studies demonstrating the immunomodulatory effects of garlic and clove in poultry diets (</w:t>
      </w:r>
      <w:proofErr w:type="spellStart"/>
      <w:r>
        <w:rPr>
          <w:rFonts w:ascii="Arial" w:eastAsia="Arial" w:hAnsi="Arial" w:cs="Arial"/>
        </w:rPr>
        <w:t>Corzo</w:t>
      </w:r>
      <w:proofErr w:type="spellEnd"/>
      <w:r>
        <w:rPr>
          <w:rFonts w:ascii="Arial" w:eastAsia="Arial" w:hAnsi="Arial" w:cs="Arial"/>
        </w:rPr>
        <w:t xml:space="preserve">-Martínez </w:t>
      </w:r>
      <w:r>
        <w:rPr>
          <w:rFonts w:ascii="Arial" w:eastAsia="Arial" w:hAnsi="Arial" w:cs="Arial"/>
          <w:i/>
          <w:iCs/>
        </w:rPr>
        <w:t>et a</w:t>
      </w:r>
      <w:r>
        <w:rPr>
          <w:rFonts w:ascii="Arial" w:eastAsia="Arial" w:hAnsi="Arial" w:cs="Arial"/>
        </w:rPr>
        <w:t xml:space="preserve">l., 2007; Khan </w:t>
      </w:r>
      <w:r>
        <w:rPr>
          <w:rFonts w:ascii="Arial" w:eastAsia="Arial" w:hAnsi="Arial" w:cs="Arial"/>
          <w:i/>
          <w:iCs/>
        </w:rPr>
        <w:t>et al.</w:t>
      </w:r>
      <w:r>
        <w:rPr>
          <w:rFonts w:ascii="Arial" w:eastAsia="Arial" w:hAnsi="Arial" w:cs="Arial"/>
        </w:rPr>
        <w:t>, 2012).</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Higher lymphocytes were recorded for birds fed NC (65.67%), 3%PLM (63.67%), 0.15% CL + 0.25% GA (65.67%), and 3%PLM + 0.25%GA (64.33%). The higher lymphocyte percentages observed in birds fed PLM and phytogenic combinations indicate improved adaptive immune function and reduced physiological stress, corroborating previous findings on the immune-enhancing properties of herbal feed additives (Gross and Siegel, 1983; </w:t>
      </w:r>
      <w:proofErr w:type="spellStart"/>
      <w:r>
        <w:rPr>
          <w:rFonts w:ascii="Arial" w:eastAsia="Arial" w:hAnsi="Arial" w:cs="Arial"/>
        </w:rPr>
        <w:t>Oloruntola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2018). </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pStyle w:val="Heading1"/>
        <w:keepLines/>
        <w:spacing w:before="0" w:after="240" w:line="259" w:lineRule="auto"/>
        <w:jc w:val="both"/>
        <w:rPr>
          <w:sz w:val="14"/>
          <w:szCs w:val="14"/>
        </w:rPr>
      </w:pPr>
      <w:bookmarkStart w:id="8" w:name="_ajigc0p3igah" w:colFirst="0" w:colLast="0"/>
      <w:bookmarkEnd w:id="8"/>
      <w:r>
        <w:rPr>
          <w:sz w:val="14"/>
          <w:szCs w:val="14"/>
        </w:rPr>
        <w:lastRenderedPageBreak/>
        <w:t>Table 3:</w:t>
      </w:r>
      <w:r>
        <w:rPr>
          <w:sz w:val="14"/>
          <w:szCs w:val="14"/>
        </w:rPr>
        <w:tab/>
      </w:r>
      <w:r>
        <w:rPr>
          <w:b w:val="0"/>
          <w:bCs w:val="0"/>
          <w:sz w:val="14"/>
          <w:szCs w:val="14"/>
        </w:rPr>
        <w:t>Effects of Clove, Garlic, and Pawpaw</w:t>
      </w:r>
      <w:r>
        <w:rPr>
          <w:b w:val="0"/>
          <w:bCs w:val="0"/>
          <w:i/>
          <w:iCs/>
          <w:sz w:val="14"/>
          <w:szCs w:val="14"/>
        </w:rPr>
        <w:t xml:space="preserve"> </w:t>
      </w:r>
      <w:r>
        <w:rPr>
          <w:b w:val="0"/>
          <w:bCs w:val="0"/>
          <w:sz w:val="14"/>
          <w:szCs w:val="14"/>
        </w:rPr>
        <w:t xml:space="preserve">Leaf Meals Supplementation on </w:t>
      </w:r>
      <w:proofErr w:type="spellStart"/>
      <w:r>
        <w:rPr>
          <w:b w:val="0"/>
          <w:bCs w:val="0"/>
          <w:sz w:val="14"/>
          <w:szCs w:val="14"/>
        </w:rPr>
        <w:t>Haematological</w:t>
      </w:r>
      <w:proofErr w:type="spellEnd"/>
      <w:r>
        <w:rPr>
          <w:b w:val="0"/>
          <w:bCs w:val="0"/>
          <w:sz w:val="14"/>
          <w:szCs w:val="14"/>
        </w:rPr>
        <w:t xml:space="preserve"> Parameters of Broiler Chickens</w:t>
      </w:r>
    </w:p>
    <w:tbl>
      <w:tblPr>
        <w:tblStyle w:val="a1"/>
        <w:tblpPr w:leftFromText="180" w:rightFromText="180" w:topFromText="180" w:bottomFromText="180" w:vertAnchor="text" w:tblpX="-1370"/>
        <w:tblW w:w="11180" w:type="dxa"/>
        <w:tblInd w:w="0" w:type="dxa"/>
        <w:tblBorders>
          <w:top w:val="single" w:sz="4" w:space="0" w:color="000000"/>
          <w:bottom w:val="single" w:sz="4" w:space="0" w:color="000000"/>
        </w:tblBorders>
        <w:tblLayout w:type="fixed"/>
        <w:tblLook w:val="0400" w:firstRow="0" w:lastRow="0" w:firstColumn="0" w:lastColumn="0" w:noHBand="0" w:noVBand="1"/>
      </w:tblPr>
      <w:tblGrid>
        <w:gridCol w:w="1560"/>
        <w:gridCol w:w="760"/>
        <w:gridCol w:w="760"/>
        <w:gridCol w:w="780"/>
        <w:gridCol w:w="780"/>
        <w:gridCol w:w="760"/>
        <w:gridCol w:w="1060"/>
        <w:gridCol w:w="80"/>
        <w:gridCol w:w="920"/>
        <w:gridCol w:w="120"/>
        <w:gridCol w:w="960"/>
        <w:gridCol w:w="100"/>
        <w:gridCol w:w="960"/>
        <w:gridCol w:w="100"/>
        <w:gridCol w:w="660"/>
        <w:gridCol w:w="80"/>
        <w:gridCol w:w="660"/>
        <w:gridCol w:w="80"/>
      </w:tblGrid>
      <w:tr w:rsidR="00DE5863">
        <w:trPr>
          <w:trHeight w:val="300"/>
        </w:trPr>
        <w:tc>
          <w:tcPr>
            <w:tcW w:w="1560" w:type="dxa"/>
            <w:tcBorders>
              <w:bottom w:val="single" w:sz="4" w:space="0" w:color="000000"/>
            </w:tcBorders>
            <w:vAlign w:val="bottom"/>
          </w:tcPr>
          <w:p w:rsidR="00DE5863" w:rsidRDefault="008538E9">
            <w:pPr>
              <w:jc w:val="both"/>
              <w:rPr>
                <w:rFonts w:ascii="Arial" w:eastAsia="Arial" w:hAnsi="Arial" w:cs="Arial"/>
                <w:sz w:val="14"/>
                <w:szCs w:val="14"/>
              </w:rPr>
            </w:pPr>
            <w:r>
              <w:rPr>
                <w:rFonts w:ascii="Arial" w:eastAsia="Arial" w:hAnsi="Arial" w:cs="Arial"/>
                <w:sz w:val="14"/>
                <w:szCs w:val="14"/>
              </w:rPr>
              <w:t>Parameters</w:t>
            </w:r>
          </w:p>
        </w:tc>
        <w:tc>
          <w:tcPr>
            <w:tcW w:w="76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PC</w:t>
            </w:r>
          </w:p>
        </w:tc>
        <w:tc>
          <w:tcPr>
            <w:tcW w:w="76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NC</w:t>
            </w:r>
          </w:p>
        </w:tc>
        <w:tc>
          <w:tcPr>
            <w:tcW w:w="78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0.15% CL</w:t>
            </w:r>
          </w:p>
        </w:tc>
        <w:tc>
          <w:tcPr>
            <w:tcW w:w="780" w:type="dxa"/>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0.25% GA</w:t>
            </w:r>
          </w:p>
        </w:tc>
        <w:tc>
          <w:tcPr>
            <w:tcW w:w="760" w:type="dxa"/>
            <w:tcBorders>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3%</w:t>
            </w:r>
          </w:p>
          <w:p w:rsidR="00DE5863" w:rsidRDefault="008538E9">
            <w:pPr>
              <w:jc w:val="both"/>
              <w:rPr>
                <w:rFonts w:ascii="Arial" w:eastAsia="Arial" w:hAnsi="Arial" w:cs="Arial"/>
                <w:sz w:val="14"/>
                <w:szCs w:val="14"/>
              </w:rPr>
            </w:pPr>
            <w:r>
              <w:rPr>
                <w:rFonts w:ascii="Arial" w:eastAsia="Arial" w:hAnsi="Arial" w:cs="Arial"/>
                <w:sz w:val="14"/>
                <w:szCs w:val="14"/>
              </w:rPr>
              <w:t>PLM</w:t>
            </w:r>
          </w:p>
          <w:p w:rsidR="00DE5863" w:rsidRDefault="00DE5863">
            <w:pPr>
              <w:jc w:val="center"/>
              <w:rPr>
                <w:rFonts w:ascii="Arial" w:eastAsia="Arial" w:hAnsi="Arial" w:cs="Arial"/>
                <w:sz w:val="14"/>
                <w:szCs w:val="14"/>
              </w:rPr>
            </w:pPr>
          </w:p>
        </w:tc>
        <w:tc>
          <w:tcPr>
            <w:tcW w:w="1140" w:type="dxa"/>
            <w:gridSpan w:val="2"/>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0.15%CL+ 0.25%GA</w:t>
            </w:r>
          </w:p>
        </w:tc>
        <w:tc>
          <w:tcPr>
            <w:tcW w:w="1040" w:type="dxa"/>
            <w:gridSpan w:val="2"/>
            <w:tcBorders>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0.15%CL</w:t>
            </w:r>
          </w:p>
          <w:p w:rsidR="00DE5863" w:rsidRDefault="008538E9">
            <w:pPr>
              <w:jc w:val="center"/>
              <w:rPr>
                <w:rFonts w:ascii="Arial" w:eastAsia="Arial" w:hAnsi="Arial" w:cs="Arial"/>
                <w:sz w:val="14"/>
                <w:szCs w:val="14"/>
              </w:rPr>
            </w:pPr>
            <w:r>
              <w:rPr>
                <w:rFonts w:ascii="Arial" w:eastAsia="Arial" w:hAnsi="Arial" w:cs="Arial"/>
                <w:sz w:val="14"/>
                <w:szCs w:val="14"/>
              </w:rPr>
              <w:t>+3%PLM</w:t>
            </w:r>
          </w:p>
        </w:tc>
        <w:tc>
          <w:tcPr>
            <w:tcW w:w="1060" w:type="dxa"/>
            <w:gridSpan w:val="2"/>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3%PLM+ 0.25%GA</w:t>
            </w:r>
          </w:p>
        </w:tc>
        <w:tc>
          <w:tcPr>
            <w:tcW w:w="1060" w:type="dxa"/>
            <w:gridSpan w:val="2"/>
            <w:tcBorders>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0.25%CL</w:t>
            </w:r>
          </w:p>
          <w:p w:rsidR="00DE5863" w:rsidRDefault="008538E9">
            <w:pPr>
              <w:jc w:val="both"/>
              <w:rPr>
                <w:rFonts w:ascii="Arial" w:eastAsia="Arial" w:hAnsi="Arial" w:cs="Arial"/>
                <w:sz w:val="14"/>
                <w:szCs w:val="14"/>
              </w:rPr>
            </w:pPr>
            <w:r>
              <w:rPr>
                <w:rFonts w:ascii="Arial" w:eastAsia="Arial" w:hAnsi="Arial" w:cs="Arial"/>
                <w:sz w:val="14"/>
                <w:szCs w:val="14"/>
              </w:rPr>
              <w:t>+0.15%GA</w:t>
            </w:r>
          </w:p>
          <w:p w:rsidR="00DE5863" w:rsidRDefault="008538E9">
            <w:pPr>
              <w:jc w:val="center"/>
              <w:rPr>
                <w:rFonts w:ascii="Arial" w:eastAsia="Arial" w:hAnsi="Arial" w:cs="Arial"/>
                <w:sz w:val="14"/>
                <w:szCs w:val="14"/>
              </w:rPr>
            </w:pPr>
            <w:r>
              <w:rPr>
                <w:rFonts w:ascii="Arial" w:eastAsia="Arial" w:hAnsi="Arial" w:cs="Arial"/>
                <w:sz w:val="14"/>
                <w:szCs w:val="14"/>
              </w:rPr>
              <w:t>+3%PLM</w:t>
            </w:r>
          </w:p>
        </w:tc>
        <w:tc>
          <w:tcPr>
            <w:tcW w:w="740" w:type="dxa"/>
            <w:gridSpan w:val="2"/>
            <w:tcBorders>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SEM</w:t>
            </w:r>
          </w:p>
        </w:tc>
        <w:tc>
          <w:tcPr>
            <w:tcW w:w="740" w:type="dxa"/>
            <w:gridSpan w:val="2"/>
            <w:tcBorders>
              <w:bottom w:val="single" w:sz="4" w:space="0" w:color="000000"/>
            </w:tcBorders>
            <w:vAlign w:val="bottom"/>
          </w:tcPr>
          <w:p w:rsidR="00DE5863" w:rsidRDefault="008538E9">
            <w:pPr>
              <w:jc w:val="center"/>
              <w:rPr>
                <w:rFonts w:ascii="Arial" w:eastAsia="Arial" w:hAnsi="Arial" w:cs="Arial"/>
                <w:sz w:val="14"/>
                <w:szCs w:val="14"/>
              </w:rPr>
            </w:pPr>
            <w:r>
              <w:rPr>
                <w:rFonts w:ascii="Arial" w:eastAsia="Arial" w:hAnsi="Arial" w:cs="Arial"/>
                <w:sz w:val="14"/>
                <w:szCs w:val="14"/>
              </w:rPr>
              <w:t>P-Value</w:t>
            </w:r>
          </w:p>
        </w:tc>
      </w:tr>
      <w:tr w:rsidR="00DE5863">
        <w:trPr>
          <w:gridAfter w:val="1"/>
          <w:wAfter w:w="80" w:type="dxa"/>
          <w:trHeight w:val="300"/>
        </w:trPr>
        <w:tc>
          <w:tcPr>
            <w:tcW w:w="1560" w:type="dxa"/>
            <w:tcBorders>
              <w:top w:val="single" w:sz="4" w:space="0" w:color="000000"/>
            </w:tcBorders>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PCV (%)</w:t>
            </w:r>
          </w:p>
        </w:tc>
        <w:tc>
          <w:tcPr>
            <w:tcW w:w="76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27.67</w:t>
            </w:r>
            <w:r>
              <w:rPr>
                <w:rFonts w:ascii="Arial" w:eastAsia="Arial" w:hAnsi="Arial" w:cs="Arial"/>
                <w:sz w:val="14"/>
                <w:szCs w:val="14"/>
                <w:vertAlign w:val="superscript"/>
              </w:rPr>
              <w:t>bc</w:t>
            </w:r>
          </w:p>
        </w:tc>
        <w:tc>
          <w:tcPr>
            <w:tcW w:w="76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32.00</w:t>
            </w:r>
            <w:r>
              <w:rPr>
                <w:rFonts w:ascii="Arial" w:eastAsia="Arial" w:hAnsi="Arial" w:cs="Arial"/>
                <w:sz w:val="14"/>
                <w:szCs w:val="14"/>
                <w:vertAlign w:val="superscript"/>
              </w:rPr>
              <w:t>a</w:t>
            </w:r>
          </w:p>
        </w:tc>
        <w:tc>
          <w:tcPr>
            <w:tcW w:w="78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26.00</w:t>
            </w:r>
            <w:r>
              <w:rPr>
                <w:rFonts w:ascii="Arial" w:eastAsia="Arial" w:hAnsi="Arial" w:cs="Arial"/>
                <w:sz w:val="14"/>
                <w:szCs w:val="14"/>
                <w:vertAlign w:val="superscript"/>
              </w:rPr>
              <w:t>c</w:t>
            </w:r>
          </w:p>
        </w:tc>
        <w:tc>
          <w:tcPr>
            <w:tcW w:w="78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26.33</w:t>
            </w:r>
            <w:r>
              <w:rPr>
                <w:rFonts w:ascii="Arial" w:eastAsia="Arial" w:hAnsi="Arial" w:cs="Arial"/>
                <w:sz w:val="14"/>
                <w:szCs w:val="14"/>
                <w:vertAlign w:val="superscript"/>
              </w:rPr>
              <w:t>c</w:t>
            </w:r>
          </w:p>
        </w:tc>
        <w:tc>
          <w:tcPr>
            <w:tcW w:w="76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30.67</w:t>
            </w:r>
            <w:r>
              <w:rPr>
                <w:rFonts w:ascii="Arial" w:eastAsia="Arial" w:hAnsi="Arial" w:cs="Arial"/>
                <w:sz w:val="14"/>
                <w:szCs w:val="14"/>
                <w:vertAlign w:val="superscript"/>
              </w:rPr>
              <w:t>ab</w:t>
            </w:r>
          </w:p>
        </w:tc>
        <w:tc>
          <w:tcPr>
            <w:tcW w:w="106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31.67</w:t>
            </w:r>
            <w:r>
              <w:rPr>
                <w:rFonts w:ascii="Arial" w:eastAsia="Arial" w:hAnsi="Arial" w:cs="Arial"/>
                <w:sz w:val="14"/>
                <w:szCs w:val="14"/>
                <w:vertAlign w:val="superscript"/>
              </w:rPr>
              <w:t>a</w:t>
            </w:r>
          </w:p>
        </w:tc>
        <w:tc>
          <w:tcPr>
            <w:tcW w:w="1000" w:type="dxa"/>
            <w:gridSpan w:val="2"/>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28.00</w:t>
            </w:r>
            <w:r>
              <w:rPr>
                <w:rFonts w:ascii="Arial" w:eastAsia="Arial" w:hAnsi="Arial" w:cs="Arial"/>
                <w:sz w:val="14"/>
                <w:szCs w:val="14"/>
                <w:vertAlign w:val="superscript"/>
              </w:rPr>
              <w:t>bc</w:t>
            </w:r>
          </w:p>
        </w:tc>
        <w:tc>
          <w:tcPr>
            <w:tcW w:w="1080" w:type="dxa"/>
            <w:gridSpan w:val="2"/>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30.67</w:t>
            </w:r>
            <w:r>
              <w:rPr>
                <w:rFonts w:ascii="Arial" w:eastAsia="Arial" w:hAnsi="Arial" w:cs="Arial"/>
                <w:sz w:val="14"/>
                <w:szCs w:val="14"/>
                <w:vertAlign w:val="superscript"/>
              </w:rPr>
              <w:t>ab</w:t>
            </w:r>
          </w:p>
        </w:tc>
        <w:tc>
          <w:tcPr>
            <w:tcW w:w="1060" w:type="dxa"/>
            <w:gridSpan w:val="2"/>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25.67</w:t>
            </w:r>
            <w:r>
              <w:rPr>
                <w:rFonts w:ascii="Arial" w:eastAsia="Arial" w:hAnsi="Arial" w:cs="Arial"/>
                <w:sz w:val="14"/>
                <w:szCs w:val="14"/>
                <w:vertAlign w:val="superscript"/>
              </w:rPr>
              <w:t>c</w:t>
            </w:r>
          </w:p>
        </w:tc>
        <w:tc>
          <w:tcPr>
            <w:tcW w:w="760" w:type="dxa"/>
            <w:gridSpan w:val="2"/>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0.54</w:t>
            </w:r>
          </w:p>
        </w:tc>
        <w:tc>
          <w:tcPr>
            <w:tcW w:w="740" w:type="dxa"/>
            <w:gridSpan w:val="2"/>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0.001</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Hb (g/dL)</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9.03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10.30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8.23</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8.73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9.60</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10.37</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8.87</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9.90</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8.30</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0.23</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0.158</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RBC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2.75</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3.21</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3.10</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3.10</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2.67</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3.01</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2.48</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0.11</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0.490</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WBC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14.53</w:t>
            </w:r>
            <w:r>
              <w:rPr>
                <w:rFonts w:ascii="Arial" w:eastAsia="Arial" w:hAnsi="Arial" w:cs="Arial"/>
                <w:sz w:val="14"/>
                <w:szCs w:val="14"/>
                <w:vertAlign w:val="superscript"/>
              </w:rPr>
              <w:t>bc</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15.42</w:t>
            </w:r>
            <w:r>
              <w:rPr>
                <w:rFonts w:ascii="Arial" w:eastAsia="Arial" w:hAnsi="Arial" w:cs="Arial"/>
                <w:sz w:val="14"/>
                <w:szCs w:val="14"/>
                <w:vertAlign w:val="superscript"/>
              </w:rPr>
              <w:t>ab</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14.15</w:t>
            </w:r>
            <w:r>
              <w:rPr>
                <w:rFonts w:ascii="Arial" w:eastAsia="Arial" w:hAnsi="Arial" w:cs="Arial"/>
                <w:sz w:val="14"/>
                <w:szCs w:val="14"/>
                <w:vertAlign w:val="superscript"/>
              </w:rPr>
              <w:t>bc</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15.40</w:t>
            </w:r>
            <w:r>
              <w:rPr>
                <w:rFonts w:ascii="Arial" w:eastAsia="Arial" w:hAnsi="Arial" w:cs="Arial"/>
                <w:sz w:val="14"/>
                <w:szCs w:val="14"/>
                <w:vertAlign w:val="superscript"/>
              </w:rPr>
              <w:t>ab</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14.15</w:t>
            </w:r>
            <w:r>
              <w:rPr>
                <w:rFonts w:ascii="Arial" w:eastAsia="Arial" w:hAnsi="Arial" w:cs="Arial"/>
                <w:sz w:val="14"/>
                <w:szCs w:val="14"/>
                <w:vertAlign w:val="superscript"/>
              </w:rPr>
              <w:t>bc</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16.37</w:t>
            </w:r>
            <w:r>
              <w:rPr>
                <w:rFonts w:ascii="Arial" w:eastAsia="Arial" w:hAnsi="Arial" w:cs="Arial"/>
                <w:sz w:val="14"/>
                <w:szCs w:val="14"/>
                <w:vertAlign w:val="superscript"/>
              </w:rPr>
              <w:t>a</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13.97</w:t>
            </w:r>
            <w:r>
              <w:rPr>
                <w:rFonts w:ascii="Arial" w:eastAsia="Arial" w:hAnsi="Arial" w:cs="Arial"/>
                <w:sz w:val="14"/>
                <w:szCs w:val="14"/>
                <w:vertAlign w:val="superscript"/>
              </w:rPr>
              <w:t>c</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14.42</w:t>
            </w:r>
            <w:r>
              <w:rPr>
                <w:rFonts w:ascii="Arial" w:eastAsia="Arial" w:hAnsi="Arial" w:cs="Arial"/>
                <w:sz w:val="14"/>
                <w:szCs w:val="14"/>
                <w:vertAlign w:val="superscript"/>
              </w:rPr>
              <w:t>bc</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14.63</w:t>
            </w:r>
            <w:r>
              <w:rPr>
                <w:rFonts w:ascii="Arial" w:eastAsia="Arial" w:hAnsi="Arial" w:cs="Arial"/>
                <w:sz w:val="14"/>
                <w:szCs w:val="14"/>
                <w:vertAlign w:val="superscript"/>
              </w:rPr>
              <w:t>bc</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0.19</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0.014</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Platelet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123.00</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113.00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126.00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109.33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123.00</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115.00</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116.00</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116.67</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120.00</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2.15</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0.753</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Lymphocytes (%)</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58.00</w:t>
            </w:r>
            <w:r>
              <w:rPr>
                <w:rFonts w:ascii="Arial" w:eastAsia="Arial" w:hAnsi="Arial" w:cs="Arial"/>
                <w:sz w:val="14"/>
                <w:szCs w:val="14"/>
                <w:vertAlign w:val="superscript"/>
              </w:rPr>
              <w:t>b</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65.67</w:t>
            </w:r>
            <w:r>
              <w:rPr>
                <w:rFonts w:ascii="Arial" w:eastAsia="Arial" w:hAnsi="Arial" w:cs="Arial"/>
                <w:sz w:val="14"/>
                <w:szCs w:val="14"/>
                <w:vertAlign w:val="superscript"/>
              </w:rPr>
              <w:t>a</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56.00</w:t>
            </w:r>
            <w:r>
              <w:rPr>
                <w:rFonts w:ascii="Arial" w:eastAsia="Arial" w:hAnsi="Arial" w:cs="Arial"/>
                <w:sz w:val="14"/>
                <w:szCs w:val="14"/>
                <w:vertAlign w:val="superscript"/>
              </w:rPr>
              <w:t>b</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56.67</w:t>
            </w:r>
            <w:r>
              <w:rPr>
                <w:rFonts w:ascii="Arial" w:eastAsia="Arial" w:hAnsi="Arial" w:cs="Arial"/>
                <w:sz w:val="14"/>
                <w:szCs w:val="14"/>
                <w:vertAlign w:val="superscript"/>
              </w:rPr>
              <w:t>b</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63.67</w:t>
            </w:r>
            <w:r>
              <w:rPr>
                <w:rFonts w:ascii="Arial" w:eastAsia="Arial" w:hAnsi="Arial" w:cs="Arial"/>
                <w:sz w:val="14"/>
                <w:szCs w:val="14"/>
                <w:vertAlign w:val="superscript"/>
              </w:rPr>
              <w:t>a</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65.67</w:t>
            </w:r>
            <w:r>
              <w:rPr>
                <w:rFonts w:ascii="Arial" w:eastAsia="Arial" w:hAnsi="Arial" w:cs="Arial"/>
                <w:sz w:val="14"/>
                <w:szCs w:val="14"/>
                <w:vertAlign w:val="superscript"/>
              </w:rPr>
              <w:t>a</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58.33</w:t>
            </w:r>
            <w:r>
              <w:rPr>
                <w:rFonts w:ascii="Arial" w:eastAsia="Arial" w:hAnsi="Arial" w:cs="Arial"/>
                <w:sz w:val="14"/>
                <w:szCs w:val="14"/>
                <w:vertAlign w:val="superscript"/>
              </w:rPr>
              <w:t>b</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64.33</w:t>
            </w:r>
            <w:r>
              <w:rPr>
                <w:rFonts w:ascii="Arial" w:eastAsia="Arial" w:hAnsi="Arial" w:cs="Arial"/>
                <w:sz w:val="14"/>
                <w:szCs w:val="14"/>
                <w:vertAlign w:val="superscript"/>
              </w:rPr>
              <w:t>a</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57.33</w:t>
            </w:r>
            <w:r>
              <w:rPr>
                <w:rFonts w:ascii="Arial" w:eastAsia="Arial" w:hAnsi="Arial" w:cs="Arial"/>
                <w:sz w:val="14"/>
                <w:szCs w:val="14"/>
                <w:vertAlign w:val="superscript"/>
              </w:rPr>
              <w:t>b</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0.88</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0.000</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Heterophils (%)</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34.67</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28.33</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37.33</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37.67</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30.00</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32.00</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35.33</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30.33</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33.00</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1.16</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0.562</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Monocytes (%)</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2.33</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2.67</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3.33</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3.67</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0.21</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0.904</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Eosinophils (%)</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4.33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4.00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3.33</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2.33</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3.33</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2.00</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0.31</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0.810</w:t>
            </w:r>
          </w:p>
        </w:tc>
      </w:tr>
      <w:tr w:rsidR="00DE5863">
        <w:trPr>
          <w:gridAfter w:val="1"/>
          <w:wAfter w:w="80" w:type="dxa"/>
          <w:trHeight w:val="300"/>
        </w:trPr>
        <w:tc>
          <w:tcPr>
            <w:tcW w:w="1560" w:type="dxa"/>
            <w:vAlign w:val="center"/>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Basophils (%)</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0.33</w:t>
            </w:r>
          </w:p>
        </w:tc>
        <w:tc>
          <w:tcPr>
            <w:tcW w:w="7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0.33</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0.33</w:t>
            </w:r>
          </w:p>
        </w:tc>
        <w:tc>
          <w:tcPr>
            <w:tcW w:w="100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0.67</w:t>
            </w:r>
          </w:p>
        </w:tc>
        <w:tc>
          <w:tcPr>
            <w:tcW w:w="108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w:t>
            </w:r>
          </w:p>
        </w:tc>
        <w:tc>
          <w:tcPr>
            <w:tcW w:w="106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w:t>
            </w:r>
          </w:p>
        </w:tc>
        <w:tc>
          <w:tcPr>
            <w:tcW w:w="760" w:type="dxa"/>
            <w:gridSpan w:val="2"/>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0.09</w:t>
            </w:r>
          </w:p>
        </w:tc>
        <w:tc>
          <w:tcPr>
            <w:tcW w:w="740" w:type="dxa"/>
            <w:gridSpan w:val="2"/>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0.714</w:t>
            </w:r>
          </w:p>
        </w:tc>
      </w:tr>
    </w:tbl>
    <w:p w:rsidR="00DE5863" w:rsidRDefault="008538E9">
      <w:pPr>
        <w:jc w:val="both"/>
        <w:rPr>
          <w:rFonts w:ascii="Arial" w:eastAsia="Arial" w:hAnsi="Arial" w:cs="Arial"/>
          <w:color w:val="FF0000"/>
          <w:sz w:val="14"/>
          <w:szCs w:val="14"/>
        </w:rPr>
      </w:pPr>
      <w:proofErr w:type="spellStart"/>
      <w:proofErr w:type="gramStart"/>
      <w:r>
        <w:rPr>
          <w:rFonts w:ascii="Arial" w:eastAsia="Arial" w:hAnsi="Arial" w:cs="Arial"/>
          <w:sz w:val="14"/>
          <w:szCs w:val="14"/>
          <w:vertAlign w:val="superscript"/>
        </w:rPr>
        <w:t>a,b</w:t>
      </w:r>
      <w:proofErr w:type="gramEnd"/>
      <w:r>
        <w:rPr>
          <w:rFonts w:ascii="Arial" w:eastAsia="Arial" w:hAnsi="Arial" w:cs="Arial"/>
          <w:sz w:val="14"/>
          <w:szCs w:val="14"/>
          <w:vertAlign w:val="superscript"/>
        </w:rPr>
        <w:t>,c</w:t>
      </w:r>
      <w:proofErr w:type="spellEnd"/>
      <w:r>
        <w:rPr>
          <w:rFonts w:ascii="Arial" w:eastAsia="Arial" w:hAnsi="Arial" w:cs="Arial"/>
          <w:sz w:val="14"/>
          <w:szCs w:val="14"/>
        </w:rPr>
        <w:t xml:space="preserve"> Means in the same row with different superscripts differ (P&lt;0.05), WBC: White blood cell, RBC: Red blood cell, Hb: </w:t>
      </w:r>
      <w:proofErr w:type="spellStart"/>
      <w:r>
        <w:rPr>
          <w:rFonts w:ascii="Arial" w:eastAsia="Arial" w:hAnsi="Arial" w:cs="Arial"/>
          <w:sz w:val="14"/>
          <w:szCs w:val="14"/>
        </w:rPr>
        <w:t>Haemoglobin</w:t>
      </w:r>
      <w:proofErr w:type="spellEnd"/>
      <w:r>
        <w:rPr>
          <w:rFonts w:ascii="Arial" w:eastAsia="Arial" w:hAnsi="Arial" w:cs="Arial"/>
          <w:sz w:val="14"/>
          <w:szCs w:val="14"/>
        </w:rPr>
        <w:t xml:space="preserve"> concentration, PCV: Packed cell volume, NC: Negative Control, PC: Positive Control, SEM: Standard Error of Mean, CL: Clove Meal, GA: Garlic, PLM: Pawpaw Leaf Meal.</w:t>
      </w:r>
    </w:p>
    <w:p w:rsidR="00DE5863" w:rsidRDefault="00DE5863">
      <w:pPr>
        <w:pBdr>
          <w:top w:val="nil"/>
          <w:left w:val="nil"/>
          <w:bottom w:val="nil"/>
          <w:right w:val="nil"/>
          <w:between w:val="nil"/>
        </w:pBdr>
        <w:jc w:val="both"/>
        <w:rPr>
          <w:rFonts w:ascii="Arial" w:eastAsia="Arial" w:hAnsi="Arial" w:cs="Arial"/>
          <w:sz w:val="14"/>
          <w:szCs w:val="14"/>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Immunoglobulin G and M</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Serum immunoglobulins are indicators of humoral immune competence and are commonly used to assess the immunomodulatory effects of phytogenic feed additives in poultry.</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The results of the serum biochemical analysis of broiler chickens fed clove, garlic and pawpaw leaf meal supplemented diets are presented in Table 4. Significant (P&lt;0.05) differences were observed in the AST, ALP, Immunoglobulin G and </w:t>
      </w:r>
      <w:proofErr w:type="spellStart"/>
      <w:r>
        <w:rPr>
          <w:rFonts w:ascii="Arial" w:eastAsia="Arial" w:hAnsi="Arial" w:cs="Arial"/>
        </w:rPr>
        <w:t>Immunogblobulin</w:t>
      </w:r>
      <w:proofErr w:type="spellEnd"/>
      <w:r>
        <w:rPr>
          <w:rFonts w:ascii="Arial" w:eastAsia="Arial" w:hAnsi="Arial" w:cs="Arial"/>
        </w:rPr>
        <w:t xml:space="preserve"> M across the experimental birds. Birds fed 0.15% CL + 0.25% GA had lower AST (184.33 μ/L) than other treatments, but was similar to bird fed NC (210.33μ/L). Furthermore, birds fed 0.15% CL +3%PLM had lower ALP (191.67 μ/L). </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However, birds fed 3%PLM had higher Immunoglobulin M (4.70 mg/L) compared to other treatments. Moreover, birds fed 0.15% CL + 0.25% GA +3%PLM had the higher Immunoglobulin G (2.24 mg/L) compared to other treatments.</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The highest IgM concentration recorded in birds fed 3% pawpaw leaf meal (PLM) suggests an enhanced primary immune response. IgM is the first antibody produced following antigen exposure and plays a crucial role in early immune </w:t>
      </w:r>
      <w:proofErr w:type="spellStart"/>
      <w:r>
        <w:rPr>
          <w:rFonts w:ascii="Arial" w:eastAsia="Arial" w:hAnsi="Arial" w:cs="Arial"/>
        </w:rPr>
        <w:t>defence</w:t>
      </w:r>
      <w:proofErr w:type="spellEnd"/>
      <w:r>
        <w:rPr>
          <w:rFonts w:ascii="Arial" w:eastAsia="Arial" w:hAnsi="Arial" w:cs="Arial"/>
        </w:rPr>
        <w:t>. The elevated IgM observed in PLM-fed birds aligns with previous reports attributing immunostimulatory effects to pawpaw leaf phytochemicals such as flavonoids, alkaloids and phenolic compounds (</w:t>
      </w:r>
      <w:proofErr w:type="spellStart"/>
      <w:r>
        <w:rPr>
          <w:rFonts w:ascii="Arial" w:eastAsia="Arial" w:hAnsi="Arial" w:cs="Arial"/>
        </w:rPr>
        <w:t>Fasuyi</w:t>
      </w:r>
      <w:proofErr w:type="spellEnd"/>
      <w:r>
        <w:rPr>
          <w:rFonts w:ascii="Arial" w:eastAsia="Arial" w:hAnsi="Arial" w:cs="Arial"/>
        </w:rPr>
        <w:t xml:space="preserve">, 2004; </w:t>
      </w:r>
      <w:proofErr w:type="spellStart"/>
      <w:r>
        <w:rPr>
          <w:rFonts w:ascii="Arial" w:eastAsia="Arial" w:hAnsi="Arial" w:cs="Arial"/>
        </w:rPr>
        <w:t>Oloruntola</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2018). This finding suggests that pawpaw leaf meal may enhance early humoral immune activation in broilers.</w:t>
      </w: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Birds fed the combined clove, garlic and pawpaw leaf meal diet (0.15% CL + 0.25% GA + 3% PLM) exhibited the highest IgG concentration. IgG is associated with long-term immunity and immunological memory, and its elevation indicates sustained immune protection. The increased IgG response observed in the combined phytogenic treatment suggests a possible synergistic effect of clove, garlic and pawpaw leaf bioactive compounds on antibody production. Similar improvements in IgG levels have been reported in broilers fed herbal mixtures, reflecting enhanced immune competence compared with single-herb supplementation (Abd El-Hack</w:t>
      </w:r>
      <w:r>
        <w:rPr>
          <w:rFonts w:ascii="Arial" w:eastAsia="Arial" w:hAnsi="Arial" w:cs="Arial"/>
          <w:i/>
          <w:iCs/>
        </w:rPr>
        <w:t xml:space="preserve"> et al</w:t>
      </w:r>
      <w:r>
        <w:rPr>
          <w:rFonts w:ascii="Arial" w:eastAsia="Arial" w:hAnsi="Arial" w:cs="Arial"/>
        </w:rPr>
        <w:t>., 2020; Khan</w:t>
      </w:r>
      <w:r>
        <w:rPr>
          <w:rFonts w:ascii="Arial" w:eastAsia="Arial" w:hAnsi="Arial" w:cs="Arial"/>
          <w:i/>
          <w:iCs/>
        </w:rPr>
        <w:t xml:space="preserve"> et al.</w:t>
      </w:r>
      <w:r>
        <w:rPr>
          <w:rFonts w:ascii="Arial" w:eastAsia="Arial" w:hAnsi="Arial" w:cs="Arial"/>
        </w:rPr>
        <w:t xml:space="preserve">, 2012). </w:t>
      </w:r>
    </w:p>
    <w:p w:rsidR="00DE5863" w:rsidRDefault="008538E9">
      <w:pPr>
        <w:pStyle w:val="Heading1"/>
        <w:keepLines/>
        <w:spacing w:before="0" w:after="240" w:line="259" w:lineRule="auto"/>
        <w:jc w:val="both"/>
        <w:rPr>
          <w:sz w:val="22"/>
          <w:szCs w:val="22"/>
        </w:rPr>
      </w:pPr>
      <w:bookmarkStart w:id="9" w:name="_5wdmnkd7x5x3" w:colFirst="0" w:colLast="0"/>
      <w:bookmarkEnd w:id="9"/>
      <w:r>
        <w:rPr>
          <w:sz w:val="16"/>
          <w:szCs w:val="16"/>
        </w:rPr>
        <w:lastRenderedPageBreak/>
        <w:t>Table 4:</w:t>
      </w:r>
      <w:r>
        <w:rPr>
          <w:sz w:val="16"/>
          <w:szCs w:val="16"/>
        </w:rPr>
        <w:tab/>
      </w:r>
      <w:r>
        <w:rPr>
          <w:b w:val="0"/>
          <w:bCs w:val="0"/>
          <w:sz w:val="16"/>
          <w:szCs w:val="16"/>
        </w:rPr>
        <w:t>Effects of Clove, Garlic, and Pawpaw</w:t>
      </w:r>
      <w:r>
        <w:rPr>
          <w:b w:val="0"/>
          <w:bCs w:val="0"/>
          <w:i/>
          <w:iCs/>
          <w:sz w:val="16"/>
          <w:szCs w:val="16"/>
        </w:rPr>
        <w:t xml:space="preserve"> </w:t>
      </w:r>
      <w:r>
        <w:rPr>
          <w:b w:val="0"/>
          <w:bCs w:val="0"/>
          <w:sz w:val="16"/>
          <w:szCs w:val="16"/>
        </w:rPr>
        <w:t xml:space="preserve">Leaf Meals Supplementation on Serum Biochemical Parameters, </w:t>
      </w:r>
      <w:proofErr w:type="spellStart"/>
      <w:r>
        <w:rPr>
          <w:b w:val="0"/>
          <w:bCs w:val="0"/>
          <w:sz w:val="16"/>
          <w:szCs w:val="16"/>
        </w:rPr>
        <w:t>Immunoglbulin</w:t>
      </w:r>
      <w:proofErr w:type="spellEnd"/>
      <w:r>
        <w:rPr>
          <w:b w:val="0"/>
          <w:bCs w:val="0"/>
          <w:sz w:val="16"/>
          <w:szCs w:val="16"/>
        </w:rPr>
        <w:t xml:space="preserve"> G, and Immunoglobulin M of Broiler Chicken</w:t>
      </w:r>
      <w:r>
        <w:rPr>
          <w:sz w:val="16"/>
          <w:szCs w:val="16"/>
        </w:rPr>
        <w:t>s</w:t>
      </w:r>
    </w:p>
    <w:tbl>
      <w:tblPr>
        <w:tblStyle w:val="a2"/>
        <w:tblpPr w:leftFromText="180" w:rightFromText="180" w:topFromText="180" w:bottomFromText="180" w:vertAnchor="text" w:tblpX="-1430"/>
        <w:tblW w:w="11400" w:type="dxa"/>
        <w:tblInd w:w="0" w:type="dxa"/>
        <w:tblBorders>
          <w:bottom w:val="single" w:sz="4" w:space="0" w:color="000000"/>
        </w:tblBorders>
        <w:tblLayout w:type="fixed"/>
        <w:tblLook w:val="0400" w:firstRow="0" w:lastRow="0" w:firstColumn="0" w:lastColumn="0" w:noHBand="0" w:noVBand="1"/>
      </w:tblPr>
      <w:tblGrid>
        <w:gridCol w:w="1440"/>
        <w:gridCol w:w="820"/>
        <w:gridCol w:w="820"/>
        <w:gridCol w:w="820"/>
        <w:gridCol w:w="820"/>
        <w:gridCol w:w="880"/>
        <w:gridCol w:w="1160"/>
        <w:gridCol w:w="1060"/>
        <w:gridCol w:w="1080"/>
        <w:gridCol w:w="1060"/>
        <w:gridCol w:w="680"/>
        <w:gridCol w:w="760"/>
      </w:tblGrid>
      <w:tr w:rsidR="00DE5863">
        <w:trPr>
          <w:trHeight w:val="300"/>
        </w:trPr>
        <w:tc>
          <w:tcPr>
            <w:tcW w:w="1440" w:type="dxa"/>
            <w:tcBorders>
              <w:top w:val="single" w:sz="4" w:space="0" w:color="000000"/>
              <w:bottom w:val="single" w:sz="4" w:space="0" w:color="000000"/>
            </w:tcBorders>
            <w:vAlign w:val="bottom"/>
          </w:tcPr>
          <w:p w:rsidR="00DE5863" w:rsidRDefault="008538E9">
            <w:pPr>
              <w:jc w:val="center"/>
              <w:rPr>
                <w:rFonts w:ascii="Arial" w:eastAsia="Arial" w:hAnsi="Arial" w:cs="Arial"/>
                <w:sz w:val="14"/>
                <w:szCs w:val="14"/>
              </w:rPr>
            </w:pPr>
            <w:r>
              <w:rPr>
                <w:rFonts w:ascii="Arial" w:eastAsia="Arial" w:hAnsi="Arial" w:cs="Arial"/>
                <w:sz w:val="14"/>
                <w:szCs w:val="14"/>
              </w:rPr>
              <w:t>Parameters</w:t>
            </w:r>
          </w:p>
        </w:tc>
        <w:tc>
          <w:tcPr>
            <w:tcW w:w="82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PC</w:t>
            </w:r>
          </w:p>
        </w:tc>
        <w:tc>
          <w:tcPr>
            <w:tcW w:w="82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NC</w:t>
            </w:r>
          </w:p>
        </w:tc>
        <w:tc>
          <w:tcPr>
            <w:tcW w:w="82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0.15% CL</w:t>
            </w:r>
          </w:p>
        </w:tc>
        <w:tc>
          <w:tcPr>
            <w:tcW w:w="82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0.25% GA</w:t>
            </w:r>
          </w:p>
        </w:tc>
        <w:tc>
          <w:tcPr>
            <w:tcW w:w="880" w:type="dxa"/>
            <w:tcBorders>
              <w:top w:val="single" w:sz="4" w:space="0" w:color="000000"/>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3%</w:t>
            </w:r>
          </w:p>
          <w:p w:rsidR="00DE5863" w:rsidRDefault="008538E9">
            <w:pPr>
              <w:jc w:val="both"/>
              <w:rPr>
                <w:rFonts w:ascii="Arial" w:eastAsia="Arial" w:hAnsi="Arial" w:cs="Arial"/>
                <w:sz w:val="14"/>
                <w:szCs w:val="14"/>
              </w:rPr>
            </w:pPr>
            <w:r>
              <w:rPr>
                <w:rFonts w:ascii="Arial" w:eastAsia="Arial" w:hAnsi="Arial" w:cs="Arial"/>
                <w:sz w:val="14"/>
                <w:szCs w:val="14"/>
              </w:rPr>
              <w:t>PLM</w:t>
            </w:r>
          </w:p>
          <w:p w:rsidR="00DE5863" w:rsidRDefault="00DE5863">
            <w:pPr>
              <w:jc w:val="center"/>
              <w:rPr>
                <w:rFonts w:ascii="Arial" w:eastAsia="Arial" w:hAnsi="Arial" w:cs="Arial"/>
                <w:sz w:val="14"/>
                <w:szCs w:val="14"/>
              </w:rPr>
            </w:pPr>
          </w:p>
        </w:tc>
        <w:tc>
          <w:tcPr>
            <w:tcW w:w="116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0.15%CL+ 0.25%GA</w:t>
            </w:r>
          </w:p>
        </w:tc>
        <w:tc>
          <w:tcPr>
            <w:tcW w:w="1060" w:type="dxa"/>
            <w:tcBorders>
              <w:top w:val="single" w:sz="4" w:space="0" w:color="000000"/>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0.15%CL</w:t>
            </w:r>
          </w:p>
          <w:p w:rsidR="00DE5863" w:rsidRDefault="008538E9">
            <w:pPr>
              <w:jc w:val="center"/>
              <w:rPr>
                <w:rFonts w:ascii="Arial" w:eastAsia="Arial" w:hAnsi="Arial" w:cs="Arial"/>
                <w:sz w:val="14"/>
                <w:szCs w:val="14"/>
              </w:rPr>
            </w:pPr>
            <w:r>
              <w:rPr>
                <w:rFonts w:ascii="Arial" w:eastAsia="Arial" w:hAnsi="Arial" w:cs="Arial"/>
                <w:sz w:val="14"/>
                <w:szCs w:val="14"/>
              </w:rPr>
              <w:t>+3%PLM</w:t>
            </w:r>
          </w:p>
        </w:tc>
        <w:tc>
          <w:tcPr>
            <w:tcW w:w="108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3%PLM+ 0.25%GA</w:t>
            </w:r>
          </w:p>
        </w:tc>
        <w:tc>
          <w:tcPr>
            <w:tcW w:w="1060" w:type="dxa"/>
            <w:tcBorders>
              <w:top w:val="single" w:sz="4" w:space="0" w:color="000000"/>
              <w:bottom w:val="single" w:sz="4" w:space="0" w:color="000000"/>
            </w:tcBorders>
            <w:vAlign w:val="center"/>
          </w:tcPr>
          <w:p w:rsidR="00DE5863" w:rsidRDefault="008538E9">
            <w:pPr>
              <w:jc w:val="both"/>
              <w:rPr>
                <w:rFonts w:ascii="Arial" w:eastAsia="Arial" w:hAnsi="Arial" w:cs="Arial"/>
                <w:sz w:val="14"/>
                <w:szCs w:val="14"/>
              </w:rPr>
            </w:pPr>
            <w:r>
              <w:rPr>
                <w:rFonts w:ascii="Arial" w:eastAsia="Arial" w:hAnsi="Arial" w:cs="Arial"/>
                <w:sz w:val="14"/>
                <w:szCs w:val="14"/>
              </w:rPr>
              <w:t>0.25%CL</w:t>
            </w:r>
          </w:p>
          <w:p w:rsidR="00DE5863" w:rsidRDefault="008538E9">
            <w:pPr>
              <w:jc w:val="both"/>
              <w:rPr>
                <w:rFonts w:ascii="Arial" w:eastAsia="Arial" w:hAnsi="Arial" w:cs="Arial"/>
                <w:sz w:val="14"/>
                <w:szCs w:val="14"/>
              </w:rPr>
            </w:pPr>
            <w:r>
              <w:rPr>
                <w:rFonts w:ascii="Arial" w:eastAsia="Arial" w:hAnsi="Arial" w:cs="Arial"/>
                <w:sz w:val="14"/>
                <w:szCs w:val="14"/>
              </w:rPr>
              <w:t>+0.15%GA</w:t>
            </w:r>
          </w:p>
          <w:p w:rsidR="00DE5863" w:rsidRDefault="008538E9">
            <w:pPr>
              <w:jc w:val="center"/>
              <w:rPr>
                <w:rFonts w:ascii="Arial" w:eastAsia="Arial" w:hAnsi="Arial" w:cs="Arial"/>
                <w:sz w:val="14"/>
                <w:szCs w:val="14"/>
              </w:rPr>
            </w:pPr>
            <w:r>
              <w:rPr>
                <w:rFonts w:ascii="Arial" w:eastAsia="Arial" w:hAnsi="Arial" w:cs="Arial"/>
                <w:sz w:val="14"/>
                <w:szCs w:val="14"/>
              </w:rPr>
              <w:t>+3%PLM</w:t>
            </w:r>
          </w:p>
        </w:tc>
        <w:tc>
          <w:tcPr>
            <w:tcW w:w="680" w:type="dxa"/>
            <w:tcBorders>
              <w:top w:val="single" w:sz="4" w:space="0" w:color="000000"/>
              <w:bottom w:val="single" w:sz="4" w:space="0" w:color="000000"/>
            </w:tcBorders>
            <w:vAlign w:val="center"/>
          </w:tcPr>
          <w:p w:rsidR="00DE5863" w:rsidRDefault="008538E9">
            <w:pPr>
              <w:jc w:val="center"/>
              <w:rPr>
                <w:rFonts w:ascii="Arial" w:eastAsia="Arial" w:hAnsi="Arial" w:cs="Arial"/>
                <w:sz w:val="14"/>
                <w:szCs w:val="14"/>
              </w:rPr>
            </w:pPr>
            <w:r>
              <w:rPr>
                <w:rFonts w:ascii="Arial" w:eastAsia="Arial" w:hAnsi="Arial" w:cs="Arial"/>
                <w:sz w:val="14"/>
                <w:szCs w:val="14"/>
              </w:rPr>
              <w:t>SEM</w:t>
            </w:r>
          </w:p>
        </w:tc>
        <w:tc>
          <w:tcPr>
            <w:tcW w:w="760" w:type="dxa"/>
            <w:tcBorders>
              <w:top w:val="single" w:sz="4" w:space="0" w:color="000000"/>
              <w:bottom w:val="single" w:sz="4" w:space="0" w:color="000000"/>
            </w:tcBorders>
            <w:vAlign w:val="bottom"/>
          </w:tcPr>
          <w:p w:rsidR="00DE5863" w:rsidRDefault="008538E9">
            <w:pPr>
              <w:jc w:val="center"/>
              <w:rPr>
                <w:rFonts w:ascii="Arial" w:eastAsia="Arial" w:hAnsi="Arial" w:cs="Arial"/>
                <w:sz w:val="14"/>
                <w:szCs w:val="14"/>
              </w:rPr>
            </w:pPr>
            <w:r>
              <w:rPr>
                <w:rFonts w:ascii="Arial" w:eastAsia="Arial" w:hAnsi="Arial" w:cs="Arial"/>
                <w:sz w:val="14"/>
                <w:szCs w:val="14"/>
              </w:rPr>
              <w:t>P-Value</w:t>
            </w:r>
          </w:p>
        </w:tc>
      </w:tr>
      <w:tr w:rsidR="00DE5863">
        <w:trPr>
          <w:trHeight w:val="300"/>
        </w:trPr>
        <w:tc>
          <w:tcPr>
            <w:tcW w:w="1440" w:type="dxa"/>
            <w:tcBorders>
              <w:top w:val="single" w:sz="4" w:space="0" w:color="000000"/>
            </w:tcBorders>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TP (g/dL)</w:t>
            </w:r>
          </w:p>
        </w:tc>
        <w:tc>
          <w:tcPr>
            <w:tcW w:w="82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4.03</w:t>
            </w:r>
          </w:p>
        </w:tc>
        <w:tc>
          <w:tcPr>
            <w:tcW w:w="82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4.13</w:t>
            </w:r>
          </w:p>
        </w:tc>
        <w:tc>
          <w:tcPr>
            <w:tcW w:w="82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4.07</w:t>
            </w:r>
          </w:p>
        </w:tc>
        <w:tc>
          <w:tcPr>
            <w:tcW w:w="82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3.87</w:t>
            </w:r>
          </w:p>
        </w:tc>
        <w:tc>
          <w:tcPr>
            <w:tcW w:w="88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5.27</w:t>
            </w:r>
          </w:p>
        </w:tc>
        <w:tc>
          <w:tcPr>
            <w:tcW w:w="116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3.67</w:t>
            </w:r>
          </w:p>
        </w:tc>
        <w:tc>
          <w:tcPr>
            <w:tcW w:w="106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4.17</w:t>
            </w:r>
          </w:p>
        </w:tc>
        <w:tc>
          <w:tcPr>
            <w:tcW w:w="108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4.40</w:t>
            </w:r>
          </w:p>
        </w:tc>
        <w:tc>
          <w:tcPr>
            <w:tcW w:w="106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4.43</w:t>
            </w:r>
          </w:p>
        </w:tc>
        <w:tc>
          <w:tcPr>
            <w:tcW w:w="680" w:type="dxa"/>
            <w:tcBorders>
              <w:top w:val="single" w:sz="4" w:space="0" w:color="000000"/>
            </w:tcBorders>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0.12</w:t>
            </w:r>
          </w:p>
        </w:tc>
        <w:tc>
          <w:tcPr>
            <w:tcW w:w="760" w:type="dxa"/>
            <w:tcBorders>
              <w:top w:val="single" w:sz="4" w:space="0" w:color="000000"/>
            </w:tcBorders>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0.107</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Albumin(g/dL)</w:t>
            </w:r>
          </w:p>
        </w:tc>
        <w:tc>
          <w:tcPr>
            <w:tcW w:w="82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0.70</w:t>
            </w:r>
          </w:p>
        </w:tc>
        <w:tc>
          <w:tcPr>
            <w:tcW w:w="82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0.70</w:t>
            </w:r>
          </w:p>
        </w:tc>
        <w:tc>
          <w:tcPr>
            <w:tcW w:w="82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0.80</w:t>
            </w:r>
          </w:p>
        </w:tc>
        <w:tc>
          <w:tcPr>
            <w:tcW w:w="82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0.73</w:t>
            </w:r>
          </w:p>
        </w:tc>
        <w:tc>
          <w:tcPr>
            <w:tcW w:w="8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1.17</w:t>
            </w:r>
          </w:p>
        </w:tc>
        <w:tc>
          <w:tcPr>
            <w:tcW w:w="11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0.67</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0.73</w:t>
            </w:r>
          </w:p>
        </w:tc>
        <w:tc>
          <w:tcPr>
            <w:tcW w:w="108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0.9</w:t>
            </w:r>
          </w:p>
        </w:tc>
        <w:tc>
          <w:tcPr>
            <w:tcW w:w="10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0.83</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0.04</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0.089</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Globulin (g/dL)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3.33</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3.43</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3.47</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3.13</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4.10</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3.20</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3.43</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3.50</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3.60</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0.08</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0.283</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AST (U/L)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233.00</w:t>
            </w:r>
            <w:r>
              <w:rPr>
                <w:rFonts w:ascii="Arial" w:eastAsia="Arial" w:hAnsi="Arial" w:cs="Arial"/>
                <w:sz w:val="14"/>
                <w:szCs w:val="14"/>
                <w:vertAlign w:val="superscript"/>
              </w:rPr>
              <w:t>bc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210.33</w:t>
            </w:r>
            <w:r>
              <w:rPr>
                <w:rFonts w:ascii="Arial" w:eastAsia="Arial" w:hAnsi="Arial" w:cs="Arial"/>
                <w:sz w:val="14"/>
                <w:szCs w:val="14"/>
                <w:vertAlign w:val="superscript"/>
              </w:rPr>
              <w:t>cd</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238.00</w:t>
            </w:r>
            <w:r>
              <w:rPr>
                <w:rFonts w:ascii="Arial" w:eastAsia="Arial" w:hAnsi="Arial" w:cs="Arial"/>
                <w:sz w:val="14"/>
                <w:szCs w:val="14"/>
                <w:vertAlign w:val="superscript"/>
              </w:rPr>
              <w:t>bc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229.33</w:t>
            </w:r>
            <w:r>
              <w:rPr>
                <w:rFonts w:ascii="Arial" w:eastAsia="Arial" w:hAnsi="Arial" w:cs="Arial"/>
                <w:sz w:val="14"/>
                <w:szCs w:val="14"/>
                <w:vertAlign w:val="superscript"/>
              </w:rPr>
              <w:t>c</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332.00</w:t>
            </w:r>
            <w:r>
              <w:rPr>
                <w:rFonts w:ascii="Arial" w:eastAsia="Arial" w:hAnsi="Arial" w:cs="Arial"/>
                <w:sz w:val="14"/>
                <w:szCs w:val="14"/>
                <w:vertAlign w:val="superscript"/>
              </w:rPr>
              <w:t>a</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184.33</w:t>
            </w:r>
            <w:r>
              <w:rPr>
                <w:rFonts w:ascii="Arial" w:eastAsia="Arial" w:hAnsi="Arial" w:cs="Arial"/>
                <w:sz w:val="14"/>
                <w:szCs w:val="14"/>
                <w:vertAlign w:val="superscript"/>
              </w:rPr>
              <w:t>d</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236.67</w:t>
            </w:r>
            <w:r>
              <w:rPr>
                <w:rFonts w:ascii="Arial" w:eastAsia="Arial" w:hAnsi="Arial" w:cs="Arial"/>
                <w:sz w:val="14"/>
                <w:szCs w:val="14"/>
                <w:vertAlign w:val="superscript"/>
              </w:rPr>
              <w:t>bc</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248.33</w:t>
            </w:r>
            <w:r>
              <w:rPr>
                <w:rFonts w:ascii="Arial" w:eastAsia="Arial" w:hAnsi="Arial" w:cs="Arial"/>
                <w:sz w:val="14"/>
                <w:szCs w:val="14"/>
                <w:vertAlign w:val="superscript"/>
              </w:rPr>
              <w:t>bc</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275.33</w:t>
            </w:r>
            <w:r>
              <w:rPr>
                <w:rFonts w:ascii="Arial" w:eastAsia="Arial" w:hAnsi="Arial" w:cs="Arial"/>
                <w:sz w:val="14"/>
                <w:szCs w:val="14"/>
                <w:vertAlign w:val="superscript"/>
              </w:rPr>
              <w:t>b</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8.58</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0.000</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ALT (U/L)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32.67</w:t>
            </w:r>
            <w:r>
              <w:rPr>
                <w:rFonts w:ascii="Arial" w:eastAsia="Arial" w:hAnsi="Arial" w:cs="Arial"/>
                <w:sz w:val="14"/>
                <w:szCs w:val="14"/>
                <w:vertAlign w:val="superscript"/>
              </w:rPr>
              <w:t>de</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34.33</w:t>
            </w:r>
            <w:r>
              <w:rPr>
                <w:rFonts w:ascii="Arial" w:eastAsia="Arial" w:hAnsi="Arial" w:cs="Arial"/>
                <w:sz w:val="14"/>
                <w:szCs w:val="14"/>
                <w:vertAlign w:val="superscript"/>
              </w:rPr>
              <w:t>cde</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35.67</w:t>
            </w:r>
            <w:r>
              <w:rPr>
                <w:rFonts w:ascii="Arial" w:eastAsia="Arial" w:hAnsi="Arial" w:cs="Arial"/>
                <w:sz w:val="14"/>
                <w:szCs w:val="14"/>
                <w:vertAlign w:val="superscript"/>
              </w:rPr>
              <w:t>cde</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33.67</w:t>
            </w:r>
            <w:r>
              <w:rPr>
                <w:rFonts w:ascii="Arial" w:eastAsia="Arial" w:hAnsi="Arial" w:cs="Arial"/>
                <w:sz w:val="14"/>
                <w:szCs w:val="14"/>
                <w:vertAlign w:val="superscript"/>
              </w:rPr>
              <w:t>cde</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47.00</w:t>
            </w:r>
            <w:r>
              <w:rPr>
                <w:rFonts w:ascii="Arial" w:eastAsia="Arial" w:hAnsi="Arial" w:cs="Arial"/>
                <w:sz w:val="14"/>
                <w:szCs w:val="14"/>
                <w:vertAlign w:val="superscript"/>
              </w:rPr>
              <w:t>a</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30.33</w:t>
            </w:r>
            <w:r>
              <w:rPr>
                <w:rFonts w:ascii="Arial" w:eastAsia="Arial" w:hAnsi="Arial" w:cs="Arial"/>
                <w:sz w:val="14"/>
                <w:szCs w:val="14"/>
                <w:vertAlign w:val="superscript"/>
              </w:rPr>
              <w:t>e</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37.33</w:t>
            </w:r>
            <w:r>
              <w:rPr>
                <w:rFonts w:ascii="Arial" w:eastAsia="Arial" w:hAnsi="Arial" w:cs="Arial"/>
                <w:sz w:val="14"/>
                <w:szCs w:val="14"/>
                <w:vertAlign w:val="superscript"/>
              </w:rPr>
              <w:t>bcd</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39.67</w:t>
            </w:r>
            <w:r>
              <w:rPr>
                <w:rFonts w:ascii="Arial" w:eastAsia="Arial" w:hAnsi="Arial" w:cs="Arial"/>
                <w:sz w:val="14"/>
                <w:szCs w:val="14"/>
                <w:vertAlign w:val="superscript"/>
              </w:rPr>
              <w:t>bc</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43.33</w:t>
            </w:r>
            <w:r>
              <w:rPr>
                <w:rFonts w:ascii="Arial" w:eastAsia="Arial" w:hAnsi="Arial" w:cs="Arial"/>
                <w:sz w:val="14"/>
                <w:szCs w:val="14"/>
                <w:vertAlign w:val="superscript"/>
              </w:rPr>
              <w:t>ab</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1.13</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0.000</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ALP (U/L)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260.00</w:t>
            </w:r>
            <w:r>
              <w:rPr>
                <w:rFonts w:ascii="Arial" w:eastAsia="Arial" w:hAnsi="Arial" w:cs="Arial"/>
                <w:sz w:val="14"/>
                <w:szCs w:val="14"/>
                <w:vertAlign w:val="superscript"/>
              </w:rPr>
              <w:t>bc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219.33</w:t>
            </w:r>
            <w:r>
              <w:rPr>
                <w:rFonts w:ascii="Arial" w:eastAsia="Arial" w:hAnsi="Arial" w:cs="Arial"/>
                <w:sz w:val="14"/>
                <w:szCs w:val="14"/>
                <w:vertAlign w:val="superscript"/>
              </w:rPr>
              <w:t>cd</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250.00</w:t>
            </w:r>
            <w:r>
              <w:rPr>
                <w:rFonts w:ascii="Arial" w:eastAsia="Arial" w:hAnsi="Arial" w:cs="Arial"/>
                <w:sz w:val="14"/>
                <w:szCs w:val="14"/>
                <w:vertAlign w:val="superscript"/>
              </w:rPr>
              <w:t>bc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256.00</w:t>
            </w:r>
            <w:r>
              <w:rPr>
                <w:rFonts w:ascii="Arial" w:eastAsia="Arial" w:hAnsi="Arial" w:cs="Arial"/>
                <w:sz w:val="14"/>
                <w:szCs w:val="14"/>
                <w:vertAlign w:val="superscript"/>
              </w:rPr>
              <w:t>bc</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352.67</w:t>
            </w:r>
            <w:r>
              <w:rPr>
                <w:rFonts w:ascii="Arial" w:eastAsia="Arial" w:hAnsi="Arial" w:cs="Arial"/>
                <w:sz w:val="14"/>
                <w:szCs w:val="14"/>
                <w:vertAlign w:val="superscript"/>
              </w:rPr>
              <w:t>a</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191.67</w:t>
            </w:r>
            <w:r>
              <w:rPr>
                <w:rFonts w:ascii="Arial" w:eastAsia="Arial" w:hAnsi="Arial" w:cs="Arial"/>
                <w:sz w:val="14"/>
                <w:szCs w:val="14"/>
                <w:vertAlign w:val="superscript"/>
              </w:rPr>
              <w:t>d</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238.33</w:t>
            </w:r>
            <w:r>
              <w:rPr>
                <w:rFonts w:ascii="Arial" w:eastAsia="Arial" w:hAnsi="Arial" w:cs="Arial"/>
                <w:sz w:val="14"/>
                <w:szCs w:val="14"/>
                <w:vertAlign w:val="superscript"/>
              </w:rPr>
              <w:t>c</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234.00</w:t>
            </w:r>
            <w:r>
              <w:rPr>
                <w:rFonts w:ascii="Arial" w:eastAsia="Arial" w:hAnsi="Arial" w:cs="Arial"/>
                <w:sz w:val="14"/>
                <w:szCs w:val="14"/>
                <w:vertAlign w:val="superscript"/>
              </w:rPr>
              <w:t>c</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284.00</w:t>
            </w:r>
            <w:r>
              <w:rPr>
                <w:rFonts w:ascii="Arial" w:eastAsia="Arial" w:hAnsi="Arial" w:cs="Arial"/>
                <w:sz w:val="14"/>
                <w:szCs w:val="14"/>
                <w:vertAlign w:val="superscript"/>
              </w:rPr>
              <w:t>b</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9.16</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0.000</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BUN (mg/dL)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2.03</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2.23</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2.00</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1.83</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3.37</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1.67</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1.73</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2.20</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1.97</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0.14</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0.111</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CRT (mg/dL)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0.53</w:t>
            </w:r>
            <w:r>
              <w:rPr>
                <w:rFonts w:ascii="Arial" w:eastAsia="Arial" w:hAnsi="Arial" w:cs="Arial"/>
                <w:sz w:val="14"/>
                <w:szCs w:val="14"/>
                <w:vertAlign w:val="superscript"/>
              </w:rPr>
              <w:t>b</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0.63</w:t>
            </w:r>
            <w:r>
              <w:rPr>
                <w:rFonts w:ascii="Arial" w:eastAsia="Arial" w:hAnsi="Arial" w:cs="Arial"/>
                <w:sz w:val="14"/>
                <w:szCs w:val="14"/>
                <w:vertAlign w:val="superscript"/>
              </w:rPr>
              <w:t>b</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0.70</w:t>
            </w:r>
            <w:r>
              <w:rPr>
                <w:rFonts w:ascii="Arial" w:eastAsia="Arial" w:hAnsi="Arial" w:cs="Arial"/>
                <w:sz w:val="14"/>
                <w:szCs w:val="14"/>
                <w:vertAlign w:val="superscript"/>
              </w:rPr>
              <w:t>b</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2.70</w:t>
            </w:r>
            <w:r>
              <w:rPr>
                <w:rFonts w:ascii="Arial" w:eastAsia="Arial" w:hAnsi="Arial" w:cs="Arial"/>
                <w:sz w:val="14"/>
                <w:szCs w:val="14"/>
                <w:vertAlign w:val="superscript"/>
              </w:rPr>
              <w:t>a</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0.60</w:t>
            </w:r>
            <w:r>
              <w:rPr>
                <w:rFonts w:ascii="Arial" w:eastAsia="Arial" w:hAnsi="Arial" w:cs="Arial"/>
                <w:sz w:val="14"/>
                <w:szCs w:val="14"/>
                <w:vertAlign w:val="superscript"/>
              </w:rPr>
              <w:t>b</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0.37</w:t>
            </w:r>
            <w:r>
              <w:rPr>
                <w:rFonts w:ascii="Arial" w:eastAsia="Arial" w:hAnsi="Arial" w:cs="Arial"/>
                <w:sz w:val="14"/>
                <w:szCs w:val="14"/>
                <w:vertAlign w:val="superscript"/>
              </w:rPr>
              <w:t>b</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0.18</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0.041</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IgM (mg/L)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4.03</w:t>
            </w:r>
            <w:r>
              <w:rPr>
                <w:rFonts w:ascii="Arial" w:eastAsia="Arial" w:hAnsi="Arial" w:cs="Arial"/>
                <w:sz w:val="14"/>
                <w:szCs w:val="14"/>
                <w:vertAlign w:val="superscript"/>
              </w:rPr>
              <w:t>b</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3.27</w:t>
            </w:r>
            <w:r>
              <w:rPr>
                <w:rFonts w:ascii="Arial" w:eastAsia="Arial" w:hAnsi="Arial" w:cs="Arial"/>
                <w:sz w:val="14"/>
                <w:szCs w:val="14"/>
                <w:vertAlign w:val="superscript"/>
              </w:rPr>
              <w:t>cd</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3.27</w:t>
            </w:r>
            <w:r>
              <w:rPr>
                <w:rFonts w:ascii="Arial" w:eastAsia="Arial" w:hAnsi="Arial" w:cs="Arial"/>
                <w:sz w:val="14"/>
                <w:szCs w:val="14"/>
                <w:vertAlign w:val="superscript"/>
              </w:rPr>
              <w:t>cd</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3.00</w:t>
            </w:r>
            <w:r>
              <w:rPr>
                <w:rFonts w:ascii="Arial" w:eastAsia="Arial" w:hAnsi="Arial" w:cs="Arial"/>
                <w:sz w:val="14"/>
                <w:szCs w:val="14"/>
                <w:vertAlign w:val="superscript"/>
              </w:rPr>
              <w:t>d</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4.70</w:t>
            </w:r>
            <w:r>
              <w:rPr>
                <w:rFonts w:ascii="Arial" w:eastAsia="Arial" w:hAnsi="Arial" w:cs="Arial"/>
                <w:sz w:val="14"/>
                <w:szCs w:val="14"/>
                <w:vertAlign w:val="superscript"/>
              </w:rPr>
              <w:t>a</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3.07</w:t>
            </w:r>
            <w:r>
              <w:rPr>
                <w:rFonts w:ascii="Arial" w:eastAsia="Arial" w:hAnsi="Arial" w:cs="Arial"/>
                <w:sz w:val="14"/>
                <w:szCs w:val="14"/>
                <w:vertAlign w:val="superscript"/>
              </w:rPr>
              <w:t>d</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3.50</w:t>
            </w:r>
            <w:r>
              <w:rPr>
                <w:rFonts w:ascii="Arial" w:eastAsia="Arial" w:hAnsi="Arial" w:cs="Arial"/>
                <w:sz w:val="14"/>
                <w:szCs w:val="14"/>
                <w:vertAlign w:val="superscript"/>
              </w:rPr>
              <w:t>bcd</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3.83</w:t>
            </w:r>
            <w:r>
              <w:rPr>
                <w:rFonts w:ascii="Arial" w:eastAsia="Arial" w:hAnsi="Arial" w:cs="Arial"/>
                <w:sz w:val="14"/>
                <w:szCs w:val="14"/>
                <w:vertAlign w:val="superscript"/>
              </w:rPr>
              <w:t>bc</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4.03</w:t>
            </w:r>
            <w:r>
              <w:rPr>
                <w:rFonts w:ascii="Arial" w:eastAsia="Arial" w:hAnsi="Arial" w:cs="Arial"/>
                <w:sz w:val="14"/>
                <w:szCs w:val="14"/>
                <w:vertAlign w:val="superscript"/>
              </w:rPr>
              <w:t>b</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0.12</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0.000</w:t>
            </w:r>
          </w:p>
        </w:tc>
      </w:tr>
      <w:tr w:rsidR="00DE5863">
        <w:trPr>
          <w:trHeight w:val="300"/>
        </w:trPr>
        <w:tc>
          <w:tcPr>
            <w:tcW w:w="1440" w:type="dxa"/>
            <w:vAlign w:val="bottom"/>
          </w:tcPr>
          <w:p w:rsidR="00DE5863" w:rsidRDefault="008538E9">
            <w:pPr>
              <w:spacing w:line="360" w:lineRule="auto"/>
              <w:jc w:val="both"/>
              <w:rPr>
                <w:rFonts w:ascii="Arial" w:eastAsia="Arial" w:hAnsi="Arial" w:cs="Arial"/>
                <w:sz w:val="14"/>
                <w:szCs w:val="14"/>
              </w:rPr>
            </w:pPr>
            <w:r>
              <w:rPr>
                <w:rFonts w:ascii="Arial" w:eastAsia="Arial" w:hAnsi="Arial" w:cs="Arial"/>
                <w:sz w:val="14"/>
                <w:szCs w:val="14"/>
              </w:rPr>
              <w:t>IgG (mg/L)</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1.19</w:t>
            </w:r>
            <w:r>
              <w:rPr>
                <w:rFonts w:ascii="Arial" w:eastAsia="Arial" w:hAnsi="Arial" w:cs="Arial"/>
                <w:sz w:val="14"/>
                <w:szCs w:val="14"/>
                <w:vertAlign w:val="superscript"/>
              </w:rPr>
              <w:t>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1.20</w:t>
            </w:r>
            <w:r>
              <w:rPr>
                <w:rFonts w:ascii="Arial" w:eastAsia="Arial" w:hAnsi="Arial" w:cs="Arial"/>
                <w:sz w:val="14"/>
                <w:szCs w:val="14"/>
                <w:vertAlign w:val="superscript"/>
              </w:rPr>
              <w:t>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1.51</w:t>
            </w:r>
            <w:r>
              <w:rPr>
                <w:rFonts w:ascii="Arial" w:eastAsia="Arial" w:hAnsi="Arial" w:cs="Arial"/>
                <w:sz w:val="14"/>
                <w:szCs w:val="14"/>
                <w:vertAlign w:val="superscript"/>
              </w:rPr>
              <w:t>bc</w:t>
            </w:r>
          </w:p>
        </w:tc>
        <w:tc>
          <w:tcPr>
            <w:tcW w:w="82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1.51</w:t>
            </w:r>
            <w:r>
              <w:rPr>
                <w:rFonts w:ascii="Arial" w:eastAsia="Arial" w:hAnsi="Arial" w:cs="Arial"/>
                <w:sz w:val="14"/>
                <w:szCs w:val="14"/>
                <w:vertAlign w:val="superscript"/>
              </w:rPr>
              <w:t>bc</w:t>
            </w:r>
          </w:p>
        </w:tc>
        <w:tc>
          <w:tcPr>
            <w:tcW w:w="8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1.75</w:t>
            </w:r>
            <w:r>
              <w:rPr>
                <w:rFonts w:ascii="Arial" w:eastAsia="Arial" w:hAnsi="Arial" w:cs="Arial"/>
                <w:sz w:val="14"/>
                <w:szCs w:val="14"/>
                <w:vertAlign w:val="superscript"/>
              </w:rPr>
              <w:t>b</w:t>
            </w:r>
          </w:p>
        </w:tc>
        <w:tc>
          <w:tcPr>
            <w:tcW w:w="11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1.62</w:t>
            </w:r>
            <w:r>
              <w:rPr>
                <w:rFonts w:ascii="Arial" w:eastAsia="Arial" w:hAnsi="Arial" w:cs="Arial"/>
                <w:sz w:val="14"/>
                <w:szCs w:val="14"/>
                <w:vertAlign w:val="superscript"/>
              </w:rPr>
              <w:t>bc</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1.85</w:t>
            </w:r>
            <w:r>
              <w:rPr>
                <w:rFonts w:ascii="Arial" w:eastAsia="Arial" w:hAnsi="Arial" w:cs="Arial"/>
                <w:sz w:val="14"/>
                <w:szCs w:val="14"/>
                <w:vertAlign w:val="superscript"/>
              </w:rPr>
              <w:t>ab</w:t>
            </w:r>
          </w:p>
        </w:tc>
        <w:tc>
          <w:tcPr>
            <w:tcW w:w="10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1.87</w:t>
            </w:r>
            <w:r>
              <w:rPr>
                <w:rFonts w:ascii="Arial" w:eastAsia="Arial" w:hAnsi="Arial" w:cs="Arial"/>
                <w:sz w:val="14"/>
                <w:szCs w:val="14"/>
                <w:vertAlign w:val="superscript"/>
              </w:rPr>
              <w:t>ab</w:t>
            </w:r>
          </w:p>
        </w:tc>
        <w:tc>
          <w:tcPr>
            <w:tcW w:w="106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2.24</w:t>
            </w:r>
            <w:r>
              <w:rPr>
                <w:rFonts w:ascii="Arial" w:eastAsia="Arial" w:hAnsi="Arial" w:cs="Arial"/>
                <w:sz w:val="14"/>
                <w:szCs w:val="14"/>
                <w:vertAlign w:val="superscript"/>
              </w:rPr>
              <w:t>a</w:t>
            </w:r>
          </w:p>
        </w:tc>
        <w:tc>
          <w:tcPr>
            <w:tcW w:w="680" w:type="dxa"/>
            <w:vAlign w:val="center"/>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0.07</w:t>
            </w:r>
          </w:p>
        </w:tc>
        <w:tc>
          <w:tcPr>
            <w:tcW w:w="760" w:type="dxa"/>
            <w:vAlign w:val="bottom"/>
          </w:tcPr>
          <w:p w:rsidR="00DE5863" w:rsidRDefault="008538E9">
            <w:pPr>
              <w:spacing w:line="360" w:lineRule="auto"/>
              <w:jc w:val="center"/>
              <w:rPr>
                <w:rFonts w:ascii="Arial" w:eastAsia="Arial" w:hAnsi="Arial" w:cs="Arial"/>
                <w:sz w:val="14"/>
                <w:szCs w:val="14"/>
              </w:rPr>
            </w:pPr>
            <w:r>
              <w:rPr>
                <w:rFonts w:ascii="Arial" w:eastAsia="Arial" w:hAnsi="Arial" w:cs="Arial"/>
                <w:sz w:val="14"/>
                <w:szCs w:val="14"/>
              </w:rPr>
              <w:t>0.002</w:t>
            </w:r>
          </w:p>
        </w:tc>
      </w:tr>
    </w:tbl>
    <w:p w:rsidR="00DE5863" w:rsidRDefault="008538E9">
      <w:pPr>
        <w:spacing w:after="160" w:line="259" w:lineRule="auto"/>
        <w:rPr>
          <w:rFonts w:ascii="Arial" w:eastAsia="Arial" w:hAnsi="Arial" w:cs="Arial"/>
          <w:sz w:val="16"/>
          <w:szCs w:val="16"/>
        </w:rPr>
      </w:pPr>
      <w:proofErr w:type="spellStart"/>
      <w:r>
        <w:rPr>
          <w:rFonts w:ascii="Arial" w:eastAsia="Arial" w:hAnsi="Arial" w:cs="Arial"/>
          <w:sz w:val="16"/>
          <w:szCs w:val="16"/>
        </w:rPr>
        <w:t>a,b,c,d,e</w:t>
      </w:r>
      <w:proofErr w:type="spellEnd"/>
      <w:r>
        <w:rPr>
          <w:rFonts w:ascii="Arial" w:eastAsia="Arial" w:hAnsi="Arial" w:cs="Arial"/>
          <w:sz w:val="16"/>
          <w:szCs w:val="16"/>
        </w:rPr>
        <w:t xml:space="preserve"> Means in the same row with different superscripts differ (P&lt;0.05), IgM: Immunoglobulin M, IgG: Immunoglobulin G, CRT: Creatinine, BUN: Blood Urinary Nitrogen, ALP: Alkaline Phosphatase, ALT: Alanine aminotransferase, AST: Aspartate aminotransferase, TP: Total Protein, NC: Negative Control, PC: Positive Control, SEM: Standard Error of Mean, CL: Clove Meal, GA: Garlic, PLM: Pawpaw Leaf Meal.</w:t>
      </w:r>
    </w:p>
    <w:p w:rsidR="00DE5863" w:rsidRDefault="00DE5863">
      <w:pPr>
        <w:spacing w:after="160" w:line="259" w:lineRule="auto"/>
        <w:rPr>
          <w:rFonts w:ascii="Arial" w:eastAsia="Arial" w:hAnsi="Arial" w:cs="Arial"/>
          <w:sz w:val="22"/>
          <w:szCs w:val="22"/>
        </w:rPr>
      </w:pPr>
    </w:p>
    <w:p w:rsidR="00DE5863" w:rsidRDefault="008538E9">
      <w:pPr>
        <w:spacing w:after="160" w:line="259" w:lineRule="auto"/>
        <w:rPr>
          <w:rFonts w:ascii="Arial" w:eastAsia="Arial" w:hAnsi="Arial" w:cs="Arial"/>
          <w:sz w:val="22"/>
          <w:szCs w:val="22"/>
        </w:rPr>
      </w:pPr>
      <w:r>
        <w:rPr>
          <w:rFonts w:ascii="Arial" w:eastAsia="Arial" w:hAnsi="Arial" w:cs="Arial"/>
          <w:sz w:val="22"/>
          <w:szCs w:val="22"/>
        </w:rPr>
        <w:t xml:space="preserve">Serum Antioxidant Status  </w:t>
      </w:r>
    </w:p>
    <w:p w:rsidR="00DE5863" w:rsidRDefault="008538E9">
      <w:pPr>
        <w:spacing w:after="160" w:line="259" w:lineRule="auto"/>
        <w:rPr>
          <w:rFonts w:ascii="Arial" w:eastAsia="Arial" w:hAnsi="Arial" w:cs="Arial"/>
          <w:sz w:val="22"/>
          <w:szCs w:val="22"/>
        </w:rPr>
      </w:pPr>
      <w:r>
        <w:rPr>
          <w:rFonts w:ascii="Arial" w:eastAsia="Arial" w:hAnsi="Arial" w:cs="Arial"/>
          <w:sz w:val="22"/>
          <w:szCs w:val="22"/>
        </w:rPr>
        <w:t xml:space="preserve">Serum antioxidant indices of broiler chickens fed diets supplemented with clove, garlic, and pawpaw leaf meals are presented in Table 5. Significant differences were observed in all the serum antioxidant parameters </w:t>
      </w:r>
      <w:proofErr w:type="spellStart"/>
      <w:r>
        <w:rPr>
          <w:rFonts w:ascii="Arial" w:eastAsia="Arial" w:hAnsi="Arial" w:cs="Arial"/>
          <w:sz w:val="22"/>
          <w:szCs w:val="22"/>
        </w:rPr>
        <w:t>analysed</w:t>
      </w:r>
      <w:proofErr w:type="spellEnd"/>
      <w:r>
        <w:rPr>
          <w:rFonts w:ascii="Arial" w:eastAsia="Arial" w:hAnsi="Arial" w:cs="Arial"/>
          <w:sz w:val="22"/>
          <w:szCs w:val="22"/>
        </w:rPr>
        <w:t xml:space="preserve"> except for the MDA. Broiler chicken fed 0.15%CL+0.25GA+3%PLM diet had higher total antioxidant capacity (21.97 </w:t>
      </w:r>
      <w:proofErr w:type="spellStart"/>
      <w:r>
        <w:rPr>
          <w:rFonts w:ascii="Arial" w:eastAsia="Arial" w:hAnsi="Arial" w:cs="Arial"/>
          <w:sz w:val="22"/>
          <w:szCs w:val="22"/>
        </w:rPr>
        <w:t>μg</w:t>
      </w:r>
      <w:proofErr w:type="spellEnd"/>
      <w:r>
        <w:rPr>
          <w:rFonts w:ascii="Arial" w:eastAsia="Arial" w:hAnsi="Arial" w:cs="Arial"/>
          <w:sz w:val="22"/>
          <w:szCs w:val="22"/>
        </w:rPr>
        <w:t xml:space="preserve">/dL) compared to other treatment groups. Similarly, broiler chickens fed 0.15%CL+0.25GA+3%PLM had higher </w:t>
      </w:r>
      <w:proofErr w:type="spellStart"/>
      <w:r>
        <w:rPr>
          <w:rFonts w:ascii="Arial" w:eastAsia="Arial" w:hAnsi="Arial" w:cs="Arial"/>
          <w:sz w:val="22"/>
          <w:szCs w:val="22"/>
        </w:rPr>
        <w:t>GPx</w:t>
      </w:r>
      <w:proofErr w:type="spellEnd"/>
      <w:r>
        <w:rPr>
          <w:rFonts w:ascii="Arial" w:eastAsia="Arial" w:hAnsi="Arial" w:cs="Arial"/>
          <w:sz w:val="22"/>
          <w:szCs w:val="22"/>
        </w:rPr>
        <w:t xml:space="preserve"> concentration (16.33units/mg protein), GST (64.16units/mg protein), SOD (7.28units/mg protein), and CAT (4.11units/mg protein) compared to other treatment groups. The evaluation of the systemic antioxidant status revealed a significant upregulation in both non-enzymatic and enzymatic antioxidant </w:t>
      </w:r>
      <w:proofErr w:type="spellStart"/>
      <w:r>
        <w:rPr>
          <w:rFonts w:ascii="Arial" w:eastAsia="Arial" w:hAnsi="Arial" w:cs="Arial"/>
          <w:sz w:val="22"/>
          <w:szCs w:val="22"/>
        </w:rPr>
        <w:t>defences</w:t>
      </w:r>
      <w:proofErr w:type="spellEnd"/>
      <w:r>
        <w:rPr>
          <w:rFonts w:ascii="Arial" w:eastAsia="Arial" w:hAnsi="Arial" w:cs="Arial"/>
          <w:sz w:val="22"/>
          <w:szCs w:val="22"/>
        </w:rPr>
        <w:t xml:space="preserve"> as a result of phytogenic supplementation. A marked elevation in Total Antioxidant Capacity (TAC) and the activities of key antioxidant enzymes, including Glutathione Peroxidase (</w:t>
      </w:r>
      <w:proofErr w:type="spellStart"/>
      <w:r>
        <w:rPr>
          <w:rFonts w:ascii="Arial" w:eastAsia="Arial" w:hAnsi="Arial" w:cs="Arial"/>
          <w:sz w:val="22"/>
          <w:szCs w:val="22"/>
        </w:rPr>
        <w:t>GPx</w:t>
      </w:r>
      <w:proofErr w:type="spellEnd"/>
      <w:r>
        <w:rPr>
          <w:rFonts w:ascii="Arial" w:eastAsia="Arial" w:hAnsi="Arial" w:cs="Arial"/>
          <w:sz w:val="22"/>
          <w:szCs w:val="22"/>
        </w:rPr>
        <w:t xml:space="preserve">), Superoxide Dismutase (SOD), Glutathione S-transferase (GST), and Catalase (CAT), was observed among several supplemented groups. This effect was most pronounced in the treatment receiving the three-way mixture of clove, garlic, and pawpaw leaf meal, which recorded the highest values across all measured antioxidant parameters. The concurrent finding of enhanced enzymatic </w:t>
      </w:r>
      <w:proofErr w:type="spellStart"/>
      <w:r>
        <w:rPr>
          <w:rFonts w:ascii="Arial" w:eastAsia="Arial" w:hAnsi="Arial" w:cs="Arial"/>
          <w:sz w:val="22"/>
          <w:szCs w:val="22"/>
        </w:rPr>
        <w:t>defences</w:t>
      </w:r>
      <w:proofErr w:type="spellEnd"/>
      <w:r>
        <w:rPr>
          <w:rFonts w:ascii="Arial" w:eastAsia="Arial" w:hAnsi="Arial" w:cs="Arial"/>
          <w:sz w:val="22"/>
          <w:szCs w:val="22"/>
        </w:rPr>
        <w:t xml:space="preserve"> with unaltered Malondialdehyde (MDA) levels is particularly indicative of a successful adaptive physiological response (</w:t>
      </w:r>
      <w:proofErr w:type="spellStart"/>
      <w:r>
        <w:rPr>
          <w:rFonts w:ascii="Arial" w:eastAsia="Arial" w:hAnsi="Arial" w:cs="Arial"/>
          <w:sz w:val="22"/>
          <w:szCs w:val="22"/>
        </w:rPr>
        <w:t>Kowalczuk</w:t>
      </w:r>
      <w:proofErr w:type="spellEnd"/>
      <w:r>
        <w:rPr>
          <w:rFonts w:ascii="Arial" w:eastAsia="Arial" w:hAnsi="Arial" w:cs="Arial"/>
          <w:sz w:val="22"/>
          <w:szCs w:val="22"/>
        </w:rPr>
        <w:t xml:space="preserve"> and </w:t>
      </w:r>
      <w:proofErr w:type="spellStart"/>
      <w:r>
        <w:rPr>
          <w:rFonts w:ascii="Arial" w:eastAsia="Arial" w:hAnsi="Arial" w:cs="Arial"/>
          <w:sz w:val="22"/>
          <w:szCs w:val="22"/>
        </w:rPr>
        <w:t>Stryjecka</w:t>
      </w:r>
      <w:proofErr w:type="spellEnd"/>
      <w:r>
        <w:rPr>
          <w:rFonts w:ascii="Arial" w:eastAsia="Arial" w:hAnsi="Arial" w:cs="Arial"/>
          <w:sz w:val="22"/>
          <w:szCs w:val="22"/>
        </w:rPr>
        <w:t>-Zimmer, 2002). This profile suggests that the phytogenic supplementation did not merely suppress a pre-existing oxidative burden, but rather proactively elevated the antioxidant reservoir and enzymatic activity (</w:t>
      </w:r>
      <w:proofErr w:type="spellStart"/>
      <w:r>
        <w:rPr>
          <w:rFonts w:ascii="Arial" w:eastAsia="Arial" w:hAnsi="Arial" w:cs="Arial"/>
          <w:sz w:val="22"/>
          <w:szCs w:val="22"/>
        </w:rPr>
        <w:t>Cordiano</w:t>
      </w:r>
      <w:proofErr w:type="spellEnd"/>
      <w:r>
        <w:rPr>
          <w:rFonts w:ascii="Arial" w:eastAsia="Arial" w:hAnsi="Arial" w:cs="Arial"/>
          <w:i/>
          <w:iCs/>
          <w:sz w:val="22"/>
          <w:szCs w:val="22"/>
        </w:rPr>
        <w:t xml:space="preserve"> et al</w:t>
      </w:r>
      <w:r>
        <w:rPr>
          <w:rFonts w:ascii="Arial" w:eastAsia="Arial" w:hAnsi="Arial" w:cs="Arial"/>
          <w:sz w:val="22"/>
          <w:szCs w:val="22"/>
        </w:rPr>
        <w:t xml:space="preserve">., 2023). This enhanced </w:t>
      </w:r>
      <w:r>
        <w:rPr>
          <w:rFonts w:ascii="Arial" w:eastAsia="Arial" w:hAnsi="Arial" w:cs="Arial"/>
          <w:sz w:val="22"/>
          <w:szCs w:val="22"/>
        </w:rPr>
        <w:lastRenderedPageBreak/>
        <w:t>capacity effectively buffered physiological oxidative challenges, thereby preserving membrane lipid integrity and preventing lipid peroxidation.</w:t>
      </w:r>
    </w:p>
    <w:p w:rsidR="00DE5863" w:rsidRDefault="008538E9">
      <w:pPr>
        <w:spacing w:after="160" w:line="259" w:lineRule="auto"/>
        <w:rPr>
          <w:rFonts w:ascii="Arial" w:eastAsia="Arial" w:hAnsi="Arial" w:cs="Arial"/>
          <w:sz w:val="22"/>
          <w:szCs w:val="22"/>
        </w:rPr>
      </w:pPr>
      <w:r>
        <w:rPr>
          <w:rFonts w:ascii="Arial" w:eastAsia="Arial" w:hAnsi="Arial" w:cs="Arial"/>
          <w:sz w:val="22"/>
          <w:szCs w:val="22"/>
        </w:rPr>
        <w:t>The observed biochemical improvements are fully similar with an extensive body of literature documenting the antioxidant properties of essential oils and phytogenic compounds (</w:t>
      </w:r>
      <w:proofErr w:type="spellStart"/>
      <w:r>
        <w:rPr>
          <w:rFonts w:ascii="Arial" w:eastAsia="Arial" w:hAnsi="Arial" w:cs="Arial"/>
          <w:sz w:val="22"/>
          <w:szCs w:val="22"/>
        </w:rPr>
        <w:t>Abdelli</w:t>
      </w:r>
      <w:proofErr w:type="spellEnd"/>
      <w:r>
        <w:rPr>
          <w:rFonts w:ascii="Arial" w:eastAsia="Arial" w:hAnsi="Arial" w:cs="Arial"/>
          <w:sz w:val="22"/>
          <w:szCs w:val="22"/>
        </w:rPr>
        <w:t xml:space="preserve"> </w:t>
      </w:r>
      <w:r>
        <w:rPr>
          <w:rFonts w:ascii="Arial" w:eastAsia="Arial" w:hAnsi="Arial" w:cs="Arial"/>
          <w:i/>
          <w:iCs/>
          <w:sz w:val="22"/>
          <w:szCs w:val="22"/>
        </w:rPr>
        <w:t>et al.</w:t>
      </w:r>
      <w:r>
        <w:rPr>
          <w:rFonts w:ascii="Arial" w:eastAsia="Arial" w:hAnsi="Arial" w:cs="Arial"/>
          <w:sz w:val="22"/>
          <w:szCs w:val="22"/>
        </w:rPr>
        <w:t xml:space="preserve">, 2021; </w:t>
      </w:r>
      <w:proofErr w:type="spellStart"/>
      <w:r>
        <w:rPr>
          <w:rFonts w:ascii="Arial" w:eastAsia="Arial" w:hAnsi="Arial" w:cs="Arial"/>
          <w:sz w:val="22"/>
          <w:szCs w:val="22"/>
        </w:rPr>
        <w:t>Wati</w:t>
      </w:r>
      <w:proofErr w:type="spellEnd"/>
      <w:r>
        <w:rPr>
          <w:rFonts w:ascii="Arial" w:eastAsia="Arial" w:hAnsi="Arial" w:cs="Arial"/>
          <w:sz w:val="22"/>
          <w:szCs w:val="22"/>
        </w:rPr>
        <w:t xml:space="preserve"> </w:t>
      </w:r>
      <w:r>
        <w:rPr>
          <w:rFonts w:ascii="Arial" w:eastAsia="Arial" w:hAnsi="Arial" w:cs="Arial"/>
          <w:i/>
          <w:iCs/>
          <w:sz w:val="22"/>
          <w:szCs w:val="22"/>
        </w:rPr>
        <w:t>et al</w:t>
      </w:r>
      <w:r>
        <w:rPr>
          <w:rFonts w:ascii="Arial" w:eastAsia="Arial" w:hAnsi="Arial" w:cs="Arial"/>
          <w:sz w:val="22"/>
          <w:szCs w:val="22"/>
        </w:rPr>
        <w:t>., 2015). The combination of eugenol-rich clove, organosulfur compound-containing garlic, and papaya leaves, which provide a suite of vitamins and flavonoids, likely functioned through complementary mechanisms. These include the direct scavenging of free radicals by exogenous antioxidant molecules and the induction of endogenous defense pathways, leading to the transcriptional upregulation of enzymes such as Glutathione Peroxidase (</w:t>
      </w:r>
      <w:proofErr w:type="spellStart"/>
      <w:r>
        <w:rPr>
          <w:rFonts w:ascii="Arial" w:eastAsia="Arial" w:hAnsi="Arial" w:cs="Arial"/>
          <w:sz w:val="22"/>
          <w:szCs w:val="22"/>
        </w:rPr>
        <w:t>GPx</w:t>
      </w:r>
      <w:proofErr w:type="spellEnd"/>
      <w:r>
        <w:rPr>
          <w:rFonts w:ascii="Arial" w:eastAsia="Arial" w:hAnsi="Arial" w:cs="Arial"/>
          <w:sz w:val="22"/>
          <w:szCs w:val="22"/>
        </w:rPr>
        <w:t xml:space="preserve">), Superoxide Dismutase (SOD), Glutathione S-transferase (GST). This interpretation is strongly supported by specific reports on clove and garlic, which have been shown to increase the activities of these very enzymes and reduce oxidative stress biomarkers in poultry (Elbaz </w:t>
      </w:r>
      <w:r>
        <w:rPr>
          <w:rFonts w:ascii="Arial" w:eastAsia="Arial" w:hAnsi="Arial" w:cs="Arial"/>
          <w:i/>
          <w:iCs/>
          <w:sz w:val="22"/>
          <w:szCs w:val="22"/>
        </w:rPr>
        <w:t>et al.</w:t>
      </w:r>
      <w:r>
        <w:rPr>
          <w:rFonts w:ascii="Arial" w:eastAsia="Arial" w:hAnsi="Arial" w:cs="Arial"/>
          <w:sz w:val="22"/>
          <w:szCs w:val="22"/>
        </w:rPr>
        <w:t>, 2025; Li</w:t>
      </w:r>
      <w:r>
        <w:rPr>
          <w:rFonts w:ascii="Arial" w:eastAsia="Arial" w:hAnsi="Arial" w:cs="Arial"/>
          <w:i/>
          <w:iCs/>
          <w:sz w:val="22"/>
          <w:szCs w:val="22"/>
        </w:rPr>
        <w:t xml:space="preserve"> et al</w:t>
      </w:r>
      <w:r>
        <w:rPr>
          <w:rFonts w:ascii="Arial" w:eastAsia="Arial" w:hAnsi="Arial" w:cs="Arial"/>
          <w:sz w:val="22"/>
          <w:szCs w:val="22"/>
        </w:rPr>
        <w:t>., 2024</w:t>
      </w:r>
      <w:proofErr w:type="gramStart"/>
      <w:r>
        <w:rPr>
          <w:rFonts w:ascii="Arial" w:eastAsia="Arial" w:hAnsi="Arial" w:cs="Arial"/>
          <w:sz w:val="22"/>
          <w:szCs w:val="22"/>
        </w:rPr>
        <w:t>) .</w:t>
      </w:r>
      <w:proofErr w:type="gramEnd"/>
    </w:p>
    <w:p w:rsidR="00DE5863" w:rsidRDefault="008538E9">
      <w:pPr>
        <w:spacing w:after="160" w:line="259" w:lineRule="auto"/>
        <w:rPr>
          <w:rFonts w:ascii="Arial" w:eastAsia="Arial" w:hAnsi="Arial" w:cs="Arial"/>
          <w:sz w:val="22"/>
          <w:szCs w:val="22"/>
        </w:rPr>
      </w:pPr>
      <w:r>
        <w:rPr>
          <w:rFonts w:ascii="Arial" w:eastAsia="Arial" w:hAnsi="Arial" w:cs="Arial"/>
          <w:sz w:val="22"/>
          <w:szCs w:val="22"/>
        </w:rPr>
        <w:t xml:space="preserve">In synthesis, the moderated inclusion of pawpaw leaf meal at 3%, either alone or in synergistic combination with small amounts of clove and garlic, demonstrates a multi-faceted benefit. It significantly improves zootechnical parameters such as growth and feed efficiency while concurrently augmenting systemic antioxidant capacity and several markers of immune competence. </w:t>
      </w:r>
    </w:p>
    <w:p w:rsidR="00DE5863" w:rsidRDefault="008538E9">
      <w:pPr>
        <w:spacing w:after="160" w:line="259" w:lineRule="auto"/>
        <w:rPr>
          <w:rFonts w:ascii="Arial" w:eastAsia="Arial" w:hAnsi="Arial" w:cs="Arial"/>
          <w:sz w:val="22"/>
          <w:szCs w:val="22"/>
        </w:rPr>
      </w:pPr>
      <w:r>
        <w:rPr>
          <w:rFonts w:ascii="Arial" w:eastAsia="Arial" w:hAnsi="Arial" w:cs="Arial"/>
          <w:sz w:val="22"/>
          <w:szCs w:val="22"/>
        </w:rPr>
        <w:t>The collective pattern of results supports a coherent mechanistic model wherein: (</w:t>
      </w:r>
      <w:proofErr w:type="spellStart"/>
      <w:r>
        <w:rPr>
          <w:rFonts w:ascii="Arial" w:eastAsia="Arial" w:hAnsi="Arial" w:cs="Arial"/>
          <w:sz w:val="22"/>
          <w:szCs w:val="22"/>
        </w:rPr>
        <w:t>i</w:t>
      </w:r>
      <w:proofErr w:type="spellEnd"/>
      <w:r>
        <w:rPr>
          <w:rFonts w:ascii="Arial" w:eastAsia="Arial" w:hAnsi="Arial" w:cs="Arial"/>
          <w:sz w:val="22"/>
          <w:szCs w:val="22"/>
        </w:rPr>
        <w:t xml:space="preserve">) enhanced digestive efficiency and microbiome modulation improve nutrient </w:t>
      </w:r>
      <w:proofErr w:type="spellStart"/>
      <w:r>
        <w:rPr>
          <w:rFonts w:ascii="Arial" w:eastAsia="Arial" w:hAnsi="Arial" w:cs="Arial"/>
          <w:sz w:val="22"/>
          <w:szCs w:val="22"/>
        </w:rPr>
        <w:t>utilisation</w:t>
      </w:r>
      <w:proofErr w:type="spellEnd"/>
      <w:r>
        <w:rPr>
          <w:rFonts w:ascii="Arial" w:eastAsia="Arial" w:hAnsi="Arial" w:cs="Arial"/>
          <w:sz w:val="22"/>
          <w:szCs w:val="22"/>
        </w:rPr>
        <w:t>; (ii) direct and indirect phytochemical antioxidant actions protect immune cells from oxidative damage, thereby permitting more robust lymphoid responses; and (iii) the combination of phytochemicals produces additive or synergistic effects by acting on distinct yet complementary physiological axes.</w:t>
      </w: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DE5863">
      <w:pPr>
        <w:spacing w:after="160" w:line="259" w:lineRule="auto"/>
        <w:rPr>
          <w:rFonts w:ascii="Arial" w:eastAsia="Arial" w:hAnsi="Arial" w:cs="Arial"/>
          <w:sz w:val="22"/>
          <w:szCs w:val="22"/>
        </w:rPr>
      </w:pPr>
    </w:p>
    <w:p w:rsidR="00DE5863" w:rsidRDefault="008538E9">
      <w:pPr>
        <w:pStyle w:val="Heading1"/>
        <w:keepLines/>
        <w:spacing w:before="0" w:after="240" w:line="259" w:lineRule="auto"/>
        <w:jc w:val="both"/>
        <w:rPr>
          <w:sz w:val="16"/>
          <w:szCs w:val="16"/>
        </w:rPr>
      </w:pPr>
      <w:bookmarkStart w:id="10" w:name="_hkbo6ek6u7y7" w:colFirst="0" w:colLast="0"/>
      <w:bookmarkEnd w:id="10"/>
      <w:r>
        <w:rPr>
          <w:sz w:val="16"/>
          <w:szCs w:val="16"/>
        </w:rPr>
        <w:lastRenderedPageBreak/>
        <w:t xml:space="preserve">Table </w:t>
      </w:r>
      <w:r w:rsidR="006B371C">
        <w:rPr>
          <w:sz w:val="16"/>
          <w:szCs w:val="16"/>
        </w:rPr>
        <w:t>5</w:t>
      </w:r>
      <w:bookmarkStart w:id="11" w:name="_GoBack"/>
      <w:bookmarkEnd w:id="11"/>
      <w:r>
        <w:rPr>
          <w:sz w:val="16"/>
          <w:szCs w:val="16"/>
        </w:rPr>
        <w:t>:</w:t>
      </w:r>
      <w:r>
        <w:rPr>
          <w:sz w:val="16"/>
          <w:szCs w:val="16"/>
        </w:rPr>
        <w:tab/>
      </w:r>
      <w:r>
        <w:rPr>
          <w:b w:val="0"/>
          <w:bCs w:val="0"/>
          <w:sz w:val="16"/>
          <w:szCs w:val="16"/>
        </w:rPr>
        <w:t>Effects of Clove, Garlic, and Pawpaw</w:t>
      </w:r>
      <w:r>
        <w:rPr>
          <w:b w:val="0"/>
          <w:bCs w:val="0"/>
          <w:i/>
          <w:iCs/>
          <w:sz w:val="16"/>
          <w:szCs w:val="16"/>
        </w:rPr>
        <w:t xml:space="preserve"> </w:t>
      </w:r>
      <w:r>
        <w:rPr>
          <w:b w:val="0"/>
          <w:bCs w:val="0"/>
          <w:sz w:val="16"/>
          <w:szCs w:val="16"/>
        </w:rPr>
        <w:t>Leaf Meals Supplementation on Serum Biochemical Parameters, Immunoglobulin G, and Immunoglobulin M of Broiler Chicken</w:t>
      </w:r>
      <w:r>
        <w:rPr>
          <w:sz w:val="16"/>
          <w:szCs w:val="16"/>
        </w:rPr>
        <w:t>s</w:t>
      </w:r>
    </w:p>
    <w:p w:rsidR="00DE5863" w:rsidRDefault="00DE5863"/>
    <w:tbl>
      <w:tblPr>
        <w:tblStyle w:val="a3"/>
        <w:tblpPr w:leftFromText="180" w:rightFromText="180" w:topFromText="180" w:bottomFromText="180" w:vertAnchor="text" w:tblpX="-1385"/>
        <w:tblW w:w="11400" w:type="dxa"/>
        <w:tblInd w:w="0" w:type="dxa"/>
        <w:tblBorders>
          <w:bottom w:val="single" w:sz="4" w:space="0" w:color="000000"/>
        </w:tblBorders>
        <w:tblLayout w:type="fixed"/>
        <w:tblLook w:val="0400" w:firstRow="0" w:lastRow="0" w:firstColumn="0" w:lastColumn="0" w:noHBand="0" w:noVBand="1"/>
      </w:tblPr>
      <w:tblGrid>
        <w:gridCol w:w="1440"/>
        <w:gridCol w:w="820"/>
        <w:gridCol w:w="820"/>
        <w:gridCol w:w="820"/>
        <w:gridCol w:w="820"/>
        <w:gridCol w:w="880"/>
        <w:gridCol w:w="1160"/>
        <w:gridCol w:w="1060"/>
        <w:gridCol w:w="1080"/>
        <w:gridCol w:w="1060"/>
        <w:gridCol w:w="680"/>
        <w:gridCol w:w="760"/>
      </w:tblGrid>
      <w:tr w:rsidR="00DE5863">
        <w:trPr>
          <w:trHeight w:val="300"/>
        </w:trPr>
        <w:tc>
          <w:tcPr>
            <w:tcW w:w="1440" w:type="dxa"/>
            <w:tcBorders>
              <w:top w:val="single" w:sz="4" w:space="0" w:color="000000"/>
              <w:bottom w:val="single" w:sz="4" w:space="0" w:color="000000"/>
            </w:tcBorders>
            <w:vAlign w:val="bottom"/>
          </w:tcPr>
          <w:p w:rsidR="00DE5863" w:rsidRDefault="008538E9">
            <w:pPr>
              <w:jc w:val="center"/>
              <w:rPr>
                <w:rFonts w:ascii="Arial" w:eastAsia="Arial" w:hAnsi="Arial" w:cs="Arial"/>
                <w:sz w:val="16"/>
                <w:szCs w:val="16"/>
              </w:rPr>
            </w:pPr>
            <w:r>
              <w:rPr>
                <w:rFonts w:ascii="Arial" w:eastAsia="Arial" w:hAnsi="Arial" w:cs="Arial"/>
                <w:sz w:val="16"/>
                <w:szCs w:val="16"/>
              </w:rPr>
              <w:t>Parameters</w:t>
            </w:r>
          </w:p>
        </w:tc>
        <w:tc>
          <w:tcPr>
            <w:tcW w:w="820" w:type="dxa"/>
            <w:tcBorders>
              <w:top w:val="single" w:sz="4" w:space="0" w:color="000000"/>
              <w:bottom w:val="single" w:sz="4" w:space="0" w:color="000000"/>
            </w:tcBorders>
            <w:vAlign w:val="center"/>
          </w:tcPr>
          <w:p w:rsidR="00DE5863" w:rsidRDefault="008538E9">
            <w:pPr>
              <w:ind w:hanging="270"/>
              <w:jc w:val="center"/>
              <w:rPr>
                <w:rFonts w:ascii="Arial" w:eastAsia="Arial" w:hAnsi="Arial" w:cs="Arial"/>
                <w:sz w:val="16"/>
                <w:szCs w:val="16"/>
              </w:rPr>
            </w:pPr>
            <w:r>
              <w:rPr>
                <w:rFonts w:ascii="Arial" w:eastAsia="Arial" w:hAnsi="Arial" w:cs="Arial"/>
                <w:sz w:val="16"/>
                <w:szCs w:val="16"/>
              </w:rPr>
              <w:t>PC</w:t>
            </w:r>
          </w:p>
        </w:tc>
        <w:tc>
          <w:tcPr>
            <w:tcW w:w="820" w:type="dxa"/>
            <w:tcBorders>
              <w:top w:val="single" w:sz="4" w:space="0" w:color="000000"/>
              <w:bottom w:val="single" w:sz="4" w:space="0" w:color="000000"/>
            </w:tcBorders>
            <w:vAlign w:val="center"/>
          </w:tcPr>
          <w:p w:rsidR="00DE5863" w:rsidRDefault="008538E9">
            <w:pPr>
              <w:ind w:hanging="165"/>
              <w:jc w:val="center"/>
              <w:rPr>
                <w:rFonts w:ascii="Arial" w:eastAsia="Arial" w:hAnsi="Arial" w:cs="Arial"/>
                <w:sz w:val="16"/>
                <w:szCs w:val="16"/>
              </w:rPr>
            </w:pPr>
            <w:r>
              <w:rPr>
                <w:rFonts w:ascii="Arial" w:eastAsia="Arial" w:hAnsi="Arial" w:cs="Arial"/>
                <w:sz w:val="16"/>
                <w:szCs w:val="16"/>
              </w:rPr>
              <w:t>NC</w:t>
            </w:r>
          </w:p>
        </w:tc>
        <w:tc>
          <w:tcPr>
            <w:tcW w:w="820" w:type="dxa"/>
            <w:tcBorders>
              <w:top w:val="single" w:sz="4" w:space="0" w:color="000000"/>
              <w:bottom w:val="single" w:sz="4" w:space="0" w:color="000000"/>
            </w:tcBorders>
            <w:vAlign w:val="center"/>
          </w:tcPr>
          <w:p w:rsidR="00DE5863" w:rsidRDefault="008538E9">
            <w:pPr>
              <w:jc w:val="center"/>
              <w:rPr>
                <w:rFonts w:ascii="Arial" w:eastAsia="Arial" w:hAnsi="Arial" w:cs="Arial"/>
                <w:sz w:val="16"/>
                <w:szCs w:val="16"/>
              </w:rPr>
            </w:pPr>
            <w:r>
              <w:rPr>
                <w:rFonts w:ascii="Arial" w:eastAsia="Arial" w:hAnsi="Arial" w:cs="Arial"/>
                <w:sz w:val="16"/>
                <w:szCs w:val="16"/>
              </w:rPr>
              <w:t>0.15% CL</w:t>
            </w:r>
          </w:p>
        </w:tc>
        <w:tc>
          <w:tcPr>
            <w:tcW w:w="820" w:type="dxa"/>
            <w:tcBorders>
              <w:top w:val="single" w:sz="4" w:space="0" w:color="000000"/>
              <w:bottom w:val="single" w:sz="4" w:space="0" w:color="000000"/>
            </w:tcBorders>
            <w:vAlign w:val="center"/>
          </w:tcPr>
          <w:p w:rsidR="00DE5863" w:rsidRDefault="008538E9">
            <w:pPr>
              <w:jc w:val="center"/>
              <w:rPr>
                <w:rFonts w:ascii="Arial" w:eastAsia="Arial" w:hAnsi="Arial" w:cs="Arial"/>
                <w:sz w:val="16"/>
                <w:szCs w:val="16"/>
              </w:rPr>
            </w:pPr>
            <w:r>
              <w:rPr>
                <w:rFonts w:ascii="Arial" w:eastAsia="Arial" w:hAnsi="Arial" w:cs="Arial"/>
                <w:sz w:val="16"/>
                <w:szCs w:val="16"/>
              </w:rPr>
              <w:t>0.25% GA</w:t>
            </w:r>
          </w:p>
        </w:tc>
        <w:tc>
          <w:tcPr>
            <w:tcW w:w="880" w:type="dxa"/>
            <w:tcBorders>
              <w:top w:val="single" w:sz="4" w:space="0" w:color="000000"/>
              <w:bottom w:val="single" w:sz="4" w:space="0" w:color="000000"/>
            </w:tcBorders>
            <w:vAlign w:val="center"/>
          </w:tcPr>
          <w:p w:rsidR="00DE5863" w:rsidRDefault="008538E9">
            <w:pPr>
              <w:jc w:val="both"/>
              <w:rPr>
                <w:rFonts w:ascii="Arial" w:eastAsia="Arial" w:hAnsi="Arial" w:cs="Arial"/>
                <w:sz w:val="16"/>
                <w:szCs w:val="16"/>
              </w:rPr>
            </w:pPr>
            <w:r>
              <w:rPr>
                <w:rFonts w:ascii="Arial" w:eastAsia="Arial" w:hAnsi="Arial" w:cs="Arial"/>
                <w:sz w:val="16"/>
                <w:szCs w:val="16"/>
              </w:rPr>
              <w:t>3%</w:t>
            </w:r>
          </w:p>
          <w:p w:rsidR="00DE5863" w:rsidRDefault="008538E9">
            <w:pPr>
              <w:jc w:val="both"/>
              <w:rPr>
                <w:rFonts w:ascii="Arial" w:eastAsia="Arial" w:hAnsi="Arial" w:cs="Arial"/>
                <w:sz w:val="16"/>
                <w:szCs w:val="16"/>
              </w:rPr>
            </w:pPr>
            <w:r>
              <w:rPr>
                <w:rFonts w:ascii="Arial" w:eastAsia="Arial" w:hAnsi="Arial" w:cs="Arial"/>
                <w:sz w:val="16"/>
                <w:szCs w:val="16"/>
              </w:rPr>
              <w:t>PLM</w:t>
            </w:r>
          </w:p>
          <w:p w:rsidR="00DE5863" w:rsidRDefault="00DE5863">
            <w:pPr>
              <w:jc w:val="center"/>
              <w:rPr>
                <w:rFonts w:ascii="Arial" w:eastAsia="Arial" w:hAnsi="Arial" w:cs="Arial"/>
                <w:sz w:val="16"/>
                <w:szCs w:val="16"/>
              </w:rPr>
            </w:pPr>
          </w:p>
        </w:tc>
        <w:tc>
          <w:tcPr>
            <w:tcW w:w="1160" w:type="dxa"/>
            <w:tcBorders>
              <w:top w:val="single" w:sz="4" w:space="0" w:color="000000"/>
              <w:bottom w:val="single" w:sz="4" w:space="0" w:color="000000"/>
            </w:tcBorders>
            <w:vAlign w:val="center"/>
          </w:tcPr>
          <w:p w:rsidR="00DE5863" w:rsidRDefault="008538E9">
            <w:pPr>
              <w:jc w:val="center"/>
              <w:rPr>
                <w:rFonts w:ascii="Arial" w:eastAsia="Arial" w:hAnsi="Arial" w:cs="Arial"/>
                <w:sz w:val="16"/>
                <w:szCs w:val="16"/>
              </w:rPr>
            </w:pPr>
            <w:r>
              <w:rPr>
                <w:rFonts w:ascii="Arial" w:eastAsia="Arial" w:hAnsi="Arial" w:cs="Arial"/>
                <w:sz w:val="16"/>
                <w:szCs w:val="16"/>
              </w:rPr>
              <w:t>0.15%CL+ 0.25%GA</w:t>
            </w:r>
          </w:p>
        </w:tc>
        <w:tc>
          <w:tcPr>
            <w:tcW w:w="1060" w:type="dxa"/>
            <w:tcBorders>
              <w:top w:val="single" w:sz="4" w:space="0" w:color="000000"/>
              <w:bottom w:val="single" w:sz="4" w:space="0" w:color="000000"/>
            </w:tcBorders>
            <w:vAlign w:val="center"/>
          </w:tcPr>
          <w:p w:rsidR="00DE5863" w:rsidRDefault="008538E9">
            <w:pPr>
              <w:jc w:val="both"/>
              <w:rPr>
                <w:rFonts w:ascii="Arial" w:eastAsia="Arial" w:hAnsi="Arial" w:cs="Arial"/>
                <w:sz w:val="16"/>
                <w:szCs w:val="16"/>
              </w:rPr>
            </w:pPr>
            <w:r>
              <w:rPr>
                <w:rFonts w:ascii="Arial" w:eastAsia="Arial" w:hAnsi="Arial" w:cs="Arial"/>
                <w:sz w:val="16"/>
                <w:szCs w:val="16"/>
              </w:rPr>
              <w:t>0.15%CL</w:t>
            </w:r>
          </w:p>
          <w:p w:rsidR="00DE5863" w:rsidRDefault="008538E9">
            <w:pPr>
              <w:jc w:val="center"/>
              <w:rPr>
                <w:rFonts w:ascii="Arial" w:eastAsia="Arial" w:hAnsi="Arial" w:cs="Arial"/>
                <w:sz w:val="16"/>
                <w:szCs w:val="16"/>
              </w:rPr>
            </w:pPr>
            <w:r>
              <w:rPr>
                <w:rFonts w:ascii="Arial" w:eastAsia="Arial" w:hAnsi="Arial" w:cs="Arial"/>
                <w:sz w:val="16"/>
                <w:szCs w:val="16"/>
              </w:rPr>
              <w:t>+3%PLM</w:t>
            </w:r>
          </w:p>
        </w:tc>
        <w:tc>
          <w:tcPr>
            <w:tcW w:w="1080" w:type="dxa"/>
            <w:tcBorders>
              <w:top w:val="single" w:sz="4" w:space="0" w:color="000000"/>
              <w:bottom w:val="single" w:sz="4" w:space="0" w:color="000000"/>
            </w:tcBorders>
            <w:vAlign w:val="center"/>
          </w:tcPr>
          <w:p w:rsidR="00DE5863" w:rsidRDefault="008538E9">
            <w:pPr>
              <w:jc w:val="center"/>
              <w:rPr>
                <w:rFonts w:ascii="Arial" w:eastAsia="Arial" w:hAnsi="Arial" w:cs="Arial"/>
                <w:sz w:val="16"/>
                <w:szCs w:val="16"/>
              </w:rPr>
            </w:pPr>
            <w:r>
              <w:rPr>
                <w:rFonts w:ascii="Arial" w:eastAsia="Arial" w:hAnsi="Arial" w:cs="Arial"/>
                <w:sz w:val="16"/>
                <w:szCs w:val="16"/>
              </w:rPr>
              <w:t>3%PLM+ 0.25%GA</w:t>
            </w:r>
          </w:p>
        </w:tc>
        <w:tc>
          <w:tcPr>
            <w:tcW w:w="1060" w:type="dxa"/>
            <w:tcBorders>
              <w:top w:val="single" w:sz="4" w:space="0" w:color="000000"/>
              <w:bottom w:val="single" w:sz="4" w:space="0" w:color="000000"/>
            </w:tcBorders>
            <w:vAlign w:val="center"/>
          </w:tcPr>
          <w:p w:rsidR="00DE5863" w:rsidRDefault="008538E9">
            <w:pPr>
              <w:jc w:val="both"/>
              <w:rPr>
                <w:rFonts w:ascii="Arial" w:eastAsia="Arial" w:hAnsi="Arial" w:cs="Arial"/>
                <w:sz w:val="16"/>
                <w:szCs w:val="16"/>
              </w:rPr>
            </w:pPr>
            <w:r>
              <w:rPr>
                <w:rFonts w:ascii="Arial" w:eastAsia="Arial" w:hAnsi="Arial" w:cs="Arial"/>
                <w:sz w:val="16"/>
                <w:szCs w:val="16"/>
              </w:rPr>
              <w:t>0.25%CL</w:t>
            </w:r>
          </w:p>
          <w:p w:rsidR="00DE5863" w:rsidRDefault="008538E9">
            <w:pPr>
              <w:jc w:val="both"/>
              <w:rPr>
                <w:rFonts w:ascii="Arial" w:eastAsia="Arial" w:hAnsi="Arial" w:cs="Arial"/>
                <w:sz w:val="16"/>
                <w:szCs w:val="16"/>
              </w:rPr>
            </w:pPr>
            <w:r>
              <w:rPr>
                <w:rFonts w:ascii="Arial" w:eastAsia="Arial" w:hAnsi="Arial" w:cs="Arial"/>
                <w:sz w:val="16"/>
                <w:szCs w:val="16"/>
              </w:rPr>
              <w:t>+0.15%GA</w:t>
            </w:r>
          </w:p>
          <w:p w:rsidR="00DE5863" w:rsidRDefault="008538E9">
            <w:pPr>
              <w:jc w:val="center"/>
              <w:rPr>
                <w:rFonts w:ascii="Arial" w:eastAsia="Arial" w:hAnsi="Arial" w:cs="Arial"/>
                <w:sz w:val="16"/>
                <w:szCs w:val="16"/>
              </w:rPr>
            </w:pPr>
            <w:r>
              <w:rPr>
                <w:rFonts w:ascii="Arial" w:eastAsia="Arial" w:hAnsi="Arial" w:cs="Arial"/>
                <w:sz w:val="16"/>
                <w:szCs w:val="16"/>
              </w:rPr>
              <w:t>+3%PLM</w:t>
            </w:r>
          </w:p>
        </w:tc>
        <w:tc>
          <w:tcPr>
            <w:tcW w:w="680" w:type="dxa"/>
            <w:tcBorders>
              <w:top w:val="single" w:sz="4" w:space="0" w:color="000000"/>
              <w:bottom w:val="single" w:sz="4" w:space="0" w:color="000000"/>
            </w:tcBorders>
            <w:vAlign w:val="center"/>
          </w:tcPr>
          <w:p w:rsidR="00DE5863" w:rsidRDefault="008538E9">
            <w:pPr>
              <w:jc w:val="center"/>
              <w:rPr>
                <w:rFonts w:ascii="Arial" w:eastAsia="Arial" w:hAnsi="Arial" w:cs="Arial"/>
                <w:sz w:val="16"/>
                <w:szCs w:val="16"/>
              </w:rPr>
            </w:pPr>
            <w:r>
              <w:rPr>
                <w:rFonts w:ascii="Arial" w:eastAsia="Arial" w:hAnsi="Arial" w:cs="Arial"/>
                <w:sz w:val="16"/>
                <w:szCs w:val="16"/>
              </w:rPr>
              <w:t>SEM</w:t>
            </w:r>
          </w:p>
        </w:tc>
        <w:tc>
          <w:tcPr>
            <w:tcW w:w="760" w:type="dxa"/>
            <w:tcBorders>
              <w:top w:val="single" w:sz="4" w:space="0" w:color="000000"/>
              <w:bottom w:val="single" w:sz="4" w:space="0" w:color="000000"/>
            </w:tcBorders>
            <w:vAlign w:val="bottom"/>
          </w:tcPr>
          <w:p w:rsidR="00DE5863" w:rsidRDefault="008538E9">
            <w:pPr>
              <w:jc w:val="center"/>
              <w:rPr>
                <w:rFonts w:ascii="Arial" w:eastAsia="Arial" w:hAnsi="Arial" w:cs="Arial"/>
                <w:sz w:val="16"/>
                <w:szCs w:val="16"/>
              </w:rPr>
            </w:pPr>
            <w:r>
              <w:rPr>
                <w:rFonts w:ascii="Arial" w:eastAsia="Arial" w:hAnsi="Arial" w:cs="Arial"/>
                <w:sz w:val="16"/>
                <w:szCs w:val="16"/>
              </w:rPr>
              <w:t>P-Value</w:t>
            </w:r>
          </w:p>
        </w:tc>
      </w:tr>
      <w:tr w:rsidR="00DE5863">
        <w:trPr>
          <w:trHeight w:val="300"/>
        </w:trPr>
        <w:tc>
          <w:tcPr>
            <w:tcW w:w="1440" w:type="dxa"/>
            <w:tcBorders>
              <w:top w:val="single" w:sz="4" w:space="0" w:color="000000"/>
            </w:tcBorders>
            <w:vAlign w:val="center"/>
          </w:tcPr>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TAC (µg/dL)</w:t>
            </w:r>
          </w:p>
        </w:tc>
        <w:tc>
          <w:tcPr>
            <w:tcW w:w="820" w:type="dxa"/>
            <w:tcBorders>
              <w:top w:val="single" w:sz="4" w:space="0" w:color="000000"/>
            </w:tcBorders>
            <w:vAlign w:val="bottom"/>
          </w:tcPr>
          <w:p w:rsidR="00DE5863" w:rsidRDefault="008538E9">
            <w:pPr>
              <w:spacing w:line="360" w:lineRule="auto"/>
              <w:ind w:left="-90" w:right="30" w:hanging="180"/>
              <w:jc w:val="center"/>
              <w:rPr>
                <w:rFonts w:ascii="Arial" w:eastAsia="Arial" w:hAnsi="Arial" w:cs="Arial"/>
                <w:sz w:val="16"/>
                <w:szCs w:val="16"/>
              </w:rPr>
            </w:pPr>
            <w:r>
              <w:rPr>
                <w:rFonts w:ascii="Arial" w:eastAsia="Arial" w:hAnsi="Arial" w:cs="Arial"/>
                <w:sz w:val="16"/>
                <w:szCs w:val="16"/>
              </w:rPr>
              <w:t>13.12</w:t>
            </w:r>
            <w:r>
              <w:rPr>
                <w:rFonts w:ascii="Arial" w:eastAsia="Arial" w:hAnsi="Arial" w:cs="Arial"/>
                <w:sz w:val="16"/>
                <w:szCs w:val="16"/>
                <w:vertAlign w:val="superscript"/>
              </w:rPr>
              <w:t>c</w:t>
            </w:r>
          </w:p>
        </w:tc>
        <w:tc>
          <w:tcPr>
            <w:tcW w:w="820" w:type="dxa"/>
            <w:tcBorders>
              <w:top w:val="single" w:sz="4" w:space="0" w:color="000000"/>
            </w:tcBorders>
            <w:vAlign w:val="bottom"/>
          </w:tcPr>
          <w:p w:rsidR="00DE5863" w:rsidRDefault="008538E9">
            <w:pPr>
              <w:spacing w:line="360" w:lineRule="auto"/>
              <w:ind w:right="30" w:hanging="165"/>
              <w:jc w:val="center"/>
              <w:rPr>
                <w:rFonts w:ascii="Arial" w:eastAsia="Arial" w:hAnsi="Arial" w:cs="Arial"/>
                <w:sz w:val="16"/>
                <w:szCs w:val="16"/>
              </w:rPr>
            </w:pPr>
            <w:r>
              <w:rPr>
                <w:rFonts w:ascii="Arial" w:eastAsia="Arial" w:hAnsi="Arial" w:cs="Arial"/>
                <w:sz w:val="16"/>
                <w:szCs w:val="16"/>
              </w:rPr>
              <w:t>14.20</w:t>
            </w:r>
            <w:r>
              <w:rPr>
                <w:rFonts w:ascii="Arial" w:eastAsia="Arial" w:hAnsi="Arial" w:cs="Arial"/>
                <w:sz w:val="16"/>
                <w:szCs w:val="16"/>
                <w:vertAlign w:val="superscript"/>
              </w:rPr>
              <w:t>c</w:t>
            </w:r>
          </w:p>
        </w:tc>
        <w:tc>
          <w:tcPr>
            <w:tcW w:w="82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14.86</w:t>
            </w:r>
            <w:r>
              <w:rPr>
                <w:rFonts w:ascii="Arial" w:eastAsia="Arial" w:hAnsi="Arial" w:cs="Arial"/>
                <w:sz w:val="16"/>
                <w:szCs w:val="16"/>
                <w:vertAlign w:val="superscript"/>
              </w:rPr>
              <w:t>bc</w:t>
            </w:r>
          </w:p>
        </w:tc>
        <w:tc>
          <w:tcPr>
            <w:tcW w:w="82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14.58</w:t>
            </w:r>
            <w:r>
              <w:rPr>
                <w:rFonts w:ascii="Arial" w:eastAsia="Arial" w:hAnsi="Arial" w:cs="Arial"/>
                <w:sz w:val="16"/>
                <w:szCs w:val="16"/>
                <w:vertAlign w:val="superscript"/>
              </w:rPr>
              <w:t>bc</w:t>
            </w:r>
          </w:p>
        </w:tc>
        <w:tc>
          <w:tcPr>
            <w:tcW w:w="88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13.53</w:t>
            </w:r>
            <w:r>
              <w:rPr>
                <w:rFonts w:ascii="Arial" w:eastAsia="Arial" w:hAnsi="Arial" w:cs="Arial"/>
                <w:sz w:val="16"/>
                <w:szCs w:val="16"/>
                <w:vertAlign w:val="superscript"/>
              </w:rPr>
              <w:t>c</w:t>
            </w:r>
          </w:p>
        </w:tc>
        <w:tc>
          <w:tcPr>
            <w:tcW w:w="116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14.10</w:t>
            </w:r>
            <w:r>
              <w:rPr>
                <w:rFonts w:ascii="Arial" w:eastAsia="Arial" w:hAnsi="Arial" w:cs="Arial"/>
                <w:sz w:val="16"/>
                <w:szCs w:val="16"/>
                <w:vertAlign w:val="superscript"/>
              </w:rPr>
              <w:t>c</w:t>
            </w:r>
          </w:p>
        </w:tc>
        <w:tc>
          <w:tcPr>
            <w:tcW w:w="106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16.35</w:t>
            </w:r>
            <w:r>
              <w:rPr>
                <w:rFonts w:ascii="Arial" w:eastAsia="Arial" w:hAnsi="Arial" w:cs="Arial"/>
                <w:sz w:val="16"/>
                <w:szCs w:val="16"/>
                <w:vertAlign w:val="superscript"/>
              </w:rPr>
              <w:t>b</w:t>
            </w:r>
          </w:p>
        </w:tc>
        <w:tc>
          <w:tcPr>
            <w:tcW w:w="108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14.31</w:t>
            </w:r>
            <w:r>
              <w:rPr>
                <w:rFonts w:ascii="Arial" w:eastAsia="Arial" w:hAnsi="Arial" w:cs="Arial"/>
                <w:sz w:val="16"/>
                <w:szCs w:val="16"/>
                <w:vertAlign w:val="superscript"/>
              </w:rPr>
              <w:t>bc</w:t>
            </w:r>
          </w:p>
        </w:tc>
        <w:tc>
          <w:tcPr>
            <w:tcW w:w="106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21.97</w:t>
            </w:r>
            <w:r>
              <w:rPr>
                <w:rFonts w:ascii="Arial" w:eastAsia="Arial" w:hAnsi="Arial" w:cs="Arial"/>
                <w:sz w:val="16"/>
                <w:szCs w:val="16"/>
                <w:vertAlign w:val="superscript"/>
              </w:rPr>
              <w:t>a</w:t>
            </w:r>
          </w:p>
        </w:tc>
        <w:tc>
          <w:tcPr>
            <w:tcW w:w="68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0.53</w:t>
            </w:r>
          </w:p>
        </w:tc>
        <w:tc>
          <w:tcPr>
            <w:tcW w:w="760" w:type="dxa"/>
            <w:tcBorders>
              <w:top w:val="single" w:sz="4" w:space="0" w:color="000000"/>
            </w:tcBorders>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0.000</w:t>
            </w:r>
          </w:p>
        </w:tc>
      </w:tr>
      <w:tr w:rsidR="00DE5863">
        <w:trPr>
          <w:trHeight w:val="300"/>
        </w:trPr>
        <w:tc>
          <w:tcPr>
            <w:tcW w:w="1440" w:type="dxa"/>
            <w:vAlign w:val="center"/>
          </w:tcPr>
          <w:p w:rsidR="00DE5863" w:rsidRDefault="008538E9">
            <w:pPr>
              <w:spacing w:line="360" w:lineRule="auto"/>
              <w:ind w:right="210"/>
              <w:jc w:val="both"/>
              <w:rPr>
                <w:rFonts w:ascii="Arial" w:eastAsia="Arial" w:hAnsi="Arial" w:cs="Arial"/>
                <w:sz w:val="16"/>
                <w:szCs w:val="16"/>
              </w:rPr>
            </w:pPr>
            <w:proofErr w:type="spellStart"/>
            <w:r>
              <w:rPr>
                <w:rFonts w:ascii="Arial" w:eastAsia="Arial" w:hAnsi="Arial" w:cs="Arial"/>
                <w:sz w:val="16"/>
                <w:szCs w:val="16"/>
              </w:rPr>
              <w:t>GPx</w:t>
            </w:r>
            <w:proofErr w:type="spellEnd"/>
          </w:p>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rsidR="00DE5863" w:rsidRDefault="008538E9">
            <w:pPr>
              <w:spacing w:line="360" w:lineRule="auto"/>
              <w:ind w:left="-90" w:right="30" w:hanging="180"/>
              <w:jc w:val="center"/>
              <w:rPr>
                <w:rFonts w:ascii="Arial" w:eastAsia="Arial" w:hAnsi="Arial" w:cs="Arial"/>
                <w:sz w:val="16"/>
                <w:szCs w:val="16"/>
              </w:rPr>
            </w:pPr>
            <w:r>
              <w:rPr>
                <w:rFonts w:ascii="Arial" w:eastAsia="Arial" w:hAnsi="Arial" w:cs="Arial"/>
                <w:sz w:val="16"/>
                <w:szCs w:val="16"/>
              </w:rPr>
              <w:t>8.21</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hanging="165"/>
              <w:jc w:val="center"/>
              <w:rPr>
                <w:rFonts w:ascii="Arial" w:eastAsia="Arial" w:hAnsi="Arial" w:cs="Arial"/>
                <w:sz w:val="16"/>
                <w:szCs w:val="16"/>
              </w:rPr>
            </w:pPr>
            <w:r>
              <w:rPr>
                <w:rFonts w:ascii="Arial" w:eastAsia="Arial" w:hAnsi="Arial" w:cs="Arial"/>
                <w:sz w:val="16"/>
                <w:szCs w:val="16"/>
              </w:rPr>
              <w:t>10.56</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10.70</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9.94</w:t>
            </w:r>
            <w:r>
              <w:rPr>
                <w:rFonts w:ascii="Arial" w:eastAsia="Arial" w:hAnsi="Arial" w:cs="Arial"/>
                <w:sz w:val="16"/>
                <w:szCs w:val="16"/>
                <w:vertAlign w:val="superscript"/>
              </w:rPr>
              <w:t>b</w:t>
            </w:r>
          </w:p>
        </w:tc>
        <w:tc>
          <w:tcPr>
            <w:tcW w:w="8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11.85</w:t>
            </w:r>
            <w:r>
              <w:rPr>
                <w:rFonts w:ascii="Arial" w:eastAsia="Arial" w:hAnsi="Arial" w:cs="Arial"/>
                <w:sz w:val="16"/>
                <w:szCs w:val="16"/>
                <w:vertAlign w:val="superscript"/>
              </w:rPr>
              <w:t>b</w:t>
            </w:r>
          </w:p>
        </w:tc>
        <w:tc>
          <w:tcPr>
            <w:tcW w:w="11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11.64</w:t>
            </w:r>
            <w:r>
              <w:rPr>
                <w:rFonts w:ascii="Arial" w:eastAsia="Arial" w:hAnsi="Arial" w:cs="Arial"/>
                <w:sz w:val="16"/>
                <w:szCs w:val="16"/>
                <w:vertAlign w:val="superscript"/>
              </w:rPr>
              <w:t>b</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11.50</w:t>
            </w:r>
            <w:r>
              <w:rPr>
                <w:rFonts w:ascii="Arial" w:eastAsia="Arial" w:hAnsi="Arial" w:cs="Arial"/>
                <w:sz w:val="16"/>
                <w:szCs w:val="16"/>
                <w:vertAlign w:val="superscript"/>
              </w:rPr>
              <w:t>b</w:t>
            </w:r>
          </w:p>
        </w:tc>
        <w:tc>
          <w:tcPr>
            <w:tcW w:w="10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11.8</w:t>
            </w:r>
            <w:r>
              <w:rPr>
                <w:rFonts w:ascii="Arial" w:eastAsia="Arial" w:hAnsi="Arial" w:cs="Arial"/>
                <w:sz w:val="16"/>
                <w:szCs w:val="16"/>
                <w:vertAlign w:val="superscript"/>
              </w:rPr>
              <w:t>b</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16.33</w:t>
            </w:r>
            <w:r>
              <w:rPr>
                <w:rFonts w:ascii="Arial" w:eastAsia="Arial" w:hAnsi="Arial" w:cs="Arial"/>
                <w:sz w:val="16"/>
                <w:szCs w:val="16"/>
                <w:vertAlign w:val="superscript"/>
              </w:rPr>
              <w:t>a</w:t>
            </w:r>
          </w:p>
        </w:tc>
        <w:tc>
          <w:tcPr>
            <w:tcW w:w="6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0.54</w:t>
            </w:r>
          </w:p>
        </w:tc>
        <w:tc>
          <w:tcPr>
            <w:tcW w:w="7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0.030</w:t>
            </w:r>
          </w:p>
        </w:tc>
      </w:tr>
      <w:tr w:rsidR="00DE5863">
        <w:trPr>
          <w:trHeight w:val="300"/>
        </w:trPr>
        <w:tc>
          <w:tcPr>
            <w:tcW w:w="1440" w:type="dxa"/>
            <w:vAlign w:val="center"/>
          </w:tcPr>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GST</w:t>
            </w:r>
          </w:p>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rsidR="00DE5863" w:rsidRDefault="008538E9">
            <w:pPr>
              <w:spacing w:line="360" w:lineRule="auto"/>
              <w:ind w:left="-90" w:right="30" w:hanging="180"/>
              <w:jc w:val="center"/>
              <w:rPr>
                <w:rFonts w:ascii="Arial" w:eastAsia="Arial" w:hAnsi="Arial" w:cs="Arial"/>
                <w:sz w:val="16"/>
                <w:szCs w:val="16"/>
              </w:rPr>
            </w:pPr>
            <w:r>
              <w:rPr>
                <w:rFonts w:ascii="Arial" w:eastAsia="Arial" w:hAnsi="Arial" w:cs="Arial"/>
                <w:sz w:val="16"/>
                <w:szCs w:val="16"/>
              </w:rPr>
              <w:t>43.66</w:t>
            </w:r>
            <w:r>
              <w:rPr>
                <w:rFonts w:ascii="Arial" w:eastAsia="Arial" w:hAnsi="Arial" w:cs="Arial"/>
                <w:sz w:val="16"/>
                <w:szCs w:val="16"/>
                <w:vertAlign w:val="superscript"/>
              </w:rPr>
              <w:t>cd</w:t>
            </w:r>
          </w:p>
        </w:tc>
        <w:tc>
          <w:tcPr>
            <w:tcW w:w="820" w:type="dxa"/>
            <w:vAlign w:val="bottom"/>
          </w:tcPr>
          <w:p w:rsidR="00DE5863" w:rsidRDefault="008538E9">
            <w:pPr>
              <w:spacing w:line="360" w:lineRule="auto"/>
              <w:ind w:right="30" w:hanging="165"/>
              <w:jc w:val="center"/>
              <w:rPr>
                <w:rFonts w:ascii="Arial" w:eastAsia="Arial" w:hAnsi="Arial" w:cs="Arial"/>
                <w:sz w:val="16"/>
                <w:szCs w:val="16"/>
              </w:rPr>
            </w:pPr>
            <w:r>
              <w:rPr>
                <w:rFonts w:ascii="Arial" w:eastAsia="Arial" w:hAnsi="Arial" w:cs="Arial"/>
                <w:sz w:val="16"/>
                <w:szCs w:val="16"/>
              </w:rPr>
              <w:t>54.21</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51.03</w:t>
            </w:r>
            <w:r>
              <w:rPr>
                <w:rFonts w:ascii="Arial" w:eastAsia="Arial" w:hAnsi="Arial" w:cs="Arial"/>
                <w:sz w:val="16"/>
                <w:szCs w:val="16"/>
                <w:vertAlign w:val="superscript"/>
              </w:rPr>
              <w:t>bc</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49.41</w:t>
            </w:r>
            <w:r>
              <w:rPr>
                <w:rFonts w:ascii="Arial" w:eastAsia="Arial" w:hAnsi="Arial" w:cs="Arial"/>
                <w:sz w:val="16"/>
                <w:szCs w:val="16"/>
                <w:vertAlign w:val="superscript"/>
              </w:rPr>
              <w:t>bc</w:t>
            </w:r>
          </w:p>
        </w:tc>
        <w:tc>
          <w:tcPr>
            <w:tcW w:w="8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42.11</w:t>
            </w:r>
            <w:r>
              <w:rPr>
                <w:rFonts w:ascii="Arial" w:eastAsia="Arial" w:hAnsi="Arial" w:cs="Arial"/>
                <w:sz w:val="16"/>
                <w:szCs w:val="16"/>
                <w:vertAlign w:val="superscript"/>
              </w:rPr>
              <w:t>cd</w:t>
            </w:r>
          </w:p>
        </w:tc>
        <w:tc>
          <w:tcPr>
            <w:tcW w:w="11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37.08</w:t>
            </w:r>
            <w:r>
              <w:rPr>
                <w:rFonts w:ascii="Arial" w:eastAsia="Arial" w:hAnsi="Arial" w:cs="Arial"/>
                <w:sz w:val="16"/>
                <w:szCs w:val="16"/>
                <w:vertAlign w:val="superscript"/>
              </w:rPr>
              <w:t>d</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42.95</w:t>
            </w:r>
            <w:r>
              <w:rPr>
                <w:rFonts w:ascii="Arial" w:eastAsia="Arial" w:hAnsi="Arial" w:cs="Arial"/>
                <w:sz w:val="16"/>
                <w:szCs w:val="16"/>
                <w:vertAlign w:val="superscript"/>
              </w:rPr>
              <w:t>cd</w:t>
            </w:r>
          </w:p>
        </w:tc>
        <w:tc>
          <w:tcPr>
            <w:tcW w:w="10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53.41</w:t>
            </w:r>
            <w:r>
              <w:rPr>
                <w:rFonts w:ascii="Arial" w:eastAsia="Arial" w:hAnsi="Arial" w:cs="Arial"/>
                <w:sz w:val="16"/>
                <w:szCs w:val="16"/>
                <w:vertAlign w:val="superscript"/>
              </w:rPr>
              <w:t>b</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64.16</w:t>
            </w:r>
            <w:r>
              <w:rPr>
                <w:rFonts w:ascii="Arial" w:eastAsia="Arial" w:hAnsi="Arial" w:cs="Arial"/>
                <w:sz w:val="16"/>
                <w:szCs w:val="16"/>
                <w:vertAlign w:val="superscript"/>
              </w:rPr>
              <w:t>a</w:t>
            </w:r>
          </w:p>
        </w:tc>
        <w:tc>
          <w:tcPr>
            <w:tcW w:w="6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1.72</w:t>
            </w:r>
          </w:p>
        </w:tc>
        <w:tc>
          <w:tcPr>
            <w:tcW w:w="7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0.000</w:t>
            </w:r>
          </w:p>
        </w:tc>
      </w:tr>
      <w:tr w:rsidR="00DE5863">
        <w:trPr>
          <w:trHeight w:val="300"/>
        </w:trPr>
        <w:tc>
          <w:tcPr>
            <w:tcW w:w="1440" w:type="dxa"/>
            <w:vAlign w:val="center"/>
          </w:tcPr>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MDA</w:t>
            </w:r>
          </w:p>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(µmol/mg P)</w:t>
            </w:r>
          </w:p>
        </w:tc>
        <w:tc>
          <w:tcPr>
            <w:tcW w:w="820" w:type="dxa"/>
            <w:vAlign w:val="bottom"/>
          </w:tcPr>
          <w:p w:rsidR="00DE5863" w:rsidRDefault="008538E9">
            <w:pPr>
              <w:spacing w:line="360" w:lineRule="auto"/>
              <w:ind w:left="-90" w:right="30" w:hanging="180"/>
              <w:jc w:val="center"/>
              <w:rPr>
                <w:rFonts w:ascii="Arial" w:eastAsia="Arial" w:hAnsi="Arial" w:cs="Arial"/>
                <w:sz w:val="16"/>
                <w:szCs w:val="16"/>
              </w:rPr>
            </w:pPr>
            <w:r>
              <w:rPr>
                <w:rFonts w:ascii="Arial" w:eastAsia="Arial" w:hAnsi="Arial" w:cs="Arial"/>
                <w:sz w:val="16"/>
                <w:szCs w:val="16"/>
              </w:rPr>
              <w:t>1.44</w:t>
            </w:r>
          </w:p>
        </w:tc>
        <w:tc>
          <w:tcPr>
            <w:tcW w:w="820" w:type="dxa"/>
            <w:vAlign w:val="bottom"/>
          </w:tcPr>
          <w:p w:rsidR="00DE5863" w:rsidRDefault="008538E9">
            <w:pPr>
              <w:spacing w:line="360" w:lineRule="auto"/>
              <w:ind w:right="30" w:hanging="165"/>
              <w:jc w:val="center"/>
              <w:rPr>
                <w:rFonts w:ascii="Arial" w:eastAsia="Arial" w:hAnsi="Arial" w:cs="Arial"/>
                <w:sz w:val="16"/>
                <w:szCs w:val="16"/>
              </w:rPr>
            </w:pPr>
            <w:r>
              <w:rPr>
                <w:rFonts w:ascii="Arial" w:eastAsia="Arial" w:hAnsi="Arial" w:cs="Arial"/>
                <w:sz w:val="16"/>
                <w:szCs w:val="16"/>
              </w:rPr>
              <w:t>1.63</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2.37</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2.50</w:t>
            </w:r>
          </w:p>
        </w:tc>
        <w:tc>
          <w:tcPr>
            <w:tcW w:w="8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2.26</w:t>
            </w:r>
          </w:p>
        </w:tc>
        <w:tc>
          <w:tcPr>
            <w:tcW w:w="11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2.10</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2.22</w:t>
            </w:r>
          </w:p>
        </w:tc>
        <w:tc>
          <w:tcPr>
            <w:tcW w:w="10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2.50</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2.13</w:t>
            </w:r>
          </w:p>
        </w:tc>
        <w:tc>
          <w:tcPr>
            <w:tcW w:w="6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0.13</w:t>
            </w:r>
          </w:p>
        </w:tc>
        <w:tc>
          <w:tcPr>
            <w:tcW w:w="7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0.551</w:t>
            </w:r>
          </w:p>
        </w:tc>
      </w:tr>
      <w:tr w:rsidR="00DE5863">
        <w:trPr>
          <w:trHeight w:val="300"/>
        </w:trPr>
        <w:tc>
          <w:tcPr>
            <w:tcW w:w="1440" w:type="dxa"/>
            <w:vAlign w:val="center"/>
          </w:tcPr>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SOD</w:t>
            </w:r>
          </w:p>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rsidR="00DE5863" w:rsidRDefault="008538E9">
            <w:pPr>
              <w:spacing w:line="360" w:lineRule="auto"/>
              <w:ind w:left="-90" w:right="30" w:hanging="180"/>
              <w:jc w:val="center"/>
              <w:rPr>
                <w:rFonts w:ascii="Arial" w:eastAsia="Arial" w:hAnsi="Arial" w:cs="Arial"/>
                <w:sz w:val="16"/>
                <w:szCs w:val="16"/>
              </w:rPr>
            </w:pPr>
            <w:r>
              <w:rPr>
                <w:rFonts w:ascii="Arial" w:eastAsia="Arial" w:hAnsi="Arial" w:cs="Arial"/>
                <w:sz w:val="16"/>
                <w:szCs w:val="16"/>
              </w:rPr>
              <w:t>1.23</w:t>
            </w:r>
            <w:r>
              <w:rPr>
                <w:rFonts w:ascii="Arial" w:eastAsia="Arial" w:hAnsi="Arial" w:cs="Arial"/>
                <w:sz w:val="16"/>
                <w:szCs w:val="16"/>
                <w:vertAlign w:val="superscript"/>
              </w:rPr>
              <w:t>e</w:t>
            </w:r>
          </w:p>
        </w:tc>
        <w:tc>
          <w:tcPr>
            <w:tcW w:w="820" w:type="dxa"/>
            <w:vAlign w:val="bottom"/>
          </w:tcPr>
          <w:p w:rsidR="00DE5863" w:rsidRDefault="008538E9">
            <w:pPr>
              <w:spacing w:line="360" w:lineRule="auto"/>
              <w:ind w:right="30" w:hanging="165"/>
              <w:jc w:val="center"/>
              <w:rPr>
                <w:rFonts w:ascii="Arial" w:eastAsia="Arial" w:hAnsi="Arial" w:cs="Arial"/>
                <w:sz w:val="16"/>
                <w:szCs w:val="16"/>
              </w:rPr>
            </w:pPr>
            <w:r>
              <w:rPr>
                <w:rFonts w:ascii="Arial" w:eastAsia="Arial" w:hAnsi="Arial" w:cs="Arial"/>
                <w:sz w:val="16"/>
                <w:szCs w:val="16"/>
              </w:rPr>
              <w:t>2.53</w:t>
            </w:r>
            <w:r>
              <w:rPr>
                <w:rFonts w:ascii="Arial" w:eastAsia="Arial" w:hAnsi="Arial" w:cs="Arial"/>
                <w:sz w:val="16"/>
                <w:szCs w:val="16"/>
                <w:vertAlign w:val="superscript"/>
              </w:rPr>
              <w:t>de</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4.84</w:t>
            </w:r>
            <w:r>
              <w:rPr>
                <w:rFonts w:ascii="Arial" w:eastAsia="Arial" w:hAnsi="Arial" w:cs="Arial"/>
                <w:sz w:val="16"/>
                <w:szCs w:val="16"/>
                <w:vertAlign w:val="superscript"/>
              </w:rPr>
              <w:t>bcd</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6.38</w:t>
            </w:r>
            <w:r>
              <w:rPr>
                <w:rFonts w:ascii="Arial" w:eastAsia="Arial" w:hAnsi="Arial" w:cs="Arial"/>
                <w:sz w:val="16"/>
                <w:szCs w:val="16"/>
                <w:vertAlign w:val="superscript"/>
              </w:rPr>
              <w:t>ab</w:t>
            </w:r>
          </w:p>
        </w:tc>
        <w:tc>
          <w:tcPr>
            <w:tcW w:w="8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3.53</w:t>
            </w:r>
            <w:r>
              <w:rPr>
                <w:rFonts w:ascii="Arial" w:eastAsia="Arial" w:hAnsi="Arial" w:cs="Arial"/>
                <w:sz w:val="16"/>
                <w:szCs w:val="16"/>
                <w:vertAlign w:val="superscript"/>
              </w:rPr>
              <w:t>cde</w:t>
            </w:r>
          </w:p>
        </w:tc>
        <w:tc>
          <w:tcPr>
            <w:tcW w:w="11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3.91</w:t>
            </w:r>
            <w:r>
              <w:rPr>
                <w:rFonts w:ascii="Arial" w:eastAsia="Arial" w:hAnsi="Arial" w:cs="Arial"/>
                <w:sz w:val="16"/>
                <w:szCs w:val="16"/>
                <w:vertAlign w:val="superscript"/>
              </w:rPr>
              <w:t>bcd</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4.38</w:t>
            </w:r>
            <w:r>
              <w:rPr>
                <w:rFonts w:ascii="Arial" w:eastAsia="Arial" w:hAnsi="Arial" w:cs="Arial"/>
                <w:sz w:val="16"/>
                <w:szCs w:val="16"/>
                <w:vertAlign w:val="superscript"/>
              </w:rPr>
              <w:t>bcd</w:t>
            </w:r>
          </w:p>
        </w:tc>
        <w:tc>
          <w:tcPr>
            <w:tcW w:w="10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5.60</w:t>
            </w:r>
            <w:r>
              <w:rPr>
                <w:rFonts w:ascii="Arial" w:eastAsia="Arial" w:hAnsi="Arial" w:cs="Arial"/>
                <w:sz w:val="16"/>
                <w:szCs w:val="16"/>
                <w:vertAlign w:val="superscript"/>
              </w:rPr>
              <w:t>abc</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7.48</w:t>
            </w:r>
            <w:r>
              <w:rPr>
                <w:rFonts w:ascii="Arial" w:eastAsia="Arial" w:hAnsi="Arial" w:cs="Arial"/>
                <w:sz w:val="16"/>
                <w:szCs w:val="16"/>
                <w:vertAlign w:val="superscript"/>
              </w:rPr>
              <w:t>a</w:t>
            </w:r>
          </w:p>
        </w:tc>
        <w:tc>
          <w:tcPr>
            <w:tcW w:w="6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0.42</w:t>
            </w:r>
          </w:p>
        </w:tc>
        <w:tc>
          <w:tcPr>
            <w:tcW w:w="760" w:type="dxa"/>
            <w:vAlign w:val="center"/>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0.001</w:t>
            </w:r>
          </w:p>
        </w:tc>
      </w:tr>
      <w:tr w:rsidR="00DE5863">
        <w:trPr>
          <w:trHeight w:val="300"/>
        </w:trPr>
        <w:tc>
          <w:tcPr>
            <w:tcW w:w="1440" w:type="dxa"/>
            <w:vAlign w:val="center"/>
          </w:tcPr>
          <w:p w:rsidR="00DE5863" w:rsidRDefault="008538E9">
            <w:pPr>
              <w:spacing w:line="360" w:lineRule="auto"/>
              <w:ind w:right="210"/>
              <w:jc w:val="both"/>
              <w:rPr>
                <w:rFonts w:ascii="Arial" w:eastAsia="Arial" w:hAnsi="Arial" w:cs="Arial"/>
                <w:sz w:val="16"/>
                <w:szCs w:val="16"/>
              </w:rPr>
            </w:pPr>
            <w:r>
              <w:rPr>
                <w:rFonts w:ascii="Arial" w:eastAsia="Arial" w:hAnsi="Arial" w:cs="Arial"/>
                <w:sz w:val="16"/>
                <w:szCs w:val="16"/>
              </w:rPr>
              <w:t>CAT</w:t>
            </w:r>
          </w:p>
        </w:tc>
        <w:tc>
          <w:tcPr>
            <w:tcW w:w="820" w:type="dxa"/>
            <w:vAlign w:val="bottom"/>
          </w:tcPr>
          <w:p w:rsidR="00DE5863" w:rsidRDefault="008538E9">
            <w:pPr>
              <w:spacing w:line="360" w:lineRule="auto"/>
              <w:ind w:left="-90" w:right="30" w:hanging="180"/>
              <w:jc w:val="center"/>
              <w:rPr>
                <w:rFonts w:ascii="Arial" w:eastAsia="Arial" w:hAnsi="Arial" w:cs="Arial"/>
                <w:sz w:val="16"/>
                <w:szCs w:val="16"/>
              </w:rPr>
            </w:pPr>
            <w:r>
              <w:rPr>
                <w:rFonts w:ascii="Arial" w:eastAsia="Arial" w:hAnsi="Arial" w:cs="Arial"/>
                <w:sz w:val="16"/>
                <w:szCs w:val="16"/>
              </w:rPr>
              <w:t>1.66</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hanging="165"/>
              <w:jc w:val="center"/>
              <w:rPr>
                <w:rFonts w:ascii="Arial" w:eastAsia="Arial" w:hAnsi="Arial" w:cs="Arial"/>
                <w:sz w:val="16"/>
                <w:szCs w:val="16"/>
              </w:rPr>
            </w:pPr>
            <w:r>
              <w:rPr>
                <w:rFonts w:ascii="Arial" w:eastAsia="Arial" w:hAnsi="Arial" w:cs="Arial"/>
                <w:sz w:val="16"/>
                <w:szCs w:val="16"/>
              </w:rPr>
              <w:t>2.25</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2.82</w:t>
            </w:r>
            <w:r>
              <w:rPr>
                <w:rFonts w:ascii="Arial" w:eastAsia="Arial" w:hAnsi="Arial" w:cs="Arial"/>
                <w:sz w:val="16"/>
                <w:szCs w:val="16"/>
                <w:vertAlign w:val="superscript"/>
              </w:rPr>
              <w:t>b</w:t>
            </w:r>
          </w:p>
        </w:tc>
        <w:tc>
          <w:tcPr>
            <w:tcW w:w="82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1.72</w:t>
            </w:r>
            <w:r>
              <w:rPr>
                <w:rFonts w:ascii="Arial" w:eastAsia="Arial" w:hAnsi="Arial" w:cs="Arial"/>
                <w:sz w:val="16"/>
                <w:szCs w:val="16"/>
                <w:vertAlign w:val="superscript"/>
              </w:rPr>
              <w:t>b</w:t>
            </w:r>
          </w:p>
        </w:tc>
        <w:tc>
          <w:tcPr>
            <w:tcW w:w="8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1.93</w:t>
            </w:r>
            <w:r>
              <w:rPr>
                <w:rFonts w:ascii="Arial" w:eastAsia="Arial" w:hAnsi="Arial" w:cs="Arial"/>
                <w:sz w:val="16"/>
                <w:szCs w:val="16"/>
                <w:vertAlign w:val="superscript"/>
              </w:rPr>
              <w:t>b</w:t>
            </w:r>
          </w:p>
        </w:tc>
        <w:tc>
          <w:tcPr>
            <w:tcW w:w="11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2.55</w:t>
            </w:r>
            <w:r>
              <w:rPr>
                <w:rFonts w:ascii="Arial" w:eastAsia="Arial" w:hAnsi="Arial" w:cs="Arial"/>
                <w:sz w:val="16"/>
                <w:szCs w:val="16"/>
                <w:vertAlign w:val="superscript"/>
              </w:rPr>
              <w:t>b</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2.41</w:t>
            </w:r>
            <w:r>
              <w:rPr>
                <w:rFonts w:ascii="Arial" w:eastAsia="Arial" w:hAnsi="Arial" w:cs="Arial"/>
                <w:sz w:val="16"/>
                <w:szCs w:val="16"/>
                <w:vertAlign w:val="superscript"/>
              </w:rPr>
              <w:t>b</w:t>
            </w:r>
          </w:p>
        </w:tc>
        <w:tc>
          <w:tcPr>
            <w:tcW w:w="10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2.52</w:t>
            </w:r>
            <w:r>
              <w:rPr>
                <w:rFonts w:ascii="Arial" w:eastAsia="Arial" w:hAnsi="Arial" w:cs="Arial"/>
                <w:sz w:val="16"/>
                <w:szCs w:val="16"/>
                <w:vertAlign w:val="superscript"/>
              </w:rPr>
              <w:t>b</w:t>
            </w:r>
          </w:p>
        </w:tc>
        <w:tc>
          <w:tcPr>
            <w:tcW w:w="10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4.11</w:t>
            </w:r>
            <w:r>
              <w:rPr>
                <w:rFonts w:ascii="Arial" w:eastAsia="Arial" w:hAnsi="Arial" w:cs="Arial"/>
                <w:sz w:val="16"/>
                <w:szCs w:val="16"/>
                <w:vertAlign w:val="superscript"/>
              </w:rPr>
              <w:t>a</w:t>
            </w:r>
          </w:p>
        </w:tc>
        <w:tc>
          <w:tcPr>
            <w:tcW w:w="68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0.17</w:t>
            </w:r>
          </w:p>
        </w:tc>
        <w:tc>
          <w:tcPr>
            <w:tcW w:w="760" w:type="dxa"/>
            <w:vAlign w:val="bottom"/>
          </w:tcPr>
          <w:p w:rsidR="00DE5863" w:rsidRDefault="008538E9">
            <w:pPr>
              <w:spacing w:line="360" w:lineRule="auto"/>
              <w:ind w:right="30"/>
              <w:jc w:val="center"/>
              <w:rPr>
                <w:rFonts w:ascii="Arial" w:eastAsia="Arial" w:hAnsi="Arial" w:cs="Arial"/>
                <w:sz w:val="16"/>
                <w:szCs w:val="16"/>
              </w:rPr>
            </w:pPr>
            <w:r>
              <w:rPr>
                <w:rFonts w:ascii="Arial" w:eastAsia="Arial" w:hAnsi="Arial" w:cs="Arial"/>
                <w:sz w:val="16"/>
                <w:szCs w:val="16"/>
              </w:rPr>
              <w:t>0.009</w:t>
            </w:r>
          </w:p>
        </w:tc>
      </w:tr>
    </w:tbl>
    <w:p w:rsidR="00DE5863" w:rsidRDefault="008538E9">
      <w:pPr>
        <w:pBdr>
          <w:top w:val="nil"/>
          <w:left w:val="nil"/>
          <w:bottom w:val="nil"/>
          <w:right w:val="nil"/>
          <w:between w:val="nil"/>
        </w:pBdr>
        <w:jc w:val="both"/>
        <w:rPr>
          <w:rFonts w:ascii="Arial" w:eastAsia="Arial" w:hAnsi="Arial" w:cs="Arial"/>
          <w:sz w:val="14"/>
          <w:szCs w:val="14"/>
        </w:rPr>
      </w:pPr>
      <w:proofErr w:type="spellStart"/>
      <w:proofErr w:type="gramStart"/>
      <w:r>
        <w:rPr>
          <w:rFonts w:ascii="Arial" w:eastAsia="Arial" w:hAnsi="Arial" w:cs="Arial"/>
          <w:sz w:val="14"/>
          <w:szCs w:val="14"/>
        </w:rPr>
        <w:t>a,b</w:t>
      </w:r>
      <w:proofErr w:type="gramEnd"/>
      <w:r>
        <w:rPr>
          <w:rFonts w:ascii="Arial" w:eastAsia="Arial" w:hAnsi="Arial" w:cs="Arial"/>
          <w:sz w:val="14"/>
          <w:szCs w:val="14"/>
        </w:rPr>
        <w:t>,c,d,e</w:t>
      </w:r>
      <w:proofErr w:type="spellEnd"/>
      <w:r>
        <w:rPr>
          <w:rFonts w:ascii="Arial" w:eastAsia="Arial" w:hAnsi="Arial" w:cs="Arial"/>
          <w:sz w:val="14"/>
          <w:szCs w:val="14"/>
        </w:rPr>
        <w:t xml:space="preserve"> Means in the same row with different superscripts differ (P&lt;0.05), SOD: Superoxide Dismutase, GST: Glutathione S Transferase, </w:t>
      </w:r>
      <w:proofErr w:type="spellStart"/>
      <w:r>
        <w:rPr>
          <w:rFonts w:ascii="Arial" w:eastAsia="Arial" w:hAnsi="Arial" w:cs="Arial"/>
          <w:sz w:val="14"/>
          <w:szCs w:val="14"/>
        </w:rPr>
        <w:t>GPx</w:t>
      </w:r>
      <w:proofErr w:type="spellEnd"/>
      <w:r>
        <w:rPr>
          <w:rFonts w:ascii="Arial" w:eastAsia="Arial" w:hAnsi="Arial" w:cs="Arial"/>
          <w:sz w:val="14"/>
          <w:szCs w:val="14"/>
        </w:rPr>
        <w:t>: Glutathione Peroxidase, TAC: Total Antioxidant Capacity, NC: Negative Control, PC: Positive Control, SEM: Standard Error of Mean, CL: Clove Meal, GA: Garlic, PLM: Pawpaw Leaf Meal, MDA: Malondialdehyde, CAT: Catalase P: Protein.</w:t>
      </w:r>
    </w:p>
    <w:p w:rsidR="00DE5863" w:rsidRDefault="00DE5863">
      <w:pPr>
        <w:pBdr>
          <w:top w:val="nil"/>
          <w:left w:val="nil"/>
          <w:bottom w:val="nil"/>
          <w:right w:val="nil"/>
          <w:between w:val="nil"/>
        </w:pBdr>
        <w:jc w:val="both"/>
        <w:rPr>
          <w:rFonts w:ascii="Arial" w:eastAsia="Arial" w:hAnsi="Arial" w:cs="Arial"/>
          <w:sz w:val="14"/>
          <w:szCs w:val="14"/>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rPr>
      </w:pP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DE5863" w:rsidRDefault="00DE5863">
      <w:pPr>
        <w:keepNext/>
        <w:pBdr>
          <w:top w:val="nil"/>
          <w:left w:val="nil"/>
          <w:bottom w:val="nil"/>
          <w:right w:val="nil"/>
          <w:between w:val="nil"/>
        </w:pBdr>
        <w:jc w:val="both"/>
        <w:rPr>
          <w:rFonts w:ascii="Arial" w:eastAsia="Arial" w:hAnsi="Arial" w:cs="Arial"/>
          <w:b/>
          <w:bCs/>
          <w:smallCaps/>
          <w:color w:val="000000"/>
          <w:sz w:val="22"/>
          <w:szCs w:val="22"/>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 xml:space="preserve">In conclusion, the dietary supplementation with </w:t>
      </w:r>
      <w:proofErr w:type="spellStart"/>
      <w:r>
        <w:rPr>
          <w:rFonts w:ascii="Arial" w:eastAsia="Arial" w:hAnsi="Arial" w:cs="Arial"/>
          <w:i/>
          <w:iCs/>
        </w:rPr>
        <w:t>Carica</w:t>
      </w:r>
      <w:proofErr w:type="spellEnd"/>
      <w:r>
        <w:rPr>
          <w:rFonts w:ascii="Arial" w:eastAsia="Arial" w:hAnsi="Arial" w:cs="Arial"/>
          <w:i/>
          <w:iCs/>
        </w:rPr>
        <w:t xml:space="preserve"> papaya</w:t>
      </w:r>
      <w:r>
        <w:rPr>
          <w:rFonts w:ascii="Arial" w:eastAsia="Arial" w:hAnsi="Arial" w:cs="Arial"/>
        </w:rPr>
        <w:t xml:space="preserve"> leaf meal, particularly in synergistic combination with clove and garlic, confers multi-faceted benefits in broiler chickens. The regimen significantly enhances zootechnical performance, as evidenced by improved average daily weight gained and feed conversion ratio, which is likely mediated through enhanced nutrient digestibility and gut microbiome modulation. Furthermore, the phytogenic blends potently augmented the birds' physiological status by stimulating both humoral and adaptive immunity, and significantly upregulating the systemic antioxidant defense system, thereby improving overall health and resilience. The most noticeable effects were observed in the three-way combination, indicating additive or synergistic actions of the respective bioactive compounds.</w:t>
      </w:r>
    </w:p>
    <w:p w:rsidR="00DE5863" w:rsidRDefault="00DE5863">
      <w:pPr>
        <w:pBdr>
          <w:top w:val="nil"/>
          <w:left w:val="nil"/>
          <w:bottom w:val="nil"/>
          <w:right w:val="nil"/>
          <w:between w:val="nil"/>
        </w:pBdr>
        <w:jc w:val="both"/>
        <w:rPr>
          <w:rFonts w:ascii="Arial" w:eastAsia="Arial" w:hAnsi="Arial" w:cs="Arial"/>
        </w:rPr>
      </w:pPr>
    </w:p>
    <w:p w:rsidR="00DE5863" w:rsidRDefault="00DE5863">
      <w:pPr>
        <w:pBdr>
          <w:top w:val="nil"/>
          <w:left w:val="nil"/>
          <w:bottom w:val="nil"/>
          <w:right w:val="nil"/>
          <w:between w:val="nil"/>
        </w:pBdr>
        <w:jc w:val="both"/>
        <w:rPr>
          <w:rFonts w:ascii="Arial" w:eastAsia="Arial" w:hAnsi="Arial" w:cs="Arial"/>
          <w:color w:val="000000"/>
        </w:rPr>
      </w:pP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proofErr w:type="spellStart"/>
      <w:r>
        <w:rPr>
          <w:rFonts w:ascii="Arial" w:eastAsia="Arial" w:hAnsi="Arial" w:cs="Arial"/>
          <w:b/>
          <w:bCs/>
          <w:smallCaps/>
          <w:color w:val="000000"/>
          <w:sz w:val="22"/>
          <w:szCs w:val="22"/>
        </w:rPr>
        <w:t>AcknowledgEments</w:t>
      </w:r>
      <w:proofErr w:type="spellEnd"/>
    </w:p>
    <w:p w:rsidR="00DE5863" w:rsidRDefault="00DE5863">
      <w:pPr>
        <w:keepNext/>
        <w:pBdr>
          <w:top w:val="nil"/>
          <w:left w:val="nil"/>
          <w:bottom w:val="nil"/>
          <w:right w:val="nil"/>
          <w:between w:val="nil"/>
        </w:pBdr>
        <w:jc w:val="both"/>
        <w:rPr>
          <w:rFonts w:ascii="Arial" w:eastAsia="Arial" w:hAnsi="Arial" w:cs="Arial"/>
          <w:b/>
          <w:bCs/>
          <w:smallCaps/>
          <w:color w:val="000000"/>
          <w:sz w:val="22"/>
          <w:szCs w:val="22"/>
        </w:rPr>
      </w:pPr>
    </w:p>
    <w:p w:rsidR="00DE5863" w:rsidRDefault="008538E9">
      <w:pPr>
        <w:pBdr>
          <w:top w:val="nil"/>
          <w:left w:val="nil"/>
          <w:bottom w:val="nil"/>
          <w:right w:val="nil"/>
          <w:between w:val="nil"/>
        </w:pBdr>
        <w:jc w:val="both"/>
        <w:rPr>
          <w:rFonts w:ascii="Arial" w:eastAsia="Arial" w:hAnsi="Arial" w:cs="Arial"/>
        </w:rPr>
      </w:pPr>
      <w:r>
        <w:rPr>
          <w:rFonts w:ascii="Arial" w:eastAsia="Arial" w:hAnsi="Arial" w:cs="Arial"/>
        </w:rPr>
        <w:t>We thank Uptown farm for the privilege they gave us to carry out the research on their farm to mimic commercial production.</w:t>
      </w: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rsidR="00DE5863" w:rsidRDefault="008538E9">
      <w:pPr>
        <w:keepNext/>
        <w:pBdr>
          <w:top w:val="nil"/>
          <w:left w:val="nil"/>
          <w:bottom w:val="nil"/>
          <w:right w:val="nil"/>
          <w:between w:val="nil"/>
        </w:pBdr>
        <w:jc w:val="both"/>
        <w:rPr>
          <w:rFonts w:ascii="Arial" w:eastAsia="Arial" w:hAnsi="Arial" w:cs="Arial"/>
          <w:color w:val="000000"/>
        </w:rPr>
      </w:pPr>
      <w:r>
        <w:rPr>
          <w:rFonts w:ascii="Arial" w:eastAsia="Arial" w:hAnsi="Arial" w:cs="Arial"/>
        </w:rPr>
        <w:t>No conflict of Interest</w:t>
      </w:r>
    </w:p>
    <w:p w:rsidR="00DE5863" w:rsidRDefault="00DE5863">
      <w:pPr>
        <w:keepNext/>
        <w:pBdr>
          <w:top w:val="nil"/>
          <w:left w:val="nil"/>
          <w:bottom w:val="nil"/>
          <w:right w:val="nil"/>
          <w:between w:val="nil"/>
        </w:pBdr>
        <w:jc w:val="both"/>
        <w:rPr>
          <w:rFonts w:ascii="Arial" w:eastAsia="Arial" w:hAnsi="Arial" w:cs="Arial"/>
          <w:color w:val="000000"/>
        </w:rPr>
      </w:pP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rsidR="00DE5863" w:rsidRDefault="008538E9">
      <w:pPr>
        <w:jc w:val="both"/>
        <w:rPr>
          <w:rFonts w:ascii="Arial" w:eastAsia="Arial" w:hAnsi="Arial" w:cs="Arial"/>
        </w:rPr>
      </w:pPr>
      <w:r>
        <w:rPr>
          <w:rFonts w:ascii="Arial" w:eastAsia="Arial" w:hAnsi="Arial" w:cs="Arial"/>
        </w:rPr>
        <w:t>All participated in research development, field work, analysis and manuscript development</w:t>
      </w:r>
    </w:p>
    <w:p w:rsidR="00DE5863" w:rsidRDefault="00DE5863">
      <w:pPr>
        <w:keepNext/>
        <w:pBdr>
          <w:top w:val="nil"/>
          <w:left w:val="nil"/>
          <w:bottom w:val="nil"/>
          <w:right w:val="nil"/>
          <w:between w:val="nil"/>
        </w:pBdr>
        <w:jc w:val="both"/>
        <w:rPr>
          <w:rFonts w:ascii="Arial" w:eastAsia="Arial" w:hAnsi="Arial" w:cs="Arial"/>
          <w:smallCaps/>
        </w:rPr>
      </w:pPr>
    </w:p>
    <w:p w:rsidR="00DE5863" w:rsidRDefault="00DE5863">
      <w:pPr>
        <w:keepNext/>
        <w:pBdr>
          <w:top w:val="nil"/>
          <w:left w:val="nil"/>
          <w:bottom w:val="nil"/>
          <w:right w:val="nil"/>
          <w:between w:val="nil"/>
        </w:pBdr>
        <w:jc w:val="both"/>
        <w:rPr>
          <w:rFonts w:ascii="Arial" w:eastAsia="Arial" w:hAnsi="Arial" w:cs="Arial"/>
          <w:b/>
          <w:bCs/>
          <w:smallCaps/>
          <w:color w:val="000000"/>
          <w:sz w:val="22"/>
          <w:szCs w:val="22"/>
        </w:rPr>
      </w:pPr>
    </w:p>
    <w:p w:rsidR="00DE5863" w:rsidRDefault="00DE5863">
      <w:pPr>
        <w:keepNext/>
        <w:pBdr>
          <w:top w:val="nil"/>
          <w:left w:val="nil"/>
          <w:bottom w:val="nil"/>
          <w:right w:val="nil"/>
          <w:between w:val="nil"/>
        </w:pBdr>
        <w:jc w:val="both"/>
        <w:rPr>
          <w:rFonts w:ascii="Arial" w:eastAsia="Arial" w:hAnsi="Arial" w:cs="Arial"/>
          <w:b/>
          <w:bCs/>
          <w:smallCaps/>
          <w:color w:val="000000"/>
          <w:sz w:val="22"/>
          <w:szCs w:val="22"/>
        </w:rPr>
      </w:pPr>
    </w:p>
    <w:p w:rsidR="00DE5863" w:rsidRDefault="008538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DE5863" w:rsidRDefault="00DE5863">
      <w:pPr>
        <w:keepNext/>
        <w:pBdr>
          <w:top w:val="nil"/>
          <w:left w:val="nil"/>
          <w:bottom w:val="nil"/>
          <w:right w:val="nil"/>
          <w:between w:val="nil"/>
        </w:pBdr>
        <w:jc w:val="both"/>
        <w:rPr>
          <w:rFonts w:ascii="Arial" w:eastAsia="Arial" w:hAnsi="Arial" w:cs="Arial"/>
          <w:b/>
          <w:bCs/>
          <w:smallCaps/>
          <w:color w:val="000000"/>
          <w:sz w:val="22"/>
          <w:szCs w:val="22"/>
        </w:rPr>
      </w:pP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Abd El-Hack, M. E., </w:t>
      </w:r>
      <w:proofErr w:type="spellStart"/>
      <w:r>
        <w:rPr>
          <w:rFonts w:ascii="Arial" w:eastAsia="Arial" w:hAnsi="Arial" w:cs="Arial"/>
        </w:rPr>
        <w:t>Alagawany</w:t>
      </w:r>
      <w:proofErr w:type="spellEnd"/>
      <w:r>
        <w:rPr>
          <w:rFonts w:ascii="Arial" w:eastAsia="Arial" w:hAnsi="Arial" w:cs="Arial"/>
        </w:rPr>
        <w:t>, M., Abdel-</w:t>
      </w:r>
      <w:proofErr w:type="spellStart"/>
      <w:r>
        <w:rPr>
          <w:rFonts w:ascii="Arial" w:eastAsia="Arial" w:hAnsi="Arial" w:cs="Arial"/>
        </w:rPr>
        <w:t>Moneim</w:t>
      </w:r>
      <w:proofErr w:type="spellEnd"/>
      <w:r>
        <w:rPr>
          <w:rFonts w:ascii="Arial" w:eastAsia="Arial" w:hAnsi="Arial" w:cs="Arial"/>
        </w:rPr>
        <w:t xml:space="preserve">, A.-M. E., Mohammed, N. G., </w:t>
      </w:r>
      <w:proofErr w:type="spellStart"/>
      <w:r>
        <w:rPr>
          <w:rFonts w:ascii="Arial" w:eastAsia="Arial" w:hAnsi="Arial" w:cs="Arial"/>
        </w:rPr>
        <w:t>Khafaga</w:t>
      </w:r>
      <w:proofErr w:type="spellEnd"/>
      <w:r>
        <w:rPr>
          <w:rFonts w:ascii="Arial" w:eastAsia="Arial" w:hAnsi="Arial" w:cs="Arial"/>
        </w:rPr>
        <w:t>, A. F., Bin-</w:t>
      </w:r>
      <w:proofErr w:type="spellStart"/>
      <w:r>
        <w:rPr>
          <w:rFonts w:ascii="Arial" w:eastAsia="Arial" w:hAnsi="Arial" w:cs="Arial"/>
        </w:rPr>
        <w:t>Jumah</w:t>
      </w:r>
      <w:proofErr w:type="spellEnd"/>
      <w:r>
        <w:rPr>
          <w:rFonts w:ascii="Arial" w:eastAsia="Arial" w:hAnsi="Arial" w:cs="Arial"/>
        </w:rPr>
        <w:t xml:space="preserve">, M., Othman, S. I., Allam, A. A., &amp; </w:t>
      </w:r>
      <w:proofErr w:type="spellStart"/>
      <w:r>
        <w:rPr>
          <w:rFonts w:ascii="Arial" w:eastAsia="Arial" w:hAnsi="Arial" w:cs="Arial"/>
        </w:rPr>
        <w:t>Elnesr</w:t>
      </w:r>
      <w:proofErr w:type="spellEnd"/>
      <w:r>
        <w:rPr>
          <w:rFonts w:ascii="Arial" w:eastAsia="Arial" w:hAnsi="Arial" w:cs="Arial"/>
        </w:rPr>
        <w:t>, S. S. (2020). Cinnamon (</w:t>
      </w:r>
      <w:proofErr w:type="spellStart"/>
      <w:r>
        <w:rPr>
          <w:rFonts w:ascii="Arial" w:eastAsia="Arial" w:hAnsi="Arial" w:cs="Arial"/>
        </w:rPr>
        <w:t>Cinnamomum</w:t>
      </w:r>
      <w:proofErr w:type="spellEnd"/>
      <w:r>
        <w:rPr>
          <w:rFonts w:ascii="Arial" w:eastAsia="Arial" w:hAnsi="Arial" w:cs="Arial"/>
        </w:rPr>
        <w:t xml:space="preserve"> </w:t>
      </w:r>
      <w:proofErr w:type="spellStart"/>
      <w:r>
        <w:rPr>
          <w:rFonts w:ascii="Arial" w:eastAsia="Arial" w:hAnsi="Arial" w:cs="Arial"/>
        </w:rPr>
        <w:t>zeylanicum</w:t>
      </w:r>
      <w:proofErr w:type="spellEnd"/>
      <w:r>
        <w:rPr>
          <w:rFonts w:ascii="Arial" w:eastAsia="Arial" w:hAnsi="Arial" w:cs="Arial"/>
        </w:rPr>
        <w:t>) Oil as a Potential Alternative to Antibiotics in Poultry. Antibiotics (Basel, Switzerland), 9(5), 210.</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Abdelli</w:t>
      </w:r>
      <w:proofErr w:type="spellEnd"/>
      <w:r>
        <w:rPr>
          <w:rFonts w:ascii="Arial" w:eastAsia="Arial" w:hAnsi="Arial" w:cs="Arial"/>
        </w:rPr>
        <w:t xml:space="preserve">, N., </w:t>
      </w:r>
      <w:proofErr w:type="spellStart"/>
      <w:r>
        <w:rPr>
          <w:rFonts w:ascii="Arial" w:eastAsia="Arial" w:hAnsi="Arial" w:cs="Arial"/>
        </w:rPr>
        <w:t>Solà</w:t>
      </w:r>
      <w:proofErr w:type="spellEnd"/>
      <w:r>
        <w:rPr>
          <w:rFonts w:ascii="Arial" w:eastAsia="Arial" w:hAnsi="Arial" w:cs="Arial"/>
        </w:rPr>
        <w:t xml:space="preserve">-Oriol, D., &amp; Pérez, J. F. (2021). Phytogenic Feed Additives in Poultry: Achievements, Prospective and Challenges. Animals, 11(12), 3471.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Al-</w:t>
      </w:r>
      <w:proofErr w:type="spellStart"/>
      <w:r>
        <w:rPr>
          <w:rFonts w:ascii="Arial" w:eastAsia="Arial" w:hAnsi="Arial" w:cs="Arial"/>
        </w:rPr>
        <w:t>Mufarrej</w:t>
      </w:r>
      <w:proofErr w:type="spellEnd"/>
      <w:r>
        <w:rPr>
          <w:rFonts w:ascii="Arial" w:eastAsia="Arial" w:hAnsi="Arial" w:cs="Arial"/>
        </w:rPr>
        <w:t xml:space="preserve">, S.I., </w:t>
      </w:r>
      <w:proofErr w:type="spellStart"/>
      <w:r>
        <w:rPr>
          <w:rFonts w:ascii="Arial" w:eastAsia="Arial" w:hAnsi="Arial" w:cs="Arial"/>
        </w:rPr>
        <w:t>Fazea</w:t>
      </w:r>
      <w:proofErr w:type="spellEnd"/>
      <w:r>
        <w:rPr>
          <w:rFonts w:ascii="Arial" w:eastAsia="Arial" w:hAnsi="Arial" w:cs="Arial"/>
        </w:rPr>
        <w:t>, E.H., Al-</w:t>
      </w:r>
      <w:proofErr w:type="spellStart"/>
      <w:r>
        <w:rPr>
          <w:rFonts w:ascii="Arial" w:eastAsia="Arial" w:hAnsi="Arial" w:cs="Arial"/>
        </w:rPr>
        <w:t>Baadani</w:t>
      </w:r>
      <w:proofErr w:type="spellEnd"/>
      <w:r>
        <w:rPr>
          <w:rFonts w:ascii="Arial" w:eastAsia="Arial" w:hAnsi="Arial" w:cs="Arial"/>
        </w:rPr>
        <w:t xml:space="preserve">, H.H., &amp; </w:t>
      </w:r>
      <w:proofErr w:type="spellStart"/>
      <w:r>
        <w:rPr>
          <w:rFonts w:ascii="Arial" w:eastAsia="Arial" w:hAnsi="Arial" w:cs="Arial"/>
        </w:rPr>
        <w:t>Qaid</w:t>
      </w:r>
      <w:proofErr w:type="spellEnd"/>
      <w:r>
        <w:rPr>
          <w:rFonts w:ascii="Arial" w:eastAsia="Arial" w:hAnsi="Arial" w:cs="Arial"/>
        </w:rPr>
        <w:t>, M.M. (2019). Effects of clove powder supplementation on performance, blood biochemistry, and immune responses in broiler chickens. South African Journal of Animal Science. 49(5) 835.</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AOAC. (2019). Official methods of analysis. 21st ed. Association of Official Analytical Chemists. Rockville, MD. </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Caprarulo</w:t>
      </w:r>
      <w:proofErr w:type="spellEnd"/>
      <w:r>
        <w:rPr>
          <w:rFonts w:ascii="Arial" w:eastAsia="Arial" w:hAnsi="Arial" w:cs="Arial"/>
        </w:rPr>
        <w:t xml:space="preserve">, V., </w:t>
      </w:r>
      <w:proofErr w:type="spellStart"/>
      <w:r>
        <w:rPr>
          <w:rFonts w:ascii="Arial" w:eastAsia="Arial" w:hAnsi="Arial" w:cs="Arial"/>
        </w:rPr>
        <w:t>Giromini</w:t>
      </w:r>
      <w:proofErr w:type="spellEnd"/>
      <w:r>
        <w:rPr>
          <w:rFonts w:ascii="Arial" w:eastAsia="Arial" w:hAnsi="Arial" w:cs="Arial"/>
        </w:rPr>
        <w:t>, C. &amp; Rossi, L. (2020). Chestnut and quebracho tannins in pig nutrition: the effects on performance and intestinal health. Animal 15: 1–10.</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Chaijan</w:t>
      </w:r>
      <w:proofErr w:type="spellEnd"/>
      <w:r>
        <w:rPr>
          <w:rFonts w:ascii="Arial" w:eastAsia="Arial" w:hAnsi="Arial" w:cs="Arial"/>
        </w:rPr>
        <w:t xml:space="preserve"> S, </w:t>
      </w:r>
      <w:proofErr w:type="spellStart"/>
      <w:r>
        <w:rPr>
          <w:rFonts w:ascii="Arial" w:eastAsia="Arial" w:hAnsi="Arial" w:cs="Arial"/>
        </w:rPr>
        <w:t>Chaijan</w:t>
      </w:r>
      <w:proofErr w:type="spellEnd"/>
      <w:r>
        <w:rPr>
          <w:rFonts w:ascii="Arial" w:eastAsia="Arial" w:hAnsi="Arial" w:cs="Arial"/>
        </w:rPr>
        <w:t xml:space="preserve"> M, </w:t>
      </w:r>
      <w:proofErr w:type="spellStart"/>
      <w:r>
        <w:rPr>
          <w:rFonts w:ascii="Arial" w:eastAsia="Arial" w:hAnsi="Arial" w:cs="Arial"/>
        </w:rPr>
        <w:t>Uawisetwathana</w:t>
      </w:r>
      <w:proofErr w:type="spellEnd"/>
      <w:r>
        <w:rPr>
          <w:rFonts w:ascii="Arial" w:eastAsia="Arial" w:hAnsi="Arial" w:cs="Arial"/>
        </w:rPr>
        <w:t xml:space="preserve"> U, </w:t>
      </w:r>
      <w:proofErr w:type="spellStart"/>
      <w:r>
        <w:rPr>
          <w:rFonts w:ascii="Arial" w:eastAsia="Arial" w:hAnsi="Arial" w:cs="Arial"/>
        </w:rPr>
        <w:t>Panya</w:t>
      </w:r>
      <w:proofErr w:type="spellEnd"/>
      <w:r>
        <w:rPr>
          <w:rFonts w:ascii="Arial" w:eastAsia="Arial" w:hAnsi="Arial" w:cs="Arial"/>
        </w:rPr>
        <w:t xml:space="preserve"> A, </w:t>
      </w:r>
      <w:proofErr w:type="spellStart"/>
      <w:r>
        <w:rPr>
          <w:rFonts w:ascii="Arial" w:eastAsia="Arial" w:hAnsi="Arial" w:cs="Arial"/>
        </w:rPr>
        <w:t>Phonsatta</w:t>
      </w:r>
      <w:proofErr w:type="spellEnd"/>
      <w:r>
        <w:rPr>
          <w:rFonts w:ascii="Arial" w:eastAsia="Arial" w:hAnsi="Arial" w:cs="Arial"/>
        </w:rPr>
        <w:t xml:space="preserve"> N, Shetty K, &amp; </w:t>
      </w:r>
      <w:proofErr w:type="spellStart"/>
      <w:r>
        <w:rPr>
          <w:rFonts w:ascii="Arial" w:eastAsia="Arial" w:hAnsi="Arial" w:cs="Arial"/>
        </w:rPr>
        <w:t>Panpipat</w:t>
      </w:r>
      <w:proofErr w:type="spellEnd"/>
      <w:r>
        <w:rPr>
          <w:rFonts w:ascii="Arial" w:eastAsia="Arial" w:hAnsi="Arial" w:cs="Arial"/>
        </w:rPr>
        <w:t xml:space="preserve"> </w:t>
      </w:r>
      <w:proofErr w:type="gramStart"/>
      <w:r>
        <w:rPr>
          <w:rFonts w:ascii="Arial" w:eastAsia="Arial" w:hAnsi="Arial" w:cs="Arial"/>
        </w:rPr>
        <w:t>W.( 2024</w:t>
      </w:r>
      <w:proofErr w:type="gramEnd"/>
      <w:r>
        <w:rPr>
          <w:rFonts w:ascii="Arial" w:eastAsia="Arial" w:hAnsi="Arial" w:cs="Arial"/>
        </w:rPr>
        <w:t>). Phenolic and metabolic profiles, antioxidant activities, glycemic control, and anti-inflammatory activity of three Thai papaya cultivar leaves. Foods. 13(11):1692.</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Cordiano</w:t>
      </w:r>
      <w:proofErr w:type="spellEnd"/>
      <w:r>
        <w:rPr>
          <w:rFonts w:ascii="Arial" w:eastAsia="Arial" w:hAnsi="Arial" w:cs="Arial"/>
        </w:rPr>
        <w:t xml:space="preserve">, R., Di </w:t>
      </w:r>
      <w:proofErr w:type="spellStart"/>
      <w:r>
        <w:rPr>
          <w:rFonts w:ascii="Arial" w:eastAsia="Arial" w:hAnsi="Arial" w:cs="Arial"/>
        </w:rPr>
        <w:t>Gioacchino</w:t>
      </w:r>
      <w:proofErr w:type="spellEnd"/>
      <w:r>
        <w:rPr>
          <w:rFonts w:ascii="Arial" w:eastAsia="Arial" w:hAnsi="Arial" w:cs="Arial"/>
        </w:rPr>
        <w:t xml:space="preserve">, M., </w:t>
      </w:r>
      <w:proofErr w:type="spellStart"/>
      <w:r>
        <w:rPr>
          <w:rFonts w:ascii="Arial" w:eastAsia="Arial" w:hAnsi="Arial" w:cs="Arial"/>
        </w:rPr>
        <w:t>Mangifesta</w:t>
      </w:r>
      <w:proofErr w:type="spellEnd"/>
      <w:r>
        <w:rPr>
          <w:rFonts w:ascii="Arial" w:eastAsia="Arial" w:hAnsi="Arial" w:cs="Arial"/>
        </w:rPr>
        <w:t xml:space="preserve">, R., </w:t>
      </w:r>
      <w:proofErr w:type="spellStart"/>
      <w:r>
        <w:rPr>
          <w:rFonts w:ascii="Arial" w:eastAsia="Arial" w:hAnsi="Arial" w:cs="Arial"/>
        </w:rPr>
        <w:t>Panzera</w:t>
      </w:r>
      <w:proofErr w:type="spellEnd"/>
      <w:r>
        <w:rPr>
          <w:rFonts w:ascii="Arial" w:eastAsia="Arial" w:hAnsi="Arial" w:cs="Arial"/>
        </w:rPr>
        <w:t xml:space="preserve">, C., </w:t>
      </w:r>
      <w:proofErr w:type="spellStart"/>
      <w:r>
        <w:rPr>
          <w:rFonts w:ascii="Arial" w:eastAsia="Arial" w:hAnsi="Arial" w:cs="Arial"/>
        </w:rPr>
        <w:t>Gangemi</w:t>
      </w:r>
      <w:proofErr w:type="spellEnd"/>
      <w:r>
        <w:rPr>
          <w:rFonts w:ascii="Arial" w:eastAsia="Arial" w:hAnsi="Arial" w:cs="Arial"/>
        </w:rPr>
        <w:t xml:space="preserve">, S., &amp; </w:t>
      </w:r>
      <w:proofErr w:type="spellStart"/>
      <w:r>
        <w:rPr>
          <w:rFonts w:ascii="Arial" w:eastAsia="Arial" w:hAnsi="Arial" w:cs="Arial"/>
        </w:rPr>
        <w:t>Minciullo</w:t>
      </w:r>
      <w:proofErr w:type="spellEnd"/>
      <w:r>
        <w:rPr>
          <w:rFonts w:ascii="Arial" w:eastAsia="Arial" w:hAnsi="Arial" w:cs="Arial"/>
        </w:rPr>
        <w:t xml:space="preserve">, P. L. (2023). Malondialdehyde as a Potential Oxidative Stress Marker for Allergy-Oriented Diseases: An Update. Molecules, 28(16), 5979. </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Corzo</w:t>
      </w:r>
      <w:proofErr w:type="spellEnd"/>
      <w:r>
        <w:rPr>
          <w:rFonts w:ascii="Arial" w:eastAsia="Arial" w:hAnsi="Arial" w:cs="Arial"/>
        </w:rPr>
        <w:t xml:space="preserve">-Martínez, M., </w:t>
      </w:r>
      <w:proofErr w:type="spellStart"/>
      <w:r>
        <w:rPr>
          <w:rFonts w:ascii="Arial" w:eastAsia="Arial" w:hAnsi="Arial" w:cs="Arial"/>
        </w:rPr>
        <w:t>Corzo</w:t>
      </w:r>
      <w:proofErr w:type="spellEnd"/>
      <w:r>
        <w:rPr>
          <w:rFonts w:ascii="Arial" w:eastAsia="Arial" w:hAnsi="Arial" w:cs="Arial"/>
        </w:rPr>
        <w:t xml:space="preserve">, N., &amp; </w:t>
      </w:r>
      <w:proofErr w:type="spellStart"/>
      <w:r>
        <w:rPr>
          <w:rFonts w:ascii="Arial" w:eastAsia="Arial" w:hAnsi="Arial" w:cs="Arial"/>
        </w:rPr>
        <w:t>Villamiel</w:t>
      </w:r>
      <w:proofErr w:type="spellEnd"/>
      <w:r>
        <w:rPr>
          <w:rFonts w:ascii="Arial" w:eastAsia="Arial" w:hAnsi="Arial" w:cs="Arial"/>
        </w:rPr>
        <w:t xml:space="preserve">, M. (2007). Biological properties of onions and garlic. Trends in Food Science &amp; Technology, 18(12), 609–625.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Duncan, D.B. (1955). Multiple range and multiple f-test. Biometrics 11: 1-5.</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Elbaz, A. M., El-</w:t>
      </w:r>
      <w:proofErr w:type="spellStart"/>
      <w:r>
        <w:rPr>
          <w:rFonts w:ascii="Arial" w:eastAsia="Arial" w:hAnsi="Arial" w:cs="Arial"/>
        </w:rPr>
        <w:t>Hawy</w:t>
      </w:r>
      <w:proofErr w:type="spellEnd"/>
      <w:r>
        <w:rPr>
          <w:rFonts w:ascii="Arial" w:eastAsia="Arial" w:hAnsi="Arial" w:cs="Arial"/>
        </w:rPr>
        <w:t xml:space="preserve">, A. S., Salem, F. M., </w:t>
      </w:r>
      <w:proofErr w:type="spellStart"/>
      <w:r>
        <w:rPr>
          <w:rFonts w:ascii="Arial" w:eastAsia="Arial" w:hAnsi="Arial" w:cs="Arial"/>
        </w:rPr>
        <w:t>Lotfy</w:t>
      </w:r>
      <w:proofErr w:type="spellEnd"/>
      <w:r>
        <w:rPr>
          <w:rFonts w:ascii="Arial" w:eastAsia="Arial" w:hAnsi="Arial" w:cs="Arial"/>
        </w:rPr>
        <w:t xml:space="preserve">, M. F., </w:t>
      </w:r>
      <w:proofErr w:type="spellStart"/>
      <w:r>
        <w:rPr>
          <w:rFonts w:ascii="Arial" w:eastAsia="Arial" w:hAnsi="Arial" w:cs="Arial"/>
        </w:rPr>
        <w:t>Ateya</w:t>
      </w:r>
      <w:proofErr w:type="spellEnd"/>
      <w:r>
        <w:rPr>
          <w:rFonts w:ascii="Arial" w:eastAsia="Arial" w:hAnsi="Arial" w:cs="Arial"/>
        </w:rPr>
        <w:t xml:space="preserve">, A., </w:t>
      </w:r>
      <w:proofErr w:type="spellStart"/>
      <w:r>
        <w:rPr>
          <w:rFonts w:ascii="Arial" w:eastAsia="Arial" w:hAnsi="Arial" w:cs="Arial"/>
        </w:rPr>
        <w:t>Alshehry</w:t>
      </w:r>
      <w:proofErr w:type="spellEnd"/>
      <w:r>
        <w:rPr>
          <w:rFonts w:ascii="Arial" w:eastAsia="Arial" w:hAnsi="Arial" w:cs="Arial"/>
        </w:rPr>
        <w:t xml:space="preserve">, G., Alghamdi, Y. S., Abd El-Hack, M. E., </w:t>
      </w:r>
      <w:proofErr w:type="spellStart"/>
      <w:r>
        <w:rPr>
          <w:rFonts w:ascii="Arial" w:eastAsia="Arial" w:hAnsi="Arial" w:cs="Arial"/>
        </w:rPr>
        <w:t>Elolimy</w:t>
      </w:r>
      <w:proofErr w:type="spellEnd"/>
      <w:r>
        <w:rPr>
          <w:rFonts w:ascii="Arial" w:eastAsia="Arial" w:hAnsi="Arial" w:cs="Arial"/>
        </w:rPr>
        <w:t xml:space="preserve">, A. A., &amp; </w:t>
      </w:r>
      <w:proofErr w:type="spellStart"/>
      <w:r>
        <w:rPr>
          <w:rFonts w:ascii="Arial" w:eastAsia="Arial" w:hAnsi="Arial" w:cs="Arial"/>
        </w:rPr>
        <w:t>Abdelhady</w:t>
      </w:r>
      <w:proofErr w:type="spellEnd"/>
      <w:r>
        <w:rPr>
          <w:rFonts w:ascii="Arial" w:eastAsia="Arial" w:hAnsi="Arial" w:cs="Arial"/>
        </w:rPr>
        <w:t xml:space="preserve">, A. Y. (2025). Dietary incorporation of melittin and clove essential oil enhances performance, egg quality, antioxidant status, gut microbiota, and MUC-2 gene expression in laying hens under heat stress conditions. Italian Journal of Animal Science, 24(1), 1762–1773. </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Ewuola</w:t>
      </w:r>
      <w:proofErr w:type="spellEnd"/>
      <w:r>
        <w:rPr>
          <w:rFonts w:ascii="Arial" w:eastAsia="Arial" w:hAnsi="Arial" w:cs="Arial"/>
        </w:rPr>
        <w:t xml:space="preserve">, E. O. &amp; </w:t>
      </w:r>
      <w:proofErr w:type="spellStart"/>
      <w:r>
        <w:rPr>
          <w:rFonts w:ascii="Arial" w:eastAsia="Arial" w:hAnsi="Arial" w:cs="Arial"/>
        </w:rPr>
        <w:t>Egbunike</w:t>
      </w:r>
      <w:proofErr w:type="spellEnd"/>
      <w:r>
        <w:rPr>
          <w:rFonts w:ascii="Arial" w:eastAsia="Arial" w:hAnsi="Arial" w:cs="Arial"/>
        </w:rPr>
        <w:t xml:space="preserve">, G. N. (2008). </w:t>
      </w:r>
      <w:proofErr w:type="spellStart"/>
      <w:r>
        <w:rPr>
          <w:rFonts w:ascii="Arial" w:eastAsia="Arial" w:hAnsi="Arial" w:cs="Arial"/>
        </w:rPr>
        <w:t>Haematological</w:t>
      </w:r>
      <w:proofErr w:type="spellEnd"/>
      <w:r>
        <w:rPr>
          <w:rFonts w:ascii="Arial" w:eastAsia="Arial" w:hAnsi="Arial" w:cs="Arial"/>
        </w:rPr>
        <w:t xml:space="preserve"> and serum biochemical response of growing rabbit bucks fed dietary </w:t>
      </w:r>
      <w:proofErr w:type="spellStart"/>
      <w:r>
        <w:rPr>
          <w:rFonts w:ascii="Arial" w:eastAsia="Arial" w:hAnsi="Arial" w:cs="Arial"/>
        </w:rPr>
        <w:t>fumonisin</w:t>
      </w:r>
      <w:proofErr w:type="spellEnd"/>
      <w:r>
        <w:rPr>
          <w:rFonts w:ascii="Arial" w:eastAsia="Arial" w:hAnsi="Arial" w:cs="Arial"/>
        </w:rPr>
        <w:t xml:space="preserve"> B1. African Journal of Biotechnology 7. 3: 4304-4309.</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Fasuyi</w:t>
      </w:r>
      <w:proofErr w:type="spellEnd"/>
      <w:r>
        <w:rPr>
          <w:rFonts w:ascii="Arial" w:eastAsia="Arial" w:hAnsi="Arial" w:cs="Arial"/>
        </w:rPr>
        <w:t xml:space="preserve">, A. O. F. (2004). Nutrient Composition and Processing Effects on Cassava Leaf (Manihot esculenta, </w:t>
      </w:r>
      <w:proofErr w:type="spellStart"/>
      <w:r>
        <w:rPr>
          <w:rFonts w:ascii="Arial" w:eastAsia="Arial" w:hAnsi="Arial" w:cs="Arial"/>
        </w:rPr>
        <w:t>Crantz</w:t>
      </w:r>
      <w:proofErr w:type="spellEnd"/>
      <w:r>
        <w:rPr>
          <w:rFonts w:ascii="Arial" w:eastAsia="Arial" w:hAnsi="Arial" w:cs="Arial"/>
        </w:rPr>
        <w:t xml:space="preserve">) Antinutrients. Pakistan Journal of Nutrition, 4(1), 37–42.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Gross, W. B., &amp; Siegel, H. S. (1983). Evaluation of the heterophil/lymphocyte ratio as a measure of stress in chickens. Avian Diseases, 27(4), 972–979.</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Ismail, I. E., </w:t>
      </w:r>
      <w:proofErr w:type="spellStart"/>
      <w:r>
        <w:rPr>
          <w:rFonts w:ascii="Arial" w:eastAsia="Arial" w:hAnsi="Arial" w:cs="Arial"/>
        </w:rPr>
        <w:t>Alagawany</w:t>
      </w:r>
      <w:proofErr w:type="spellEnd"/>
      <w:r>
        <w:rPr>
          <w:rFonts w:ascii="Arial" w:eastAsia="Arial" w:hAnsi="Arial" w:cs="Arial"/>
        </w:rPr>
        <w:t xml:space="preserve">, </w:t>
      </w:r>
      <w:proofErr w:type="gramStart"/>
      <w:r>
        <w:rPr>
          <w:rFonts w:ascii="Arial" w:eastAsia="Arial" w:hAnsi="Arial" w:cs="Arial"/>
        </w:rPr>
        <w:t>M,.</w:t>
      </w:r>
      <w:proofErr w:type="gramEnd"/>
      <w:r>
        <w:rPr>
          <w:rFonts w:ascii="Arial" w:eastAsia="Arial" w:hAnsi="Arial" w:cs="Arial"/>
        </w:rPr>
        <w:t xml:space="preserve"> Taha, A.E., </w:t>
      </w:r>
      <w:proofErr w:type="spellStart"/>
      <w:r>
        <w:rPr>
          <w:rFonts w:ascii="Arial" w:eastAsia="Arial" w:hAnsi="Arial" w:cs="Arial"/>
        </w:rPr>
        <w:t>Puvaca</w:t>
      </w:r>
      <w:proofErr w:type="spellEnd"/>
      <w:r>
        <w:rPr>
          <w:rFonts w:ascii="Arial" w:eastAsia="Arial" w:hAnsi="Arial" w:cs="Arial"/>
        </w:rPr>
        <w:t xml:space="preserve">, N., </w:t>
      </w:r>
      <w:proofErr w:type="spellStart"/>
      <w:r>
        <w:rPr>
          <w:rFonts w:ascii="Arial" w:eastAsia="Arial" w:hAnsi="Arial" w:cs="Arial"/>
        </w:rPr>
        <w:t>Laudadio</w:t>
      </w:r>
      <w:proofErr w:type="spellEnd"/>
      <w:r>
        <w:rPr>
          <w:rFonts w:ascii="Arial" w:eastAsia="Arial" w:hAnsi="Arial" w:cs="Arial"/>
        </w:rPr>
        <w:t xml:space="preserve">, V., &amp; </w:t>
      </w:r>
      <w:proofErr w:type="spellStart"/>
      <w:r>
        <w:rPr>
          <w:rFonts w:ascii="Arial" w:eastAsia="Arial" w:hAnsi="Arial" w:cs="Arial"/>
        </w:rPr>
        <w:t>Tufarelli</w:t>
      </w:r>
      <w:proofErr w:type="spellEnd"/>
      <w:r>
        <w:rPr>
          <w:rFonts w:ascii="Arial" w:eastAsia="Arial" w:hAnsi="Arial" w:cs="Arial"/>
        </w:rPr>
        <w:t xml:space="preserve">, V. (2021). Effect of dietary supplementation of garlic powder and phenyl acetic acid on productive performance, blood </w:t>
      </w:r>
      <w:proofErr w:type="spellStart"/>
      <w:r>
        <w:rPr>
          <w:rFonts w:ascii="Arial" w:eastAsia="Arial" w:hAnsi="Arial" w:cs="Arial"/>
        </w:rPr>
        <w:t>haematology</w:t>
      </w:r>
      <w:proofErr w:type="spellEnd"/>
      <w:r>
        <w:rPr>
          <w:rFonts w:ascii="Arial" w:eastAsia="Arial" w:hAnsi="Arial" w:cs="Arial"/>
        </w:rPr>
        <w:t>, immunity and antioxidant status of broiler chickens. Animal Bioscience. 34: 363.</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Khan, R. U., </w:t>
      </w:r>
      <w:proofErr w:type="spellStart"/>
      <w:r>
        <w:rPr>
          <w:rFonts w:ascii="Arial" w:eastAsia="Arial" w:hAnsi="Arial" w:cs="Arial"/>
        </w:rPr>
        <w:t>Naz</w:t>
      </w:r>
      <w:proofErr w:type="spellEnd"/>
      <w:r>
        <w:rPr>
          <w:rFonts w:ascii="Arial" w:eastAsia="Arial" w:hAnsi="Arial" w:cs="Arial"/>
        </w:rPr>
        <w:t xml:space="preserve">, S., </w:t>
      </w:r>
      <w:proofErr w:type="spellStart"/>
      <w:r>
        <w:rPr>
          <w:rFonts w:ascii="Arial" w:eastAsia="Arial" w:hAnsi="Arial" w:cs="Arial"/>
        </w:rPr>
        <w:t>Nikousefat</w:t>
      </w:r>
      <w:proofErr w:type="spellEnd"/>
      <w:r>
        <w:rPr>
          <w:rFonts w:ascii="Arial" w:eastAsia="Arial" w:hAnsi="Arial" w:cs="Arial"/>
        </w:rPr>
        <w:t xml:space="preserve">, Z., </w:t>
      </w:r>
      <w:proofErr w:type="spellStart"/>
      <w:r>
        <w:rPr>
          <w:rFonts w:ascii="Arial" w:eastAsia="Arial" w:hAnsi="Arial" w:cs="Arial"/>
        </w:rPr>
        <w:t>Tufarelli</w:t>
      </w:r>
      <w:proofErr w:type="spellEnd"/>
      <w:r>
        <w:rPr>
          <w:rFonts w:ascii="Arial" w:eastAsia="Arial" w:hAnsi="Arial" w:cs="Arial"/>
        </w:rPr>
        <w:t xml:space="preserve">, V., &amp; </w:t>
      </w:r>
      <w:proofErr w:type="spellStart"/>
      <w:r>
        <w:rPr>
          <w:rFonts w:ascii="Arial" w:eastAsia="Arial" w:hAnsi="Arial" w:cs="Arial"/>
        </w:rPr>
        <w:t>Laudadio</w:t>
      </w:r>
      <w:proofErr w:type="spellEnd"/>
      <w:r>
        <w:rPr>
          <w:rFonts w:ascii="Arial" w:eastAsia="Arial" w:hAnsi="Arial" w:cs="Arial"/>
        </w:rPr>
        <w:t xml:space="preserve">, V. (2012). Thymus vulgaris: Alternative to antibiotics in poultry feed. World’s Poultry Science Journal, 68(3), 401–408. </w:t>
      </w:r>
      <w:proofErr w:type="spellStart"/>
      <w:r>
        <w:rPr>
          <w:rFonts w:ascii="Arial" w:eastAsia="Arial" w:hAnsi="Arial" w:cs="Arial"/>
        </w:rPr>
        <w:lastRenderedPageBreak/>
        <w:t>Kowalczuk</w:t>
      </w:r>
      <w:proofErr w:type="spellEnd"/>
      <w:r>
        <w:rPr>
          <w:rFonts w:ascii="Arial" w:eastAsia="Arial" w:hAnsi="Arial" w:cs="Arial"/>
        </w:rPr>
        <w:t xml:space="preserve">, K., &amp; </w:t>
      </w:r>
      <w:proofErr w:type="spellStart"/>
      <w:r>
        <w:rPr>
          <w:rFonts w:ascii="Arial" w:eastAsia="Arial" w:hAnsi="Arial" w:cs="Arial"/>
        </w:rPr>
        <w:t>Stryjecka</w:t>
      </w:r>
      <w:proofErr w:type="spellEnd"/>
      <w:r>
        <w:rPr>
          <w:rFonts w:ascii="Arial" w:eastAsia="Arial" w:hAnsi="Arial" w:cs="Arial"/>
        </w:rPr>
        <w:t xml:space="preserve">-Zimmer, M. (2002). The influence of oxidative stress on the level of malondialdehyde (MDA) in different areas of the rabbit brain. Annales Universitatis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Li, Y., Wang, K., &amp; Li, C. (2024). Oxidative Stress in Poultry and the Therapeutic Role of Herbal Medicine in Intestinal Health. Antioxidants, 13(11), 1375.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Liu, Y., Espinosa, C.D., </w:t>
      </w:r>
      <w:proofErr w:type="spellStart"/>
      <w:r>
        <w:rPr>
          <w:rFonts w:ascii="Arial" w:eastAsia="Arial" w:hAnsi="Arial" w:cs="Arial"/>
        </w:rPr>
        <w:t>Abelilla</w:t>
      </w:r>
      <w:proofErr w:type="spellEnd"/>
      <w:r>
        <w:rPr>
          <w:rFonts w:ascii="Arial" w:eastAsia="Arial" w:hAnsi="Arial" w:cs="Arial"/>
        </w:rPr>
        <w:t>, J.J., Casas, G.A, Lagos, L.V., Lee, S.A., Kwon, W.B., Mathai, J.K., Navarro, D.M., Jaworski, N.W. &amp; Stein, H.H. (2018). Non-antibiotic feed additives in diets for pigs: a review. Animal Nutrition 4, 113-125.</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Ma, H., Xu, B., Li, W., Wei, F., Kim, W. K., Chen, C., Sun, Q., Fu, C., Wang, G., &amp; Li, S. (2020). Effects of alpha-lipoic acid on the behavior, serum indicators, and bone quality of broilers under stocking density stress. Poultry Science. 99 (10) 4653-4661.</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Muhammad, B. 2025. Strategies for Improving Immunity and Production in Broilers: Impact of Vaccination on Poultry Health. Haya Saudi Journal of Life Sciences. 10(3) 94-103.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Nguyen, D.H, Seok, W.J. and Kim, I.H. 2020. Organic acids mixture as a dietary additive for pigs—a review. Animals 10: 952.</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Oloruntola</w:t>
      </w:r>
      <w:proofErr w:type="spellEnd"/>
      <w:r>
        <w:rPr>
          <w:rFonts w:ascii="Arial" w:eastAsia="Arial" w:hAnsi="Arial" w:cs="Arial"/>
        </w:rPr>
        <w:t xml:space="preserve">, O. D., Ayodele, S. O., &amp; </w:t>
      </w:r>
      <w:proofErr w:type="spellStart"/>
      <w:r>
        <w:rPr>
          <w:rFonts w:ascii="Arial" w:eastAsia="Arial" w:hAnsi="Arial" w:cs="Arial"/>
        </w:rPr>
        <w:t>Oloruntola</w:t>
      </w:r>
      <w:proofErr w:type="spellEnd"/>
      <w:r>
        <w:rPr>
          <w:rFonts w:ascii="Arial" w:eastAsia="Arial" w:hAnsi="Arial" w:cs="Arial"/>
        </w:rPr>
        <w:t>, D. A. (2018). Effect of pawpaw (</w:t>
      </w:r>
      <w:proofErr w:type="spellStart"/>
      <w:r>
        <w:rPr>
          <w:rFonts w:ascii="Arial" w:eastAsia="Arial" w:hAnsi="Arial" w:cs="Arial"/>
        </w:rPr>
        <w:t>Carica</w:t>
      </w:r>
      <w:proofErr w:type="spellEnd"/>
      <w:r>
        <w:rPr>
          <w:rFonts w:ascii="Arial" w:eastAsia="Arial" w:hAnsi="Arial" w:cs="Arial"/>
        </w:rPr>
        <w:t xml:space="preserve"> papaya) leaf meal and dietary enzymes on broiler performance, digestibility, carcass and blood composition. Revue </w:t>
      </w:r>
      <w:proofErr w:type="spellStart"/>
      <w:r>
        <w:rPr>
          <w:rFonts w:ascii="Arial" w:eastAsia="Arial" w:hAnsi="Arial" w:cs="Arial"/>
        </w:rPr>
        <w:t>d’élevage</w:t>
      </w:r>
      <w:proofErr w:type="spellEnd"/>
      <w:r>
        <w:rPr>
          <w:rFonts w:ascii="Arial" w:eastAsia="Arial" w:hAnsi="Arial" w:cs="Arial"/>
        </w:rPr>
        <w:t xml:space="preserve"> et de </w:t>
      </w:r>
      <w:proofErr w:type="spellStart"/>
      <w:r>
        <w:rPr>
          <w:rFonts w:ascii="Arial" w:eastAsia="Arial" w:hAnsi="Arial" w:cs="Arial"/>
        </w:rPr>
        <w:t>Médecine</w:t>
      </w:r>
      <w:proofErr w:type="spellEnd"/>
      <w:r>
        <w:rPr>
          <w:rFonts w:ascii="Arial" w:eastAsia="Arial" w:hAnsi="Arial" w:cs="Arial"/>
        </w:rPr>
        <w:t xml:space="preserve"> </w:t>
      </w:r>
      <w:proofErr w:type="spellStart"/>
      <w:r>
        <w:rPr>
          <w:rFonts w:ascii="Arial" w:eastAsia="Arial" w:hAnsi="Arial" w:cs="Arial"/>
        </w:rPr>
        <w:t>Vétérinaire</w:t>
      </w:r>
      <w:proofErr w:type="spellEnd"/>
      <w:r>
        <w:rPr>
          <w:rFonts w:ascii="Arial" w:eastAsia="Arial" w:hAnsi="Arial" w:cs="Arial"/>
        </w:rPr>
        <w:t xml:space="preserve"> </w:t>
      </w:r>
      <w:proofErr w:type="gramStart"/>
      <w:r>
        <w:rPr>
          <w:rFonts w:ascii="Arial" w:eastAsia="Arial" w:hAnsi="Arial" w:cs="Arial"/>
        </w:rPr>
        <w:t>Des</w:t>
      </w:r>
      <w:proofErr w:type="gramEnd"/>
      <w:r>
        <w:rPr>
          <w:rFonts w:ascii="Arial" w:eastAsia="Arial" w:hAnsi="Arial" w:cs="Arial"/>
        </w:rPr>
        <w:t xml:space="preserve"> Pays </w:t>
      </w:r>
      <w:proofErr w:type="spellStart"/>
      <w:r>
        <w:rPr>
          <w:rFonts w:ascii="Arial" w:eastAsia="Arial" w:hAnsi="Arial" w:cs="Arial"/>
        </w:rPr>
        <w:t>Tropicaux</w:t>
      </w:r>
      <w:proofErr w:type="spellEnd"/>
      <w:r>
        <w:rPr>
          <w:rFonts w:ascii="Arial" w:eastAsia="Arial" w:hAnsi="Arial" w:cs="Arial"/>
        </w:rPr>
        <w:t xml:space="preserve">, 71(3), 121–129. </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Omidiwura</w:t>
      </w:r>
      <w:proofErr w:type="spellEnd"/>
      <w:r>
        <w:rPr>
          <w:rFonts w:ascii="Arial" w:eastAsia="Arial" w:hAnsi="Arial" w:cs="Arial"/>
        </w:rPr>
        <w:t xml:space="preserve">, B. R. O., </w:t>
      </w:r>
      <w:proofErr w:type="spellStart"/>
      <w:r>
        <w:rPr>
          <w:rFonts w:ascii="Arial" w:eastAsia="Arial" w:hAnsi="Arial" w:cs="Arial"/>
        </w:rPr>
        <w:t>Agboola</w:t>
      </w:r>
      <w:proofErr w:type="spellEnd"/>
      <w:r>
        <w:rPr>
          <w:rFonts w:ascii="Arial" w:eastAsia="Arial" w:hAnsi="Arial" w:cs="Arial"/>
        </w:rPr>
        <w:t xml:space="preserve">, A. F., </w:t>
      </w:r>
      <w:proofErr w:type="spellStart"/>
      <w:r>
        <w:rPr>
          <w:rFonts w:ascii="Arial" w:eastAsia="Arial" w:hAnsi="Arial" w:cs="Arial"/>
        </w:rPr>
        <w:t>Omotosho</w:t>
      </w:r>
      <w:proofErr w:type="spellEnd"/>
      <w:r>
        <w:rPr>
          <w:rFonts w:ascii="Arial" w:eastAsia="Arial" w:hAnsi="Arial" w:cs="Arial"/>
        </w:rPr>
        <w:t>, O. Y., &amp; Mustapha-</w:t>
      </w:r>
      <w:proofErr w:type="spellStart"/>
      <w:r>
        <w:rPr>
          <w:rFonts w:ascii="Arial" w:eastAsia="Arial" w:hAnsi="Arial" w:cs="Arial"/>
        </w:rPr>
        <w:t>Olosho</w:t>
      </w:r>
      <w:proofErr w:type="spellEnd"/>
      <w:r>
        <w:rPr>
          <w:rFonts w:ascii="Arial" w:eastAsia="Arial" w:hAnsi="Arial" w:cs="Arial"/>
        </w:rPr>
        <w:t xml:space="preserve">, J. A. (2020). Influence of diets </w:t>
      </w:r>
      <w:r>
        <w:rPr>
          <w:rFonts w:ascii="Arial" w:eastAsia="Arial" w:hAnsi="Arial" w:cs="Arial"/>
        </w:rPr>
        <w:tab/>
        <w:t xml:space="preserve">supplemented with </w:t>
      </w:r>
      <w:proofErr w:type="spellStart"/>
      <w:r>
        <w:rPr>
          <w:rFonts w:ascii="Arial" w:eastAsia="Arial" w:hAnsi="Arial" w:cs="Arial"/>
        </w:rPr>
        <w:t>Carica</w:t>
      </w:r>
      <w:proofErr w:type="spellEnd"/>
      <w:r>
        <w:rPr>
          <w:rFonts w:ascii="Arial" w:eastAsia="Arial" w:hAnsi="Arial" w:cs="Arial"/>
        </w:rPr>
        <w:t xml:space="preserve"> papaya and </w:t>
      </w:r>
      <w:proofErr w:type="spellStart"/>
      <w:r>
        <w:rPr>
          <w:rFonts w:ascii="Arial" w:eastAsia="Arial" w:hAnsi="Arial" w:cs="Arial"/>
        </w:rPr>
        <w:t>Chromolaena</w:t>
      </w:r>
      <w:proofErr w:type="spellEnd"/>
      <w:r>
        <w:rPr>
          <w:rFonts w:ascii="Arial" w:eastAsia="Arial" w:hAnsi="Arial" w:cs="Arial"/>
        </w:rPr>
        <w:t xml:space="preserve"> </w:t>
      </w:r>
      <w:proofErr w:type="spellStart"/>
      <w:r>
        <w:rPr>
          <w:rFonts w:ascii="Arial" w:eastAsia="Arial" w:hAnsi="Arial" w:cs="Arial"/>
        </w:rPr>
        <w:t>odorata</w:t>
      </w:r>
      <w:proofErr w:type="spellEnd"/>
      <w:r>
        <w:rPr>
          <w:rFonts w:ascii="Arial" w:eastAsia="Arial" w:hAnsi="Arial" w:cs="Arial"/>
        </w:rPr>
        <w:t xml:space="preserve"> leaf meals on performance, blood profile and gut integrity of broiler chickens. Journal of Animal Science and Veterinary Medicine. 5. 5:  173-183.</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Onyimonyi</w:t>
      </w:r>
      <w:proofErr w:type="spellEnd"/>
      <w:r>
        <w:rPr>
          <w:rFonts w:ascii="Arial" w:eastAsia="Arial" w:hAnsi="Arial" w:cs="Arial"/>
        </w:rPr>
        <w:t xml:space="preserve">, A. E., &amp; Ernest, O. (2009). An Assessment of Pawpaw Leaf Meal as Protein Ingredient for Finishing Broiler. International Journal of Poultry Science, 8(10), 995–998.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SAS. 2020. SAS user’s guide: statistics. Version 9.4. SAS Institute, Cary, NC.</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 xml:space="preserve">Song, B. </w:t>
      </w:r>
      <w:proofErr w:type="spellStart"/>
      <w:r>
        <w:rPr>
          <w:rFonts w:ascii="Arial" w:eastAsia="Arial" w:hAnsi="Arial" w:cs="Arial"/>
        </w:rPr>
        <w:t>Dazhi</w:t>
      </w:r>
      <w:proofErr w:type="spellEnd"/>
      <w:r>
        <w:rPr>
          <w:rFonts w:ascii="Arial" w:eastAsia="Arial" w:hAnsi="Arial" w:cs="Arial"/>
        </w:rPr>
        <w:t xml:space="preserve"> Tang, </w:t>
      </w:r>
      <w:proofErr w:type="spellStart"/>
      <w:r>
        <w:rPr>
          <w:rFonts w:ascii="Arial" w:eastAsia="Arial" w:hAnsi="Arial" w:cs="Arial"/>
        </w:rPr>
        <w:t>Shaojia</w:t>
      </w:r>
      <w:proofErr w:type="spellEnd"/>
      <w:r>
        <w:rPr>
          <w:rFonts w:ascii="Arial" w:eastAsia="Arial" w:hAnsi="Arial" w:cs="Arial"/>
        </w:rPr>
        <w:t xml:space="preserve"> Yan, Hao Fan, </w:t>
      </w:r>
      <w:proofErr w:type="spellStart"/>
      <w:r>
        <w:rPr>
          <w:rFonts w:ascii="Arial" w:eastAsia="Arial" w:hAnsi="Arial" w:cs="Arial"/>
        </w:rPr>
        <w:t>Guang</w:t>
      </w:r>
      <w:proofErr w:type="spellEnd"/>
      <w:r>
        <w:rPr>
          <w:rFonts w:ascii="Arial" w:eastAsia="Arial" w:hAnsi="Arial" w:cs="Arial"/>
        </w:rPr>
        <w:t xml:space="preserve"> Li, Muhammad </w:t>
      </w:r>
      <w:proofErr w:type="spellStart"/>
      <w:r>
        <w:rPr>
          <w:rFonts w:ascii="Arial" w:eastAsia="Arial" w:hAnsi="Arial" w:cs="Arial"/>
        </w:rPr>
        <w:t>Suhaib</w:t>
      </w:r>
      <w:proofErr w:type="spellEnd"/>
      <w:r>
        <w:rPr>
          <w:rFonts w:ascii="Arial" w:eastAsia="Arial" w:hAnsi="Arial" w:cs="Arial"/>
        </w:rPr>
        <w:t xml:space="preserve"> Shahid, Tahir Mahmood &amp; </w:t>
      </w:r>
      <w:proofErr w:type="spellStart"/>
      <w:r>
        <w:rPr>
          <w:rFonts w:ascii="Arial" w:eastAsia="Arial" w:hAnsi="Arial" w:cs="Arial"/>
        </w:rPr>
        <w:t>Yuming</w:t>
      </w:r>
      <w:proofErr w:type="spellEnd"/>
      <w:r>
        <w:rPr>
          <w:rFonts w:ascii="Arial" w:eastAsia="Arial" w:hAnsi="Arial" w:cs="Arial"/>
        </w:rPr>
        <w:t xml:space="preserve"> G. (2021). Effects of age on immune function in broiler chickens. Journal of Animal Science and Biotechnology. 12, </w:t>
      </w:r>
      <w:proofErr w:type="gramStart"/>
      <w:r>
        <w:rPr>
          <w:rFonts w:ascii="Arial" w:eastAsia="Arial" w:hAnsi="Arial" w:cs="Arial"/>
        </w:rPr>
        <w:t>42..</w:t>
      </w:r>
      <w:proofErr w:type="gramEnd"/>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Wati</w:t>
      </w:r>
      <w:proofErr w:type="spellEnd"/>
      <w:r>
        <w:rPr>
          <w:rFonts w:ascii="Arial" w:eastAsia="Arial" w:hAnsi="Arial" w:cs="Arial"/>
        </w:rPr>
        <w:t xml:space="preserve">, T., Ghosh, T. K., Syed, B., &amp; </w:t>
      </w:r>
      <w:proofErr w:type="spellStart"/>
      <w:r>
        <w:rPr>
          <w:rFonts w:ascii="Arial" w:eastAsia="Arial" w:hAnsi="Arial" w:cs="Arial"/>
        </w:rPr>
        <w:t>Haldar</w:t>
      </w:r>
      <w:proofErr w:type="spellEnd"/>
      <w:r>
        <w:rPr>
          <w:rFonts w:ascii="Arial" w:eastAsia="Arial" w:hAnsi="Arial" w:cs="Arial"/>
        </w:rPr>
        <w:t xml:space="preserve">, S. (2015). Comparative efficacy of a phytogenic feed additive and an antibiotic growth promoter on production performance, </w:t>
      </w:r>
      <w:proofErr w:type="spellStart"/>
      <w:r>
        <w:rPr>
          <w:rFonts w:ascii="Arial" w:eastAsia="Arial" w:hAnsi="Arial" w:cs="Arial"/>
        </w:rPr>
        <w:t>caecal</w:t>
      </w:r>
      <w:proofErr w:type="spellEnd"/>
      <w:r>
        <w:rPr>
          <w:rFonts w:ascii="Arial" w:eastAsia="Arial" w:hAnsi="Arial" w:cs="Arial"/>
        </w:rPr>
        <w:t xml:space="preserve"> microbial population and humoral immune response of broiler chickens inoculated with enteric pathogens. Animal Nutrition, 1(3), 213–219. </w:t>
      </w:r>
    </w:p>
    <w:p w:rsidR="00DE5863" w:rsidRDefault="008538E9">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Windisch</w:t>
      </w:r>
      <w:proofErr w:type="spellEnd"/>
      <w:r>
        <w:rPr>
          <w:rFonts w:ascii="Arial" w:eastAsia="Arial" w:hAnsi="Arial" w:cs="Arial"/>
        </w:rPr>
        <w:t xml:space="preserve">, W., </w:t>
      </w:r>
      <w:proofErr w:type="spellStart"/>
      <w:r>
        <w:rPr>
          <w:rFonts w:ascii="Arial" w:eastAsia="Arial" w:hAnsi="Arial" w:cs="Arial"/>
        </w:rPr>
        <w:t>Schedle</w:t>
      </w:r>
      <w:proofErr w:type="spellEnd"/>
      <w:r>
        <w:rPr>
          <w:rFonts w:ascii="Arial" w:eastAsia="Arial" w:hAnsi="Arial" w:cs="Arial"/>
        </w:rPr>
        <w:t xml:space="preserve">, K., </w:t>
      </w:r>
      <w:proofErr w:type="spellStart"/>
      <w:r>
        <w:rPr>
          <w:rFonts w:ascii="Arial" w:eastAsia="Arial" w:hAnsi="Arial" w:cs="Arial"/>
        </w:rPr>
        <w:t>Plitzner</w:t>
      </w:r>
      <w:proofErr w:type="spellEnd"/>
      <w:r>
        <w:rPr>
          <w:rFonts w:ascii="Arial" w:eastAsia="Arial" w:hAnsi="Arial" w:cs="Arial"/>
        </w:rPr>
        <w:t xml:space="preserve">, C., &amp; </w:t>
      </w:r>
      <w:proofErr w:type="spellStart"/>
      <w:r>
        <w:rPr>
          <w:rFonts w:ascii="Arial" w:eastAsia="Arial" w:hAnsi="Arial" w:cs="Arial"/>
        </w:rPr>
        <w:t>Kroismayr</w:t>
      </w:r>
      <w:proofErr w:type="spellEnd"/>
      <w:r>
        <w:rPr>
          <w:rFonts w:ascii="Arial" w:eastAsia="Arial" w:hAnsi="Arial" w:cs="Arial"/>
        </w:rPr>
        <w:t xml:space="preserve">, A. (2008). Use of phytogenic products as feed additives for swine and poultry1. Journal of Animal Science, 86(suppl_14), E140–E148. </w:t>
      </w:r>
    </w:p>
    <w:p w:rsidR="00DE5863" w:rsidRDefault="008538E9">
      <w:pPr>
        <w:keepNext/>
        <w:pBdr>
          <w:top w:val="nil"/>
          <w:left w:val="nil"/>
          <w:bottom w:val="nil"/>
          <w:right w:val="nil"/>
          <w:between w:val="nil"/>
        </w:pBdr>
        <w:jc w:val="both"/>
        <w:rPr>
          <w:rFonts w:ascii="Arial" w:eastAsia="Arial" w:hAnsi="Arial" w:cs="Arial"/>
        </w:rPr>
      </w:pPr>
      <w:r>
        <w:rPr>
          <w:rFonts w:ascii="Arial" w:eastAsia="Arial" w:hAnsi="Arial" w:cs="Arial"/>
        </w:rPr>
        <w:t>Yang, C., Zhang, L., Cao, G., Feng, J., Yue, M., Xu, Y., Dai, B., Han, Q. &amp; Guo, X. (2019). Effects of dietary supplementation with essential oils and organic acids on the growth performance, immune system, fecal volatile fatty acids, and microflora community in weaned piglets. J. Anim. Sci. 97: 133-143.</w:t>
      </w:r>
    </w:p>
    <w:p w:rsidR="00DE5863" w:rsidRDefault="00DE5863">
      <w:pPr>
        <w:keepNext/>
        <w:pBdr>
          <w:top w:val="nil"/>
          <w:left w:val="nil"/>
          <w:bottom w:val="nil"/>
          <w:right w:val="nil"/>
          <w:between w:val="nil"/>
        </w:pBdr>
        <w:jc w:val="both"/>
        <w:rPr>
          <w:rFonts w:ascii="Arial" w:eastAsia="Arial" w:hAnsi="Arial" w:cs="Arial"/>
        </w:rPr>
      </w:pPr>
    </w:p>
    <w:sectPr w:rsidR="00DE5863">
      <w:footerReference w:type="default" r:id="rId13"/>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DA2" w:rsidRDefault="00A97DA2">
      <w:r>
        <w:separator/>
      </w:r>
    </w:p>
  </w:endnote>
  <w:endnote w:type="continuationSeparator" w:id="0">
    <w:p w:rsidR="00A97DA2" w:rsidRDefault="00A9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E38AB86C-E2C7-4A12-90C5-D41BB68C39F8}"/>
    <w:embedBold r:id="rId2" w:fontKey="{7A61418A-706E-41B6-8999-925BA04E20B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F0F9212-9471-4585-821A-E64B7EBE2943}"/>
  </w:font>
  <w:font w:name="Calibri">
    <w:panose1 w:val="020F0502020204030204"/>
    <w:charset w:val="00"/>
    <w:family w:val="swiss"/>
    <w:pitch w:val="variable"/>
    <w:sig w:usb0="E4002EFF" w:usb1="C200247B" w:usb2="00000009" w:usb3="00000000" w:csb0="000001FF" w:csb1="00000000"/>
    <w:embedRegular r:id="rId4" w:fontKey="{87DE29CA-0993-449F-AABC-E11FCE871E48}"/>
  </w:font>
  <w:font w:name="Cambria">
    <w:panose1 w:val="02040503050406030204"/>
    <w:charset w:val="00"/>
    <w:family w:val="roman"/>
    <w:pitch w:val="variable"/>
    <w:sig w:usb0="E00006FF" w:usb1="420024FF" w:usb2="02000000" w:usb3="00000000" w:csb0="0000019F" w:csb1="00000000"/>
    <w:embedRegular r:id="rId5" w:fontKey="{63B7E540-3AA3-4FA5-88DE-0C29154C0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8E9" w:rsidRDefault="008538E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8E9" w:rsidRDefault="008538E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8538E9" w:rsidRDefault="008538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8538E9" w:rsidRDefault="008538E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8538E9" w:rsidRDefault="008538E9">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8E9" w:rsidRDefault="008538E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DA2" w:rsidRDefault="00A97DA2">
      <w:r>
        <w:separator/>
      </w:r>
    </w:p>
  </w:footnote>
  <w:footnote w:type="continuationSeparator" w:id="0">
    <w:p w:rsidR="00A97DA2" w:rsidRDefault="00A97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8E9" w:rsidRDefault="008538E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8E9" w:rsidRDefault="008538E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8E9" w:rsidRDefault="008538E9">
    <w:pPr>
      <w:ind w:left="2160"/>
      <w:jc w:val="center"/>
      <w:rPr>
        <w:rFonts w:ascii="Times New Roman" w:eastAsia="Times New Roman" w:hAnsi="Times New Roman" w:cs="Times New Roman"/>
        <w:i/>
        <w:iCs/>
        <w:sz w:val="18"/>
        <w:szCs w:val="18"/>
      </w:rPr>
    </w:pPr>
  </w:p>
  <w:p w:rsidR="008538E9" w:rsidRDefault="008538E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8538E9" w:rsidRDefault="008538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8538E9" w:rsidRDefault="008538E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8538E9" w:rsidRDefault="008538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8538E9" w:rsidRDefault="008538E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8538E9" w:rsidRDefault="008538E9">
    <w:pPr>
      <w:pBdr>
        <w:top w:val="nil"/>
        <w:left w:val="nil"/>
        <w:bottom w:val="nil"/>
        <w:right w:val="nil"/>
        <w:between w:val="nil"/>
      </w:pBdr>
      <w:tabs>
        <w:tab w:val="center" w:pos="4320"/>
        <w:tab w:val="right" w:pos="8640"/>
      </w:tabs>
      <w:rPr>
        <w:color w:val="000000"/>
      </w:rPr>
    </w:pPr>
    <w:r>
      <w:rPr>
        <w:color w:val="00000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863"/>
    <w:rsid w:val="006B371C"/>
    <w:rsid w:val="008538E9"/>
    <w:rsid w:val="00A97DA2"/>
    <w:rsid w:val="00DE58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5AD05"/>
  <w15:docId w15:val="{63DAE3A8-F60A-4BBE-B713-2F8878A6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8538E9"/>
  </w:style>
  <w:style w:type="paragraph" w:styleId="Footer">
    <w:name w:val="footer"/>
    <w:basedOn w:val="Normal"/>
    <w:link w:val="FooterChar"/>
    <w:uiPriority w:val="99"/>
    <w:semiHidden/>
    <w:unhideWhenUsed/>
    <w:rsid w:val="008538E9"/>
    <w:pPr>
      <w:tabs>
        <w:tab w:val="center" w:pos="4513"/>
        <w:tab w:val="right" w:pos="9026"/>
      </w:tabs>
    </w:pPr>
  </w:style>
  <w:style w:type="character" w:customStyle="1" w:styleId="FooterChar">
    <w:name w:val="Footer Char"/>
    <w:basedOn w:val="DefaultParagraphFont"/>
    <w:link w:val="Footer"/>
    <w:uiPriority w:val="99"/>
    <w:semiHidden/>
    <w:rsid w:val="00853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4959</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1179</cp:lastModifiedBy>
  <cp:revision>2</cp:revision>
  <dcterms:created xsi:type="dcterms:W3CDTF">2026-03-30T05:02:00Z</dcterms:created>
  <dcterms:modified xsi:type="dcterms:W3CDTF">2026-03-30T05:12:00Z</dcterms:modified>
</cp:coreProperties>
</file>