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EE25" w14:textId="77777777" w:rsidR="00453405" w:rsidRPr="00453405" w:rsidRDefault="00453405" w:rsidP="00453405">
      <w:pPr>
        <w:spacing w:before="480" w:after="240"/>
        <w:jc w:val="center"/>
        <w:rPr>
          <w:b/>
          <w:bCs/>
          <w:i/>
          <w:iCs/>
          <w:sz w:val="30"/>
          <w:szCs w:val="30"/>
          <w:u w:val="single"/>
        </w:rPr>
      </w:pPr>
      <w:r w:rsidRPr="00453405">
        <w:rPr>
          <w:b/>
          <w:bCs/>
          <w:i/>
          <w:iCs/>
          <w:sz w:val="30"/>
          <w:szCs w:val="30"/>
          <w:u w:val="single"/>
        </w:rPr>
        <w:t>Review Article</w:t>
      </w:r>
    </w:p>
    <w:p w14:paraId="49F64B6D" w14:textId="77777777" w:rsidR="002634A1" w:rsidRDefault="00E531AF">
      <w:pPr>
        <w:spacing w:before="480" w:after="240"/>
        <w:jc w:val="center"/>
      </w:pPr>
      <w:r>
        <w:rPr>
          <w:b/>
          <w:bCs/>
          <w:sz w:val="30"/>
          <w:szCs w:val="30"/>
        </w:rPr>
        <w:t>Ethnobotanical Significance, Phytochemistry, and Antimicrobial Properties of Sal (</w:t>
      </w:r>
      <w:r>
        <w:rPr>
          <w:b/>
          <w:bCs/>
          <w:i/>
          <w:iCs/>
          <w:sz w:val="30"/>
          <w:szCs w:val="30"/>
        </w:rPr>
        <w:t>Shorea robusta</w:t>
      </w:r>
      <w:r>
        <w:rPr>
          <w:b/>
          <w:bCs/>
          <w:sz w:val="30"/>
          <w:szCs w:val="30"/>
        </w:rPr>
        <w:t>): A Comprehensive Review</w:t>
      </w:r>
    </w:p>
    <w:p w14:paraId="08B85E8E" w14:textId="77777777" w:rsidR="002634A1" w:rsidRDefault="002634A1">
      <w:pPr>
        <w:spacing w:before="60" w:after="60"/>
      </w:pPr>
    </w:p>
    <w:p w14:paraId="24102BC7" w14:textId="77777777" w:rsidR="002634A1" w:rsidRDefault="00E531AF">
      <w:pPr>
        <w:spacing w:before="240" w:after="120"/>
      </w:pPr>
      <w:r>
        <w:rPr>
          <w:b/>
          <w:bCs/>
          <w:sz w:val="26"/>
          <w:szCs w:val="26"/>
        </w:rPr>
        <w:t>Abstract</w:t>
      </w:r>
    </w:p>
    <w:p w14:paraId="1B6C41FE" w14:textId="7C87CE25" w:rsidR="002634A1" w:rsidRDefault="00E531AF">
      <w:pPr>
        <w:spacing w:before="80" w:after="80" w:line="320" w:lineRule="auto"/>
        <w:ind w:left="720" w:right="720"/>
        <w:jc w:val="both"/>
      </w:pPr>
      <w:r w:rsidRPr="008D6794">
        <w:rPr>
          <w:i/>
          <w:iCs/>
          <w:sz w:val="22"/>
          <w:szCs w:val="22"/>
        </w:rPr>
        <w:t>Shorea robusta</w:t>
      </w:r>
      <w:r>
        <w:rPr>
          <w:sz w:val="22"/>
          <w:szCs w:val="22"/>
        </w:rPr>
        <w:t xml:space="preserve"> Gaertn. (family Dipterocarpaceae), commonly known as Sal, stands among the most ecologically, economically, and medicinally significant tree species of the Indian subcontinent. Revered across Hindu and Buddhist traditions and extensively utilised by indigenous tribal communities spanning multiple ecological zones, Sal has accumulated a rich ethnobotanical legacy spanning several millennia. This narrative review comprehensively synthesises the current state of knowledge pertaining to the ethnobotanical significance, phytochemical composition, and antimicrobial properties of </w:t>
      </w:r>
      <w:r w:rsidRPr="008D6794">
        <w:rPr>
          <w:i/>
          <w:iCs/>
          <w:sz w:val="22"/>
          <w:szCs w:val="22"/>
        </w:rPr>
        <w:t>S. robusta</w:t>
      </w:r>
      <w:r>
        <w:rPr>
          <w:sz w:val="22"/>
          <w:szCs w:val="22"/>
        </w:rPr>
        <w:t xml:space="preserve">, while contextualising these within the broader pharmacological and ecological profile of the species. The plant elaborates a chemically diverse array of secondary metabolites, with resveratrol oligomers (including hopeaphenol, α-viniferin, and vaticanol series), triterpene acids (ursolic acid, bergenin), condensed tannins, flavonoids, and diterpene resins representing the principal bioactive phytochemical classes. Antimicrobial investigations have demonstrated significant inhibitory activity of various plant-part extracts and isolated compounds against a range of clinically important pathogenic bacteria and fungi, with aqueous and methanolic resin extracts exhibiting the broadest spectrum of antibacterial efficacy. The mechanisms of antimicrobial action—encompassing membrane disruption, inhibition of bacterial type III secretion systems, reactive oxygen species-mediated oxidative damage, and immunostimulatory enhancement of host defence—are discussed in detail. Evidence for anti-inflammatory, wound-healing, antioxidant, hepatoprotective, and preliminary anticancer properties is also synthesised. The ecological importance of Sal forests for carbon sequestration and biodiversity conservation, alongside the challenges to sustainable management of the species, </w:t>
      </w:r>
      <w:r w:rsidR="008D6794">
        <w:rPr>
          <w:sz w:val="22"/>
          <w:szCs w:val="22"/>
        </w:rPr>
        <w:t>is</w:t>
      </w:r>
      <w:r>
        <w:rPr>
          <w:sz w:val="22"/>
          <w:szCs w:val="22"/>
        </w:rPr>
        <w:t xml:space="preserve"> examined. Despite the substantial body of in vitro and animal-model evidence supporting multiple pharmacological claims, significant knowledge gaps persist regarding clinical validation, bioavailability and pharmacokinetics, structure–activity relationships of key bioactive compounds, and molecular target characterisation. Future research should prioritise rigorous preclinical mechanistic studies, clinical investigations, and sustainable bioprospecting frameworks that respect indigenous knowledge and biodiversity obligations.</w:t>
      </w:r>
    </w:p>
    <w:p w14:paraId="232C78CE" w14:textId="77777777" w:rsidR="002634A1" w:rsidRDefault="002634A1">
      <w:pPr>
        <w:spacing w:before="60" w:after="60"/>
      </w:pPr>
    </w:p>
    <w:p w14:paraId="7C232DE8" w14:textId="77777777" w:rsidR="002634A1" w:rsidRDefault="00E531AF">
      <w:pPr>
        <w:spacing w:before="80" w:after="80"/>
        <w:ind w:left="720"/>
      </w:pPr>
      <w:r>
        <w:rPr>
          <w:b/>
          <w:bCs/>
        </w:rPr>
        <w:lastRenderedPageBreak/>
        <w:t xml:space="preserve">Keywords: </w:t>
      </w:r>
      <w:r>
        <w:rPr>
          <w:i/>
          <w:iCs/>
        </w:rPr>
        <w:t>Shorea robusta</w:t>
      </w:r>
      <w:r>
        <w:t>; Sal tree; Dipterocarpaceae; resveratrol oligomers; hopeaphenol; ethnobotany; antimicrobial activity; phytochemistry; bergenin; ursolic acid</w:t>
      </w:r>
    </w:p>
    <w:p w14:paraId="6CA50A86" w14:textId="77777777" w:rsidR="002634A1" w:rsidRDefault="002634A1">
      <w:pPr>
        <w:pageBreakBefore/>
      </w:pPr>
    </w:p>
    <w:p w14:paraId="1291B097" w14:textId="77777777" w:rsidR="002634A1" w:rsidRDefault="00E531AF">
      <w:pPr>
        <w:pStyle w:val="Heading1"/>
      </w:pPr>
      <w:r>
        <w:t>1. Introduction</w:t>
      </w:r>
    </w:p>
    <w:p w14:paraId="7A3058B5" w14:textId="2B3A63F8" w:rsidR="002634A1" w:rsidRDefault="00E531AF">
      <w:pPr>
        <w:spacing w:before="120" w:after="120" w:line="360" w:lineRule="auto"/>
        <w:ind w:firstLine="720"/>
        <w:jc w:val="both"/>
      </w:pPr>
      <w:r>
        <w:t xml:space="preserve">The tropical and subtropical forests of the Indian subcontinent harbour an extraordinary diversity of medicinally important plant species, many of which have been incorporated into traditional healing systems over thousands of years. Among these, </w:t>
      </w:r>
      <w:r w:rsidRPr="008D6794">
        <w:rPr>
          <w:i/>
          <w:iCs/>
        </w:rPr>
        <w:t>Shorea robusta</w:t>
      </w:r>
      <w:r>
        <w:t xml:space="preserve"> Gaertn. (family Dipterocarpaceae), known vernacularly as Sal, Sakhua, Shala, Sarai, or Saal in diverse regional languages, occupies a singularly important position, serving simultaneously as an ecological keystone species, a revered spiritual and cultural symbol, and a biochemically prolific reservoir of bioactive compounds with demonstrated therapeutic relevance. The Sal tree is widely regarded as one of the most commercially valuable hardwood species in the region, and its forests blanket approximately ten million hectares across India alone, representing approximately 10.62% of the country's total forest cover (Thombare et al., 2024</w:t>
      </w:r>
      <w:r w:rsidR="00D2337C">
        <w:t xml:space="preserve">; </w:t>
      </w:r>
      <w:r w:rsidR="00D2337C" w:rsidRPr="00D2337C">
        <w:t>Shrestha et al., 2022; Sheetal et al., 2024</w:t>
      </w:r>
      <w:r w:rsidRPr="00AF6E49">
        <w:rPr>
          <w:highlight w:val="yellow"/>
        </w:rPr>
        <w:t>).</w:t>
      </w:r>
      <w:r w:rsidR="008D6794" w:rsidRPr="00AF6E49">
        <w:rPr>
          <w:highlight w:val="yellow"/>
        </w:rPr>
        <w:t xml:space="preserve"> </w:t>
      </w:r>
      <w:r w:rsidR="008D6794" w:rsidRPr="00AF6E49">
        <w:rPr>
          <w:highlight w:val="yellow"/>
        </w:rPr>
        <w:t>Sal forests, which are influenced by microclimate, geology, and soil characteristics, can be deciduous, semi-evergreen, or evergreen in phenological patterns, structure, and composition, resilient to anthropogenic disturbances and climate change responses</w:t>
      </w:r>
      <w:r w:rsidR="008D6794" w:rsidRPr="00AF6E49">
        <w:rPr>
          <w:highlight w:val="yellow"/>
        </w:rPr>
        <w:t xml:space="preserve"> (</w:t>
      </w:r>
      <w:r w:rsidR="008D6794" w:rsidRPr="00AF6E49">
        <w:rPr>
          <w:highlight w:val="yellow"/>
        </w:rPr>
        <w:t>Sharma</w:t>
      </w:r>
      <w:r w:rsidR="008D6794" w:rsidRPr="00AF6E49">
        <w:rPr>
          <w:highlight w:val="yellow"/>
        </w:rPr>
        <w:t xml:space="preserve"> et al., 2025).</w:t>
      </w:r>
      <w:r>
        <w:t xml:space="preserve"> This figure underscores the profound ecological and economic weight that S. robusta carries in regional forest governance, rural livelihoods, and biodiversity conservation.</w:t>
      </w:r>
    </w:p>
    <w:p w14:paraId="2BC81F60" w14:textId="77777777" w:rsidR="002634A1" w:rsidRDefault="00E531AF">
      <w:pPr>
        <w:spacing w:before="120" w:after="120" w:line="360" w:lineRule="auto"/>
        <w:ind w:firstLine="720"/>
        <w:jc w:val="both"/>
      </w:pPr>
      <w:r>
        <w:t xml:space="preserve">S. robusta is a member of the Dipterocarpaceae, a prominent family of tropical trees comprising approximately 17 genera and some 600 species distributed predominantly across South and Southeast Asia. Within this family, the genus </w:t>
      </w:r>
    </w:p>
    <w:p w14:paraId="37687706" w14:textId="77777777" w:rsidR="002634A1" w:rsidRDefault="00E531AF">
      <w:pPr>
        <w:spacing w:before="120" w:after="120" w:line="360" w:lineRule="auto"/>
        <w:ind w:firstLine="720"/>
        <w:jc w:val="both"/>
      </w:pPr>
      <w:r>
        <w:rPr>
          <w:i/>
          <w:iCs/>
        </w:rPr>
        <w:t>S. robusta</w:t>
      </w:r>
      <w:r>
        <w:t xml:space="preserve"> is a member of the Dipterocarpaceae, a prominent family of tropical trees comprising approximately 17 genera and some 600 species distributed predominantly across South and Southeast Asia. Within this family, the genus </w:t>
      </w:r>
      <w:r>
        <w:rPr>
          <w:i/>
          <w:iCs/>
        </w:rPr>
        <w:t>Shorea</w:t>
      </w:r>
      <w:r>
        <w:t xml:space="preserve"> represents the largest and most economically significant taxon, encompassing approximately 150–200 recognised species. Across the broader genus, phytochemical research has characterised a total of 113 distinct secondary metabolites, of which 83 are stilbenes and resveratrol oligomers (Musa et al., 2024). Within this expansive chemical diversity, </w:t>
      </w:r>
      <w:r>
        <w:rPr>
          <w:i/>
          <w:iCs/>
        </w:rPr>
        <w:t>S. robusta</w:t>
      </w:r>
      <w:r>
        <w:t xml:space="preserve"> is distinguished by its wide geographic range across the Indian subcontinent, from Myanmar in the east through Nepal, Bangladesh, and Bhutan to the Shivalik Hills of Haryana in the northwest, and by the depth of its integration into local cultures, economies, and healing traditions (Musa et al., 2024; Thombare et al., 2024).</w:t>
      </w:r>
    </w:p>
    <w:p w14:paraId="3DAAF028" w14:textId="77777777" w:rsidR="002634A1" w:rsidRDefault="00E531AF">
      <w:pPr>
        <w:spacing w:before="120" w:after="120" w:line="360" w:lineRule="auto"/>
        <w:ind w:firstLine="720"/>
        <w:jc w:val="both"/>
      </w:pPr>
      <w:r>
        <w:lastRenderedPageBreak/>
        <w:t xml:space="preserve">The ethnobotanical history of </w:t>
      </w:r>
      <w:r>
        <w:rPr>
          <w:i/>
          <w:iCs/>
        </w:rPr>
        <w:t>S. robusta</w:t>
      </w:r>
      <w:r>
        <w:t xml:space="preserve"> is deeply intertwined with the religious and cultural fabric of the Indian subcontinent. In Hindu tradition, the Sal tree is sacred to Lord Vishnu, and the motif of a female figure grasping the branch of a Sal tree—known as salabhanjika—constitutes one of the oldest and most ubiquitous sculptural elements of Indian temple architecture. Buddhist canonical texts hold that Gautama Buddha was born under a Sal tree at Lumbini, and that his parinirvana (final passing) occurred between a pair of Sal trees at Kushinagar. Jain scriptures similarly record the attainment of enlightenment by Mahavira beneath a Sal. These deep religious associations have conferred upon the Sal tree a degree of cultural reverence that has contributed substantially to its conservation by indigenous communities across centuries. Tribal communities—including the Santal, Munda, Oraon, Bhumij, Ho, and numerous others—inhabiting </w:t>
      </w:r>
      <w:proofErr w:type="gramStart"/>
      <w:r>
        <w:t>Sal forest</w:t>
      </w:r>
      <w:proofErr w:type="gramEnd"/>
      <w:r>
        <w:t xml:space="preserve"> regions across Jharkhand, Odisha, Chhattisgarh, West Bengal, and Madhya Pradesh have developed extensive, sophisticated knowledge of the plant’s medicinal applications, and their traditional practices represent an invaluable ethnopharmacological resource (Mukherjee et al., 2013; Thombare et al., 2024).</w:t>
      </w:r>
    </w:p>
    <w:p w14:paraId="61CBF33D" w14:textId="09BD812E" w:rsidR="002634A1" w:rsidRDefault="00E531AF">
      <w:pPr>
        <w:spacing w:before="120" w:after="120" w:line="360" w:lineRule="auto"/>
        <w:ind w:firstLine="720"/>
        <w:jc w:val="both"/>
      </w:pPr>
      <w:r>
        <w:t xml:space="preserve">The scientific investigation of </w:t>
      </w:r>
      <w:r>
        <w:rPr>
          <w:i/>
          <w:iCs/>
        </w:rPr>
        <w:t>S. robusta</w:t>
      </w:r>
      <w:r>
        <w:t xml:space="preserve"> has accelerated considerably over the past three decades, driven by the recognition that the plant's diverse secondary metabolites—particularly its suite of resveratrol oligomers—confer a range of pharmacological activities. </w:t>
      </w:r>
      <w:r w:rsidR="008D6794" w:rsidRPr="00AF6E49">
        <w:rPr>
          <w:highlight w:val="yellow"/>
        </w:rPr>
        <w:t>Additionally</w:t>
      </w:r>
      <w:r w:rsidR="008D6794" w:rsidRPr="00AF6E49">
        <w:rPr>
          <w:highlight w:val="yellow"/>
        </w:rPr>
        <w:t xml:space="preserve">, the flavonoids present in the leaves can be used as </w:t>
      </w:r>
      <w:r w:rsidR="008D6794" w:rsidRPr="00AF6E49">
        <w:rPr>
          <w:highlight w:val="yellow"/>
        </w:rPr>
        <w:t>chemotaxonomic</w:t>
      </w:r>
      <w:r w:rsidR="008D6794" w:rsidRPr="00AF6E49">
        <w:rPr>
          <w:highlight w:val="yellow"/>
        </w:rPr>
        <w:t xml:space="preserve"> markers and also as active ingredients of several medicines</w:t>
      </w:r>
      <w:r w:rsidR="008D6794" w:rsidRPr="00AF6E49">
        <w:rPr>
          <w:highlight w:val="yellow"/>
        </w:rPr>
        <w:t xml:space="preserve">. </w:t>
      </w:r>
      <w:r w:rsidR="008D6794" w:rsidRPr="00AF6E49">
        <w:rPr>
          <w:highlight w:val="yellow"/>
        </w:rPr>
        <w:t xml:space="preserve"> Leaves are also used as anthelmintic and alexiteric</w:t>
      </w:r>
      <w:r w:rsidR="008D6794" w:rsidRPr="00AF6E49">
        <w:rPr>
          <w:highlight w:val="yellow"/>
        </w:rPr>
        <w:t xml:space="preserve"> (</w:t>
      </w:r>
      <w:r w:rsidR="008D6794" w:rsidRPr="00AF6E49">
        <w:rPr>
          <w:highlight w:val="yellow"/>
        </w:rPr>
        <w:t>Sharma</w:t>
      </w:r>
      <w:r w:rsidR="008D6794" w:rsidRPr="00AF6E49">
        <w:rPr>
          <w:highlight w:val="yellow"/>
        </w:rPr>
        <w:t>, 2022</w:t>
      </w:r>
      <w:r w:rsidR="00AF6E49" w:rsidRPr="00AF6E49">
        <w:rPr>
          <w:highlight w:val="yellow"/>
        </w:rPr>
        <w:t xml:space="preserve">; </w:t>
      </w:r>
      <w:r w:rsidR="00AF6E49" w:rsidRPr="00AF6E49">
        <w:rPr>
          <w:highlight w:val="yellow"/>
        </w:rPr>
        <w:t>Thapa</w:t>
      </w:r>
      <w:r w:rsidR="00AF6E49" w:rsidRPr="00AF6E49">
        <w:rPr>
          <w:highlight w:val="yellow"/>
        </w:rPr>
        <w:t xml:space="preserve"> et al., 2025</w:t>
      </w:r>
      <w:r w:rsidR="008D6794" w:rsidRPr="00AF6E49">
        <w:rPr>
          <w:highlight w:val="yellow"/>
        </w:rPr>
        <w:t xml:space="preserve">). </w:t>
      </w:r>
      <w:r w:rsidRPr="00AF6E49">
        <w:rPr>
          <w:highlight w:val="yellow"/>
        </w:rPr>
        <w:t>The</w:t>
      </w:r>
      <w:r>
        <w:t xml:space="preserve"> global crisis of antimicrobial resistance has further heightened interest in plant-derived compounds as prospective sources of novel therapeutic scaffolds, and </w:t>
      </w:r>
      <w:r>
        <w:rPr>
          <w:i/>
          <w:iCs/>
        </w:rPr>
        <w:t>S. robusta</w:t>
      </w:r>
      <w:r>
        <w:t xml:space="preserve"> presents an especially attractive subject given its accessible distribution, well-documented ethnopharmacological record, and the chemical complexity of its secondary metabolite profile (Musa et al., 2024; </w:t>
      </w:r>
      <w:r w:rsidRPr="00E531AF">
        <w:t>Marandi et al., 2016; Yadav &amp; Antil, 2023</w:t>
      </w:r>
      <w:r w:rsidR="00AF6E49" w:rsidRPr="00AF6E49">
        <w:rPr>
          <w:highlight w:val="yellow"/>
        </w:rPr>
        <w:t xml:space="preserve">; </w:t>
      </w:r>
      <w:r w:rsidR="00AF6E49" w:rsidRPr="00AF6E49">
        <w:rPr>
          <w:highlight w:val="yellow"/>
        </w:rPr>
        <w:t>Behera</w:t>
      </w:r>
      <w:r w:rsidR="00AF6E49" w:rsidRPr="00AF6E49">
        <w:rPr>
          <w:highlight w:val="yellow"/>
        </w:rPr>
        <w:t xml:space="preserve"> </w:t>
      </w:r>
      <w:r w:rsidR="00AF6E49" w:rsidRPr="00AF6E49">
        <w:rPr>
          <w:highlight w:val="yellow"/>
        </w:rPr>
        <w:t>&amp; Jothinathan</w:t>
      </w:r>
      <w:r w:rsidR="00AF6E49" w:rsidRPr="00AF6E49">
        <w:rPr>
          <w:highlight w:val="yellow"/>
        </w:rPr>
        <w:t xml:space="preserve">, </w:t>
      </w:r>
      <w:r w:rsidR="00AF6E49" w:rsidRPr="00AF6E49">
        <w:rPr>
          <w:highlight w:val="yellow"/>
        </w:rPr>
        <w:t>2025</w:t>
      </w:r>
      <w:r>
        <w:t xml:space="preserve">). Resveratrol oligomers isolated from Dipterocarpaceae plants, including </w:t>
      </w:r>
      <w:r>
        <w:rPr>
          <w:i/>
          <w:iCs/>
        </w:rPr>
        <w:t>Shorea</w:t>
      </w:r>
      <w:r>
        <w:t xml:space="preserve"> species, have been demonstrated to inhibit bacterial pathogenicity through novel mechanisms such as type III secretion system suppression (Zetterström et al., 2013), suggesting a potentially fruitful avenue for the development of anti-virulence agents in an era when conventional antibiotic efficacy is increasingly compromised.</w:t>
      </w:r>
    </w:p>
    <w:p w14:paraId="683F5AA7" w14:textId="77777777" w:rsidR="002634A1" w:rsidRDefault="00E531AF">
      <w:pPr>
        <w:spacing w:before="120" w:after="120" w:line="360" w:lineRule="auto"/>
        <w:ind w:firstLine="720"/>
        <w:jc w:val="both"/>
      </w:pPr>
      <w:r>
        <w:t xml:space="preserve">Despite the growing body of evidence, comprehensive and integrative reviews that bridge the ethnobotanical knowledge base, phytochemical characterisation, and antimicrobial </w:t>
      </w:r>
      <w:r>
        <w:lastRenderedPageBreak/>
        <w:t>pharmacology of S. robusta specifically remain relatively scarce. Most published reviews have examined the broader Shorea genus or addressed only individual pharmacological endpoints. The present review addresses this gap by providing a consolidated, critical synthesis of the available evidence across these three domains, while also contextualising findings within the plant's broader pharmacological profile, ecological importance, and prospects for sustainable utilisation and commercial development.</w:t>
      </w:r>
    </w:p>
    <w:p w14:paraId="61859D4C" w14:textId="77777777" w:rsidR="002634A1" w:rsidRDefault="00E531AF">
      <w:pPr>
        <w:pStyle w:val="Heading2"/>
      </w:pPr>
      <w:r>
        <w:t>1.1 Scope and Objectives</w:t>
      </w:r>
    </w:p>
    <w:p w14:paraId="5DF04446" w14:textId="77777777" w:rsidR="002634A1" w:rsidRDefault="00E531AF">
      <w:pPr>
        <w:spacing w:before="120" w:after="120" w:line="360" w:lineRule="auto"/>
        <w:ind w:firstLine="720"/>
        <w:jc w:val="both"/>
      </w:pPr>
      <w:r>
        <w:t xml:space="preserve">This review focuses specifically on </w:t>
      </w:r>
      <w:r>
        <w:rPr>
          <w:i/>
          <w:iCs/>
        </w:rPr>
        <w:t>Shorea robusta</w:t>
      </w:r>
      <w:r>
        <w:t xml:space="preserve"> Gaertn. f. as the primary subject, though comparative reference to closely related taxa within the </w:t>
      </w:r>
      <w:r>
        <w:rPr>
          <w:i/>
          <w:iCs/>
        </w:rPr>
        <w:t>Shorea</w:t>
      </w:r>
      <w:r>
        <w:t xml:space="preserve"> genus is included where contextually relevant and scientifically elucidatory. The principal objectives are: (i) to document and critically evaluate the ethnobotanical uses of </w:t>
      </w:r>
      <w:r>
        <w:rPr>
          <w:i/>
          <w:iCs/>
        </w:rPr>
        <w:t>S. robusta</w:t>
      </w:r>
      <w:r>
        <w:t xml:space="preserve"> in traditional medicine and non-medicinal contexts; (ii) to systematically present the phytochemical profile of the species across different plant parts, with particular attention to bioactive compound classes; (iii) to critically assess evidence for the antimicrobial properties of the plant, including both antibacterial and antifungal activities and the mechanistic basis thereof; (iv) to briefly synthesise evidence for other established pharmacological activities; and (v) to identify current knowledge gaps and future research priorities. This review does not extend to clinical trials in human subjects, as no such trials specifically addressing the antimicrobial or primary pharmacological applications of </w:t>
      </w:r>
      <w:r>
        <w:rPr>
          <w:i/>
          <w:iCs/>
        </w:rPr>
        <w:t>S. robusta</w:t>
      </w:r>
      <w:r>
        <w:t xml:space="preserve"> have been identified in the literature.</w:t>
      </w:r>
    </w:p>
    <w:p w14:paraId="65781F33" w14:textId="77777777" w:rsidR="002634A1" w:rsidRDefault="00E531AF">
      <w:pPr>
        <w:pStyle w:val="Heading1"/>
      </w:pPr>
      <w:r>
        <w:t>2. Methods for Literature Selection</w:t>
      </w:r>
    </w:p>
    <w:p w14:paraId="4C51C556" w14:textId="77777777" w:rsidR="002634A1" w:rsidRDefault="00E531AF">
      <w:pPr>
        <w:spacing w:before="120" w:after="120" w:line="360" w:lineRule="auto"/>
        <w:ind w:firstLine="720"/>
        <w:jc w:val="both"/>
      </w:pPr>
      <w:r>
        <w:t xml:space="preserve">This article is presented as a narrative review, a methodological approach judged most appropriate for the present purpose of providing an integrative synthesis of a broad, heterogeneous, and historically rich body of literature that spans ethnobotany, organic chemistry, and pharmacology (Ferrari, 2015). Unlike a systematic review, which employs pre-registered, exhaustive protocols specifically designed to answer narrowly focused clinical questions and typically incorporates formal quality-scoring of individual primary studies, a narrative review affords broader thematic synthesis and expert interpretation across divergent research domains (Green et al., 2006; Sukhera, 2022). This approach is further warranted by the diversity of study designs represented in the literature on S. robusta—including ethnobotanical surveys, phytochemical isolation studies, in vitro bioassays, and animal-model pharmacology—which precludes the uniform application of systematic review criteria. No </w:t>
      </w:r>
      <w:r>
        <w:lastRenderedPageBreak/>
        <w:t>formal meta-analytic procedures are applied, and no claims are made as to the comprehensiveness of coverage with respect to any single pharmacological endpoint.</w:t>
      </w:r>
    </w:p>
    <w:p w14:paraId="780C5DF7" w14:textId="77777777" w:rsidR="002634A1" w:rsidRDefault="00E531AF">
      <w:pPr>
        <w:spacing w:before="120" w:after="120" w:line="360" w:lineRule="auto"/>
        <w:ind w:firstLine="720"/>
        <w:jc w:val="both"/>
      </w:pPr>
      <w:r>
        <w:t>A structured literature search was conducted across the academic databases PubMed/MEDLINE, Web of Science, Scopus, and Google Scholar. The search was conducted for literature published between 2000 and 2026, with seminal publications from before 2000 included where they are foundational to the subject. Search terms and their Boolean combinations included: "Shorea robusta," "Sal tree," "Dipterocarpaceae ethnobotany," "Shorea robusta phytochemistry," "Shorea robusta antimicrobial," "Shorea robusta antibacterial," "Shorea robusta antifungal," "resveratrol oligomers Shorea," "hopeaphenol antimicrobial," "bergenin Shorea robusta," "ursolic acid antibacterial," "Sal resin pharmacology," and "Shorea robusta traditional medicine." All searches were restricted to English-language publications.</w:t>
      </w:r>
    </w:p>
    <w:p w14:paraId="0D7DB1E3" w14:textId="77777777" w:rsidR="002634A1" w:rsidRDefault="00E531AF">
      <w:pPr>
        <w:spacing w:before="120" w:after="120" w:line="360" w:lineRule="auto"/>
        <w:ind w:firstLine="720"/>
        <w:jc w:val="both"/>
      </w:pPr>
      <w:r>
        <w:t>Inclusion criteria required publications to be (a) original research articles or review articles published in peer-reviewed, indexed journals, or (b) authentic reports issued by recognised international organisations, with verifiable retrieval links. Books, grey literature, conference proceedings, theses, and preprints were excluded. Studies reporting pharmacological activities were included if they used validated bioassay methods and provided sufficient methodological detail for critical appraisal. Duplicate records across databases were identified and removed manually. Where multiple publications reported overlapping datasets, the most comprehensive or most recently updated record was retained. The selection of studies considered influential—particularly in the phytochemistry and antimicrobial sections—was guided by citation frequency, methodological rigour, novelty of mechanistic insight.</w:t>
      </w:r>
    </w:p>
    <w:p w14:paraId="2A1E0D56" w14:textId="77777777" w:rsidR="002634A1" w:rsidRDefault="00E531AF">
      <w:pPr>
        <w:pStyle w:val="Heading1"/>
      </w:pPr>
      <w:r>
        <w:t>3. Botanical Description and Geographical Distribution</w:t>
      </w:r>
    </w:p>
    <w:p w14:paraId="5DF254BD" w14:textId="77777777" w:rsidR="002634A1" w:rsidRDefault="00E531AF">
      <w:pPr>
        <w:spacing w:before="120" w:after="120" w:line="360" w:lineRule="auto"/>
        <w:ind w:firstLine="720"/>
        <w:jc w:val="both"/>
      </w:pPr>
      <w:r>
        <w:rPr>
          <w:i/>
          <w:iCs/>
        </w:rPr>
        <w:t>Shorea robusta</w:t>
      </w:r>
      <w:r>
        <w:t xml:space="preserve"> is a large, deciduous to semi-evergreen tree capable of attaining heights of 30–40 metres under favourable growing conditions, with trunk diameters reaching up to two metres in mature specimens. The bole is tall and straight, with grey-brown bark that is thick, deeply longitudinally furrowed, and characterised by the ready exudation of a viscous, yellowish to dark reddish-brown resinous oleoresin upon injury. This oleoresin, known regionally as dhoop, lal dhuna, or sal dammar, represents the most phytochemically documented organ of the plant and is the primary substance deployed in both traditional medicine and ceremonial contexts. Leaves are large, broadly ovate, 10–25 cm in length and </w:t>
      </w:r>
      <w:r>
        <w:lastRenderedPageBreak/>
        <w:t xml:space="preserve">5–15 cm in breadth, with a cordate to rounded base and a pronounced midrib; stipules are large and early caducous. The seasonal emergence of reddish or coppery young leaves during the spring flush constitutes a visually striking ecological event in </w:t>
      </w:r>
      <w:proofErr w:type="gramStart"/>
      <w:r>
        <w:t>Sal-dominated forest</w:t>
      </w:r>
      <w:proofErr w:type="gramEnd"/>
      <w:r>
        <w:t xml:space="preserve"> landscapes (Musa et al., 2024; Thombare et al., 2024).</w:t>
      </w:r>
    </w:p>
    <w:p w14:paraId="34A9AEDA" w14:textId="77777777" w:rsidR="002634A1" w:rsidRDefault="00E531AF">
      <w:pPr>
        <w:spacing w:before="120" w:after="120" w:line="360" w:lineRule="auto"/>
        <w:ind w:firstLine="720"/>
        <w:jc w:val="both"/>
      </w:pPr>
      <w:r>
        <w:t xml:space="preserve">Flowers are small, pale yellow to cream-coloured, and fragrant, borne in terminal and axillary panicles during March to May. The fruit is a one-seeded nut subtended by an elongated, persistent calyx, three lobes of which develop into pronounced wings facilitating wind dispersal—a diagnostic feature of the Dipterocarpaceae. Seeds are large, richly stored with fat, and recalcitrant, possessing a markedly short viable period following dispersal, a characteristic with significant implications for natural regeneration and ex situ conservation. The seed kernel contains a solid fat—Sal butter or Sal fat—with a fatty acid composition resembling cocoa butter, rendering it commercially important as a cocoa butter equivalent (Thombare et al., 2024; </w:t>
      </w:r>
      <w:r w:rsidRPr="00E531AF">
        <w:t>Shahabuddin et al., 2025; Gautam &amp; Devoe, 2006</w:t>
      </w:r>
      <w:r>
        <w:t>).</w:t>
      </w:r>
    </w:p>
    <w:p w14:paraId="6CA5B304" w14:textId="77777777" w:rsidR="002634A1" w:rsidRDefault="00E531AF">
      <w:pPr>
        <w:spacing w:before="120" w:after="120" w:line="360" w:lineRule="auto"/>
        <w:ind w:firstLine="720"/>
        <w:jc w:val="both"/>
      </w:pPr>
      <w:r>
        <w:t xml:space="preserve">Geographically, </w:t>
      </w:r>
      <w:r>
        <w:rPr>
          <w:i/>
          <w:iCs/>
        </w:rPr>
        <w:t>S. robusta</w:t>
      </w:r>
      <w:r>
        <w:t xml:space="preserve"> is native to the Indian subcontinent and adjacent regions, its range extending across the Himalayan foothills and their southern plains from Assam and Bengal in the east, through Jharkhand, Odisha, Chhattisgarh, Madhya Pradesh, and Uttar Pradesh, to Himachal Pradesh in the northwest, and further into Bangladesh and Nepal's Terai lowlands (Thombare et al., 2024). The species is typically found at elevations below 1500 metres above sea level and thrives under a tropical monsoonal climate with pronounced dry seasons. It dominates moist and dry deciduous forest formations, frequently constituting nearly monospecific stands—the celebrated Sal forests—that represent one of the most biodiverse and commercially important forest types of the Indian subcontinent. These forests provide critical habitat for iconic vertebrates including tigers, leopards, Asian elephants, and gaur, and support an exceptionally rich avifauna. Fossil evidence from lignite deposits in Rajasthan and Gujarat indicates that </w:t>
      </w:r>
      <w:r>
        <w:rPr>
          <w:i/>
          <w:iCs/>
        </w:rPr>
        <w:t>Shorea</w:t>
      </w:r>
      <w:r>
        <w:t xml:space="preserve"> or closely related Dipterocarpaceae has been a dominant component of </w:t>
      </w:r>
      <w:proofErr w:type="gramStart"/>
      <w:r>
        <w:t>South Asian forest</w:t>
      </w:r>
      <w:proofErr w:type="gramEnd"/>
      <w:r>
        <w:t xml:space="preserve"> ecosystems since at least the early Eocene epoch, approximately 49 million years ago, attesting to the deep evolutionary history of this taxon on the subcontinent.</w:t>
      </w:r>
    </w:p>
    <w:p w14:paraId="2BD187C8" w14:textId="77777777" w:rsidR="002634A1" w:rsidRDefault="00E531AF">
      <w:pPr>
        <w:pStyle w:val="Heading1"/>
      </w:pPr>
      <w:r>
        <w:t>4. Ethnobotanical Significance</w:t>
      </w:r>
    </w:p>
    <w:p w14:paraId="2052C9B7" w14:textId="77777777" w:rsidR="002634A1" w:rsidRDefault="00E531AF">
      <w:pPr>
        <w:pStyle w:val="Heading2"/>
      </w:pPr>
      <w:r>
        <w:t>4.1 Traditional Medicinal Uses</w:t>
      </w:r>
    </w:p>
    <w:p w14:paraId="231144F4" w14:textId="77777777" w:rsidR="002634A1" w:rsidRDefault="00E531AF">
      <w:pPr>
        <w:spacing w:before="120" w:after="120" w:line="360" w:lineRule="auto"/>
        <w:ind w:firstLine="720"/>
        <w:jc w:val="both"/>
      </w:pPr>
      <w:r>
        <w:t xml:space="preserve">The ethnomedicinal use of </w:t>
      </w:r>
      <w:r>
        <w:rPr>
          <w:i/>
          <w:iCs/>
        </w:rPr>
        <w:t>S. robusta</w:t>
      </w:r>
      <w:r>
        <w:t xml:space="preserve"> spans multiple codified traditional healing systems, including Ayurveda, Unani, and Siddha, as well as the diverse folk medicine </w:t>
      </w:r>
      <w:r>
        <w:lastRenderedPageBreak/>
        <w:t xml:space="preserve">traditions of tribal communities indigenous to </w:t>
      </w:r>
      <w:proofErr w:type="gramStart"/>
      <w:r>
        <w:t>Sal forest</w:t>
      </w:r>
      <w:proofErr w:type="gramEnd"/>
      <w:r>
        <w:t xml:space="preserve"> regions. The resin, leaves, bark, seeds, and flowers of the tree have each been accorded specific therapeutic applications in these traditions, reflecting a comprehensive ethnopharmacological engagement with the plant across its entire vegetative and reproductive anatomy (Mukherjee et al., 2013; Musa et al., 2024).</w:t>
      </w:r>
    </w:p>
    <w:p w14:paraId="688F0574" w14:textId="77777777" w:rsidR="002634A1" w:rsidRDefault="00E531AF">
      <w:pPr>
        <w:spacing w:before="120" w:after="120" w:line="360" w:lineRule="auto"/>
        <w:ind w:firstLine="720"/>
        <w:jc w:val="both"/>
      </w:pPr>
      <w:r>
        <w:t xml:space="preserve">The oleoresin holds primacy among the plant organs exploited in traditional medicine, owing to its ready availability, concentrated secondary metabolite content, and long history of described therapeutic applications. In Ayurveda, the resin is classified as an astringent (kashaya rasa) and anti-inflammatory (shothahara) agent and is prescribed internally for diarrhoea, dysentery, gonorrhoea, leucorrhoea, and menorrhagia. Applied externally, the resin mixed with beeswax or cow ghee serves as a wound-healing ointment for burns, scalds, foot cracks, skin ulcers, and inflammatory dermatoses. In Unani medicine, the resin (known as Kundur-e-Hindi) is indicated for enlargement of the spleen, eye irritations, and urinary infections. In Siddha medicine, practised predominantly in Tamil Nadu and Sri Lanka, the resin is described as Kungliyam and specifically deployed for menorrhagia, leucorrhoea, and wound management (Musa et al., 2024; </w:t>
      </w:r>
      <w:r w:rsidRPr="00E531AF">
        <w:t>Sheetal et al., 2024; Marandi et al., 2016</w:t>
      </w:r>
      <w:r>
        <w:t>).</w:t>
      </w:r>
    </w:p>
    <w:p w14:paraId="51D1118D" w14:textId="77777777" w:rsidR="002634A1" w:rsidRDefault="00E531AF">
      <w:pPr>
        <w:spacing w:before="120" w:after="120" w:line="360" w:lineRule="auto"/>
        <w:ind w:firstLine="720"/>
        <w:jc w:val="both"/>
      </w:pPr>
      <w:r>
        <w:t xml:space="preserve">Tribal communities across Odisha, Jharkhand, Chhattisgarh, and West Bengal have developed extensive localised knowledge of the therapeutic applications of </w:t>
      </w:r>
      <w:r>
        <w:rPr>
          <w:i/>
          <w:iCs/>
        </w:rPr>
        <w:t>S. robusta</w:t>
      </w:r>
      <w:r>
        <w:t xml:space="preserve"> that partially overlaps with, and partially diverges from, codified Ayurvedic knowledge. Field ethnobotanical studies have documented the use of bark decoctions for intermittent fever, leaf paste applied topically to headaches and leprous skin lesions, seed oil preparations for scabies and eczematous dermatoses, and flower preparations mixed with honey for cough and respiratory infections. Young leaves are used as anthelmintic preparations by certain tribal groups, while combinations of bark and leaf extracts are administered for treating gonorrhoea (Mukherjee et al., 2013). A comprehensive survey of tribal communities identified 51 distinct purposes for which Sal trees and their products are exploited, with the highest use-value attributed to the resin, followed by leaves (23%) and bark (15%), a quantitative reflection of the relative importance attributed to different plant organs in ethnomedicinal practice (Thombare et al., 2024). In ethnoveterinary medicine, bark decoctions and resin preparations are applied for treating wounds and infectious diseases in cattle and other livestock, extending the antimicrobial applications of the plant beyond human therapeutics.</w:t>
      </w:r>
    </w:p>
    <w:p w14:paraId="5C9B22F7" w14:textId="77777777" w:rsidR="002634A1" w:rsidRDefault="00E531AF">
      <w:pPr>
        <w:spacing w:before="120" w:after="120" w:line="360" w:lineRule="auto"/>
        <w:ind w:firstLine="720"/>
        <w:jc w:val="both"/>
      </w:pPr>
      <w:r>
        <w:t xml:space="preserve">The inclusion of S. robusta in classical Ayurvedic texts—including the Charaka Samhita, the Sushruta Samhita, and the Ashtanga Hridayam—attests to the historical depth </w:t>
      </w:r>
      <w:r>
        <w:lastRenderedPageBreak/>
        <w:t>and cultural authority of its medicinal reputation. Its resin is described in the Charaka Samhita under the group designation Saptaparna, and detailed descriptions of its therapeutic properties and preparation methods appear in multiple classical formulations. This ancient documentation provides a degree of empirical validation, accumulated over centuries of clinical observation in traditional practice, that motivates contemporary pharmacological investigation.</w:t>
      </w:r>
    </w:p>
    <w:p w14:paraId="46994847" w14:textId="77777777" w:rsidR="002634A1" w:rsidRDefault="00E531AF">
      <w:pPr>
        <w:pStyle w:val="Heading2"/>
      </w:pPr>
      <w:r>
        <w:t>4.2 Non-medicinal Ethnobotanical Uses</w:t>
      </w:r>
    </w:p>
    <w:p w14:paraId="0176B0E0" w14:textId="77777777" w:rsidR="002634A1" w:rsidRDefault="00E531AF">
      <w:pPr>
        <w:spacing w:before="120" w:after="120" w:line="360" w:lineRule="auto"/>
        <w:ind w:firstLine="720"/>
        <w:jc w:val="both"/>
      </w:pPr>
      <w:r>
        <w:t xml:space="preserve">Beyond its medicinal significance, S. robusta underpins the livelihoods and daily material culture of millions of forest-dependent people across South Asia in ways that extend well beyond healthcare. The wood of Sal is among the hardest, heaviest, and most durable of South Asian commercial timbers, with a density and resistance to mechanical stress, insect attack, and wood-rotting fungi that rivals teak in many applications. It is extensively employed in heavy construction, railway sleepers, bridges, mining timbers, agricultural implements, furniture manufacture, and hardwood flooring. In Nepal, Sal wood forms the structural skeleton of numerous historically significant pagoda-style temples, including the Nyatapola Temple in Bhaktapur, testimony to its durability over centuries of weathering (Thombare et al., 2024; </w:t>
      </w:r>
      <w:r w:rsidRPr="00E531AF">
        <w:t>Yadav &amp; Antil, 2023; Shahabuddin et al., 2025</w:t>
      </w:r>
      <w:r>
        <w:t>).</w:t>
      </w:r>
    </w:p>
    <w:p w14:paraId="416C3620" w14:textId="77777777" w:rsidR="002634A1" w:rsidRDefault="00E531AF">
      <w:pPr>
        <w:spacing w:before="120" w:after="120" w:line="360" w:lineRule="auto"/>
        <w:ind w:firstLine="720"/>
        <w:jc w:val="both"/>
      </w:pPr>
      <w:r>
        <w:t>Sal leaves are collected in large quantities for the manufacture of leaf plates (dona and pattal) and cups—a traditional, biodegradable alternative to plastic disposable ware—that remains in widespread use for serving food at religious gatherings, weddings, and festivals across central and eastern India. This leaf-plate industry provides significant informal employment, particularly for women in tribal communities. The leaves also function as livestock fodder during the dry season and as composting material for improving soil fertility in agroforestry systems. Sal flowers are an important nectar source for managed and wild honey bee populations, and forest honey collected from Sal-bloom-fed colonies commands premium prices in domestic markets. Sal wood also serves as a primary fuel wood for rural households in forest-edge communities, though increasing fuel scarcity is generating pressure for more sustainable alternatives.</w:t>
      </w:r>
    </w:p>
    <w:p w14:paraId="6F653EAB" w14:textId="77777777" w:rsidR="002634A1" w:rsidRDefault="00E531AF">
      <w:pPr>
        <w:spacing w:before="120" w:after="120" w:line="360" w:lineRule="auto"/>
        <w:ind w:firstLine="720"/>
        <w:jc w:val="both"/>
      </w:pPr>
      <w:r>
        <w:t xml:space="preserve">The Sal seed fat represents one of the most commercially significant NTFPs derived from South Asian forests. Tribal women collect fallen fruits during the peak dispersal season (May–June) and extract the fat by boiling and pressing. The resulting solid fat—Sal butter or Sal cocoa butter equivalent—is rich in stearic and oleic acids, with a melting point and </w:t>
      </w:r>
      <w:r>
        <w:lastRenderedPageBreak/>
        <w:t>triglyceride profile closely resembling that of cocoa butter, making it a highly valued and internationally traded ingredient in chocolate, confectionery, and cosmetics manufacturing (Thombare et al., 2024). The residual seed cake after oil extraction serves as an organic fertiliser. The commercial resin trade, driven by demand for incense and waterproofing applications, provides additional cash income for tribal collectors.</w:t>
      </w:r>
    </w:p>
    <w:p w14:paraId="1A2211A5" w14:textId="77777777" w:rsidR="002634A1" w:rsidRDefault="00E531AF">
      <w:pPr>
        <w:pStyle w:val="Heading2"/>
      </w:pPr>
      <w:r>
        <w:t>4.3 Cultural and Religious Significance</w:t>
      </w:r>
    </w:p>
    <w:p w14:paraId="280BB398" w14:textId="77777777" w:rsidR="002634A1" w:rsidRDefault="00E531AF">
      <w:pPr>
        <w:spacing w:before="120" w:after="120" w:line="360" w:lineRule="auto"/>
        <w:ind w:firstLine="720"/>
        <w:jc w:val="both"/>
      </w:pPr>
      <w:r>
        <w:t>The cultural and spiritual significance of S. robusta in the Indian subcontinent transcends utilitarian considerations and permeates the artistic, architectural, and cosmological traditions of multiple religious systems. As noted above, the Hindu, Buddhist, and Jain associations of the Sal tree are ancient and deeply embedded in canonical religious texts and iconographic traditions. The salabhanjika motif—depicting a female figure in intimate contact with a Sal tree—appears at Sanchi (3rd century BCE), Bharhut, Amaravati, and subsequently at Khajuraho, Pattadakal, Belur, and Halebid, spanning over a millennium and a half of Indian sculptural history and suggesting a pre-Vedic, possibly animistic, relationship between human communities and the Sal tree.</w:t>
      </w:r>
    </w:p>
    <w:p w14:paraId="63F5A116" w14:textId="77777777" w:rsidR="002634A1" w:rsidRDefault="00E531AF">
      <w:pPr>
        <w:spacing w:before="120" w:after="120" w:line="360" w:lineRule="auto"/>
        <w:ind w:firstLine="720"/>
        <w:jc w:val="both"/>
      </w:pPr>
      <w:r>
        <w:t xml:space="preserve">Among indigenous tribal communities of central and eastern India, the Sal tree occupies a focal position in religious cosmology and ritual practice. The Sarna religious tradition, practised by Oraon, Munda, Ho, Santal, and related communities, centres on the veneration of sacred groves (jaher or sarna) in which Sal trees are the dominant and most ritually significant species. These sacred groves serve as the community's principal place of worship, where major seasonal agricultural rituals, rites of passage, and ancestral propitiation ceremonies are performed. The protection of these groves by community norms and social sanctions has historically served as a de facto conservation mechanism, preserving patches of mature </w:t>
      </w:r>
      <w:proofErr w:type="gramStart"/>
      <w:r>
        <w:t>Sal forest</w:t>
      </w:r>
      <w:proofErr w:type="gramEnd"/>
      <w:r>
        <w:t xml:space="preserve"> in landscapes otherwise subjected to intensive human use (Thombare et al., 2024; </w:t>
      </w:r>
      <w:r w:rsidRPr="00E531AF">
        <w:t>Gautam &amp; Devoe, 2006</w:t>
      </w:r>
      <w:r>
        <w:t>). This intersection of cultural reverence, community governance, and biodiversity conservation represents a powerful example of traditional ecological knowledge supporting conservation outcomes.</w:t>
      </w:r>
    </w:p>
    <w:p w14:paraId="6131C526" w14:textId="77777777" w:rsidR="002634A1" w:rsidRDefault="00E531AF">
      <w:pPr>
        <w:pStyle w:val="Heading1"/>
      </w:pPr>
      <w:r>
        <w:t>5. Phytochemistry of Shorea robusta</w:t>
      </w:r>
    </w:p>
    <w:p w14:paraId="4D651BD2" w14:textId="77777777" w:rsidR="002634A1" w:rsidRDefault="00E531AF">
      <w:pPr>
        <w:spacing w:before="120" w:after="120" w:line="360" w:lineRule="auto"/>
        <w:ind w:firstLine="720"/>
        <w:jc w:val="both"/>
      </w:pPr>
      <w:r>
        <w:t xml:space="preserve">The phytochemical composition of S. robusta is characterised by exceptional diversity, with the plant elaborating a broad spectrum of structurally distinct secondary metabolites distributed across different vegetative and reproductive organs. Phytochemical investigations employing successive solvent extraction, column chromatography, and </w:t>
      </w:r>
      <w:r>
        <w:lastRenderedPageBreak/>
        <w:t>advanced spectroscopic characterisation (including 1H and 13C NMR, HMBC, HSQC, HRMS, and NOESY) have identified compounds belonging to the terpenoids, phenolic acids, flavonoids, stilbenes and their oligomers, coumarins, lignans, sterols, and carbohydrate classes (Musa et al., 2024). Among these, the stilbenes—especially the resveratrol oligomers—and the triterpenoids are the most extensively studied and pharmacologically significant.</w:t>
      </w:r>
    </w:p>
    <w:p w14:paraId="3AE91909" w14:textId="77777777" w:rsidR="002634A1" w:rsidRDefault="00E531AF">
      <w:pPr>
        <w:pStyle w:val="Heading2"/>
      </w:pPr>
      <w:r>
        <w:t>5.1 Stilbenes and Resveratrol Oligomers</w:t>
      </w:r>
    </w:p>
    <w:p w14:paraId="1B724EA1" w14:textId="77777777" w:rsidR="002634A1" w:rsidRDefault="00E531AF">
      <w:pPr>
        <w:spacing w:before="120" w:after="120" w:line="360" w:lineRule="auto"/>
        <w:ind w:firstLine="720"/>
        <w:jc w:val="both"/>
      </w:pPr>
      <w:r>
        <w:t>The most chemically distinctive and pharmacologically significant class of compounds associated with S. robusta and the broader Shorea genus is that of the resveratrol oligomers, also termed oligostilbenoids. These compounds are biosynthesised through regioselective and stereoselective oxidative coupling of two to eight units of the phenylpropanoid stilbene monomer resveratrol (3,5,4′-trihydroxy-trans-stilbene), a process catalysed by plant peroxidases and laccases that gives rise to extraordinary structural diversity incorporating dihydrobenzofuran rings, indane moieties, and various polycyclic frameworks (Shen et al., 2017). The Dipterocarpaceae represents one of the most prolific and chemically diverse producers of resveratrol oligomers in the plant kingdom, with the pattern of oligomerisation extending from dimers through hexamers and octamers (Ito, 2020).</w:t>
      </w:r>
    </w:p>
    <w:p w14:paraId="0B3F4099" w14:textId="77777777" w:rsidR="002634A1" w:rsidRDefault="00E531AF">
      <w:pPr>
        <w:spacing w:before="120" w:after="120" w:line="360" w:lineRule="auto"/>
        <w:ind w:firstLine="720"/>
        <w:jc w:val="both"/>
      </w:pPr>
      <w:r>
        <w:t>The systematic distribution of resveratrol oligomers across plant families was first comprehensively reviewed by Sotheeswaran and Pasupathy (1993), who established the Dipterocarpaceae as the primary natural source of higher oligomers such as tetramers and hexamers. Subsequent investigations have confirmed and substantially extended this picture. Within the Shorea genus broadly, a total of 83 stilbenes and resveratrol oligomers have been isolated and characterised from 26 different species, constituting the dominant phytochemical class among 113 characterised secondary metabolites (Musa et al., 2024). The diversity of structural types arises from four principal sources of variation: the degree of polymerisation; the regiochemistry and stereochemistry of inter-unit carbon–carbon or carbon–oxygen bonds; the formation of dihydrobenzofuran rings from intramolecular cyclisation; and O- or C-glucosylation of the oligomeric scaffold (Ito, 2020).</w:t>
      </w:r>
    </w:p>
    <w:p w14:paraId="149DD359" w14:textId="77777777" w:rsidR="002634A1" w:rsidRDefault="00E531AF">
      <w:pPr>
        <w:spacing w:before="120" w:after="120" w:line="360" w:lineRule="auto"/>
        <w:ind w:firstLine="720"/>
        <w:jc w:val="both"/>
      </w:pPr>
      <w:r>
        <w:t xml:space="preserve">In </w:t>
      </w:r>
      <w:r>
        <w:rPr>
          <w:i/>
          <w:iCs/>
        </w:rPr>
        <w:t>S. robusta</w:t>
      </w:r>
      <w:r>
        <w:t xml:space="preserve"> specifically, hopeaphenol—a resveratrol tetramer characterised by a symmetric polycyclic architecture formed from four resveratrol units with two dihydrobenzofuran rings—represents one of the most historically and pharmacologically significant oligomers isolated from the genus. Originally isolated from </w:t>
      </w:r>
      <w:r>
        <w:rPr>
          <w:i/>
          <w:iCs/>
        </w:rPr>
        <w:t>Hopea odorata</w:t>
      </w:r>
      <w:r>
        <w:t xml:space="preserve"> in the </w:t>
      </w:r>
      <w:r>
        <w:lastRenderedPageBreak/>
        <w:t xml:space="preserve">1950s and subsequently characterised structurally, hopeaphenol has been repeatedly documented in the heartwood, resin, and seeds of </w:t>
      </w:r>
      <w:r>
        <w:rPr>
          <w:i/>
          <w:iCs/>
        </w:rPr>
        <w:t>S. robusta</w:t>
      </w:r>
      <w:r>
        <w:t xml:space="preserve"> and related species (Musa et al., 2024). Its potent antimicrobial and anti-virulence properties, discussed in detail in Section 6, have attracted considerable contemporary interest. Other structurally characterised oligomers associated with </w:t>
      </w:r>
      <w:r>
        <w:rPr>
          <w:i/>
          <w:iCs/>
        </w:rPr>
        <w:t>S. robusta</w:t>
      </w:r>
      <w:r>
        <w:t xml:space="preserve"> or closely related </w:t>
      </w:r>
      <w:r>
        <w:rPr>
          <w:i/>
          <w:iCs/>
        </w:rPr>
        <w:t>Shorea</w:t>
      </w:r>
      <w:r>
        <w:t xml:space="preserve"> species include α-viniferin (a trimer), ε-viniferin (a dimer), vaticanol B and C (trimers), ampelopsin A (a dimer), and the spirocyclic tetramer shoreaketone, which features a highly functionalised cyclopentane ring arising from a dearomative Friedel–Crafts cyclisation (Shen et al., 2017; Musa et al., 2024). From </w:t>
      </w:r>
      <w:r>
        <w:rPr>
          <w:i/>
          <w:iCs/>
        </w:rPr>
        <w:t>S. acuminata</w:t>
      </w:r>
      <w:r>
        <w:t>, a closely related species, Muhammad et al. (2012) isolated acuminatol, a novel resveratrol dimer with significant antioxidant activity in DPPH and β-carotene-linoleic acid assays, further demonstrating the phytochemical productivity of this genus for stilbenoid discovery.</w:t>
      </w:r>
    </w:p>
    <w:p w14:paraId="05C1C5CB" w14:textId="77777777" w:rsidR="002634A1" w:rsidRDefault="00E531AF">
      <w:pPr>
        <w:pStyle w:val="Heading2"/>
      </w:pPr>
      <w:r>
        <w:t>5.2 Triterpenoids and Related Compounds</w:t>
      </w:r>
    </w:p>
    <w:p w14:paraId="75CDA2A8" w14:textId="77777777" w:rsidR="002634A1" w:rsidRDefault="00E531AF">
      <w:pPr>
        <w:spacing w:before="120" w:after="120" w:line="360" w:lineRule="auto"/>
        <w:ind w:firstLine="720"/>
        <w:jc w:val="both"/>
      </w:pPr>
      <w:r>
        <w:t>Triterpenoids constitute the second major phytochemical class of S. robusta, particularly abundant in the resin and bark. Several dammarane-type and oleanane/ursane-type triterpenoids have been characterised. The resin contains a complex mixture of dammar-type diterpenes and triterpenoids, including dammarolic acid and hydroxydammarolic acid, which contribute to the physical properties of the oleoresin and to its astringent, anti-inflammatory, and wound-healing activities. Phytochemical investigations of the resin have identified triterpenoid constituents including β-amyrin and related oleanane-type compounds (Musa et al., 2024).</w:t>
      </w:r>
    </w:p>
    <w:p w14:paraId="6CE603C9" w14:textId="77777777" w:rsidR="002634A1" w:rsidRDefault="00E531AF">
      <w:pPr>
        <w:spacing w:before="120" w:after="120" w:line="360" w:lineRule="auto"/>
        <w:ind w:firstLine="720"/>
        <w:jc w:val="both"/>
      </w:pPr>
      <w:r>
        <w:t xml:space="preserve">The pentacyclic triterpene ursolic acid (3β-hydroxy-urs-12-en-28-oic acid) has been isolated from the young leaves of </w:t>
      </w:r>
      <w:r>
        <w:rPr>
          <w:i/>
          <w:iCs/>
        </w:rPr>
        <w:t>S. robusta</w:t>
      </w:r>
      <w:r>
        <w:t xml:space="preserve"> and is of particular pharmacological significance (Mukherjee et al., 2013). Ursolic acid is a widely distributed plant secondary metabolite with well-documented antibacterial, anti-inflammatory, hepatoprotective, and anticancer activities. Its isolation from the active wound-healing fraction of </w:t>
      </w:r>
      <w:r>
        <w:rPr>
          <w:i/>
          <w:iCs/>
        </w:rPr>
        <w:t>S. robusta</w:t>
      </w:r>
      <w:r>
        <w:t xml:space="preserve"> young leaf extracts directly correlated with the traditional use of these leaves for wound management among tribal communities, and subsequent mechanistic studies confirmed that ursolic acid contributes to the wound-healing activity through modulation of pro-inflammatory cytokines (TNF-α and PGE2) and stimulation of collagen synthesis (Mukherjee et al., 2013). Additionally, β-amyrin, friedelin, β-sitosterol, lupeol, and pheophytin-α have been isolated from mature leaves of </w:t>
      </w:r>
      <w:r>
        <w:rPr>
          <w:i/>
          <w:iCs/>
        </w:rPr>
        <w:t>S. robusta</w:t>
      </w:r>
      <w:r>
        <w:t>, while the heartwood has been reported to contain germacrene-D, a sesquiterpene with known antimicrobial and insect-repellent properties (Musa et al., 2024).</w:t>
      </w:r>
    </w:p>
    <w:p w14:paraId="4F2C207E" w14:textId="77777777" w:rsidR="002634A1" w:rsidRDefault="00E531AF">
      <w:pPr>
        <w:pStyle w:val="Heading2"/>
      </w:pPr>
      <w:r>
        <w:lastRenderedPageBreak/>
        <w:t>5.3 Flavonoids and Phenolic Constituents</w:t>
      </w:r>
    </w:p>
    <w:p w14:paraId="6AE75FF5" w14:textId="77777777" w:rsidR="002634A1" w:rsidRDefault="00E531AF">
      <w:pPr>
        <w:spacing w:before="120" w:after="120" w:line="360" w:lineRule="auto"/>
        <w:ind w:firstLine="720"/>
        <w:jc w:val="both"/>
      </w:pPr>
      <w:r>
        <w:t>Flavonoids and phenolic compounds are well represented across the phytochemistry of S. robusta and contribute substantially to its antioxidant, anti-inflammatory, and antimicrobial activities. The bark is particularly rich in condensed tannins—including leucoanthocyanidin, catechins, epicatechin, and proanthocyanidins—which contribute to the characteristic astringency of bark preparations and are implicated in the antimicrobial and protein-precipitation activities associated with traditional applications of the bark (Musa et al., 2024). Quercetin and kaempferol glycosides have been isolated from the leaves, while the seeds have yielded a novel flavone glycoside, specifically 3,7-dihydroxy-8-methoxyflavone 7-O-α-l-rhamnopyranosyl-(1→4)-α-l-rhamnopyranosyl-(1→6)-β-d-glucopyranoside, fully characterised by spectroscopic methods.</w:t>
      </w:r>
    </w:p>
    <w:p w14:paraId="49592035" w14:textId="77777777" w:rsidR="002634A1" w:rsidRDefault="00E531AF">
      <w:pPr>
        <w:spacing w:before="120" w:after="120" w:line="360" w:lineRule="auto"/>
        <w:ind w:firstLine="720"/>
        <w:jc w:val="both"/>
      </w:pPr>
      <w:r>
        <w:t xml:space="preserve">Bergenin—a C-glucoside of 4-O-methylgallic acid, formally classified as an isocoumarin glycoside—is a phenolic compound of outstanding significance isolated from </w:t>
      </w:r>
      <w:r>
        <w:rPr>
          <w:i/>
          <w:iCs/>
        </w:rPr>
        <w:t>S. robusta</w:t>
      </w:r>
      <w:r>
        <w:t xml:space="preserve"> tender young leaves. Bergenin was isolated in the context of pharmacological studies aimed at validating the plant's traditional use as an anti-inflammatory and wound-healing agent (Chattopadhyay et al., 2012; Mukherjee et al., 2013). Subsequent investigations demonstrated that bergenin exerts diverse pharmacological activities, including anti-inflammatory effects through inhibition of cyclooxygenase enzymes, antioxidant activity through free radical scavenging, and—of particular significance—immunostimulatory and anti-mycobacterial effects through activation of MAP kinase and ERK pathways in infected macrophages (Dwivedi et al., 2017). This last activity suggests a potential role for bergenin-containing preparations as adjunctive treatments for mycobacterial infections, an application of considerable relevance given global tuberculosis burden. Gallic acid, ellagic acid, and various hydroxybenzoic acid derivatives have also been identified from the bark and resin (Musa et al., 2024).</w:t>
      </w:r>
    </w:p>
    <w:p w14:paraId="7B3561CC" w14:textId="77777777" w:rsidR="002634A1" w:rsidRDefault="00E531AF">
      <w:pPr>
        <w:pStyle w:val="Heading2"/>
      </w:pPr>
      <w:r>
        <w:t>5.4 Essential Oils and Other Bioactive Compounds</w:t>
      </w:r>
    </w:p>
    <w:p w14:paraId="49F5D96D" w14:textId="77777777" w:rsidR="002634A1" w:rsidRDefault="00E531AF">
      <w:pPr>
        <w:spacing w:before="120" w:after="120" w:line="360" w:lineRule="auto"/>
        <w:ind w:firstLine="720"/>
        <w:jc w:val="both"/>
      </w:pPr>
      <w:r>
        <w:t xml:space="preserve">Gas chromatography-mass spectrometry (GC-MS) analysis of the essential oils derived from the heartwood, resin, and leaves of S. robusta has identified a diverse volatile fraction comprising sesquiterpenes, monoterpenes, and oxygenated terpenoids. The heartwood essential oil is dominated by sesquiterpene hydrocarbons, including germacrene-D, β-caryophyllene, and α-humulene, while the resin oil contains a higher proportion of monoterpenic hydrocarbons. These essential oil constituents contribute to the aromatic properties of the resin and are likely to contribute to its antimicrobial activity, as </w:t>
      </w:r>
      <w:r>
        <w:lastRenderedPageBreak/>
        <w:t>caryophyllene and related sesquiterpenes have demonstrated biofilm-inhibiting and membrane-perturbing effects against several bacterial pathogens in independent investigations (Musa et al., 2024).</w:t>
      </w:r>
    </w:p>
    <w:p w14:paraId="77A3106C" w14:textId="77777777" w:rsidR="002634A1" w:rsidRDefault="00E531AF">
      <w:pPr>
        <w:spacing w:before="120" w:after="120" w:line="360" w:lineRule="auto"/>
        <w:ind w:firstLine="720"/>
        <w:jc w:val="both"/>
      </w:pPr>
      <w:r>
        <w:t>The seed fat of S. robusta is composed primarily of saturated and monounsaturated fatty acids, with stearic acid (approximately 40%) and oleic acid (approximately 44%) as the dominant constituents, complemented by smaller proportions of palmitic, arachidic, and behenic acids. This fatty acid profile confers the solid, waxy character of Sal fat at room temperature and its similarity to cocoa butter in terms of melting behaviour and crystallisation characteristics. Alkaloids and saponins have been detected in trace quantities in various plant organs upon phytochemical screening, though these classes have received considerably less characterisation than the stilbenes and triterpenoids. Coumarins have been detected in the resin and bark, and their possible contribution to antimicrobial activity warrants further investigation (Musa et al., 2024).</w:t>
      </w:r>
    </w:p>
    <w:p w14:paraId="45B9F9AB" w14:textId="77777777" w:rsidR="002634A1" w:rsidRDefault="00E531AF">
      <w:pPr>
        <w:pStyle w:val="Heading1"/>
      </w:pPr>
      <w:r>
        <w:t>6. Antimicrobial Properties</w:t>
      </w:r>
    </w:p>
    <w:p w14:paraId="0AABE779" w14:textId="77777777" w:rsidR="002634A1" w:rsidRDefault="00E531AF">
      <w:pPr>
        <w:pStyle w:val="Heading2"/>
      </w:pPr>
      <w:r>
        <w:t>6.1 Antibacterial Activity</w:t>
      </w:r>
    </w:p>
    <w:p w14:paraId="7FDBB1F8" w14:textId="77777777" w:rsidR="002634A1" w:rsidRDefault="00E531AF">
      <w:pPr>
        <w:spacing w:before="120" w:after="120" w:line="360" w:lineRule="auto"/>
        <w:ind w:firstLine="720"/>
        <w:jc w:val="both"/>
      </w:pPr>
      <w:r>
        <w:t xml:space="preserve">The antibacterial properties of </w:t>
      </w:r>
      <w:r>
        <w:rPr>
          <w:i/>
          <w:iCs/>
        </w:rPr>
        <w:t>S. robusta</w:t>
      </w:r>
      <w:r>
        <w:t xml:space="preserve"> have been documented extensively across multiple plant parts and extract types, with the resin receiving by far the greatest investigative attention as the most traditionally and commercially significant plant organ. Systematic in vitro antibacterial screening using disc diffusion, agar well diffusion, and broth microdilution methods has demonstrated that aqueous, methanolic, ethanolic, petroleum ether, and benzene extracts of the resin possess significant inhibitory activity against a range of clinically important Gram-positive and Gram-negative bacteria.</w:t>
      </w:r>
    </w:p>
    <w:p w14:paraId="2A476CF5" w14:textId="77777777" w:rsidR="002634A1" w:rsidRDefault="00E531AF">
      <w:pPr>
        <w:spacing w:before="120" w:after="120" w:line="360" w:lineRule="auto"/>
        <w:ind w:firstLine="720"/>
        <w:jc w:val="both"/>
      </w:pPr>
      <w:r>
        <w:t xml:space="preserve">Investigations have consistently documented that extracts of S. robusta resin inhibit the growth of Staphylococcus aureus, Bacillus subtilis, Pseudomonas aeruginosa, and Escherichia coli. The methanolic extract of the resin has been reported to inhibit the growth of S. aureus, B. subtilis, P. aeruginosa, and E. coli with inhibition zone diameters of approximately 12, 10, 10, and 12 mm, respectively, at a concentration of 30 µg per 6 mm disc, representing a comparable antimicrobial spectrum to several standardised botanical antimicrobials (Musa et al., 2024). Further investigations have documented inhibitory activity against Klebsiella pneumoniae, Serratia marcescens, Proteus vulgaris, and Salmonella typhi. The aqueous and methanolic extracts of the resin consistently demonstrate superior antimicrobial potency relative to petroleum ether and benzene extracts, suggesting that the </w:t>
      </w:r>
      <w:r>
        <w:lastRenderedPageBreak/>
        <w:t>principal active antibacterial compounds are relatively polar in character—consistent with the predominance of polar phenolic and stilbenoid constituents identified in these extracts (Musa et al., 2024).</w:t>
      </w:r>
    </w:p>
    <w:p w14:paraId="112BC235" w14:textId="77777777" w:rsidR="002634A1" w:rsidRDefault="00E531AF">
      <w:pPr>
        <w:spacing w:before="120" w:after="120" w:line="360" w:lineRule="auto"/>
        <w:ind w:firstLine="720"/>
        <w:jc w:val="both"/>
      </w:pPr>
      <w:r>
        <w:t xml:space="preserve">The bark extract of </w:t>
      </w:r>
      <w:r>
        <w:rPr>
          <w:i/>
          <w:iCs/>
        </w:rPr>
        <w:t>S. robusta</w:t>
      </w:r>
      <w:r>
        <w:t xml:space="preserve"> has similarly demonstrated significant antibacterial activity. Aqueous bark extracts have inhibited </w:t>
      </w:r>
      <w:r>
        <w:rPr>
          <w:i/>
          <w:iCs/>
        </w:rPr>
        <w:t>S. aureus</w:t>
      </w:r>
      <w:r>
        <w:t xml:space="preserve">, </w:t>
      </w:r>
      <w:r>
        <w:rPr>
          <w:i/>
          <w:iCs/>
        </w:rPr>
        <w:t>B. subtilis</w:t>
      </w:r>
      <w:r>
        <w:t xml:space="preserve">, </w:t>
      </w:r>
      <w:r>
        <w:rPr>
          <w:i/>
          <w:iCs/>
        </w:rPr>
        <w:t>K. pneumoniae</w:t>
      </w:r>
      <w:r>
        <w:t xml:space="preserve">, and </w:t>
      </w:r>
      <w:r>
        <w:rPr>
          <w:i/>
          <w:iCs/>
        </w:rPr>
        <w:t>S. marcescens</w:t>
      </w:r>
      <w:r>
        <w:t xml:space="preserve"> in disc diffusion assays, and ethanolic bark extracts have shown comparable or superior activity (Musa et al., 2024). The higher phenolic and tannin content of ethanolic extracts relative to aqueous preparations likely contributes to their enhanced potency through multiple mechanisms. Leaf extracts of </w:t>
      </w:r>
      <w:r>
        <w:rPr>
          <w:i/>
          <w:iCs/>
        </w:rPr>
        <w:t>S. robusta</w:t>
      </w:r>
      <w:r>
        <w:t xml:space="preserve">, particularly from young leaves, have displayed antibacterial activity attributable to the dual action of ursolic acid and bergenin, both of which have been independently validated as antibacterial agents (Mukherjee et al., 2013). Ursolic acid in particular has been rigorously evaluated for its mechanism of action against </w:t>
      </w:r>
      <w:r>
        <w:rPr>
          <w:i/>
          <w:iCs/>
        </w:rPr>
        <w:t>S. aureus</w:t>
      </w:r>
      <w:r>
        <w:t>, with Liu et al. (2024) providing mechanistic evidence for membrane disruption, ROS induction, and biofilm inhibition at minimum inhibitory concentrations in the range of 0.25–0.5 mg/mL.</w:t>
      </w:r>
    </w:p>
    <w:p w14:paraId="56C61E81" w14:textId="77777777" w:rsidR="002634A1" w:rsidRDefault="00E531AF">
      <w:pPr>
        <w:spacing w:before="120" w:after="120" w:line="360" w:lineRule="auto"/>
        <w:ind w:firstLine="720"/>
        <w:jc w:val="both"/>
      </w:pPr>
      <w:r>
        <w:t>Among the resveratrol oligomers of S. robusta and related Shorea species, hopeaphenol has emerged as a compound of paramount interest for its novel and mechanistically distinct mode of antibacterial action. Zetterström et al. (2013) demonstrated in a landmark study that (−)-hopeaphenol inhibits type III secretion systems (T3SS) in the Gram-negative pathogens Yersinia pseudotuberculosis and Pseudomonas aeruginosa at concentrations that do not inhibit bacterial growth. Specifically, hopeaphenol blocked secretion of the effector protein YopE in Y. pseudotuberculosis and suppressed expression of ExoS in P. aeruginosa in calcium-depleted media. This anti-virulence strategy—targeting bacterial pathogenicity mechanisms rather than growth—represents a conceptually distinct and potentially advantageous approach to combating drug-resistant Gram-negative bacteria, since compounds that do not exert bactericidal selective pressure are expected to generate resistance at substantially lower rates than conventional antibiotics (Zetterström et al., 2013).</w:t>
      </w:r>
    </w:p>
    <w:p w14:paraId="098D1DFF" w14:textId="77777777" w:rsidR="002634A1" w:rsidRDefault="00E531AF">
      <w:pPr>
        <w:pStyle w:val="Heading2"/>
      </w:pPr>
      <w:r>
        <w:t>6.2 Antifungal Activity</w:t>
      </w:r>
    </w:p>
    <w:p w14:paraId="05C47F08" w14:textId="77777777" w:rsidR="002634A1" w:rsidRDefault="00E531AF">
      <w:pPr>
        <w:spacing w:before="120" w:after="120" w:line="360" w:lineRule="auto"/>
        <w:ind w:firstLine="720"/>
        <w:jc w:val="both"/>
      </w:pPr>
      <w:r>
        <w:t xml:space="preserve">The antifungal properties of S. robusta have received comparatively less systematic investigation than its antibacterial properties, though the available evidence indicates meaningful activity of certain extracts and isolated constituents. Methanolic and ethanolic extracts of the resin have demonstrated inhibitory activity against Candida albicans and </w:t>
      </w:r>
      <w:r>
        <w:lastRenderedPageBreak/>
        <w:t>dermatophytic fungi including Trichophyton mentagrophytes in in vitro screening assays (Musa et al., 2024). Resveratrol oligomers from Shorea species, including hopeaphenol and α-viniferin, have shown antifungal effects against C. albicans in in vitro testing, though the concentrations required for antifungal activity tend to be higher than those effective for antibacterial endpoints, suggesting a degree of selectivity in the antimicrobial spectrum of these compounds.</w:t>
      </w:r>
    </w:p>
    <w:p w14:paraId="5E49FCA5" w14:textId="77777777" w:rsidR="002634A1" w:rsidRDefault="00E531AF">
      <w:pPr>
        <w:spacing w:before="120" w:after="120" w:line="360" w:lineRule="auto"/>
        <w:ind w:firstLine="720"/>
        <w:jc w:val="both"/>
      </w:pPr>
      <w:r>
        <w:t xml:space="preserve">The antifungal activity of resveratrol and its oligomers against plant-pathogenic fungi </w:t>
      </w:r>
      <w:proofErr w:type="gramStart"/>
      <w:r>
        <w:t>has</w:t>
      </w:r>
      <w:proofErr w:type="gramEnd"/>
      <w:r>
        <w:t xml:space="preserve"> been considerably more thoroughly characterised than their activity against human fungal pathogens. Resveratrol was originally characterised as a phytoalexin—a plant-produced compound synthesised in response to fungal challenge—and the oligomers, formed by oxidative coupling of resveratrol units, display substantially greater antifungal activity than the monomer (Shen et al., 2017). This structure–activity relationship, in which higher polymerisation correlates with enhanced potency, reinforces the evolutionary rationale for the elaboration of these structurally complex oligomers and suggests that higher oligomers from S. robusta may warrant systematic antifungal profiling. The condensed tannins and phenolic compounds in the bark are also plausible contributors to the antifungal activity of bark extracts, given the well-documented antifungal properties of proanthocyanidins and catechins in other plant systems.</w:t>
      </w:r>
    </w:p>
    <w:p w14:paraId="576E1C42" w14:textId="77777777" w:rsidR="002634A1" w:rsidRDefault="00E531AF">
      <w:pPr>
        <w:pStyle w:val="Heading2"/>
      </w:pPr>
      <w:r>
        <w:t>6.3 Mechanisms of Antimicrobial Action</w:t>
      </w:r>
    </w:p>
    <w:p w14:paraId="363EF368" w14:textId="77777777" w:rsidR="002634A1" w:rsidRDefault="00E531AF">
      <w:pPr>
        <w:spacing w:before="120" w:after="120" w:line="360" w:lineRule="auto"/>
        <w:ind w:firstLine="720"/>
        <w:jc w:val="both"/>
      </w:pPr>
      <w:r>
        <w:t>The antimicrobial mechanisms operative in S. robusta extracts and isolated compounds are multi-faceted, reflecting the chemical diversity of the active constituents, and can be categorised under several distinct mechanistic headings. Understanding these mechanisms is important not only for rationalising the observed biological activities but also for informing efforts to develop novel antimicrobial agents or antibiotic adjuvants based on S. robusta phytochemicals.</w:t>
      </w:r>
    </w:p>
    <w:p w14:paraId="280CB80C" w14:textId="77777777" w:rsidR="002634A1" w:rsidRDefault="00E531AF">
      <w:pPr>
        <w:spacing w:before="120" w:after="120" w:line="360" w:lineRule="auto"/>
        <w:ind w:firstLine="720"/>
        <w:jc w:val="both"/>
      </w:pPr>
      <w:r>
        <w:t xml:space="preserve">Cell membrane disruption represents a primary mechanism for the antibacterial activity of ursolic acid and related pentacyclic triterpenoids. Liu et al. (2024) provided detailed mechanistic evidence demonstrating that ursolic acid at sub-inhibitory concentrations integrates into the bacterial lipid bilayer, altering membrane fluidity and permeability, which results in the leakage of intracellular constituents including potassium ions, nucleotides, and proteins. At inhibitory concentrations, this membrane perturbation leads to complete disruption of the electrochemical gradient, collapse of the proton motive force, and ultimately </w:t>
      </w:r>
      <w:r>
        <w:lastRenderedPageBreak/>
        <w:t>bacterial cell lysis. This membrane-targeting mechanism accounts for the relatively broad-spectrum activity of ursolic acid against both Gram-positive organisms—in which the lipid bilayer is directly accessible to the compound—and, to a lesser degree, Gram-negative organisms, where the outer membrane constitutes an additional permeability barrier (Liu et al., 2024).</w:t>
      </w:r>
    </w:p>
    <w:p w14:paraId="0AFD60FB" w14:textId="77777777" w:rsidR="002634A1" w:rsidRDefault="00E531AF">
      <w:pPr>
        <w:spacing w:before="120" w:after="120" w:line="360" w:lineRule="auto"/>
        <w:ind w:firstLine="720"/>
        <w:jc w:val="both"/>
      </w:pPr>
      <w:r>
        <w:t>The inhibition of type III secretion systems by hopeaphenol, as described by Zetterström et al. (2013), represents a qualitatively distinct anti-virulence mechanism of considerable scientific and clinical importance. Type III secretion systems are highly conserved molecular syringes found in numerous clinically significant Gram-negative pathogens, including Salmonella, Shigella, Yersinia, Pseudomonas, and enteropathogenic Escherichia coli, which utilise them to inject effector proteins directly into host cells, thereby subverting innate immune defences, facilitating intracellular bacterial survival, and promoting systemic dissemination. Hopeaphenol interferes with the assembly or function of the T3SS secretion apparatus, reducing effector delivery into host cells without bactericidal effects and thereby attenuating virulence. This mechanistic profile positions hopeaphenol as a promising antibiotic adjuvant or standalone anti-infective agent for pathogens in which T3SS-mediated virulence is critical to pathogenesis.</w:t>
      </w:r>
    </w:p>
    <w:p w14:paraId="357E2EA3" w14:textId="77777777" w:rsidR="002634A1" w:rsidRDefault="00E531AF">
      <w:pPr>
        <w:spacing w:before="120" w:after="120" w:line="360" w:lineRule="auto"/>
        <w:ind w:firstLine="720"/>
        <w:jc w:val="both"/>
      </w:pPr>
      <w:r>
        <w:t>Modulation of reactive oxygen species (ROS) pathways constitutes a third major antimicrobial mechanism. Stilbenoid polyphenols, including resveratrol oligomers, can induce intracellular ROS accumulation in bacteria at concentrations that do not necessarily inhibit growth, by interfering with the bacterial electron transport chain or by directly generating superoxide and hydrogen peroxide. The resulting oxidative stress exceeds the capacity of bacterial antioxidant defence systems—including superoxide dismutase and catalase—leading to oxidative damage to DNA, proteins, and lipids (Musa et al., 2024). This ROS-dependent mechanism is complementary to direct membrane effects and may be responsible for the synergistic antibacterial activity observed when resveratrol oligomers are combined with conventional antibiotics in vitro.</w:t>
      </w:r>
    </w:p>
    <w:p w14:paraId="44CFF88F" w14:textId="77777777" w:rsidR="002634A1" w:rsidRDefault="00E531AF">
      <w:pPr>
        <w:spacing w:before="120" w:after="120" w:line="360" w:lineRule="auto"/>
        <w:ind w:firstLine="720"/>
        <w:jc w:val="both"/>
      </w:pPr>
      <w:r>
        <w:t xml:space="preserve">The condensed tannins and polyphenolic compounds of the bark exert antimicrobial effects through several additional mechanisms: precipitation of extracellular and surface-associated proteins, including bacterial adhesins and virulence factors; inhibition of microbial membrane-associated enzymes including ATPases and efflux pumps; chelation of essential divalent metal ions (iron, manganese, zinc) required for bacterial metabolic processes; and inhibition of biofilm formation through interference with quorum-sensing signal molecules. </w:t>
      </w:r>
      <w:r>
        <w:lastRenderedPageBreak/>
        <w:t>Bergenin additionally contributes to the immunological dimension of the plant's antimicrobial defence through activation of macrophage signalling pathways, enhancing phagocytic killing capacity and the production of antimicrobial mediators such as nitric oxide and reactive oxygen species within infected cells (Dwivedi et al., 2017).</w:t>
      </w:r>
    </w:p>
    <w:p w14:paraId="797F5B84" w14:textId="77777777" w:rsidR="002634A1" w:rsidRDefault="00E531AF">
      <w:pPr>
        <w:pStyle w:val="Heading1"/>
      </w:pPr>
      <w:r>
        <w:t>7. Other Pharmacological Activities</w:t>
      </w:r>
    </w:p>
    <w:p w14:paraId="25E6C16E" w14:textId="77777777" w:rsidR="002634A1" w:rsidRDefault="00E531AF">
      <w:pPr>
        <w:pStyle w:val="Heading2"/>
      </w:pPr>
      <w:r>
        <w:t>7.1 Antioxidant Activity</w:t>
      </w:r>
    </w:p>
    <w:p w14:paraId="209750C9" w14:textId="77777777" w:rsidR="002634A1" w:rsidRDefault="00E531AF">
      <w:pPr>
        <w:spacing w:before="120" w:after="120" w:line="360" w:lineRule="auto"/>
        <w:ind w:firstLine="720"/>
        <w:jc w:val="both"/>
      </w:pPr>
      <w:r>
        <w:t>The antioxidant properties of S. robusta extracts and isolated compounds are well documented across multiple plant parts. Methanolic extracts of the resin demonstrate potent free radical scavenging activity in DPPH assays, with IC50 values in the range of 35–37 µg/mL, a level of activity comparable to ascorbic acid reference standards under similar assay conditions (Musa et al., 2024). Methanolic leaf extracts exhibit significant antioxidant activity, with IC50 values of approximately 36.61 µg/mL in DPPH assays and 43.20 µg/mL in superoxide radical scavenging assays, demonstrating a dose-dependent relationship between extract concentration and radical quenching capacity. Additional antioxidant evaluation using ABTS radical cation decolourisation, ferric reducing antioxidant power (FRAP), and β-carotene-linoleic acid bleaching assays has corroborated the antioxidant potential of various plant-part extracts.</w:t>
      </w:r>
    </w:p>
    <w:p w14:paraId="6802EEDB" w14:textId="77777777" w:rsidR="002634A1" w:rsidRDefault="00E531AF">
      <w:pPr>
        <w:spacing w:before="120" w:after="120" w:line="360" w:lineRule="auto"/>
        <w:ind w:firstLine="720"/>
        <w:jc w:val="both"/>
      </w:pPr>
      <w:r>
        <w:t>Resveratrol oligomers are among the most potent antioxidant constituents of S. robusta, with higher oligomers typically demonstrating greater radical scavenging capacity than the monomer due to an increased number of phenolic hydroxyl groups available for hydrogen atom donation (Shen et al., 2017; Muhammad et al., 2012). The antioxidant properties of these compounds have potential therapeutic relevance in conditions associated with excessive oxidative stress, including cardiovascular disease, diabetes mellitus, and neurodegenerative disorders. The combination of resveratrol oligomers, phenolic acids (gallic acid, ellagic acid), flavonoids (quercetin, catechins), and tannins in different plant-part extracts creates a synergistic antioxidant profile that likely exceeds the contributions of individual compounds.</w:t>
      </w:r>
    </w:p>
    <w:p w14:paraId="53923E78" w14:textId="77777777" w:rsidR="002634A1" w:rsidRDefault="00E531AF">
      <w:pPr>
        <w:pStyle w:val="Heading2"/>
      </w:pPr>
      <w:r>
        <w:t>7.2 Anti-inflammatory Activity</w:t>
      </w:r>
    </w:p>
    <w:p w14:paraId="2C73658D" w14:textId="77777777" w:rsidR="002634A1" w:rsidRDefault="00E531AF">
      <w:pPr>
        <w:spacing w:before="120" w:after="120" w:line="360" w:lineRule="auto"/>
        <w:ind w:firstLine="720"/>
        <w:jc w:val="both"/>
      </w:pPr>
      <w:r>
        <w:t xml:space="preserve">The anti-inflammatory activity of </w:t>
      </w:r>
      <w:r>
        <w:rPr>
          <w:i/>
          <w:iCs/>
        </w:rPr>
        <w:t>S. robusta</w:t>
      </w:r>
      <w:r>
        <w:t xml:space="preserve"> represents one of its most rigorously investigated pharmacological properties and directly validates a core traditional medical application. Chattopadhyay et al. (2012) conducted a comprehensive in vivo evaluation </w:t>
      </w:r>
      <w:r>
        <w:lastRenderedPageBreak/>
        <w:t xml:space="preserve">demonstrating that tender leaf extracts of </w:t>
      </w:r>
      <w:r>
        <w:rPr>
          <w:i/>
          <w:iCs/>
        </w:rPr>
        <w:t>S. robusta</w:t>
      </w:r>
      <w:r>
        <w:t xml:space="preserve"> exert significant anti-inflammatory effects in carrageenan- and dextran-induced paw oedema models and in the cotton-pellet granuloma model in rats. The mechanism involves inhibition of production of nitric oxide, prostaglandin E2 (PGE2), and TNF-α, as well as downregulation of inducible nitric oxide synthase (iNOS) expression in inflamed tissue. The acetic acid-induced vascular permeability model further confirmed significant anti-inflammatory and anti-nociceptive effects of the extracts at comparable doses to standard non-steroidal anti-inflammatory drugs. These findings robustly validate the Ayurvedic prescription of </w:t>
      </w:r>
      <w:r>
        <w:rPr>
          <w:i/>
          <w:iCs/>
        </w:rPr>
        <w:t>S. robusta</w:t>
      </w:r>
      <w:r>
        <w:t xml:space="preserve"> leaves and resin for inflammatory conditions (Chattopadhyay et al., 2012).</w:t>
      </w:r>
    </w:p>
    <w:p w14:paraId="620B9189" w14:textId="77777777" w:rsidR="002634A1" w:rsidRDefault="00E531AF">
      <w:pPr>
        <w:spacing w:before="120" w:after="120" w:line="360" w:lineRule="auto"/>
        <w:ind w:firstLine="720"/>
        <w:jc w:val="both"/>
      </w:pPr>
      <w:r>
        <w:t>The anti-inflammatory effects are attributable to multiple phytochemical constituents acting through complementary mechanisms. Bergenin inhibits cyclooxygenase enzymes involved in prostaglandin synthesis and directly scavenges reactive nitrogen species. Ursolic acid exerts anti-inflammatory effects through suppression of NF-κB signalling, modulation of arachidonic acid cascade enzymes, and inhibition of leukotriene synthesis. Resveratrol oligomers similarly suppress NF-κB activation and the associated transcription of pro-inflammatory genes encoding TNF-α, interleukin-1β, and interleukin-6. The tannins and phenolic acid fraction of the bark extract contributes through scavenging of superoxide and peroxynitrite radicals that would otherwise amplify the inflammatory response.</w:t>
      </w:r>
    </w:p>
    <w:p w14:paraId="70DB2143" w14:textId="77777777" w:rsidR="002634A1" w:rsidRDefault="00E531AF">
      <w:pPr>
        <w:pStyle w:val="Heading2"/>
      </w:pPr>
      <w:r>
        <w:t>7.3 Wound Healing Activity</w:t>
      </w:r>
    </w:p>
    <w:p w14:paraId="21980825" w14:textId="77777777" w:rsidR="002634A1" w:rsidRDefault="00E531AF">
      <w:pPr>
        <w:spacing w:before="120" w:after="120" w:line="360" w:lineRule="auto"/>
        <w:ind w:firstLine="720"/>
        <w:jc w:val="both"/>
      </w:pPr>
      <w:r>
        <w:t xml:space="preserve">The wound healing properties of </w:t>
      </w:r>
      <w:r>
        <w:rPr>
          <w:i/>
          <w:iCs/>
        </w:rPr>
        <w:t>S. robusta</w:t>
      </w:r>
      <w:r>
        <w:t xml:space="preserve"> are validated through both traditional practice and rigorous experimental pharmacology, and represent one of the most thoroughly documented pharmacological activities of the plant. Mukherjee et al. (2013) conducted the definitive bioactivity-guided fractionation study of young leaf extracts, identifying bergenin and ursolic acid as the principal wound-healing active constituents. Topical application of the leaf extract at 5% (w/w) concentration in an ointment base resulted in 96.41–96.55% wound area reduction and significantly accelerated epithelialisation periods in excision wound models in rats. Isolation-guided testing confirmed that the isolated compounds bergenin and ursolic acid independently promoted wound closure, increased tensile strength of incision wounds, elevated granulation tissue hydroxyproline content, and improved the histological quality of healed tissue through enhanced collagenation. The mechanism is substantially mediated by suppression of TNF-α and PGE2, which are key inflammatory mediators that, if allowed to persist at elevated concentrations, impede the resolution phase of wound healing (Mukherjee et al., 2013).</w:t>
      </w:r>
    </w:p>
    <w:p w14:paraId="607D3035" w14:textId="77777777" w:rsidR="002634A1" w:rsidRDefault="00E531AF">
      <w:pPr>
        <w:spacing w:before="120" w:after="120" w:line="360" w:lineRule="auto"/>
        <w:ind w:firstLine="720"/>
        <w:jc w:val="both"/>
      </w:pPr>
      <w:r>
        <w:lastRenderedPageBreak/>
        <w:t>Yaseen Khan et al. (2016) extended the wound-healing investigation to resin extracts, evaluating ethanolic and aqueous fractions of the oleoresin in excision and incision wound models. The resin extracts significantly accelerated wound closure and increased tensile strength, consistent with the traditional Ayurvedic application of the oleoresin as an ointment for burns, scalds, and chronic skin ulcers. The resin's wound-healing properties are likely mediated by its content of triterpenoids and phenolics, which promote fibroblast proliferation and collagen deposition, combined with the antiseptic activity of the resin's volatile fraction that helps maintain a sterile wound environment.</w:t>
      </w:r>
    </w:p>
    <w:p w14:paraId="3DAF4702" w14:textId="77777777" w:rsidR="002634A1" w:rsidRDefault="00E531AF">
      <w:pPr>
        <w:pStyle w:val="Heading2"/>
      </w:pPr>
      <w:r>
        <w:t>7.4 Hepatoprotective Activity</w:t>
      </w:r>
    </w:p>
    <w:p w14:paraId="0843E4D5" w14:textId="77777777" w:rsidR="002634A1" w:rsidRDefault="00E531AF">
      <w:pPr>
        <w:spacing w:before="120" w:after="120" w:line="360" w:lineRule="auto"/>
        <w:ind w:firstLine="720"/>
        <w:jc w:val="both"/>
      </w:pPr>
      <w:r>
        <w:t xml:space="preserve">Hepatoprotective properties of </w:t>
      </w:r>
      <w:r>
        <w:rPr>
          <w:i/>
          <w:iCs/>
        </w:rPr>
        <w:t>S. robusta</w:t>
      </w:r>
      <w:r>
        <w:t xml:space="preserve"> have been demonstrated in recent in vitro and in vivo investigations. Samantaray et al. (2026) conducted a comprehensive mechanistic study employing UHPLC-Q-TOF-MS-based phytochemical profiling, molecular docking studies against hepatoprotective targets including TNF-α, TGF-β1, and PPAR-α, and in vivo validation in an isoniazid-induced hepatotoxicity rat model. The methanolic bark extract significantly ameliorated hepatotoxicity as assessed by multiple biochemical parameters (serum ALT, AST, ALP, and bilirubin), cytokine analysis, histopathological evaluation, and immunohistochemical confirmation of hepatoprotective target modulation. The hepatoprotective mechanism was attributed principally to the anti-inflammatory, antioxidant, and anti-fibrotic properties of multiple phytoconstituents present in the bark, including bergenin—which inhibited TGF-β1-mediated fibrosis—and various stilbenoid compounds that attenuated oxidative damage to hepatocytes (Samantaray et al., 2026). Bergenin has been independently demonstrated to exert hepatoprotective effects through scavenging of reactive oxygen species, inhibition of lipid peroxidation, and modulation of hepatic enzyme activity in carbon tetrachloride-induced hepatotoxicity models.</w:t>
      </w:r>
    </w:p>
    <w:p w14:paraId="2FAE6F56" w14:textId="77777777" w:rsidR="002634A1" w:rsidRDefault="00E531AF">
      <w:pPr>
        <w:pStyle w:val="Heading2"/>
      </w:pPr>
      <w:r>
        <w:t>7.5 Anticancer Potential</w:t>
      </w:r>
    </w:p>
    <w:p w14:paraId="51F1F34F" w14:textId="77777777" w:rsidR="002634A1" w:rsidRDefault="00E531AF">
      <w:pPr>
        <w:spacing w:before="120" w:after="120" w:line="360" w:lineRule="auto"/>
        <w:ind w:firstLine="720"/>
        <w:jc w:val="both"/>
      </w:pPr>
      <w:r>
        <w:t xml:space="preserve">Preliminary investigations have indicated that resveratrol oligomers from Shorea species, including hopeaphenol, vaticanol B, and α-viniferin, possess cytotoxic activity against various human cancer cell lines in in vitro models, including melanoma (SK-MEL-28), hepatocellular carcinoma, and colon carcinoma cell lines (Musa et al., 2024; Shen et al., 2017). The mechanism of cytotoxicity involves cell cycle arrest at the G1 phase and induction of apoptosis through caspase-dependent pathways. Shoreaketone, a spirocyclic tetramer from Shorea species, has similarly demonstrated selective cytotoxicity against </w:t>
      </w:r>
      <w:r>
        <w:lastRenderedPageBreak/>
        <w:t>tumour cell lines. These preliminary findings place resveratrol oligomers as potentially valuable anticancer lead compounds; however, it is important to contextualise these data appropriately. All anticancer studies have been conducted exclusively in cell culture models, and the translation of in vitro cytotoxicity to clinical antineoplastic efficacy requires extensive further investigation, including in vivo pharmacokinetic studies (which have not been conducted for most of these oligomers), efficacy assessments in animal tumour models, and ultimately clinical evaluation.</w:t>
      </w:r>
    </w:p>
    <w:p w14:paraId="4A0FF8F6" w14:textId="77777777" w:rsidR="002634A1" w:rsidRDefault="00E531AF">
      <w:pPr>
        <w:pStyle w:val="Heading1"/>
      </w:pPr>
      <w:r>
        <w:t>8. Conservation Status and Ecological Significance</w:t>
      </w:r>
    </w:p>
    <w:p w14:paraId="61CED859" w14:textId="77777777" w:rsidR="002634A1" w:rsidRDefault="00E531AF">
      <w:pPr>
        <w:spacing w:before="120" w:after="120" w:line="360" w:lineRule="auto"/>
        <w:ind w:firstLine="720"/>
        <w:jc w:val="both"/>
      </w:pPr>
      <w:r>
        <w:rPr>
          <w:i/>
          <w:iCs/>
        </w:rPr>
        <w:t>Shorea robusta</w:t>
      </w:r>
      <w:r>
        <w:t xml:space="preserve"> is currently classified as Least Concern on the International Union for Conservation of Nature (IUCN) Red List, a status reflecting its currently large population size and wide geographic distribution. However, this conservation assessment should not be interpreted as evidence of ecological security. Sal forests face intensifying and interacting pressures from habitat fragmentation driven by agricultural expansion and infrastructure development, overexploitation for timber and non-timber products, illegal encroachment, altered fire regimes, and increasingly, the anticipated impacts of climate change on temperature and precipitation patterns that may shift the species' ecological range northward and to higher elevations (Thombare et al., 2024). Data suggest that dense, structurally intact Sal forests have been progressively degraded and converted to more open and disturbed forest types across significant portions of the species' range over the past several decades, a trend that threatens not only </w:t>
      </w:r>
      <w:r>
        <w:rPr>
          <w:i/>
          <w:iCs/>
        </w:rPr>
        <w:t>S. robusta</w:t>
      </w:r>
      <w:r>
        <w:t xml:space="preserve"> itself but the rich associated biodiversity of </w:t>
      </w:r>
      <w:proofErr w:type="gramStart"/>
      <w:r>
        <w:t>Sal forest</w:t>
      </w:r>
      <w:proofErr w:type="gramEnd"/>
      <w:r>
        <w:t xml:space="preserve"> ecosystems, including several species of conservation concern.</w:t>
      </w:r>
    </w:p>
    <w:p w14:paraId="574EA626" w14:textId="77777777" w:rsidR="002634A1" w:rsidRDefault="00E531AF">
      <w:pPr>
        <w:spacing w:before="120" w:after="120" w:line="360" w:lineRule="auto"/>
        <w:ind w:firstLine="720"/>
        <w:jc w:val="both"/>
      </w:pPr>
      <w:r>
        <w:t>Sal forests are among the most significant carbon stocks in South Asia, with estimates of aboveground carbon density ranging from 30 to 170 Mg carbon per hectare, reflecting the large biomass of individual mature trees and the high stand densities that characterise well-managed Sal forests (Thombare et al., 2024). The total contribution of Indian Sal forests to national carbon stocks is substantial, and their effective conservation represents a priority for regional climate mitigation. Sal forest ecosystems also provide critical provisioning, regulating, and cultural ecosystem services, including watershed protection, soil stabilisation, microclimate regulation, and the cultural and spiritual services associated with sacred groves and community forests.</w:t>
      </w:r>
    </w:p>
    <w:p w14:paraId="7F48D525" w14:textId="77777777" w:rsidR="002634A1" w:rsidRDefault="00E531AF">
      <w:pPr>
        <w:spacing w:before="120" w:after="120" w:line="360" w:lineRule="auto"/>
        <w:ind w:firstLine="720"/>
        <w:jc w:val="both"/>
      </w:pPr>
      <w:r>
        <w:t xml:space="preserve">Sustainable management of Sal forests demands integrated approaches combining government-led conservation policy with community-based forest management (such as Joint </w:t>
      </w:r>
      <w:r>
        <w:lastRenderedPageBreak/>
        <w:t>Forest Management and Community Forestry models in India and Nepal, respectively), equitable benefit-sharing frameworks for non-timber forest product collection, and active engagement with indigenous communities as custodians of traditional ecological knowledge. Community management systems that align conservation incentives with livelihood security have demonstrated efficacy in stabilising and gradually improving forest cover in Sal-dominant landscapes. The preservation of cultural and spiritual relationships between tribal communities and Sal forests—including the protection of sacred groves—provides an additional governance mechanism with demonstrated conservation outcomes (Thombare et al., 2024).</w:t>
      </w:r>
    </w:p>
    <w:p w14:paraId="2825E860" w14:textId="77777777" w:rsidR="002634A1" w:rsidRDefault="00E531AF">
      <w:pPr>
        <w:pStyle w:val="Heading1"/>
      </w:pPr>
      <w:r>
        <w:t>9. Commercial Applications and Prospects</w:t>
      </w:r>
    </w:p>
    <w:p w14:paraId="51506F22" w14:textId="77777777" w:rsidR="002634A1" w:rsidRDefault="00E531AF">
      <w:pPr>
        <w:spacing w:before="120" w:after="120" w:line="360" w:lineRule="auto"/>
        <w:ind w:firstLine="720"/>
        <w:jc w:val="both"/>
      </w:pPr>
      <w:r>
        <w:t xml:space="preserve">The commercial potential of </w:t>
      </w:r>
      <w:r>
        <w:rPr>
          <w:i/>
          <w:iCs/>
        </w:rPr>
        <w:t>S. robusta</w:t>
      </w:r>
      <w:r>
        <w:t xml:space="preserve"> is multifaceted and substantially underpins the economic importance of Sal forests to the rural economies of India, Nepal, and Bangladesh. The timber industry remains the largest commercial driver, with Sal wood commanding premium prices in domestic and export markets owing to its durability, dimensional stability, and resistance to biological degradation. The Sal seed fat industry represents a significant and growing commercial activity, with substantial quantities of Sal butter exported to international confectionery, chocolate, and cosmetics markets as a cocoa butter equivalent (Thombare et al., 2024). The market value of Sal seeds and seed fat provides an important economic incentive for the conservation of Sal forests, as forest-dependent communities benefit directly from the species’ commercial productivity.</w:t>
      </w:r>
    </w:p>
    <w:p w14:paraId="15C45767" w14:textId="77777777" w:rsidR="002634A1" w:rsidRDefault="00E531AF">
      <w:pPr>
        <w:spacing w:before="120" w:after="120" w:line="360" w:lineRule="auto"/>
        <w:ind w:firstLine="720"/>
        <w:jc w:val="both"/>
      </w:pPr>
      <w:r>
        <w:t>In the pharmaceutical and nutraceutical domain, the resveratrol oligomers of Shorea species present a compelling commercial prospect. The demonstrated superiority of higher resveratrol oligomers over the monomer in antimicrobial and cytotoxic assays, combined with the novel anti-virulence mechanism of hopeaphenol, positions S. robusta and related Dipterocarpaceae as potential sources of high-value pharmaceutical lead compounds (Shen et al., 2017; Zetterström et al., 2013). The isolation and development of hopeaphenol as an anti-virulence agent for drug-resistant Gram-negative bacteria, in particular, represents an area of significant commercial and public health interest. Bergenin from S. robusta similarly holds pharmaceutical development potential, with immunomodulatory and anti-mycobacterial properties that could be developed into adjunctive therapeutic formulations for tuberculosis and other mycobacterial diseases (Dwivedi et al., 2017).</w:t>
      </w:r>
    </w:p>
    <w:p w14:paraId="2859BB0C" w14:textId="77777777" w:rsidR="002634A1" w:rsidRDefault="00E531AF">
      <w:pPr>
        <w:spacing w:before="120" w:after="120" w:line="360" w:lineRule="auto"/>
        <w:ind w:firstLine="720"/>
        <w:jc w:val="both"/>
      </w:pPr>
      <w:r>
        <w:lastRenderedPageBreak/>
        <w:t>The wound-healing formulations based on S. robusta leaf extracts, validated by Mukherjee et al. (2013) and Yaseen Khan et al. (2016), may have near-term prospects for development into standardised, regulation-compliant topical preparations incorporating defined concentrations of bergenin and ursolic acid. Such products would benefit from an established safety record through centuries of traditional use, a phytochemical basis validated through rigorous in vivo studies, and the growing consumer market for herbal and plant-derived wound care products. Commercial bioprospecting of S. robusta's resveratrol oligomers would, however, necessitate careful development of sustainable collection frameworks and benefit-sharing agreements with indigenous communities consistent with the Nagoya Protocol on access and benefit-sharing and relevant national biodiversity legislation.</w:t>
      </w:r>
    </w:p>
    <w:p w14:paraId="156990C8" w14:textId="77777777" w:rsidR="002634A1" w:rsidRDefault="00E531AF">
      <w:pPr>
        <w:pStyle w:val="Heading1"/>
      </w:pPr>
      <w:r>
        <w:t>10. Conclusions</w:t>
      </w:r>
    </w:p>
    <w:p w14:paraId="0DE3FED5" w14:textId="77777777" w:rsidR="002634A1" w:rsidRDefault="00E531AF">
      <w:pPr>
        <w:spacing w:before="120" w:after="120" w:line="360" w:lineRule="auto"/>
        <w:ind w:firstLine="720"/>
        <w:jc w:val="both"/>
      </w:pPr>
      <w:r>
        <w:rPr>
          <w:i/>
          <w:iCs/>
        </w:rPr>
        <w:t>Shorea robusta</w:t>
      </w:r>
      <w:r>
        <w:t xml:space="preserve"> (Sal) represents a remarkable confluence of cultural heritage, ecological function, and pharmacological potential that positions it among the most scientifically and practically significant tree species of the Indian subcontinent. This review has synthesised evidence across three interconnected domains: ethnobotany, phytochemistry, and antimicrobial pharmacology. The plant's rich ethnobotanical legacy—grounded in centuries of validated traditional practice across Ayurvedic, Unani, Siddha, and tribal healing systems—provides the empirical foundation upon which modern pharmacological investigation has progressively built a mechanistic understanding of bioactivity.</w:t>
      </w:r>
    </w:p>
    <w:p w14:paraId="7EB3F15D" w14:textId="77777777" w:rsidR="002634A1" w:rsidRDefault="00E531AF">
      <w:pPr>
        <w:spacing w:before="120" w:after="120" w:line="360" w:lineRule="auto"/>
        <w:ind w:firstLine="720"/>
        <w:jc w:val="both"/>
      </w:pPr>
      <w:r>
        <w:t xml:space="preserve">Phytochemically, S. robusta elaborates an impressive secondary metabolite repertoire dominated by structurally complex resveratrol oligomers (hopeaphenol, α-viniferin, vaticanol series), pentacyclic triterpenoids (ursolic acid, bergenin), condensed tannins, and flavonoids. These compounds, individually and in combination, underpin the plant's multiple pharmacological activities. Antimicrobial activity is well documented across diverse plant-part extracts and spans a range of clinically significant pathogens, with the mechanisms involving membrane disruption, type III secretion system inhibition, ROS-mediated oxidative stress, and immunostimulation through macrophage pathway activation. Anti-inflammatory, wound-healing, antioxidant, and hepatoprotective activities have been validated in robust animal models, while preliminary anticancer data on resveratrol oligomers suggest further investigative avenues. Ecologically, Sal forests are indispensable carbon sinks, biodiversity reservoirs, and livelihood systems that require urgent and sustained conservation efforts. The pharmacological and commercial value of S. robusta makes the sustainable management of </w:t>
      </w:r>
      <w:r>
        <w:lastRenderedPageBreak/>
        <w:t>these forests a strategic priority aligned with both public health and economic development objectives.</w:t>
      </w:r>
    </w:p>
    <w:p w14:paraId="583F81A2" w14:textId="77777777" w:rsidR="002634A1" w:rsidRDefault="00E531AF">
      <w:pPr>
        <w:pStyle w:val="Heading1"/>
      </w:pPr>
      <w:r>
        <w:t>11. Limitations</w:t>
      </w:r>
    </w:p>
    <w:p w14:paraId="175CFFA4" w14:textId="2913E678" w:rsidR="002634A1" w:rsidRDefault="00E531AF">
      <w:pPr>
        <w:spacing w:before="120" w:after="120" w:line="360" w:lineRule="auto"/>
        <w:ind w:firstLine="720"/>
        <w:jc w:val="both"/>
      </w:pPr>
      <w:r>
        <w:t>This review is subject to several inherent limitations that should be acknowledged. First, as a narrative review, the selection of literature reflects an element of author judgment in assessing relevance and evidential weight, and the known tendency for positive pharmacological results to achieve publication more readily than null findings may bias the available evidence base. Second, the overwhelming majority of pharmacological studies on S. robusta have been conducted in vitro or in rodent models; the translation of these findings to human therapeutic applications remains unvalidated, with no randomised controlled clinical trials identified in the reviewed literature for any of the pharmacological endpoints discussed. Third, substantial variation in extraction methods, solvent systems, plant-part origins, geographic provenance, seasonal collection times, and bioassay conditions across studies makes direct numerical comparison of pharmacological data (such as minimum inhibitory concentration values) problematic and limits the generalisability of specific quantitative findings. Fourth, the phytochemical characterisation of S. robusta remains incomplete with respect to certain plant parts (roots, flowers) and compound families (alkaloids, saponins). Fifth, the review is restricted to English-language publications, potentially excluding relevant studies published in South Asian regional languages such as Hindi, Bengali, or Odia. Sixth, most of the in vitro pharmacological studies have been conducted using crude extracts rather than pure isolated compounds, making it difficult to assign activity unequivocally to specific phytochemical classes. These limitations collectively highlight the substantial research agenda that remains before the pharmacological potential of S. robusta can be fully realised and safely translated into evidence-based therapeutic applications.</w:t>
      </w:r>
    </w:p>
    <w:p w14:paraId="7B7D4515" w14:textId="0FD03F60" w:rsidR="00A71985" w:rsidRDefault="00A71985">
      <w:pPr>
        <w:spacing w:before="120" w:after="120" w:line="360" w:lineRule="auto"/>
        <w:ind w:firstLine="720"/>
        <w:jc w:val="both"/>
      </w:pPr>
    </w:p>
    <w:p w14:paraId="7172F7A2" w14:textId="77777777" w:rsidR="00A71985" w:rsidRPr="00A71985" w:rsidRDefault="00A71985" w:rsidP="00A71985">
      <w:pPr>
        <w:rPr>
          <w:rFonts w:eastAsia="Calibri"/>
          <w:kern w:val="2"/>
          <w:sz w:val="22"/>
          <w:szCs w:val="22"/>
          <w:highlight w:val="yellow"/>
        </w:rPr>
      </w:pPr>
      <w:bookmarkStart w:id="0" w:name="_Hlk198031404"/>
      <w:r w:rsidRPr="00A71985">
        <w:rPr>
          <w:rFonts w:eastAsia="Calibri"/>
          <w:kern w:val="2"/>
          <w:sz w:val="22"/>
          <w:szCs w:val="22"/>
          <w:highlight w:val="yellow"/>
        </w:rPr>
        <w:t>Disclaimer (Artificial intelligence)</w:t>
      </w:r>
    </w:p>
    <w:p w14:paraId="6293069F" w14:textId="77777777" w:rsidR="00A71985" w:rsidRPr="00A71985" w:rsidRDefault="00A71985" w:rsidP="00A71985">
      <w:pPr>
        <w:rPr>
          <w:rFonts w:eastAsia="Calibri"/>
          <w:kern w:val="2"/>
          <w:sz w:val="22"/>
          <w:szCs w:val="22"/>
          <w:highlight w:val="yellow"/>
        </w:rPr>
      </w:pPr>
    </w:p>
    <w:p w14:paraId="3D71FCDF" w14:textId="77777777" w:rsidR="00A71985" w:rsidRPr="00A71985" w:rsidRDefault="00A71985" w:rsidP="00A71985">
      <w:pPr>
        <w:rPr>
          <w:rFonts w:eastAsia="Calibri"/>
          <w:kern w:val="2"/>
          <w:sz w:val="22"/>
          <w:szCs w:val="22"/>
          <w:highlight w:val="yellow"/>
        </w:rPr>
      </w:pPr>
      <w:r w:rsidRPr="00A71985">
        <w:rPr>
          <w:rFonts w:eastAsia="Calibri"/>
          <w:kern w:val="2"/>
          <w:sz w:val="22"/>
          <w:szCs w:val="22"/>
          <w:highlight w:val="yellow"/>
        </w:rPr>
        <w:t xml:space="preserve">Author(s) hereby </w:t>
      </w:r>
      <w:proofErr w:type="gramStart"/>
      <w:r w:rsidRPr="00A71985">
        <w:rPr>
          <w:rFonts w:eastAsia="Calibri"/>
          <w:kern w:val="2"/>
          <w:sz w:val="22"/>
          <w:szCs w:val="22"/>
          <w:highlight w:val="yellow"/>
        </w:rPr>
        <w:t>declare</w:t>
      </w:r>
      <w:proofErr w:type="gramEnd"/>
      <w:r w:rsidRPr="00A71985">
        <w:rPr>
          <w:rFonts w:eastAsia="Calibri"/>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0"/>
    <w:p w14:paraId="431C0C62" w14:textId="77777777" w:rsidR="00A71985" w:rsidRDefault="00A71985">
      <w:pPr>
        <w:spacing w:before="120" w:after="120" w:line="360" w:lineRule="auto"/>
        <w:ind w:firstLine="720"/>
        <w:jc w:val="both"/>
      </w:pPr>
    </w:p>
    <w:p w14:paraId="65C7FD9C" w14:textId="77777777" w:rsidR="002634A1" w:rsidRDefault="002634A1">
      <w:pPr>
        <w:pageBreakBefore/>
      </w:pPr>
    </w:p>
    <w:p w14:paraId="44592B01" w14:textId="77777777" w:rsidR="002634A1" w:rsidRDefault="00E531AF">
      <w:pPr>
        <w:spacing w:before="240" w:after="180"/>
      </w:pPr>
      <w:r>
        <w:rPr>
          <w:b/>
          <w:bCs/>
          <w:sz w:val="28"/>
          <w:szCs w:val="28"/>
        </w:rPr>
        <w:t>References</w:t>
      </w:r>
    </w:p>
    <w:p w14:paraId="2BD39D55" w14:textId="77777777" w:rsidR="00E531AF" w:rsidRDefault="00E531AF">
      <w:pPr>
        <w:spacing w:before="100" w:after="100" w:line="320" w:lineRule="auto"/>
        <w:ind w:left="720" w:hanging="720"/>
        <w:jc w:val="both"/>
      </w:pPr>
      <w:r>
        <w:rPr>
          <w:sz w:val="22"/>
          <w:szCs w:val="22"/>
        </w:rPr>
        <w:t xml:space="preserve">Chattopadhyay, D., Mukherjee, H., Bag, P., Ojha, D., Konreddy, A. K., Dutta, S., Haldar, P., Chatterjee, T., Sharon, A., &amp; Chakraborti, S. (2012). Inhibition of NO₂, PGE₂, TNF-α and iNOS expression by Shorea robusta L.: an ethnomedicine used for antiinflammatory and analgesic activity. Evidence-Based Complementary and Alternative Medicine, 2012, Article ID 254849. </w:t>
      </w:r>
      <w:hyperlink r:id="rId7" w:history="1">
        <w:r w:rsidRPr="002D6E3D">
          <w:rPr>
            <w:rStyle w:val="Hyperlink"/>
            <w:sz w:val="22"/>
            <w:szCs w:val="22"/>
          </w:rPr>
          <w:t>https://doi.org/10.1155/2012/254849</w:t>
        </w:r>
      </w:hyperlink>
      <w:r>
        <w:rPr>
          <w:sz w:val="22"/>
          <w:szCs w:val="22"/>
        </w:rPr>
        <w:t xml:space="preserve"> </w:t>
      </w:r>
    </w:p>
    <w:p w14:paraId="704782CB" w14:textId="77777777" w:rsidR="00E531AF" w:rsidRDefault="00E531AF">
      <w:pPr>
        <w:spacing w:before="100" w:after="100" w:line="320" w:lineRule="auto"/>
        <w:ind w:left="720" w:hanging="720"/>
        <w:jc w:val="both"/>
      </w:pPr>
      <w:r>
        <w:rPr>
          <w:sz w:val="22"/>
          <w:szCs w:val="22"/>
        </w:rPr>
        <w:t xml:space="preserve">Dwivedi, V. P., Bhattacharya, D., Yadav, V., Singh, D. K., Kumar, S., Singh, M., Ojha, D., Ranganathan, A., Van Kaer, L., Chattopadhyay, D., &amp; Das, G. (2017). The phytochemical bergenin enhances T helper 1 responses and anti-mycobacterial immunity by activating the MAP kinase pathway in macrophages. Frontiers in Cellular and Infection Microbiology, 7, 149. </w:t>
      </w:r>
      <w:hyperlink r:id="rId8" w:history="1">
        <w:r w:rsidRPr="002D6E3D">
          <w:rPr>
            <w:rStyle w:val="Hyperlink"/>
            <w:sz w:val="22"/>
            <w:szCs w:val="22"/>
          </w:rPr>
          <w:t>https://doi.org/10.3389/fcimb.2017.00149</w:t>
        </w:r>
      </w:hyperlink>
      <w:r>
        <w:rPr>
          <w:sz w:val="22"/>
          <w:szCs w:val="22"/>
        </w:rPr>
        <w:t xml:space="preserve"> </w:t>
      </w:r>
    </w:p>
    <w:p w14:paraId="02719971" w14:textId="77777777" w:rsidR="00E531AF" w:rsidRDefault="00E531AF">
      <w:pPr>
        <w:spacing w:before="100" w:after="100" w:line="320" w:lineRule="auto"/>
        <w:ind w:left="720" w:hanging="720"/>
        <w:jc w:val="both"/>
      </w:pPr>
      <w:r>
        <w:rPr>
          <w:sz w:val="22"/>
          <w:szCs w:val="22"/>
        </w:rPr>
        <w:t>Ferrari, R. (2015). Writing narrative style literature reviews. Medical Writing, 24(4), 230–235. https://doi.org/10.1179/2047480615Z.000000000329</w:t>
      </w:r>
    </w:p>
    <w:p w14:paraId="5B18228C" w14:textId="77777777" w:rsidR="00E531AF" w:rsidRDefault="00E531AF" w:rsidP="00E531AF">
      <w:pPr>
        <w:spacing w:before="100" w:after="100" w:line="320" w:lineRule="auto"/>
        <w:ind w:left="720" w:hanging="720"/>
        <w:jc w:val="both"/>
      </w:pPr>
      <w:r w:rsidRPr="00A71985">
        <w:rPr>
          <w:lang w:val="fr-FR"/>
        </w:rPr>
        <w:t xml:space="preserve">Gautam, K. H., &amp; Devoe, N. N. (2006). </w:t>
      </w:r>
      <w:r>
        <w:t>Ecological and anthropogenic niches of sal (Shorea robusta Gaertn. f.) forest and prospects for multiple-product forest management–a review. Forestry, 79(1), 81-101. https://doi.org/10.1093/forestry/cpi063</w:t>
      </w:r>
    </w:p>
    <w:p w14:paraId="47F22BEE" w14:textId="77777777" w:rsidR="00E531AF" w:rsidRDefault="00E531AF">
      <w:pPr>
        <w:spacing w:before="100" w:after="100" w:line="320" w:lineRule="auto"/>
        <w:ind w:left="720" w:hanging="720"/>
        <w:jc w:val="both"/>
      </w:pPr>
      <w:r>
        <w:rPr>
          <w:sz w:val="22"/>
          <w:szCs w:val="22"/>
        </w:rPr>
        <w:t>Green, B. N., Johnson, C. D., &amp; Adams, A. (2006). Writing narrative literature reviews for peer-reviewed journals: Secrets of the trade. Journal of Chiropractic Medicine, 5(3), 101–117. https://doi.org/10.1016/S0899-3467(07)60142-6</w:t>
      </w:r>
    </w:p>
    <w:p w14:paraId="308C167D" w14:textId="77777777" w:rsidR="00E531AF" w:rsidRDefault="00E531AF">
      <w:pPr>
        <w:spacing w:before="100" w:after="100" w:line="320" w:lineRule="auto"/>
        <w:ind w:left="720" w:hanging="720"/>
        <w:jc w:val="both"/>
      </w:pPr>
      <w:r>
        <w:rPr>
          <w:sz w:val="22"/>
          <w:szCs w:val="22"/>
        </w:rPr>
        <w:t>Ito, T. (2020). Resveratrol oligomer structure in Dipterocarpaceaeous plants. Journal of Natural Medicines, 74(4), 619–637. https://doi.org/10.1007/s11418-020-01412-x</w:t>
      </w:r>
    </w:p>
    <w:p w14:paraId="094788C3" w14:textId="77777777" w:rsidR="00E531AF" w:rsidRDefault="00E531AF">
      <w:pPr>
        <w:spacing w:before="100" w:after="100" w:line="320" w:lineRule="auto"/>
        <w:ind w:left="720" w:hanging="720"/>
        <w:jc w:val="both"/>
      </w:pPr>
      <w:r>
        <w:rPr>
          <w:sz w:val="22"/>
          <w:szCs w:val="22"/>
        </w:rPr>
        <w:t>Liu, G., Qin, P., Cheng, X., Wu, L., Zhao, W., &amp; Gao, W. (2024). Evaluation of the mechanistic basis for the antibacterial activity of ursolic acid against Staphylococcus aureus. Frontiers in Microbiology, 15, 1389242. https://doi.org/10.3389/fmicb.2024.1389242</w:t>
      </w:r>
    </w:p>
    <w:p w14:paraId="18566208" w14:textId="77777777" w:rsidR="00E531AF" w:rsidRDefault="00E531AF" w:rsidP="00E531AF">
      <w:pPr>
        <w:spacing w:before="100" w:after="100" w:line="320" w:lineRule="auto"/>
        <w:ind w:left="720" w:hanging="720"/>
        <w:jc w:val="both"/>
      </w:pPr>
      <w:r>
        <w:t xml:space="preserve">Marandi, R. R., Britto, S. J., &amp; Soreng, P. K. (2016). Phytochemical profiling, antibacterial screening and antioxidant properties of the sacred tree (Shorea robusta Gaertn.) of Jharkhand. International Journal of Pharmaceutical Sciences and Research, 7(7), 2874. http://doi.org/10.13040/IJPSR.0975-8232.7(7).2874-88 </w:t>
      </w:r>
    </w:p>
    <w:p w14:paraId="44FB816E" w14:textId="77777777" w:rsidR="00E531AF" w:rsidRDefault="00E531AF">
      <w:pPr>
        <w:spacing w:before="100" w:after="100" w:line="320" w:lineRule="auto"/>
        <w:ind w:left="720" w:hanging="720"/>
        <w:jc w:val="both"/>
      </w:pPr>
      <w:r>
        <w:rPr>
          <w:sz w:val="22"/>
          <w:szCs w:val="22"/>
        </w:rPr>
        <w:t>Muhammad, N., Din, L. B., Sahidin, I., Hashim, S. F., Ibrahim, N., Zakaria, Z., &amp; Yaacob, W. A. (2012). Acuminatol and other antioxidative resveratrol oligomers from the stem bark of Shorea acuminata. Molecules, 17(8), 9043–9055. https://doi.org/10.3390/molecules17089043</w:t>
      </w:r>
    </w:p>
    <w:p w14:paraId="7FA13F76" w14:textId="77777777" w:rsidR="00E531AF" w:rsidRDefault="00E531AF">
      <w:pPr>
        <w:spacing w:before="100" w:after="100" w:line="320" w:lineRule="auto"/>
        <w:ind w:left="720" w:hanging="720"/>
        <w:jc w:val="both"/>
      </w:pPr>
      <w:r>
        <w:rPr>
          <w:sz w:val="22"/>
          <w:szCs w:val="22"/>
        </w:rPr>
        <w:t>Mukherjee, H., Ojha, D., Bharitkar, Y. P., Ghosh, S., Mondal, S., Kaity, S., Dutta, S., Samanta, A., Chatterjee, T. K., Chakrabarti, S., Mondal, N. B., &amp; Chattopadhyay, D. (2013). Evaluation of the wound healing activity of Shorea robusta, an Indian ethnomedicine, and its isolated constituent(s) in topical formulation. Journal of Ethnopharmacology, 149(1), 335–343. https://doi.org/10.1016/j.jep.2013.06.045</w:t>
      </w:r>
    </w:p>
    <w:p w14:paraId="680C7E49" w14:textId="77777777" w:rsidR="00E531AF" w:rsidRPr="00A71985" w:rsidRDefault="00E531AF">
      <w:pPr>
        <w:spacing w:before="100" w:after="100" w:line="320" w:lineRule="auto"/>
        <w:ind w:left="720" w:hanging="720"/>
        <w:jc w:val="both"/>
        <w:rPr>
          <w:lang w:val="fr-FR"/>
        </w:rPr>
      </w:pPr>
      <w:r>
        <w:rPr>
          <w:sz w:val="22"/>
          <w:szCs w:val="22"/>
        </w:rPr>
        <w:lastRenderedPageBreak/>
        <w:t xml:space="preserve">Musa, A., Aminah, N. S., Kristanti, A. N., Fathoni, I., Amalia, R. T., Thant, T. M., Rajasulochana, P., &amp; Takaya, Y. (2024). Phytochemical and pharmacological profile of genus Shorea: A review of the recent literature. </w:t>
      </w:r>
      <w:r w:rsidRPr="00A71985">
        <w:rPr>
          <w:sz w:val="22"/>
          <w:szCs w:val="22"/>
          <w:lang w:val="fr-FR"/>
        </w:rPr>
        <w:t>Heliyon, 10(2), e23649. https://doi.org/10.1016/j.heliyon.2023.e23649</w:t>
      </w:r>
    </w:p>
    <w:p w14:paraId="4255B06E" w14:textId="77777777" w:rsidR="00E531AF" w:rsidRDefault="00E531AF">
      <w:pPr>
        <w:spacing w:before="100" w:after="100" w:line="320" w:lineRule="auto"/>
        <w:ind w:left="720" w:hanging="720"/>
        <w:jc w:val="both"/>
      </w:pPr>
      <w:r w:rsidRPr="00A71985">
        <w:rPr>
          <w:sz w:val="22"/>
          <w:szCs w:val="22"/>
          <w:lang w:val="fr-FR"/>
        </w:rPr>
        <w:t xml:space="preserve">Samantaray, B., Adhikari, L., &amp; Nanda, A. et al. </w:t>
      </w:r>
      <w:r>
        <w:rPr>
          <w:sz w:val="22"/>
          <w:szCs w:val="22"/>
        </w:rPr>
        <w:t>(2026). Hepatoprotective mechanism of Shorea robusta Gaertn. f. against isoniazid-induced hepatotoxicity by targeting TNF-α, TGF-β1, and PPAR-α: Insights from computational profiling to immunohistochemical confirmation. Cell Biochemistry and Biophysics. https://doi.org/10.1007/s12013-026-01988-3</w:t>
      </w:r>
    </w:p>
    <w:p w14:paraId="6C5E33BD" w14:textId="77777777" w:rsidR="00E531AF" w:rsidRDefault="00E531AF" w:rsidP="00E531AF">
      <w:pPr>
        <w:spacing w:before="100" w:after="100" w:line="320" w:lineRule="auto"/>
        <w:ind w:left="720" w:hanging="720"/>
        <w:jc w:val="both"/>
      </w:pPr>
      <w:r>
        <w:t xml:space="preserve">Shahabuddin, M. M., Yen, K. H., Nyokat, N. A., Fong, I. L., &amp; Wibowo, A. (2025). Ethnobotanical applications and antimicrobial potential of the Shorea genus. Medicinal Plants-International Journal of Phytomedicines and Related Industries, 17(4), 630-643. http://dx.doi.org/10.5958/0975-6892.2025.00068.1 </w:t>
      </w:r>
    </w:p>
    <w:p w14:paraId="74F3DA4F" w14:textId="77777777" w:rsidR="00E531AF" w:rsidRDefault="00E531AF" w:rsidP="00E531AF">
      <w:pPr>
        <w:spacing w:before="100" w:after="100" w:line="320" w:lineRule="auto"/>
        <w:ind w:left="720" w:hanging="720"/>
        <w:jc w:val="both"/>
      </w:pPr>
      <w:r>
        <w:t xml:space="preserve">Sheetal, V. S., Johar, V. I. S. H. A. L., &amp; Dhyani, A. B. H. I. S. H. E. K. (2024). A review on importance of Sal tree (Shorea robusta) as an interminable wood. Asian Journal of Microbiology, Biotechnology &amp; Environmental Sciences, 26(1), 153-156. http://doi.org/10.53550/AJMBES.2024.v26i01.025 </w:t>
      </w:r>
    </w:p>
    <w:p w14:paraId="4A0B0441" w14:textId="77777777" w:rsidR="00E531AF" w:rsidRDefault="00E531AF">
      <w:pPr>
        <w:spacing w:before="100" w:after="100" w:line="320" w:lineRule="auto"/>
        <w:ind w:left="720" w:hanging="720"/>
        <w:jc w:val="both"/>
      </w:pPr>
      <w:r>
        <w:rPr>
          <w:sz w:val="22"/>
          <w:szCs w:val="22"/>
        </w:rPr>
        <w:t>Shen, J., Zhou, Q., Li, P., Wang, Z., Liu, S., He, C., Zhang, C., &amp; Xiao, P. (2017). Update on phytochemistry and pharmacology of naturally occurring resveratrol oligomers. Molecules, 22(12), 2050. https://doi.org/10.3390/molecules22122050</w:t>
      </w:r>
    </w:p>
    <w:p w14:paraId="23AF1FAF" w14:textId="77777777" w:rsidR="00E531AF" w:rsidRDefault="00E531AF" w:rsidP="00E531AF">
      <w:pPr>
        <w:spacing w:before="100" w:after="100" w:line="320" w:lineRule="auto"/>
        <w:ind w:left="720" w:hanging="720"/>
        <w:jc w:val="both"/>
      </w:pPr>
      <w:r>
        <w:t xml:space="preserve">Shrestha, B. K., Dhungana, B., Shakya, J., Shrestha, R., &amp; Chauhan, S. (2022). Phytochemical and Antimicrobial Screening of Bark Extract of Shorea robusta (Sal). Nepal Journal of Biotechnology, 10(1), 25-31. https://distantreader.org/stacks/journals/njb/njb-227.pdf </w:t>
      </w:r>
    </w:p>
    <w:p w14:paraId="105F4FE6" w14:textId="77777777" w:rsidR="00E531AF" w:rsidRDefault="00E531AF">
      <w:pPr>
        <w:spacing w:before="100" w:after="100" w:line="320" w:lineRule="auto"/>
        <w:ind w:left="720" w:hanging="720"/>
        <w:jc w:val="both"/>
      </w:pPr>
      <w:r>
        <w:rPr>
          <w:sz w:val="22"/>
          <w:szCs w:val="22"/>
        </w:rPr>
        <w:t>Sotheeswaran, S., &amp; Pasupathy, V. (1993). Distribution of resveratrol oligomers in plants. Phytochemistry, 32(5), 1083–1092. https://doi.org/10.1016/S0031-9422(00)95070-2</w:t>
      </w:r>
    </w:p>
    <w:p w14:paraId="3388DD6F" w14:textId="77777777" w:rsidR="00E531AF" w:rsidRDefault="00E531AF">
      <w:pPr>
        <w:spacing w:before="100" w:after="100" w:line="320" w:lineRule="auto"/>
        <w:ind w:left="720" w:hanging="720"/>
        <w:jc w:val="both"/>
      </w:pPr>
      <w:r>
        <w:rPr>
          <w:sz w:val="22"/>
          <w:szCs w:val="22"/>
        </w:rPr>
        <w:t>Sukhera, J. (2022). Narrative reviews: Flexible, rigorous, and practical. Journal of Graduate Medical Education, 14(4), 414–417. https://doi.org/10.4300/JGME-D-22-00480.1</w:t>
      </w:r>
    </w:p>
    <w:p w14:paraId="24A3AB9D" w14:textId="77777777" w:rsidR="00E531AF" w:rsidRDefault="00E531AF">
      <w:pPr>
        <w:spacing w:before="100" w:after="100" w:line="320" w:lineRule="auto"/>
        <w:ind w:left="720" w:hanging="720"/>
        <w:jc w:val="both"/>
      </w:pPr>
      <w:r w:rsidRPr="00A71985">
        <w:rPr>
          <w:sz w:val="22"/>
          <w:szCs w:val="22"/>
          <w:lang w:val="fr-FR"/>
        </w:rPr>
        <w:t xml:space="preserve">Thombare, N., Lohot, V. D., Kumari, U., &amp; Prasad, N. (2024). </w:t>
      </w:r>
      <w:r>
        <w:rPr>
          <w:sz w:val="22"/>
          <w:szCs w:val="22"/>
        </w:rPr>
        <w:t>Sal (Shorea robusta) forests of India: Importance, threats and future potential. Journal of Non-Timber Forest Products, 31(4), 269–279. https://doi.org/10.54207/bsmps2000-2024-M9U3UB</w:t>
      </w:r>
    </w:p>
    <w:p w14:paraId="35FB7A08" w14:textId="77777777" w:rsidR="00E531AF" w:rsidRDefault="00E531AF" w:rsidP="00E531AF">
      <w:pPr>
        <w:spacing w:before="100" w:after="100" w:line="320" w:lineRule="auto"/>
        <w:ind w:left="720" w:hanging="720"/>
        <w:jc w:val="both"/>
      </w:pPr>
      <w:r w:rsidRPr="00AF6E49">
        <w:rPr>
          <w:lang w:val="es-US"/>
        </w:rPr>
        <w:t xml:space="preserve">Yadav, P., &amp; Antil, R. S. (2023). </w:t>
      </w:r>
      <w:r>
        <w:t xml:space="preserve">Utilizing the multi-faceted potential of Shorea robusta in 2023: a comprehensive review. International Journal for Research in Applied Science &amp; Engineering Technology, 11(10), 161-168. https://doi.org/10.22214/ijraset.2023.55963 </w:t>
      </w:r>
    </w:p>
    <w:p w14:paraId="0B855023" w14:textId="77777777" w:rsidR="00E531AF" w:rsidRDefault="00E531AF">
      <w:pPr>
        <w:spacing w:before="100" w:after="100" w:line="320" w:lineRule="auto"/>
        <w:ind w:left="720" w:hanging="720"/>
        <w:jc w:val="both"/>
      </w:pPr>
      <w:r w:rsidRPr="00AF6E49">
        <w:rPr>
          <w:sz w:val="22"/>
          <w:szCs w:val="22"/>
          <w:lang w:val="es-US"/>
        </w:rPr>
        <w:t xml:space="preserve">Yaseen Khan, M., Ali, S. A., &amp; Pundarikakshudu, K. (2016). </w:t>
      </w:r>
      <w:r>
        <w:rPr>
          <w:sz w:val="22"/>
          <w:szCs w:val="22"/>
        </w:rPr>
        <w:t>Wound healing activity of extracts derived from Shorea robusta resin. Pharmaceutical Biology, 54(3), 542–548. https://doi.org/10.3109/13880209.2015.1052886</w:t>
      </w:r>
    </w:p>
    <w:p w14:paraId="3BCAD8C0" w14:textId="77777777" w:rsidR="008D6794" w:rsidRDefault="00E531AF" w:rsidP="008D6794">
      <w:pPr>
        <w:spacing w:before="100" w:after="100" w:line="320" w:lineRule="auto"/>
        <w:ind w:left="720" w:hanging="720"/>
        <w:jc w:val="both"/>
      </w:pPr>
      <w:r>
        <w:rPr>
          <w:sz w:val="22"/>
          <w:szCs w:val="22"/>
        </w:rPr>
        <w:lastRenderedPageBreak/>
        <w:t xml:space="preserve">Zetterström, C. E., Hasselgren, J., Salin, O., Davis, R. A., Quinn, R. J., Sundin, C., &amp; Elofsson, M. (2013). The resveratrol tetramer (−)-hopeaphenol inhibits type III secretion in the gram-negative pathogens Yersinia pseudotuberculosis and Pseudomonas aeruginosa. PLOS ONE, 8(12), e81969. </w:t>
      </w:r>
      <w:hyperlink r:id="rId9" w:history="1">
        <w:r w:rsidRPr="002D6E3D">
          <w:rPr>
            <w:rStyle w:val="Hyperlink"/>
            <w:sz w:val="22"/>
            <w:szCs w:val="22"/>
          </w:rPr>
          <w:t>https://doi.org/10.1371/journal.pone.0081969</w:t>
        </w:r>
      </w:hyperlink>
      <w:r w:rsidR="008D6794">
        <w:t xml:space="preserve"> </w:t>
      </w:r>
    </w:p>
    <w:p w14:paraId="024AD02C" w14:textId="77777777" w:rsidR="008D6794" w:rsidRPr="00AF6E49" w:rsidRDefault="008D6794" w:rsidP="008D6794">
      <w:pPr>
        <w:spacing w:before="100" w:after="100" w:line="320" w:lineRule="auto"/>
        <w:ind w:left="720" w:hanging="720"/>
        <w:jc w:val="both"/>
        <w:rPr>
          <w:highlight w:val="yellow"/>
        </w:rPr>
      </w:pPr>
      <w:r w:rsidRPr="00AF6E49">
        <w:rPr>
          <w:highlight w:val="yellow"/>
        </w:rPr>
        <w:t>Sharma, A., Bhardwaj, D. R., Thakur, C. L., Katoch, N., &amp; Sharma, J. P. (2025). Floristic diversity and dominance patterns of Sal (Shorea robusta Gaertn. f.) forests in North Western Himalayas: implications for conservation and sustainable management. </w:t>
      </w:r>
      <w:r w:rsidRPr="00AF6E49">
        <w:rPr>
          <w:i/>
          <w:iCs/>
          <w:highlight w:val="yellow"/>
        </w:rPr>
        <w:t>Frontiers in Forests and Global Change</w:t>
      </w:r>
      <w:r w:rsidRPr="00AF6E49">
        <w:rPr>
          <w:highlight w:val="yellow"/>
        </w:rPr>
        <w:t>, </w:t>
      </w:r>
      <w:r w:rsidRPr="00AF6E49">
        <w:rPr>
          <w:i/>
          <w:iCs/>
          <w:highlight w:val="yellow"/>
        </w:rPr>
        <w:t>8</w:t>
      </w:r>
      <w:r w:rsidRPr="00AF6E49">
        <w:rPr>
          <w:highlight w:val="yellow"/>
        </w:rPr>
        <w:t xml:space="preserve">. </w:t>
      </w:r>
      <w:hyperlink r:id="rId10" w:history="1">
        <w:r w:rsidRPr="00AF6E49">
          <w:rPr>
            <w:rStyle w:val="Hyperlink"/>
            <w:highlight w:val="yellow"/>
          </w:rPr>
          <w:t>https://doi.org/10.3389/ffgc.2025.1524808</w:t>
        </w:r>
      </w:hyperlink>
      <w:r w:rsidRPr="00AF6E49">
        <w:rPr>
          <w:highlight w:val="yellow"/>
        </w:rPr>
        <w:t xml:space="preserve"> </w:t>
      </w:r>
    </w:p>
    <w:p w14:paraId="4B6C3652" w14:textId="77777777" w:rsidR="008D6794" w:rsidRPr="00AF6E49" w:rsidRDefault="008D6794" w:rsidP="008D6794">
      <w:pPr>
        <w:spacing w:before="100" w:after="100" w:line="320" w:lineRule="auto"/>
        <w:ind w:left="720" w:hanging="720"/>
        <w:jc w:val="both"/>
        <w:rPr>
          <w:highlight w:val="yellow"/>
        </w:rPr>
      </w:pPr>
      <w:r w:rsidRPr="00AF6E49">
        <w:rPr>
          <w:highlight w:val="yellow"/>
        </w:rPr>
        <w:t>S</w:t>
      </w:r>
      <w:r w:rsidRPr="00AF6E49">
        <w:rPr>
          <w:highlight w:val="yellow"/>
        </w:rPr>
        <w:t>harma</w:t>
      </w:r>
      <w:r w:rsidRPr="00AF6E49">
        <w:rPr>
          <w:highlight w:val="yellow"/>
        </w:rPr>
        <w:t>, M. (2022). Shorea robusta Gaertn.f: A review on its importance, entomological problems and management in the Indian sub-continent. </w:t>
      </w:r>
      <w:r w:rsidRPr="00AF6E49">
        <w:rPr>
          <w:i/>
          <w:iCs/>
          <w:highlight w:val="yellow"/>
        </w:rPr>
        <w:t>Indian Forester</w:t>
      </w:r>
      <w:r w:rsidRPr="00AF6E49">
        <w:rPr>
          <w:highlight w:val="yellow"/>
        </w:rPr>
        <w:t>, </w:t>
      </w:r>
      <w:r w:rsidRPr="00AF6E49">
        <w:rPr>
          <w:i/>
          <w:iCs/>
          <w:highlight w:val="yellow"/>
        </w:rPr>
        <w:t>148</w:t>
      </w:r>
      <w:r w:rsidRPr="00AF6E49">
        <w:rPr>
          <w:highlight w:val="yellow"/>
        </w:rPr>
        <w:t xml:space="preserve">(6), 606. </w:t>
      </w:r>
      <w:hyperlink r:id="rId11" w:history="1">
        <w:r w:rsidRPr="00AF6E49">
          <w:rPr>
            <w:rStyle w:val="Hyperlink"/>
            <w:highlight w:val="yellow"/>
          </w:rPr>
          <w:t>https://doi.org/10.36808/if/2022/v148i6/156842</w:t>
        </w:r>
      </w:hyperlink>
      <w:r w:rsidRPr="00AF6E49">
        <w:rPr>
          <w:highlight w:val="yellow"/>
        </w:rPr>
        <w:t xml:space="preserve"> </w:t>
      </w:r>
    </w:p>
    <w:p w14:paraId="1D197E42" w14:textId="77777777" w:rsidR="00AF6E49" w:rsidRPr="00AF6E49" w:rsidRDefault="00AF6E49" w:rsidP="008D6794">
      <w:pPr>
        <w:spacing w:before="100" w:after="100" w:line="320" w:lineRule="auto"/>
        <w:ind w:left="720" w:hanging="720"/>
        <w:jc w:val="both"/>
        <w:rPr>
          <w:highlight w:val="yellow"/>
        </w:rPr>
      </w:pPr>
      <w:r w:rsidRPr="00AF6E49">
        <w:rPr>
          <w:highlight w:val="yellow"/>
        </w:rPr>
        <w:t>Thapa, D., Naik, B., Kumar, V., Saris, P. E. J., Gupta, A. K., &amp; Kumar, V. (2025). Sal (Shorea robusta) seed oil: A sustainable alternative for cocoa butter and edible oil. </w:t>
      </w:r>
      <w:r w:rsidRPr="00AF6E49">
        <w:rPr>
          <w:i/>
          <w:iCs/>
          <w:highlight w:val="yellow"/>
        </w:rPr>
        <w:t>Future Foods</w:t>
      </w:r>
      <w:r w:rsidRPr="00AF6E49">
        <w:rPr>
          <w:highlight w:val="yellow"/>
        </w:rPr>
        <w:t>, </w:t>
      </w:r>
      <w:r w:rsidRPr="00AF6E49">
        <w:rPr>
          <w:i/>
          <w:iCs/>
          <w:highlight w:val="yellow"/>
        </w:rPr>
        <w:t>11</w:t>
      </w:r>
      <w:r w:rsidRPr="00AF6E49">
        <w:rPr>
          <w:highlight w:val="yellow"/>
        </w:rPr>
        <w:t>, 100655.</w:t>
      </w:r>
      <w:r w:rsidRPr="00AF6E49">
        <w:rPr>
          <w:highlight w:val="yellow"/>
        </w:rPr>
        <w:t xml:space="preserve">  </w:t>
      </w:r>
    </w:p>
    <w:p w14:paraId="457390B7" w14:textId="215D8DE6" w:rsidR="00AF6E49" w:rsidRPr="00AF6E49" w:rsidRDefault="00AF6E49" w:rsidP="008D6794">
      <w:pPr>
        <w:spacing w:before="100" w:after="100" w:line="320" w:lineRule="auto"/>
        <w:ind w:left="720" w:hanging="720"/>
        <w:jc w:val="both"/>
        <w:rPr>
          <w:highlight w:val="yellow"/>
        </w:rPr>
      </w:pPr>
      <w:r w:rsidRPr="00AF6E49">
        <w:rPr>
          <w:highlight w:val="yellow"/>
        </w:rPr>
        <w:t>Behera, A., &amp; Jothinathan, M. K. D. (2025). Biogenic Nanoparticles of Co, Zn, Se and Ni via Shorea robusta Extract: Comparative Insights into Antimicrobial, Antioxidant and Toxic Effects. </w:t>
      </w:r>
      <w:r w:rsidRPr="00AF6E49">
        <w:rPr>
          <w:i/>
          <w:iCs/>
          <w:highlight w:val="yellow"/>
        </w:rPr>
        <w:t>Nano LIFE</w:t>
      </w:r>
      <w:r w:rsidRPr="00AF6E49">
        <w:rPr>
          <w:highlight w:val="yellow"/>
        </w:rPr>
        <w:t>, 2550011.</w:t>
      </w:r>
    </w:p>
    <w:p w14:paraId="18E97A20" w14:textId="77777777" w:rsidR="008D6794" w:rsidRPr="008D6794" w:rsidRDefault="008D6794" w:rsidP="008D6794">
      <w:pPr>
        <w:spacing w:before="100" w:after="100" w:line="320" w:lineRule="auto"/>
        <w:ind w:left="720" w:hanging="720"/>
        <w:jc w:val="both"/>
      </w:pPr>
      <w:r w:rsidRPr="00AF6E49">
        <w:rPr>
          <w:highlight w:val="yellow"/>
        </w:rPr>
        <w:t>‌</w:t>
      </w:r>
    </w:p>
    <w:p w14:paraId="03834368" w14:textId="4FFEE0AF" w:rsidR="008D6794" w:rsidRPr="008D6794" w:rsidRDefault="008D6794" w:rsidP="008D6794">
      <w:pPr>
        <w:spacing w:before="100" w:after="100" w:line="320" w:lineRule="auto"/>
        <w:ind w:left="720" w:hanging="720"/>
        <w:jc w:val="both"/>
      </w:pPr>
    </w:p>
    <w:p w14:paraId="5DBDAD71" w14:textId="77777777" w:rsidR="008D6794" w:rsidRPr="008D6794" w:rsidRDefault="008D6794" w:rsidP="008D6794">
      <w:pPr>
        <w:spacing w:before="100" w:after="100" w:line="320" w:lineRule="auto"/>
        <w:ind w:left="720" w:hanging="720"/>
        <w:jc w:val="both"/>
      </w:pPr>
      <w:r w:rsidRPr="008D6794">
        <w:t>‌</w:t>
      </w:r>
    </w:p>
    <w:p w14:paraId="5FCFC046" w14:textId="50B3BEE3" w:rsidR="008D6794" w:rsidRPr="008D6794" w:rsidRDefault="008D6794" w:rsidP="008D6794">
      <w:pPr>
        <w:spacing w:before="100" w:after="100" w:line="320" w:lineRule="auto"/>
        <w:ind w:left="720" w:hanging="720"/>
        <w:jc w:val="both"/>
      </w:pPr>
    </w:p>
    <w:p w14:paraId="40102475" w14:textId="77777777" w:rsidR="008D6794" w:rsidRPr="008D6794" w:rsidRDefault="008D6794" w:rsidP="008D6794">
      <w:pPr>
        <w:spacing w:before="100" w:after="100" w:line="320" w:lineRule="auto"/>
        <w:ind w:left="720" w:hanging="720"/>
        <w:jc w:val="both"/>
      </w:pPr>
      <w:r w:rsidRPr="008D6794">
        <w:t>‌</w:t>
      </w:r>
    </w:p>
    <w:p w14:paraId="14601048" w14:textId="46536CFA" w:rsidR="00E531AF" w:rsidRDefault="00E531AF">
      <w:pPr>
        <w:spacing w:before="100" w:after="100" w:line="320" w:lineRule="auto"/>
        <w:ind w:left="720" w:hanging="720"/>
        <w:jc w:val="both"/>
        <w:rPr>
          <w:sz w:val="22"/>
          <w:szCs w:val="22"/>
        </w:rPr>
      </w:pPr>
    </w:p>
    <w:sectPr w:rsidR="00E531AF" w:rsidSect="002634A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1BFE" w14:textId="77777777" w:rsidR="00A46229" w:rsidRDefault="00A46229" w:rsidP="000A3C13">
      <w:r>
        <w:separator/>
      </w:r>
    </w:p>
  </w:endnote>
  <w:endnote w:type="continuationSeparator" w:id="0">
    <w:p w14:paraId="49DA2308" w14:textId="77777777" w:rsidR="00A46229" w:rsidRDefault="00A46229" w:rsidP="000A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9409" w14:textId="77777777" w:rsidR="000A3C13" w:rsidRDefault="000A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EA5B" w14:textId="77777777" w:rsidR="000A3C13" w:rsidRDefault="000A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E71F" w14:textId="77777777" w:rsidR="000A3C13" w:rsidRDefault="000A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6DC5" w14:textId="77777777" w:rsidR="00A46229" w:rsidRDefault="00A46229" w:rsidP="000A3C13">
      <w:r>
        <w:separator/>
      </w:r>
    </w:p>
  </w:footnote>
  <w:footnote w:type="continuationSeparator" w:id="0">
    <w:p w14:paraId="7FE6E2D4" w14:textId="77777777" w:rsidR="00A46229" w:rsidRDefault="00A46229" w:rsidP="000A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1AAF" w14:textId="5F2819A5" w:rsidR="000A3C13" w:rsidRDefault="00000000">
    <w:pPr>
      <w:pStyle w:val="Header"/>
    </w:pPr>
    <w:r>
      <w:rPr>
        <w:noProof/>
      </w:rPr>
      <w:pict w14:anchorId="03A80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7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A6DD" w14:textId="7853C66F" w:rsidR="000A3C13" w:rsidRDefault="00000000">
    <w:pPr>
      <w:pStyle w:val="Header"/>
    </w:pPr>
    <w:r>
      <w:rPr>
        <w:noProof/>
      </w:rPr>
      <w:pict w14:anchorId="5870B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7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0D1A" w14:textId="2DE6E1B6" w:rsidR="000A3C13" w:rsidRDefault="00000000">
    <w:pPr>
      <w:pStyle w:val="Header"/>
    </w:pPr>
    <w:r>
      <w:rPr>
        <w:noProof/>
      </w:rPr>
      <w:pict w14:anchorId="06A97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7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E09A2"/>
    <w:multiLevelType w:val="hybridMultilevel"/>
    <w:tmpl w:val="75C48358"/>
    <w:lvl w:ilvl="0" w:tplc="58A8A4D8">
      <w:start w:val="1"/>
      <w:numFmt w:val="bullet"/>
      <w:lvlText w:val="●"/>
      <w:lvlJc w:val="left"/>
      <w:pPr>
        <w:ind w:left="720" w:hanging="360"/>
      </w:pPr>
    </w:lvl>
    <w:lvl w:ilvl="1" w:tplc="9104E5D6">
      <w:start w:val="1"/>
      <w:numFmt w:val="bullet"/>
      <w:lvlText w:val="○"/>
      <w:lvlJc w:val="left"/>
      <w:pPr>
        <w:ind w:left="1440" w:hanging="360"/>
      </w:pPr>
    </w:lvl>
    <w:lvl w:ilvl="2" w:tplc="E53E1450">
      <w:start w:val="1"/>
      <w:numFmt w:val="bullet"/>
      <w:lvlText w:val="■"/>
      <w:lvlJc w:val="left"/>
      <w:pPr>
        <w:ind w:left="2160" w:hanging="360"/>
      </w:pPr>
    </w:lvl>
    <w:lvl w:ilvl="3" w:tplc="C0A8915E">
      <w:start w:val="1"/>
      <w:numFmt w:val="bullet"/>
      <w:lvlText w:val="●"/>
      <w:lvlJc w:val="left"/>
      <w:pPr>
        <w:ind w:left="2880" w:hanging="360"/>
      </w:pPr>
    </w:lvl>
    <w:lvl w:ilvl="4" w:tplc="681C65FA">
      <w:start w:val="1"/>
      <w:numFmt w:val="bullet"/>
      <w:lvlText w:val="○"/>
      <w:lvlJc w:val="left"/>
      <w:pPr>
        <w:ind w:left="3600" w:hanging="360"/>
      </w:pPr>
    </w:lvl>
    <w:lvl w:ilvl="5" w:tplc="AD0665CA">
      <w:start w:val="1"/>
      <w:numFmt w:val="bullet"/>
      <w:lvlText w:val="■"/>
      <w:lvlJc w:val="left"/>
      <w:pPr>
        <w:ind w:left="4320" w:hanging="360"/>
      </w:pPr>
    </w:lvl>
    <w:lvl w:ilvl="6" w:tplc="5CC21BA2">
      <w:start w:val="1"/>
      <w:numFmt w:val="bullet"/>
      <w:lvlText w:val="●"/>
      <w:lvlJc w:val="left"/>
      <w:pPr>
        <w:ind w:left="5040" w:hanging="360"/>
      </w:pPr>
    </w:lvl>
    <w:lvl w:ilvl="7" w:tplc="684CAE1E">
      <w:start w:val="1"/>
      <w:numFmt w:val="bullet"/>
      <w:lvlText w:val="●"/>
      <w:lvlJc w:val="left"/>
      <w:pPr>
        <w:ind w:left="5760" w:hanging="360"/>
      </w:pPr>
    </w:lvl>
    <w:lvl w:ilvl="8" w:tplc="233C1062">
      <w:start w:val="1"/>
      <w:numFmt w:val="bullet"/>
      <w:lvlText w:val="●"/>
      <w:lvlJc w:val="left"/>
      <w:pPr>
        <w:ind w:left="6480" w:hanging="360"/>
      </w:pPr>
    </w:lvl>
  </w:abstractNum>
  <w:num w:numId="1" w16cid:durableId="1619988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1MDAxNQQxLE2NlXSUglOLizPz80AKDGsBPhIykSwAAAA="/>
  </w:docVars>
  <w:rsids>
    <w:rsidRoot w:val="002634A1"/>
    <w:rsid w:val="000A3C13"/>
    <w:rsid w:val="0010755F"/>
    <w:rsid w:val="002634A1"/>
    <w:rsid w:val="003C3F22"/>
    <w:rsid w:val="00453405"/>
    <w:rsid w:val="004E59A4"/>
    <w:rsid w:val="005161FF"/>
    <w:rsid w:val="006B3098"/>
    <w:rsid w:val="008D6794"/>
    <w:rsid w:val="009A42B9"/>
    <w:rsid w:val="00A46229"/>
    <w:rsid w:val="00A71985"/>
    <w:rsid w:val="00AF6E49"/>
    <w:rsid w:val="00D2337C"/>
    <w:rsid w:val="00E531AF"/>
    <w:rsid w:val="00FA12E4"/>
    <w:rsid w:val="00FC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5F913"/>
  <w15:docId w15:val="{7852A683-3A30-4E6F-B3B6-1BE09C9C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2634A1"/>
    <w:pPr>
      <w:spacing w:before="360" w:after="180"/>
      <w:outlineLvl w:val="0"/>
    </w:pPr>
    <w:rPr>
      <w:b/>
      <w:bCs/>
      <w:color w:val="000000"/>
      <w:sz w:val="28"/>
      <w:szCs w:val="28"/>
    </w:rPr>
  </w:style>
  <w:style w:type="paragraph" w:styleId="Heading2">
    <w:name w:val="heading 2"/>
    <w:qFormat/>
    <w:rsid w:val="002634A1"/>
    <w:pPr>
      <w:spacing w:before="240" w:after="120"/>
      <w:outlineLvl w:val="1"/>
    </w:pPr>
    <w:rPr>
      <w:b/>
      <w:bCs/>
      <w:color w:val="000000"/>
      <w:sz w:val="26"/>
      <w:szCs w:val="26"/>
    </w:rPr>
  </w:style>
  <w:style w:type="paragraph" w:styleId="Heading3">
    <w:name w:val="heading 3"/>
    <w:qFormat/>
    <w:rsid w:val="002634A1"/>
    <w:pPr>
      <w:spacing w:before="180" w:after="100"/>
      <w:outlineLvl w:val="2"/>
    </w:pPr>
    <w:rPr>
      <w:b/>
      <w:bCs/>
      <w:i/>
      <w:iCs/>
      <w:color w:val="000000"/>
    </w:rPr>
  </w:style>
  <w:style w:type="paragraph" w:styleId="Heading4">
    <w:name w:val="heading 4"/>
    <w:qFormat/>
    <w:rsid w:val="002634A1"/>
    <w:pPr>
      <w:outlineLvl w:val="3"/>
    </w:pPr>
    <w:rPr>
      <w:i/>
      <w:iCs/>
      <w:color w:val="2E74B5"/>
    </w:rPr>
  </w:style>
  <w:style w:type="paragraph" w:styleId="Heading5">
    <w:name w:val="heading 5"/>
    <w:qFormat/>
    <w:rsid w:val="002634A1"/>
    <w:pPr>
      <w:outlineLvl w:val="4"/>
    </w:pPr>
    <w:rPr>
      <w:color w:val="2E74B5"/>
    </w:rPr>
  </w:style>
  <w:style w:type="paragraph" w:styleId="Heading6">
    <w:name w:val="heading 6"/>
    <w:qFormat/>
    <w:rsid w:val="002634A1"/>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634A1"/>
    <w:rPr>
      <w:sz w:val="56"/>
      <w:szCs w:val="56"/>
    </w:rPr>
  </w:style>
  <w:style w:type="paragraph" w:customStyle="1" w:styleId="Strong1">
    <w:name w:val="Strong1"/>
    <w:qFormat/>
    <w:rsid w:val="002634A1"/>
    <w:rPr>
      <w:b/>
      <w:bCs/>
    </w:rPr>
  </w:style>
  <w:style w:type="paragraph" w:styleId="ListParagraph">
    <w:name w:val="List Paragraph"/>
    <w:qFormat/>
    <w:rsid w:val="002634A1"/>
  </w:style>
  <w:style w:type="character" w:styleId="Hyperlink">
    <w:name w:val="Hyperlink"/>
    <w:uiPriority w:val="99"/>
    <w:unhideWhenUsed/>
    <w:rsid w:val="002634A1"/>
    <w:rPr>
      <w:color w:val="0563C1"/>
      <w:u w:val="single"/>
    </w:rPr>
  </w:style>
  <w:style w:type="character" w:styleId="FootnoteReference">
    <w:name w:val="footnote reference"/>
    <w:uiPriority w:val="99"/>
    <w:semiHidden/>
    <w:unhideWhenUsed/>
    <w:rsid w:val="002634A1"/>
    <w:rPr>
      <w:vertAlign w:val="superscript"/>
    </w:rPr>
  </w:style>
  <w:style w:type="paragraph" w:styleId="FootnoteText">
    <w:name w:val="footnote text"/>
    <w:link w:val="FootnoteTextChar"/>
    <w:uiPriority w:val="99"/>
    <w:semiHidden/>
    <w:unhideWhenUsed/>
    <w:rsid w:val="002634A1"/>
    <w:rPr>
      <w:sz w:val="20"/>
      <w:szCs w:val="20"/>
    </w:rPr>
  </w:style>
  <w:style w:type="character" w:customStyle="1" w:styleId="FootnoteTextChar">
    <w:name w:val="Footnote Text Char"/>
    <w:link w:val="FootnoteText"/>
    <w:uiPriority w:val="99"/>
    <w:semiHidden/>
    <w:unhideWhenUsed/>
    <w:rsid w:val="002634A1"/>
    <w:rPr>
      <w:sz w:val="20"/>
      <w:szCs w:val="20"/>
    </w:rPr>
  </w:style>
  <w:style w:type="character" w:styleId="EndnoteReference">
    <w:name w:val="endnote reference"/>
    <w:uiPriority w:val="99"/>
    <w:semiHidden/>
    <w:unhideWhenUsed/>
    <w:rsid w:val="002634A1"/>
    <w:rPr>
      <w:vertAlign w:val="superscript"/>
    </w:rPr>
  </w:style>
  <w:style w:type="paragraph" w:styleId="EndnoteText">
    <w:name w:val="endnote text"/>
    <w:link w:val="EndnoteTextChar"/>
    <w:uiPriority w:val="99"/>
    <w:semiHidden/>
    <w:unhideWhenUsed/>
    <w:rsid w:val="002634A1"/>
    <w:rPr>
      <w:sz w:val="20"/>
      <w:szCs w:val="20"/>
    </w:rPr>
  </w:style>
  <w:style w:type="character" w:customStyle="1" w:styleId="EndnoteTextChar">
    <w:name w:val="Endnote Text Char"/>
    <w:link w:val="EndnoteText"/>
    <w:uiPriority w:val="99"/>
    <w:semiHidden/>
    <w:unhideWhenUsed/>
    <w:rsid w:val="002634A1"/>
    <w:rPr>
      <w:sz w:val="20"/>
      <w:szCs w:val="20"/>
    </w:rPr>
  </w:style>
  <w:style w:type="paragraph" w:styleId="Header">
    <w:name w:val="header"/>
    <w:basedOn w:val="Normal"/>
    <w:link w:val="HeaderChar"/>
    <w:uiPriority w:val="99"/>
    <w:unhideWhenUsed/>
    <w:rsid w:val="000A3C13"/>
    <w:pPr>
      <w:tabs>
        <w:tab w:val="center" w:pos="4680"/>
        <w:tab w:val="right" w:pos="9360"/>
      </w:tabs>
    </w:pPr>
  </w:style>
  <w:style w:type="character" w:customStyle="1" w:styleId="HeaderChar">
    <w:name w:val="Header Char"/>
    <w:basedOn w:val="DefaultParagraphFont"/>
    <w:link w:val="Header"/>
    <w:uiPriority w:val="99"/>
    <w:rsid w:val="000A3C13"/>
  </w:style>
  <w:style w:type="paragraph" w:styleId="Footer">
    <w:name w:val="footer"/>
    <w:basedOn w:val="Normal"/>
    <w:link w:val="FooterChar"/>
    <w:uiPriority w:val="99"/>
    <w:unhideWhenUsed/>
    <w:rsid w:val="000A3C13"/>
    <w:pPr>
      <w:tabs>
        <w:tab w:val="center" w:pos="4680"/>
        <w:tab w:val="right" w:pos="9360"/>
      </w:tabs>
    </w:pPr>
  </w:style>
  <w:style w:type="character" w:customStyle="1" w:styleId="FooterChar">
    <w:name w:val="Footer Char"/>
    <w:basedOn w:val="DefaultParagraphFont"/>
    <w:link w:val="Footer"/>
    <w:uiPriority w:val="99"/>
    <w:rsid w:val="000A3C13"/>
  </w:style>
  <w:style w:type="paragraph" w:styleId="Revision">
    <w:name w:val="Revision"/>
    <w:hidden/>
    <w:uiPriority w:val="99"/>
    <w:semiHidden/>
    <w:rsid w:val="008D6794"/>
  </w:style>
  <w:style w:type="character" w:styleId="UnresolvedMention">
    <w:name w:val="Unresolved Mention"/>
    <w:basedOn w:val="DefaultParagraphFont"/>
    <w:uiPriority w:val="99"/>
    <w:semiHidden/>
    <w:unhideWhenUsed/>
    <w:rsid w:val="008D6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89/fcimb.2017.0014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55/2012/25484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808/if/2022/v148i6/15684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89/ffgc.2025.15248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one.008196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27</Pages>
  <Words>10218</Words>
  <Characters>58243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Editor-17</cp:lastModifiedBy>
  <cp:revision>9</cp:revision>
  <dcterms:created xsi:type="dcterms:W3CDTF">2026-04-22T04:06:00Z</dcterms:created>
  <dcterms:modified xsi:type="dcterms:W3CDTF">2026-04-24T11:05:00Z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ebd52a8d-1b4a-4009-886b-5b3031e564d3</vt:lpwstr>
  </property>
</Properties>
</file>