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A3A0C" w14:textId="4F1B39FA" w:rsidR="000544E5" w:rsidRPr="007578FF" w:rsidRDefault="007578FF" w:rsidP="000544E5">
      <w:pPr>
        <w:pStyle w:val="NormalWeb"/>
        <w:jc w:val="both"/>
        <w:rPr>
          <w:b/>
          <w:sz w:val="28"/>
        </w:rPr>
      </w:pPr>
      <w:r w:rsidRPr="007578FF">
        <w:rPr>
          <w:b/>
          <w:sz w:val="28"/>
        </w:rPr>
        <w:t xml:space="preserve">Climate </w:t>
      </w:r>
      <w:r w:rsidR="000544E5" w:rsidRPr="007578FF">
        <w:rPr>
          <w:b/>
          <w:sz w:val="28"/>
        </w:rPr>
        <w:t>Smart Agroforestry for Sustainable Livelihoods: Evidence from Northwestern Tigray, Ethiopia</w:t>
      </w:r>
    </w:p>
    <w:p w14:paraId="5A77658F" w14:textId="77777777" w:rsidR="007B66E3" w:rsidRPr="00D86D39" w:rsidRDefault="007B66E3" w:rsidP="007B66E3">
      <w:pPr>
        <w:spacing w:line="360" w:lineRule="auto"/>
        <w:rPr>
          <w:rFonts w:ascii="Times New Roman" w:hAnsi="Times New Roman" w:cs="Times New Roman"/>
          <w:color w:val="000000" w:themeColor="text1"/>
        </w:rPr>
      </w:pPr>
    </w:p>
    <w:p w14:paraId="31800D3F"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t>Abstract</w:t>
      </w:r>
    </w:p>
    <w:p w14:paraId="38D5B8FF" w14:textId="51728066" w:rsidR="00217C49" w:rsidRDefault="00217C49" w:rsidP="007B66E3">
      <w:pPr>
        <w:spacing w:line="360" w:lineRule="auto"/>
        <w:jc w:val="both"/>
        <w:rPr>
          <w:rFonts w:ascii="Times New Roman" w:hAnsi="Times New Roman" w:cs="Times New Roman"/>
          <w:color w:val="000000" w:themeColor="text1"/>
          <w:sz w:val="24"/>
        </w:rPr>
      </w:pPr>
      <w:r w:rsidRPr="00217C49">
        <w:rPr>
          <w:rFonts w:ascii="Times New Roman" w:hAnsi="Times New Roman" w:cs="Times New Roman"/>
          <w:color w:val="000000" w:themeColor="text1"/>
          <w:sz w:val="24"/>
        </w:rPr>
        <w:t>Agroforestry is increasingly recognized as a vital strategy for smallholder farmers confronting the impacts of climate variability. However, empirical evidence on how indigenous agroforestry systems enhance climate resilience and livelihood security in Ethiopia remains limited. This study evaluated the role of local agroforestry practices in strengthening adaptive capacity and improving household livelihoods across different agro ecological zones in northwestern Tigray. Data were collected from 197 households through structured questionnaires, complemented by key informant interviews and field observations, and analyzed using descriptive statistics, Chi-square tests, ANOVA, Pearson’s correlation, and multinomial regression. The results reveal that farmers employ diverse climate adaptation strategies, including the diversification of crops, livestock, and tree species. Agroforestry emerged as the third most preferred adaptation option after livestock rearing and off-farm employment. On-farm trees were also ranked as the third most important livelihood asset, contributing approximately 34% of total household income. Beyond income generation, trees provided essential resources such as construction materials, livestock fodder, and fuelwood, while also enhancing soil fertility and stabilizing crop yields during drought periods. Statistical analyses further showed a significant positive relationship between tree abundance, crop productivity, and household income. These findings highlight the critical contribution of Agroforestry to Climate Change Adaptation and livelihood resilience in dryland farming systems. Strengthening indigenous agroforestry practices through targeted research, effective extension services, and supportive policy frameworks can substantially enhance climate resilience and sustainable rural development in Ethiopia’s vulnerable agricultural landscapes.</w:t>
      </w:r>
    </w:p>
    <w:p w14:paraId="57C8F1A0" w14:textId="3C7392DB" w:rsidR="00C67806" w:rsidRPr="00D86D39" w:rsidRDefault="00D86D39" w:rsidP="007B66E3">
      <w:pPr>
        <w:spacing w:line="360" w:lineRule="auto"/>
        <w:jc w:val="both"/>
        <w:rPr>
          <w:rFonts w:ascii="Times New Roman" w:hAnsi="Times New Roman" w:cs="Times New Roman"/>
          <w:color w:val="000000" w:themeColor="text1"/>
        </w:rPr>
      </w:pPr>
      <w:r w:rsidRPr="00D86D39">
        <w:rPr>
          <w:rFonts w:ascii="Times New Roman" w:hAnsi="Times New Roman" w:cs="Times New Roman"/>
          <w:color w:val="000000" w:themeColor="text1"/>
          <w:sz w:val="24"/>
        </w:rPr>
        <w:t xml:space="preserve">Keywords: Agroforestry, climate adaptation, livelihood resilience, indigenous knowledge, Tigray, </w:t>
      </w:r>
      <w:r w:rsidRPr="00D86D39">
        <w:rPr>
          <w:rFonts w:ascii="Times New Roman" w:hAnsi="Times New Roman" w:cs="Times New Roman"/>
          <w:color w:val="000000" w:themeColor="text1"/>
        </w:rPr>
        <w:t>smallholder farmers</w:t>
      </w:r>
    </w:p>
    <w:p w14:paraId="75895E23" w14:textId="48370331" w:rsidR="007B66E3" w:rsidRPr="00D86D39" w:rsidRDefault="007B66E3" w:rsidP="007B66E3">
      <w:pPr>
        <w:spacing w:line="360" w:lineRule="auto"/>
        <w:jc w:val="both"/>
        <w:rPr>
          <w:rFonts w:ascii="Times New Roman" w:hAnsi="Times New Roman" w:cs="Times New Roman"/>
          <w:color w:val="000000" w:themeColor="text1"/>
        </w:rPr>
      </w:pPr>
    </w:p>
    <w:p w14:paraId="31ED53FC"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lastRenderedPageBreak/>
        <w:t>1. Introduction</w:t>
      </w:r>
    </w:p>
    <w:p w14:paraId="636C9E90" w14:textId="4838805B" w:rsidR="00217C49" w:rsidRPr="00217C49" w:rsidRDefault="00217C49" w:rsidP="00217C49">
      <w:pPr>
        <w:spacing w:line="360" w:lineRule="auto"/>
        <w:jc w:val="both"/>
        <w:rPr>
          <w:rFonts w:ascii="Times New Roman" w:hAnsi="Times New Roman" w:cs="Times New Roman"/>
          <w:color w:val="000000" w:themeColor="text1"/>
          <w:sz w:val="24"/>
        </w:rPr>
      </w:pPr>
      <w:r w:rsidRPr="00217C49">
        <w:rPr>
          <w:rFonts w:ascii="Times New Roman" w:hAnsi="Times New Roman" w:cs="Times New Roman"/>
          <w:color w:val="000000" w:themeColor="text1"/>
          <w:sz w:val="24"/>
        </w:rPr>
        <w:t xml:space="preserve">Climate change represents one of the most significant global challenges affecting agricultural production systems, ecosystem stability, and rural livelihoods. Increasing global temperatures, shifting precipitation patterns, and the rising frequency of extreme events such as droughts and floods are severely constraining agricultural productivity, particularly in developing regions where livelihoods depend heavily on rain-fed farming systems (IPCC, 2014; FAO, 2013; IPCC, 2021). Smallholder farmers in dryland areas are disproportionately affected due to limited access to adaptive technologies, weak institutional support, and high dependence </w:t>
      </w:r>
      <w:r>
        <w:rPr>
          <w:rFonts w:ascii="Times New Roman" w:hAnsi="Times New Roman" w:cs="Times New Roman"/>
          <w:color w:val="000000" w:themeColor="text1"/>
          <w:sz w:val="24"/>
        </w:rPr>
        <w:t>on climate-sensitive resources.</w:t>
      </w:r>
    </w:p>
    <w:p w14:paraId="35FC0C29" w14:textId="0E864EBB" w:rsidR="00217C49" w:rsidRPr="00217C49" w:rsidRDefault="00217C49" w:rsidP="00217C49">
      <w:pPr>
        <w:spacing w:line="360" w:lineRule="auto"/>
        <w:jc w:val="both"/>
        <w:rPr>
          <w:rFonts w:ascii="Times New Roman" w:hAnsi="Times New Roman" w:cs="Times New Roman"/>
          <w:color w:val="000000" w:themeColor="text1"/>
          <w:sz w:val="24"/>
        </w:rPr>
      </w:pPr>
      <w:r w:rsidRPr="00217C49">
        <w:rPr>
          <w:rFonts w:ascii="Times New Roman" w:hAnsi="Times New Roman" w:cs="Times New Roman"/>
          <w:color w:val="000000" w:themeColor="text1"/>
          <w:sz w:val="24"/>
        </w:rPr>
        <w:t>In this context, Agroforestry has emerged as a key Climate Change Adaptation strategy that integrates trees with crops and livestock to enhance ecosystem resilience and livelihood sustainability. Agroforestry systems provide multiple ecological and socioeconomic benefits, including improved soil fertility, enhanced water infiltration, carbon sequestration, biodiversity conservation, windbreak effects, and microclimate regulation (Nair, 2011; Mbow et al., 2014; Jose, 2009; Lasco et al., 2013). In addition, they contribute to livelihood diversification by supplying food, fodder, fuelwood, timber, and income sources, thereby reducing household vulnerability to climate shocks (Montagnini &amp; Nai</w:t>
      </w:r>
      <w:r>
        <w:rPr>
          <w:rFonts w:ascii="Times New Roman" w:hAnsi="Times New Roman" w:cs="Times New Roman"/>
          <w:color w:val="000000" w:themeColor="text1"/>
          <w:sz w:val="24"/>
        </w:rPr>
        <w:t>r, 2004; Verchot et al., 2007).</w:t>
      </w:r>
    </w:p>
    <w:p w14:paraId="2C2BEB00" w14:textId="7EBFF18D" w:rsidR="00217C49" w:rsidRPr="00217C49" w:rsidRDefault="00217C49" w:rsidP="00217C49">
      <w:pPr>
        <w:spacing w:line="360" w:lineRule="auto"/>
        <w:jc w:val="both"/>
        <w:rPr>
          <w:rFonts w:ascii="Times New Roman" w:hAnsi="Times New Roman" w:cs="Times New Roman"/>
          <w:color w:val="000000" w:themeColor="text1"/>
          <w:sz w:val="24"/>
        </w:rPr>
      </w:pPr>
      <w:r w:rsidRPr="00217C49">
        <w:rPr>
          <w:rFonts w:ascii="Times New Roman" w:hAnsi="Times New Roman" w:cs="Times New Roman"/>
          <w:color w:val="000000" w:themeColor="text1"/>
          <w:sz w:val="24"/>
        </w:rPr>
        <w:t xml:space="preserve">In sub-Saharan Africa, agroforestry is widely recognized as a climate-smart agricultural practice that supports both adaptation and mitigation objectives. Empirical evidence shows that agroforestry improves farm productivity, strengthens food security, and enhances household resilience under climate stress conditions (Garrity et al., 2010; Mbow et </w:t>
      </w:r>
      <w:r>
        <w:rPr>
          <w:rFonts w:ascii="Times New Roman" w:hAnsi="Times New Roman" w:cs="Times New Roman"/>
          <w:color w:val="000000" w:themeColor="text1"/>
          <w:sz w:val="24"/>
        </w:rPr>
        <w:t>al., 2014; Ajayi et al., 2016).</w:t>
      </w:r>
    </w:p>
    <w:p w14:paraId="43CF66E5" w14:textId="1E95B361" w:rsidR="00217C49" w:rsidRPr="00217C49" w:rsidRDefault="00217C49" w:rsidP="00217C49">
      <w:pPr>
        <w:spacing w:line="360" w:lineRule="auto"/>
        <w:jc w:val="both"/>
        <w:rPr>
          <w:rFonts w:ascii="Times New Roman" w:hAnsi="Times New Roman" w:cs="Times New Roman"/>
          <w:color w:val="000000" w:themeColor="text1"/>
          <w:sz w:val="24"/>
        </w:rPr>
      </w:pPr>
      <w:r w:rsidRPr="00217C49">
        <w:rPr>
          <w:rFonts w:ascii="Times New Roman" w:hAnsi="Times New Roman" w:cs="Times New Roman"/>
          <w:color w:val="000000" w:themeColor="text1"/>
          <w:sz w:val="24"/>
        </w:rPr>
        <w:t>In Ethiopia, agroforestry is deeply rooted in indigenous land-use systems and varies across agro ecological zones. Long-established traditional practices in regions such as Gedeo Zone, Oromia Region, and Tigray Region demonstrate its strong contribution to soil conservation, income generation, and livelihood diversification (Linger, 2014; Kebede &amp; Shumeta, 2019; Negash, 2013; Alemu, 2016). These indigenous systems play a particularly important role in dryland environments, where agricultural systems are highly sensitive to rainfall va</w:t>
      </w:r>
      <w:r>
        <w:rPr>
          <w:rFonts w:ascii="Times New Roman" w:hAnsi="Times New Roman" w:cs="Times New Roman"/>
          <w:color w:val="000000" w:themeColor="text1"/>
          <w:sz w:val="24"/>
        </w:rPr>
        <w:t>riability and land degradation.</w:t>
      </w:r>
    </w:p>
    <w:p w14:paraId="70AC659A" w14:textId="72A1D8E9" w:rsidR="00217C49" w:rsidRPr="00217C49" w:rsidRDefault="00217C49" w:rsidP="00217C49">
      <w:pPr>
        <w:spacing w:line="360" w:lineRule="auto"/>
        <w:jc w:val="both"/>
        <w:rPr>
          <w:rFonts w:ascii="Times New Roman" w:hAnsi="Times New Roman" w:cs="Times New Roman"/>
          <w:color w:val="000000" w:themeColor="text1"/>
          <w:sz w:val="24"/>
        </w:rPr>
      </w:pPr>
      <w:r w:rsidRPr="00217C49">
        <w:rPr>
          <w:rFonts w:ascii="Times New Roman" w:hAnsi="Times New Roman" w:cs="Times New Roman"/>
          <w:color w:val="000000" w:themeColor="text1"/>
          <w:sz w:val="24"/>
        </w:rPr>
        <w:lastRenderedPageBreak/>
        <w:t>Despite this evidence, there remains a significant research gap regarding the household-level contribution of indigenous agroforestry systems to climate change adaptation and livelihood resilience, particularly in Northwestern Tigray, one of the most climate-vulnerable and ecologically fragile regions in the country. Existing studies have largely focused on general land-use patterns, with limited empirical quantification of how on-farm trees directly contribute to income, productiv</w:t>
      </w:r>
      <w:r>
        <w:rPr>
          <w:rFonts w:ascii="Times New Roman" w:hAnsi="Times New Roman" w:cs="Times New Roman"/>
          <w:color w:val="000000" w:themeColor="text1"/>
          <w:sz w:val="24"/>
        </w:rPr>
        <w:t>ity, and adaptation strategies.</w:t>
      </w:r>
    </w:p>
    <w:p w14:paraId="60D8E4FF" w14:textId="55A4721A" w:rsidR="007B66E3" w:rsidRPr="00D86D39" w:rsidRDefault="00217C49" w:rsidP="007B66E3">
      <w:pPr>
        <w:spacing w:line="360" w:lineRule="auto"/>
        <w:jc w:val="both"/>
        <w:rPr>
          <w:rFonts w:ascii="Times New Roman" w:hAnsi="Times New Roman" w:cs="Times New Roman"/>
          <w:color w:val="000000" w:themeColor="text1"/>
          <w:sz w:val="24"/>
        </w:rPr>
      </w:pPr>
      <w:r w:rsidRPr="00217C49">
        <w:rPr>
          <w:rFonts w:ascii="Times New Roman" w:hAnsi="Times New Roman" w:cs="Times New Roman"/>
          <w:color w:val="000000" w:themeColor="text1"/>
          <w:sz w:val="24"/>
        </w:rPr>
        <w:t>Therefore, this study aims to evaluate the role of indigenous agroforestry practices in enhancing Climate Change Adaptation and livelihood resilience across different agro ecological zones in northwestern Tigray. The findings are expected to generate robust empirical evidence to inform policymakers, researchers, and development practitioners in designing sustainable, climate-resilient agricultural interventions in Ethiopia’s dryland systems.</w:t>
      </w:r>
    </w:p>
    <w:p w14:paraId="7BD5F33C"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t>2. Materials and Methods</w:t>
      </w:r>
    </w:p>
    <w:p w14:paraId="59E13484" w14:textId="77777777" w:rsidR="00C67806" w:rsidRPr="00D86D39" w:rsidRDefault="00D86D39" w:rsidP="007B66E3">
      <w:pPr>
        <w:spacing w:line="360" w:lineRule="auto"/>
        <w:jc w:val="both"/>
        <w:rPr>
          <w:rFonts w:ascii="Times New Roman" w:hAnsi="Times New Roman" w:cs="Times New Roman"/>
          <w:b/>
          <w:color w:val="000000" w:themeColor="text1"/>
          <w:sz w:val="28"/>
        </w:rPr>
      </w:pPr>
      <w:r w:rsidRPr="00D86D39">
        <w:rPr>
          <w:rFonts w:ascii="Times New Roman" w:hAnsi="Times New Roman" w:cs="Times New Roman"/>
          <w:b/>
          <w:color w:val="000000" w:themeColor="text1"/>
          <w:sz w:val="28"/>
        </w:rPr>
        <w:t>2.1. Study Area</w:t>
      </w:r>
    </w:p>
    <w:p w14:paraId="3658B572" w14:textId="6C8F50A9" w:rsidR="0049795A" w:rsidRPr="0049795A" w:rsidRDefault="0049795A" w:rsidP="0049795A">
      <w:p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sz w:val="24"/>
          <w:szCs w:val="24"/>
        </w:rPr>
        <w:t xml:space="preserve">The study was conducted in three districts of northwestern </w:t>
      </w:r>
      <w:r w:rsidRPr="0049795A">
        <w:rPr>
          <w:rFonts w:ascii="Times New Roman" w:eastAsia="Times New Roman" w:hAnsi="Times New Roman" w:cs="Times New Roman"/>
          <w:bCs/>
          <w:sz w:val="24"/>
          <w:szCs w:val="24"/>
        </w:rPr>
        <w:t>Tigray Region</w:t>
      </w:r>
      <w:r w:rsidRPr="0049795A">
        <w:rPr>
          <w:rFonts w:ascii="Times New Roman" w:eastAsia="Times New Roman" w:hAnsi="Times New Roman" w:cs="Times New Roman"/>
          <w:sz w:val="24"/>
          <w:szCs w:val="24"/>
        </w:rPr>
        <w:t xml:space="preserve">: Medebay Zana (highland), Tahtay Koraro (midland), and Tahtay Adiyabo (lowland). These districts represent distinct agro ecological zones, enabling comparative analysis of livelihood strategies and </w:t>
      </w:r>
      <w:r w:rsidRPr="0049795A">
        <w:rPr>
          <w:rFonts w:ascii="Times New Roman" w:eastAsia="Times New Roman" w:hAnsi="Times New Roman" w:cs="Times New Roman"/>
          <w:bCs/>
          <w:sz w:val="24"/>
          <w:szCs w:val="24"/>
        </w:rPr>
        <w:t>Agroforestry</w:t>
      </w:r>
      <w:r w:rsidRPr="0049795A">
        <w:rPr>
          <w:rFonts w:ascii="Times New Roman" w:eastAsia="Times New Roman" w:hAnsi="Times New Roman" w:cs="Times New Roman"/>
          <w:sz w:val="24"/>
          <w:szCs w:val="24"/>
        </w:rPr>
        <w:t xml:space="preserve"> practices under varying environmental conditions.</w:t>
      </w:r>
    </w:p>
    <w:p w14:paraId="0435B786" w14:textId="77777777" w:rsidR="0049795A" w:rsidRPr="0049795A" w:rsidRDefault="0049795A" w:rsidP="0049795A">
      <w:p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sz w:val="24"/>
          <w:szCs w:val="24"/>
        </w:rPr>
        <w:t>Geographically, the study area lies between 12°–15° N latitude and 36°30′–40°30′ E longitude, with altitudes ranging from 500 to 4,000 meters above sea level. The area experiences a semi-arid to sub-humid climate, with mean annual rainfall ranging from 400 to 950 mm and average temperatures between 10°C and 30°C. Soils are predominantly Leptosols and Cambisols (FAO, 2006), which are generally shallow and moderately fertile, making them highly sensitive to erosion and climate variability.</w:t>
      </w:r>
    </w:p>
    <w:p w14:paraId="06E53051" w14:textId="403BDE54" w:rsidR="0049795A" w:rsidRPr="0049795A" w:rsidRDefault="0049795A" w:rsidP="0049795A">
      <w:p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sz w:val="24"/>
          <w:szCs w:val="24"/>
        </w:rPr>
        <w:t xml:space="preserve">The dominant farming system is mixed crop–livestock production integrated with indigenous agroforestry practices. Common multipurpose tree species include </w:t>
      </w:r>
      <w:r w:rsidRPr="0049795A">
        <w:rPr>
          <w:rFonts w:ascii="Times New Roman" w:eastAsia="Times New Roman" w:hAnsi="Times New Roman" w:cs="Times New Roman"/>
          <w:i/>
          <w:iCs/>
          <w:sz w:val="24"/>
          <w:szCs w:val="24"/>
        </w:rPr>
        <w:t>Eucalyptus globulus, Acacia abyssinica, Olea europaea subsp. cuspidata, Faidherbia albida, Boswellia papyrifera,</w:t>
      </w:r>
      <w:r w:rsidRPr="0049795A">
        <w:rPr>
          <w:rFonts w:ascii="Times New Roman" w:eastAsia="Times New Roman" w:hAnsi="Times New Roman" w:cs="Times New Roman"/>
          <w:sz w:val="24"/>
          <w:szCs w:val="24"/>
        </w:rPr>
        <w:t xml:space="preserve"> and </w:t>
      </w:r>
      <w:r w:rsidRPr="0049795A">
        <w:rPr>
          <w:rFonts w:ascii="Times New Roman" w:eastAsia="Times New Roman" w:hAnsi="Times New Roman" w:cs="Times New Roman"/>
          <w:i/>
          <w:iCs/>
          <w:sz w:val="24"/>
          <w:szCs w:val="24"/>
        </w:rPr>
        <w:t>Ziziphus spina-christi</w:t>
      </w:r>
      <w:r w:rsidRPr="0049795A">
        <w:rPr>
          <w:rFonts w:ascii="Times New Roman" w:eastAsia="Times New Roman" w:hAnsi="Times New Roman" w:cs="Times New Roman"/>
          <w:sz w:val="24"/>
          <w:szCs w:val="24"/>
        </w:rPr>
        <w:t xml:space="preserve">. These species contribute significantly to </w:t>
      </w:r>
      <w:r w:rsidRPr="0049795A">
        <w:rPr>
          <w:rFonts w:ascii="Times New Roman" w:eastAsia="Times New Roman" w:hAnsi="Times New Roman" w:cs="Times New Roman"/>
          <w:sz w:val="24"/>
          <w:szCs w:val="24"/>
        </w:rPr>
        <w:lastRenderedPageBreak/>
        <w:t>soil fertility improvement, fodder supply, fuelwood production, income diversification, and climate risk reduction.</w:t>
      </w:r>
    </w:p>
    <w:p w14:paraId="580D2110" w14:textId="3D4D17AC" w:rsidR="0062765D" w:rsidRPr="00D86D39" w:rsidRDefault="0062765D" w:rsidP="007B66E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Fig </w:t>
      </w:r>
      <w:proofErr w:type="gramStart"/>
      <w:r>
        <w:rPr>
          <w:rFonts w:ascii="Times New Roman" w:hAnsi="Times New Roman" w:cs="Times New Roman"/>
          <w:color w:val="000000" w:themeColor="text1"/>
          <w:sz w:val="24"/>
        </w:rPr>
        <w:t>1 :</w:t>
      </w:r>
      <w:proofErr w:type="gramEnd"/>
      <w:r>
        <w:rPr>
          <w:rFonts w:ascii="Times New Roman" w:hAnsi="Times New Roman" w:cs="Times New Roman"/>
          <w:color w:val="000000" w:themeColor="text1"/>
          <w:sz w:val="24"/>
        </w:rPr>
        <w:t xml:space="preserve"> </w:t>
      </w:r>
      <w:r w:rsidR="006F2CEC">
        <w:rPr>
          <w:rFonts w:ascii="Times New Roman" w:hAnsi="Times New Roman" w:cs="Times New Roman"/>
          <w:color w:val="000000" w:themeColor="text1"/>
          <w:sz w:val="24"/>
        </w:rPr>
        <w:t>Study  Area Map</w:t>
      </w:r>
    </w:p>
    <w:p w14:paraId="1513DECD" w14:textId="258262D7" w:rsidR="007B66E3" w:rsidRPr="0049795A" w:rsidRDefault="007B66E3" w:rsidP="007B66E3">
      <w:pPr>
        <w:spacing w:line="360" w:lineRule="auto"/>
        <w:jc w:val="both"/>
        <w:rPr>
          <w:rFonts w:ascii="Times New Roman" w:hAnsi="Times New Roman" w:cs="Times New Roman"/>
          <w:color w:val="000000" w:themeColor="text1"/>
          <w:sz w:val="24"/>
        </w:rPr>
      </w:pPr>
      <w:r w:rsidRPr="00D86D39">
        <w:rPr>
          <w:rFonts w:ascii="Times New Roman" w:eastAsia="Times New Roman" w:hAnsi="Times New Roman" w:cs="Times New Roman"/>
          <w:noProof/>
          <w:color w:val="000000" w:themeColor="text1"/>
          <w:sz w:val="24"/>
          <w:szCs w:val="24"/>
        </w:rPr>
        <w:drawing>
          <wp:inline distT="0" distB="0" distL="0" distR="0" wp14:anchorId="35B31BE1" wp14:editId="33416107">
            <wp:extent cx="5486400" cy="3910479"/>
            <wp:effectExtent l="38100" t="38100" r="38100" b="33020"/>
            <wp:docPr id="4" name="Picture 4" descr="C:\Users\hp\OneDrive\Pictures\Desktop\Agrforestry Study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Desktop\Agrforestry Study 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910479"/>
                    </a:xfrm>
                    <a:prstGeom prst="rect">
                      <a:avLst/>
                    </a:prstGeom>
                    <a:noFill/>
                    <a:ln w="28575">
                      <a:solidFill>
                        <a:schemeClr val="tx1"/>
                      </a:solidFill>
                    </a:ln>
                  </pic:spPr>
                </pic:pic>
              </a:graphicData>
            </a:graphic>
          </wp:inline>
        </w:drawing>
      </w:r>
    </w:p>
    <w:p w14:paraId="36570DD4" w14:textId="77777777" w:rsidR="00C67806" w:rsidRPr="00D86D39" w:rsidRDefault="00D86D39" w:rsidP="007B66E3">
      <w:pPr>
        <w:spacing w:line="360" w:lineRule="auto"/>
        <w:jc w:val="both"/>
        <w:rPr>
          <w:rFonts w:ascii="Times New Roman" w:hAnsi="Times New Roman" w:cs="Times New Roman"/>
          <w:b/>
          <w:color w:val="000000" w:themeColor="text1"/>
          <w:sz w:val="28"/>
        </w:rPr>
      </w:pPr>
      <w:r w:rsidRPr="00D86D39">
        <w:rPr>
          <w:rFonts w:ascii="Times New Roman" w:hAnsi="Times New Roman" w:cs="Times New Roman"/>
          <w:b/>
          <w:color w:val="000000" w:themeColor="text1"/>
          <w:sz w:val="28"/>
        </w:rPr>
        <w:t>2.2. Sampling and Data Collection</w:t>
      </w:r>
    </w:p>
    <w:p w14:paraId="410BB590" w14:textId="77777777" w:rsidR="0049795A" w:rsidRPr="0049795A" w:rsidRDefault="0049795A" w:rsidP="0049795A">
      <w:p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sz w:val="24"/>
          <w:szCs w:val="24"/>
        </w:rPr>
        <w:t>A cross-sectional household survey design was employed to capture current agroforestry practices and climate adaptation strategies.</w:t>
      </w:r>
    </w:p>
    <w:p w14:paraId="79411D17" w14:textId="77777777" w:rsidR="0049795A" w:rsidRPr="0049795A" w:rsidRDefault="0049795A" w:rsidP="0049795A">
      <w:p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sz w:val="24"/>
          <w:szCs w:val="24"/>
        </w:rPr>
        <w:t>A multi-stage sampling technique was used:</w:t>
      </w:r>
    </w:p>
    <w:p w14:paraId="5205FC02" w14:textId="5AFA8D0B" w:rsidR="0049795A" w:rsidRPr="0049795A" w:rsidRDefault="0049795A" w:rsidP="0049795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b/>
          <w:bCs/>
          <w:sz w:val="24"/>
          <w:szCs w:val="24"/>
        </w:rPr>
        <w:t>Stratification:</w:t>
      </w:r>
      <w:r w:rsidRPr="0049795A">
        <w:rPr>
          <w:rFonts w:ascii="Times New Roman" w:eastAsia="Times New Roman" w:hAnsi="Times New Roman" w:cs="Times New Roman"/>
          <w:sz w:val="24"/>
          <w:szCs w:val="24"/>
        </w:rPr>
        <w:t xml:space="preserve"> The study area was stratified into three agro ecological zones (highland, midland, and lowland) to ensure environmental representativeness. </w:t>
      </w:r>
    </w:p>
    <w:p w14:paraId="4AA1ADEB" w14:textId="094FC227" w:rsidR="0049795A" w:rsidRPr="0049795A" w:rsidRDefault="0049795A" w:rsidP="0049795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b/>
          <w:bCs/>
          <w:sz w:val="24"/>
          <w:szCs w:val="24"/>
        </w:rPr>
        <w:t>District Selection:</w:t>
      </w:r>
      <w:r w:rsidRPr="0049795A">
        <w:rPr>
          <w:rFonts w:ascii="Times New Roman" w:eastAsia="Times New Roman" w:hAnsi="Times New Roman" w:cs="Times New Roman"/>
          <w:sz w:val="24"/>
          <w:szCs w:val="24"/>
        </w:rPr>
        <w:t xml:space="preserve"> One district was randomly selected from each agro ecological zone. </w:t>
      </w:r>
    </w:p>
    <w:p w14:paraId="3799FE5E" w14:textId="77777777" w:rsidR="0049795A" w:rsidRPr="0049795A" w:rsidRDefault="0049795A" w:rsidP="0049795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b/>
          <w:bCs/>
          <w:sz w:val="24"/>
          <w:szCs w:val="24"/>
        </w:rPr>
        <w:lastRenderedPageBreak/>
        <w:t>Household Selection:</w:t>
      </w:r>
      <w:r w:rsidRPr="0049795A">
        <w:rPr>
          <w:rFonts w:ascii="Times New Roman" w:eastAsia="Times New Roman" w:hAnsi="Times New Roman" w:cs="Times New Roman"/>
          <w:sz w:val="24"/>
          <w:szCs w:val="24"/>
        </w:rPr>
        <w:t xml:space="preserve"> Within selected districts, households were selected using systematic random sampling from updated kebele household lists. </w:t>
      </w:r>
    </w:p>
    <w:p w14:paraId="29C02881" w14:textId="77777777" w:rsidR="0049795A" w:rsidRPr="0049795A" w:rsidRDefault="0049795A" w:rsidP="0049795A">
      <w:pPr>
        <w:spacing w:before="100" w:beforeAutospacing="1" w:after="100" w:afterAutospacing="1" w:line="360" w:lineRule="auto"/>
        <w:jc w:val="both"/>
        <w:rPr>
          <w:rFonts w:ascii="Times New Roman" w:eastAsia="Times New Roman" w:hAnsi="Times New Roman" w:cs="Times New Roman"/>
          <w:sz w:val="24"/>
          <w:szCs w:val="24"/>
        </w:rPr>
      </w:pPr>
      <w:r w:rsidRPr="0049795A">
        <w:rPr>
          <w:rFonts w:ascii="Times New Roman" w:eastAsia="Times New Roman" w:hAnsi="Times New Roman" w:cs="Times New Roman"/>
          <w:sz w:val="24"/>
          <w:szCs w:val="24"/>
        </w:rPr>
        <w:t xml:space="preserve">The sample size (n = 197) was determined using </w:t>
      </w:r>
      <w:r w:rsidRPr="0049795A">
        <w:rPr>
          <w:rFonts w:ascii="Times New Roman" w:eastAsia="Times New Roman" w:hAnsi="Times New Roman" w:cs="Times New Roman"/>
          <w:b/>
          <w:bCs/>
          <w:sz w:val="24"/>
          <w:szCs w:val="24"/>
        </w:rPr>
        <w:t>Yamane’s (1967) simplified formula</w:t>
      </w:r>
      <w:r w:rsidRPr="0049795A">
        <w:rPr>
          <w:rFonts w:ascii="Times New Roman" w:eastAsia="Times New Roman" w:hAnsi="Times New Roman" w:cs="Times New Roman"/>
          <w:sz w:val="24"/>
          <w:szCs w:val="24"/>
        </w:rPr>
        <w:t>:</w:t>
      </w:r>
    </w:p>
    <w:p w14:paraId="3A9E4BAE" w14:textId="77777777" w:rsidR="007B66E3" w:rsidRPr="00D86D39" w:rsidRDefault="007B66E3" w:rsidP="007B66E3">
      <w:pPr>
        <w:jc w:val="both"/>
        <w:rPr>
          <w:rFonts w:ascii="Times New Roman" w:eastAsia="Times New Roman" w:hAnsi="Times New Roman" w:cs="Times New Roman"/>
          <w:color w:val="000000" w:themeColor="text1"/>
          <w:sz w:val="24"/>
          <w:szCs w:val="24"/>
        </w:rPr>
      </w:pPr>
      <w:r w:rsidRPr="00D86D39">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6E341EA9" wp14:editId="6089206B">
                <wp:simplePos x="0" y="0"/>
                <wp:positionH relativeFrom="column">
                  <wp:posOffset>2072640</wp:posOffset>
                </wp:positionH>
                <wp:positionV relativeFrom="paragraph">
                  <wp:posOffset>36195</wp:posOffset>
                </wp:positionV>
                <wp:extent cx="960120" cy="457200"/>
                <wp:effectExtent l="0" t="0" r="0" b="0"/>
                <wp:wrapNone/>
                <wp:docPr id="2" name="TextBox 1"/>
                <wp:cNvGraphicFramePr/>
                <a:graphic xmlns:a="http://schemas.openxmlformats.org/drawingml/2006/main">
                  <a:graphicData uri="http://schemas.microsoft.com/office/word/2010/wordprocessingShape">
                    <wps:wsp>
                      <wps:cNvSpPr txBox="1"/>
                      <wps:spPr>
                        <a:xfrm>
                          <a:off x="0" y="0"/>
                          <a:ext cx="960120" cy="4572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F37E6EA" w14:textId="77777777" w:rsidR="007B66E3" w:rsidRPr="00B1602A" w:rsidRDefault="007B66E3" w:rsidP="007B66E3">
                            <w:pPr>
                              <w:pStyle w:val="NormalWeb"/>
                              <w:spacing w:before="0" w:beforeAutospacing="0" w:after="0" w:afterAutospacing="0"/>
                              <w:jc w:val="center"/>
                              <w:rPr>
                                <w:sz w:val="32"/>
                              </w:rPr>
                            </w:pPr>
                            <m:oMathPara>
                              <m:oMathParaPr>
                                <m:jc m:val="centerGroup"/>
                              </m:oMathParaPr>
                              <m:oMath>
                                <m:r>
                                  <w:rPr>
                                    <w:rFonts w:ascii="Cambria Math" w:hAnsi="Cambria Math"/>
                                    <w:color w:val="000000" w:themeColor="text1"/>
                                    <w:sz w:val="28"/>
                                    <w:szCs w:val="22"/>
                                  </w:rPr>
                                  <m:t>n=</m:t>
                                </m:r>
                                <m:f>
                                  <m:fPr>
                                    <m:ctrlPr>
                                      <w:rPr>
                                        <w:rFonts w:ascii="Cambria Math" w:eastAsiaTheme="minorEastAsia" w:hAnsi="Cambria Math"/>
                                        <w:i/>
                                        <w:iCs/>
                                        <w:color w:val="000000" w:themeColor="text1"/>
                                        <w:sz w:val="28"/>
                                        <w:szCs w:val="22"/>
                                      </w:rPr>
                                    </m:ctrlPr>
                                  </m:fPr>
                                  <m:num>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Z</m:t>
                                        </m:r>
                                      </m:e>
                                      <m:sup>
                                        <m:r>
                                          <w:rPr>
                                            <w:rFonts w:ascii="Cambria Math" w:hAnsi="Cambria Math"/>
                                            <w:color w:val="000000" w:themeColor="text1"/>
                                            <w:sz w:val="28"/>
                                            <w:szCs w:val="22"/>
                                          </w:rPr>
                                          <m:t>2</m:t>
                                        </m:r>
                                      </m:sup>
                                    </m:sSup>
                                    <m:r>
                                      <w:rPr>
                                        <w:rFonts w:ascii="Cambria Math" w:hAnsi="Cambria Math"/>
                                        <w:color w:val="000000" w:themeColor="text1"/>
                                        <w:sz w:val="28"/>
                                        <w:szCs w:val="22"/>
                                      </w:rPr>
                                      <m:t>.p.q</m:t>
                                    </m:r>
                                  </m:num>
                                  <m:den>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e</m:t>
                                        </m:r>
                                      </m:e>
                                      <m:sup>
                                        <m:r>
                                          <w:rPr>
                                            <w:rFonts w:ascii="Cambria Math" w:hAnsi="Cambria Math"/>
                                            <w:color w:val="000000" w:themeColor="text1"/>
                                            <w:sz w:val="28"/>
                                            <w:szCs w:val="22"/>
                                          </w:rPr>
                                          <m:t>2</m:t>
                                        </m:r>
                                      </m:sup>
                                    </m:sSup>
                                  </m:den>
                                </m:f>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E341EA9" id="_x0000_t202" coordsize="21600,21600" o:spt="202" path="m,l,21600r21600,l21600,xe">
                <v:stroke joinstyle="miter"/>
                <v:path gradientshapeok="t" o:connecttype="rect"/>
              </v:shapetype>
              <v:shape id="TextBox 1" o:spid="_x0000_s1026" type="#_x0000_t202" style="position:absolute;left:0;text-align:left;margin-left:163.2pt;margin-top:2.85pt;width:75.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" filled="f" stroked="f">
                <v:textbox inset="0,0,0,0">
                  <w:txbxContent>
                    <w:p w14:paraId="3F37E6EA" w14:textId="77777777" w:rsidR="007B66E3" w:rsidRPr="00B1602A" w:rsidRDefault="007B66E3" w:rsidP="007B66E3">
                      <w:pPr>
                        <w:pStyle w:val="NormalWeb"/>
                        <w:spacing w:before="0" w:beforeAutospacing="0" w:after="0" w:afterAutospacing="0"/>
                        <w:jc w:val="center"/>
                        <w:rPr>
                          <w:sz w:val="32"/>
                        </w:rPr>
                      </w:pPr>
                      <m:oMathPara>
                        <m:oMathParaPr>
                          <m:jc m:val="centerGroup"/>
                        </m:oMathParaPr>
                        <m:oMath>
                          <m:r>
                            <w:rPr>
                              <w:rFonts w:ascii="Cambria Math" w:hAnsi="Cambria Math"/>
                              <w:color w:val="000000" w:themeColor="text1"/>
                              <w:sz w:val="28"/>
                              <w:szCs w:val="22"/>
                            </w:rPr>
                            <m:t>n=</m:t>
                          </m:r>
                          <m:f>
                            <m:fPr>
                              <m:ctrlPr>
                                <w:rPr>
                                  <w:rFonts w:ascii="Cambria Math" w:eastAsiaTheme="minorEastAsia" w:hAnsi="Cambria Math"/>
                                  <w:i/>
                                  <w:iCs/>
                                  <w:color w:val="000000" w:themeColor="text1"/>
                                  <w:sz w:val="28"/>
                                  <w:szCs w:val="22"/>
                                </w:rPr>
                              </m:ctrlPr>
                            </m:fPr>
                            <m:num>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Z</m:t>
                                  </m:r>
                                </m:e>
                                <m:sup>
                                  <m:r>
                                    <w:rPr>
                                      <w:rFonts w:ascii="Cambria Math" w:hAnsi="Cambria Math"/>
                                      <w:color w:val="000000" w:themeColor="text1"/>
                                      <w:sz w:val="28"/>
                                      <w:szCs w:val="22"/>
                                    </w:rPr>
                                    <m:t>2</m:t>
                                  </m:r>
                                </m:sup>
                              </m:sSup>
                              <m:r>
                                <w:rPr>
                                  <w:rFonts w:ascii="Cambria Math" w:hAnsi="Cambria Math"/>
                                  <w:color w:val="000000" w:themeColor="text1"/>
                                  <w:sz w:val="28"/>
                                  <w:szCs w:val="22"/>
                                </w:rPr>
                                <m:t>.p.q</m:t>
                              </m:r>
                            </m:num>
                            <m:den>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e</m:t>
                                  </m:r>
                                </m:e>
                                <m:sup>
                                  <m:r>
                                    <w:rPr>
                                      <w:rFonts w:ascii="Cambria Math" w:hAnsi="Cambria Math"/>
                                      <w:color w:val="000000" w:themeColor="text1"/>
                                      <w:sz w:val="28"/>
                                      <w:szCs w:val="22"/>
                                    </w:rPr>
                                    <m:t>2</m:t>
                                  </m:r>
                                </m:sup>
                              </m:sSup>
                            </m:den>
                          </m:f>
                        </m:oMath>
                      </m:oMathPara>
                    </w:p>
                  </w:txbxContent>
                </v:textbox>
              </v:shape>
            </w:pict>
          </mc:Fallback>
        </mc:AlternateContent>
      </w:r>
    </w:p>
    <w:p w14:paraId="65CA3231" w14:textId="77777777" w:rsidR="007B66E3" w:rsidRPr="00D86D39" w:rsidRDefault="007B66E3" w:rsidP="007B66E3">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Where:</w:t>
      </w:r>
    </w:p>
    <w:p w14:paraId="18F475CB"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n</w:t>
      </w:r>
      <w:r w:rsidRPr="00D86D39">
        <w:rPr>
          <w:rFonts w:ascii="Times New Roman" w:eastAsia="Times New Roman" w:hAnsi="Times New Roman" w:cs="Times New Roman"/>
          <w:color w:val="000000" w:themeColor="text1"/>
          <w:sz w:val="24"/>
          <w:szCs w:val="24"/>
        </w:rPr>
        <w:t xml:space="preserve"> = Sample size</w:t>
      </w:r>
    </w:p>
    <w:p w14:paraId="7557A71D"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z</w:t>
      </w:r>
      <w:r w:rsidRPr="00D86D39">
        <w:rPr>
          <w:rFonts w:ascii="Times New Roman" w:eastAsia="Times New Roman" w:hAnsi="Times New Roman" w:cs="Times New Roman"/>
          <w:color w:val="000000" w:themeColor="text1"/>
          <w:sz w:val="24"/>
          <w:szCs w:val="24"/>
        </w:rPr>
        <w:t xml:space="preserve"> = Standard variate at a given confidence level</w:t>
      </w:r>
    </w:p>
    <w:p w14:paraId="3EB2F07B"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p</w:t>
      </w:r>
      <w:r w:rsidRPr="00D86D39">
        <w:rPr>
          <w:rFonts w:ascii="Times New Roman" w:eastAsia="Times New Roman" w:hAnsi="Times New Roman" w:cs="Times New Roman"/>
          <w:color w:val="000000" w:themeColor="text1"/>
          <w:sz w:val="24"/>
          <w:szCs w:val="24"/>
        </w:rPr>
        <w:t xml:space="preserve"> = Sample proportion</w:t>
      </w:r>
    </w:p>
    <w:p w14:paraId="71C07CB7"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q</w:t>
      </w:r>
      <w:r w:rsidRPr="00D86D39">
        <w:rPr>
          <w:rFonts w:ascii="Times New Roman" w:eastAsia="Times New Roman" w:hAnsi="Times New Roman" w:cs="Times New Roman"/>
          <w:color w:val="000000" w:themeColor="text1"/>
          <w:sz w:val="24"/>
          <w:szCs w:val="24"/>
        </w:rPr>
        <w:t xml:space="preserve"> = 1 - </w:t>
      </w:r>
      <w:r w:rsidRPr="00D86D39">
        <w:rPr>
          <w:rFonts w:ascii="Times New Roman" w:eastAsia="Times New Roman" w:hAnsi="Times New Roman" w:cs="Times New Roman"/>
          <w:i/>
          <w:iCs/>
          <w:color w:val="000000" w:themeColor="text1"/>
          <w:sz w:val="24"/>
          <w:szCs w:val="24"/>
        </w:rPr>
        <w:t>p</w:t>
      </w:r>
    </w:p>
    <w:p w14:paraId="007D771D"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e</w:t>
      </w:r>
      <w:r w:rsidRPr="00D86D39">
        <w:rPr>
          <w:rFonts w:ascii="Times New Roman" w:eastAsia="Times New Roman" w:hAnsi="Times New Roman" w:cs="Times New Roman"/>
          <w:color w:val="000000" w:themeColor="text1"/>
          <w:sz w:val="24"/>
          <w:szCs w:val="24"/>
        </w:rPr>
        <w:t xml:space="preserve"> = Precision level</w:t>
      </w:r>
    </w:p>
    <w:p w14:paraId="684F461C" w14:textId="16168B34" w:rsidR="00C67806"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 xml:space="preserve">The questionnaire captured information on household characteristics, benefits derived from agroforestry, adaptation strategies, and sources of income. Key </w:t>
      </w:r>
      <w:r w:rsidR="00B0509C" w:rsidRPr="00D86D39">
        <w:rPr>
          <w:rFonts w:ascii="Times New Roman" w:hAnsi="Times New Roman" w:cs="Times New Roman"/>
          <w:color w:val="000000" w:themeColor="text1"/>
          <w:sz w:val="24"/>
        </w:rPr>
        <w:t>informants including</w:t>
      </w:r>
      <w:r w:rsidRPr="00D86D39">
        <w:rPr>
          <w:rFonts w:ascii="Times New Roman" w:hAnsi="Times New Roman" w:cs="Times New Roman"/>
          <w:color w:val="000000" w:themeColor="text1"/>
          <w:sz w:val="24"/>
        </w:rPr>
        <w:t xml:space="preserve"> local elders, agricultural</w:t>
      </w:r>
      <w:r w:rsidR="00B0509C">
        <w:rPr>
          <w:rFonts w:ascii="Times New Roman" w:hAnsi="Times New Roman" w:cs="Times New Roman"/>
          <w:color w:val="000000" w:themeColor="text1"/>
          <w:sz w:val="24"/>
        </w:rPr>
        <w:t xml:space="preserve"> experts, and community leaders </w:t>
      </w:r>
      <w:r w:rsidRPr="00D86D39">
        <w:rPr>
          <w:rFonts w:ascii="Times New Roman" w:hAnsi="Times New Roman" w:cs="Times New Roman"/>
          <w:color w:val="000000" w:themeColor="text1"/>
          <w:sz w:val="24"/>
        </w:rPr>
        <w:t>provided qualitative insights to complement quantitative data.</w:t>
      </w:r>
    </w:p>
    <w:p w14:paraId="1C132355" w14:textId="303D6FC0" w:rsidR="0049795A" w:rsidRPr="0049795A" w:rsidRDefault="0049795A" w:rsidP="0049795A">
      <w:pPr>
        <w:spacing w:line="360" w:lineRule="auto"/>
        <w:jc w:val="both"/>
        <w:rPr>
          <w:rFonts w:ascii="Times New Roman" w:hAnsi="Times New Roman" w:cs="Times New Roman"/>
          <w:sz w:val="28"/>
        </w:rPr>
      </w:pPr>
      <w:r>
        <w:rPr>
          <w:rStyle w:val="Strong"/>
          <w:rFonts w:ascii="Times New Roman" w:hAnsi="Times New Roman" w:cs="Times New Roman"/>
          <w:bCs w:val="0"/>
          <w:sz w:val="28"/>
        </w:rPr>
        <w:t xml:space="preserve">2.3. </w:t>
      </w:r>
      <w:r w:rsidRPr="0049795A">
        <w:rPr>
          <w:rStyle w:val="Strong"/>
          <w:rFonts w:ascii="Times New Roman" w:hAnsi="Times New Roman" w:cs="Times New Roman"/>
          <w:bCs w:val="0"/>
          <w:sz w:val="28"/>
        </w:rPr>
        <w:t>Data Sources and Data Collection Methods</w:t>
      </w:r>
    </w:p>
    <w:p w14:paraId="253F43D4" w14:textId="77777777" w:rsidR="0049795A" w:rsidRPr="0049795A" w:rsidRDefault="0049795A" w:rsidP="0049795A">
      <w:pPr>
        <w:spacing w:line="360" w:lineRule="auto"/>
        <w:jc w:val="both"/>
        <w:rPr>
          <w:rFonts w:ascii="Times New Roman" w:hAnsi="Times New Roman" w:cs="Times New Roman"/>
        </w:rPr>
      </w:pPr>
      <w:r w:rsidRPr="0049795A">
        <w:rPr>
          <w:rFonts w:ascii="Times New Roman" w:hAnsi="Times New Roman" w:cs="Times New Roman"/>
        </w:rPr>
        <w:t>Both primary and secondary data sources were used.</w:t>
      </w:r>
    </w:p>
    <w:p w14:paraId="0719EE97" w14:textId="77777777" w:rsidR="0049795A" w:rsidRPr="0049795A" w:rsidRDefault="0049795A" w:rsidP="0049795A">
      <w:pPr>
        <w:spacing w:line="360" w:lineRule="auto"/>
        <w:jc w:val="both"/>
        <w:rPr>
          <w:rFonts w:ascii="Times New Roman" w:hAnsi="Times New Roman" w:cs="Times New Roman"/>
        </w:rPr>
      </w:pPr>
      <w:r w:rsidRPr="0049795A">
        <w:rPr>
          <w:rStyle w:val="Strong"/>
          <w:rFonts w:ascii="Times New Roman" w:hAnsi="Times New Roman" w:cs="Times New Roman"/>
          <w:b w:val="0"/>
          <w:bCs w:val="0"/>
        </w:rPr>
        <w:t>Primary Data</w:t>
      </w:r>
    </w:p>
    <w:p w14:paraId="08E2D0C7" w14:textId="77777777" w:rsidR="0049795A" w:rsidRPr="0049795A" w:rsidRDefault="0049795A" w:rsidP="0049795A">
      <w:pPr>
        <w:spacing w:line="360" w:lineRule="auto"/>
        <w:jc w:val="both"/>
        <w:rPr>
          <w:rFonts w:ascii="Times New Roman" w:hAnsi="Times New Roman" w:cs="Times New Roman"/>
        </w:rPr>
      </w:pPr>
      <w:r w:rsidRPr="0049795A">
        <w:rPr>
          <w:rFonts w:ascii="Times New Roman" w:hAnsi="Times New Roman" w:cs="Times New Roman"/>
        </w:rPr>
        <w:t>Primary data were collected through:</w:t>
      </w:r>
    </w:p>
    <w:p w14:paraId="0070256F" w14:textId="77777777" w:rsidR="0049795A" w:rsidRPr="0049795A" w:rsidRDefault="0049795A" w:rsidP="0049795A">
      <w:pPr>
        <w:spacing w:line="360" w:lineRule="auto"/>
        <w:jc w:val="both"/>
        <w:rPr>
          <w:rFonts w:ascii="Times New Roman" w:hAnsi="Times New Roman" w:cs="Times New Roman"/>
        </w:rPr>
      </w:pPr>
      <w:r w:rsidRPr="0049795A">
        <w:rPr>
          <w:rStyle w:val="Strong"/>
          <w:rFonts w:ascii="Times New Roman" w:hAnsi="Times New Roman" w:cs="Times New Roman"/>
        </w:rPr>
        <w:t>Structured household questionnaires</w:t>
      </w:r>
      <w:r w:rsidRPr="0049795A">
        <w:rPr>
          <w:rFonts w:ascii="Times New Roman" w:hAnsi="Times New Roman" w:cs="Times New Roman"/>
        </w:rPr>
        <w:t xml:space="preserve"> (socioeconomic characteristics, agroforestry practices, income sources, and adaptation strategies) </w:t>
      </w:r>
    </w:p>
    <w:p w14:paraId="6958BD35" w14:textId="77777777" w:rsidR="0049795A" w:rsidRPr="0049795A" w:rsidRDefault="0049795A" w:rsidP="0049795A">
      <w:pPr>
        <w:spacing w:line="360" w:lineRule="auto"/>
        <w:jc w:val="both"/>
        <w:rPr>
          <w:rFonts w:ascii="Times New Roman" w:hAnsi="Times New Roman" w:cs="Times New Roman"/>
        </w:rPr>
      </w:pPr>
      <w:r w:rsidRPr="0049795A">
        <w:rPr>
          <w:rStyle w:val="Strong"/>
          <w:rFonts w:ascii="Times New Roman" w:hAnsi="Times New Roman" w:cs="Times New Roman"/>
        </w:rPr>
        <w:t>Key informant interviews</w:t>
      </w:r>
      <w:r w:rsidRPr="0049795A">
        <w:rPr>
          <w:rFonts w:ascii="Times New Roman" w:hAnsi="Times New Roman" w:cs="Times New Roman"/>
        </w:rPr>
        <w:t xml:space="preserve"> (local elders, agricultural experts, development agents, and community leaders) </w:t>
      </w:r>
    </w:p>
    <w:p w14:paraId="0C5F88B4" w14:textId="77777777" w:rsidR="0049795A" w:rsidRPr="0049795A" w:rsidRDefault="0049795A" w:rsidP="0049795A">
      <w:pPr>
        <w:spacing w:line="360" w:lineRule="auto"/>
        <w:jc w:val="both"/>
        <w:rPr>
          <w:rFonts w:ascii="Times New Roman" w:hAnsi="Times New Roman" w:cs="Times New Roman"/>
        </w:rPr>
      </w:pPr>
      <w:r w:rsidRPr="0049795A">
        <w:rPr>
          <w:rStyle w:val="Strong"/>
          <w:rFonts w:ascii="Times New Roman" w:hAnsi="Times New Roman" w:cs="Times New Roman"/>
        </w:rPr>
        <w:t>Direct field observations</w:t>
      </w:r>
      <w:r w:rsidRPr="0049795A">
        <w:rPr>
          <w:rFonts w:ascii="Times New Roman" w:hAnsi="Times New Roman" w:cs="Times New Roman"/>
        </w:rPr>
        <w:t xml:space="preserve"> (verification of tree–crop–livestock integration and land-use practices) </w:t>
      </w:r>
    </w:p>
    <w:p w14:paraId="480C164A" w14:textId="487A26E1" w:rsidR="0049795A" w:rsidRPr="0049795A" w:rsidRDefault="0049795A" w:rsidP="0049795A">
      <w:pPr>
        <w:spacing w:line="360" w:lineRule="auto"/>
        <w:jc w:val="both"/>
        <w:rPr>
          <w:rFonts w:ascii="Times New Roman" w:hAnsi="Times New Roman" w:cs="Times New Roman"/>
        </w:rPr>
      </w:pPr>
      <w:r w:rsidRPr="0049795A">
        <w:rPr>
          <w:rFonts w:ascii="Times New Roman" w:hAnsi="Times New Roman" w:cs="Times New Roman"/>
        </w:rPr>
        <w:t>The questionnaire was pre-tested in a similar agro ecological setting to ensure clarity, consistency, and validity. Necessary adjustments were made before final data collection.</w:t>
      </w:r>
    </w:p>
    <w:p w14:paraId="12BFF7DE" w14:textId="77777777" w:rsidR="0049795A" w:rsidRPr="0049795A" w:rsidRDefault="0049795A" w:rsidP="0049795A">
      <w:pPr>
        <w:spacing w:line="360" w:lineRule="auto"/>
        <w:jc w:val="both"/>
        <w:rPr>
          <w:rFonts w:ascii="Times New Roman" w:hAnsi="Times New Roman" w:cs="Times New Roman"/>
        </w:rPr>
      </w:pPr>
      <w:r w:rsidRPr="0049795A">
        <w:rPr>
          <w:rStyle w:val="Strong"/>
          <w:rFonts w:ascii="Times New Roman" w:hAnsi="Times New Roman" w:cs="Times New Roman"/>
          <w:b w:val="0"/>
          <w:bCs w:val="0"/>
        </w:rPr>
        <w:t>Secondary Data</w:t>
      </w:r>
    </w:p>
    <w:p w14:paraId="085B07CB" w14:textId="4C368F4B" w:rsidR="0049795A" w:rsidRPr="0049795A" w:rsidRDefault="0049795A" w:rsidP="0049795A">
      <w:pPr>
        <w:spacing w:line="360" w:lineRule="auto"/>
        <w:jc w:val="both"/>
        <w:rPr>
          <w:rFonts w:ascii="Times New Roman" w:hAnsi="Times New Roman" w:cs="Times New Roman"/>
        </w:rPr>
      </w:pPr>
      <w:r w:rsidRPr="0049795A">
        <w:rPr>
          <w:rFonts w:ascii="Times New Roman" w:hAnsi="Times New Roman" w:cs="Times New Roman"/>
        </w:rPr>
        <w:lastRenderedPageBreak/>
        <w:t>Secondary data were obtained from district agricultural offices, published reports, and relevant literature to complement and contextualize primary findings.</w:t>
      </w:r>
    </w:p>
    <w:p w14:paraId="2746A5F4" w14:textId="4A8EC897" w:rsidR="0049795A" w:rsidRPr="0049795A" w:rsidRDefault="0049795A" w:rsidP="0049795A">
      <w:pPr>
        <w:spacing w:line="360" w:lineRule="auto"/>
        <w:jc w:val="both"/>
        <w:rPr>
          <w:rFonts w:ascii="Times New Roman" w:hAnsi="Times New Roman" w:cs="Times New Roman"/>
          <w:sz w:val="28"/>
        </w:rPr>
      </w:pPr>
      <w:r>
        <w:rPr>
          <w:rStyle w:val="Strong"/>
          <w:rFonts w:ascii="Times New Roman" w:hAnsi="Times New Roman" w:cs="Times New Roman"/>
          <w:bCs w:val="0"/>
          <w:sz w:val="28"/>
        </w:rPr>
        <w:t xml:space="preserve">2.4. </w:t>
      </w:r>
      <w:r w:rsidRPr="0049795A">
        <w:rPr>
          <w:rStyle w:val="Strong"/>
          <w:rFonts w:ascii="Times New Roman" w:hAnsi="Times New Roman" w:cs="Times New Roman"/>
          <w:bCs w:val="0"/>
          <w:sz w:val="28"/>
        </w:rPr>
        <w:t>Data Analysis Techniques</w:t>
      </w:r>
    </w:p>
    <w:p w14:paraId="5C5945C0" w14:textId="77777777" w:rsidR="0049795A" w:rsidRPr="0049795A" w:rsidRDefault="0049795A" w:rsidP="0049795A">
      <w:pPr>
        <w:spacing w:line="360" w:lineRule="auto"/>
        <w:jc w:val="both"/>
        <w:rPr>
          <w:rFonts w:ascii="Times New Roman" w:hAnsi="Times New Roman" w:cs="Times New Roman"/>
        </w:rPr>
      </w:pPr>
      <w:r w:rsidRPr="0049795A">
        <w:rPr>
          <w:rFonts w:ascii="Times New Roman" w:hAnsi="Times New Roman" w:cs="Times New Roman"/>
        </w:rPr>
        <w:t>A mixed-method analytical framework was applied, combining quantitative statistical analysis with qualitative thematic interpretation to enhance robustness and triangulation.</w:t>
      </w:r>
    </w:p>
    <w:p w14:paraId="67D5B4DC" w14:textId="5C18F03C" w:rsidR="0049795A" w:rsidRPr="0049795A" w:rsidRDefault="0049795A" w:rsidP="0049795A">
      <w:pPr>
        <w:spacing w:line="360" w:lineRule="auto"/>
        <w:jc w:val="both"/>
        <w:rPr>
          <w:rFonts w:ascii="Times New Roman" w:hAnsi="Times New Roman" w:cs="Times New Roman"/>
          <w:sz w:val="28"/>
        </w:rPr>
      </w:pPr>
      <w:r>
        <w:rPr>
          <w:rStyle w:val="Strong"/>
          <w:rFonts w:ascii="Times New Roman" w:hAnsi="Times New Roman" w:cs="Times New Roman"/>
          <w:bCs w:val="0"/>
          <w:sz w:val="28"/>
        </w:rPr>
        <w:t>2.4.1.</w:t>
      </w:r>
      <w:r w:rsidRPr="0049795A">
        <w:rPr>
          <w:rStyle w:val="Strong"/>
          <w:rFonts w:ascii="Times New Roman" w:hAnsi="Times New Roman" w:cs="Times New Roman"/>
          <w:bCs w:val="0"/>
          <w:sz w:val="28"/>
        </w:rPr>
        <w:t xml:space="preserve"> Quantitative Analysis</w:t>
      </w:r>
    </w:p>
    <w:p w14:paraId="0C883B29" w14:textId="77777777" w:rsidR="0049795A" w:rsidRPr="0049795A" w:rsidRDefault="0049795A" w:rsidP="0049795A">
      <w:pPr>
        <w:spacing w:line="360" w:lineRule="auto"/>
        <w:jc w:val="both"/>
        <w:rPr>
          <w:rFonts w:ascii="Times New Roman" w:hAnsi="Times New Roman" w:cs="Times New Roman"/>
        </w:rPr>
      </w:pPr>
      <w:r w:rsidRPr="0049795A">
        <w:rPr>
          <w:rFonts w:ascii="Times New Roman" w:hAnsi="Times New Roman" w:cs="Times New Roman"/>
        </w:rPr>
        <w:t xml:space="preserve">Quantitative data were analyzed using </w:t>
      </w:r>
      <w:r w:rsidRPr="0049795A">
        <w:rPr>
          <w:rStyle w:val="Strong"/>
          <w:rFonts w:ascii="Times New Roman" w:hAnsi="Times New Roman" w:cs="Times New Roman"/>
        </w:rPr>
        <w:t>IBM SPSS Version 26</w:t>
      </w:r>
      <w:r w:rsidRPr="0049795A">
        <w:rPr>
          <w:rFonts w:ascii="Times New Roman" w:hAnsi="Times New Roman" w:cs="Times New Roman"/>
        </w:rPr>
        <w:t>. The following statistical techniques were employed:</w:t>
      </w:r>
    </w:p>
    <w:p w14:paraId="61524233" w14:textId="7B554242" w:rsidR="0049795A" w:rsidRPr="0049795A" w:rsidRDefault="0049795A" w:rsidP="0049795A">
      <w:pPr>
        <w:spacing w:line="360" w:lineRule="auto"/>
        <w:rPr>
          <w:rFonts w:ascii="Times New Roman" w:hAnsi="Times New Roman" w:cs="Times New Roman"/>
        </w:rPr>
      </w:pPr>
      <w:r w:rsidRPr="0049795A">
        <w:rPr>
          <w:rStyle w:val="Strong"/>
          <w:rFonts w:ascii="Times New Roman" w:hAnsi="Times New Roman" w:cs="Times New Roman"/>
        </w:rPr>
        <w:t>Descriptive statistics (mean, frequency, percentage, standard deviation):</w:t>
      </w:r>
      <w:r>
        <w:rPr>
          <w:rFonts w:ascii="Times New Roman" w:hAnsi="Times New Roman" w:cs="Times New Roman"/>
        </w:rPr>
        <w:t xml:space="preserve"> </w:t>
      </w:r>
      <w:r w:rsidRPr="0049795A">
        <w:rPr>
          <w:rFonts w:ascii="Times New Roman" w:hAnsi="Times New Roman" w:cs="Times New Roman"/>
        </w:rPr>
        <w:t xml:space="preserve">Used to summarize household characteristics, adoption levels of agroforestry, and adaptation strategies. </w:t>
      </w:r>
    </w:p>
    <w:p w14:paraId="2BC2821C" w14:textId="7E55E7B7" w:rsidR="0049795A" w:rsidRPr="0049795A" w:rsidRDefault="0049795A" w:rsidP="0049795A">
      <w:pPr>
        <w:spacing w:line="360" w:lineRule="auto"/>
        <w:rPr>
          <w:rFonts w:ascii="Times New Roman" w:hAnsi="Times New Roman" w:cs="Times New Roman"/>
        </w:rPr>
      </w:pPr>
      <w:r w:rsidRPr="0049795A">
        <w:rPr>
          <w:rStyle w:val="Strong"/>
          <w:rFonts w:ascii="Times New Roman" w:hAnsi="Times New Roman" w:cs="Times New Roman"/>
        </w:rPr>
        <w:t>Chi-square (χ²) test:</w:t>
      </w:r>
      <w:r>
        <w:rPr>
          <w:rFonts w:ascii="Times New Roman" w:hAnsi="Times New Roman" w:cs="Times New Roman"/>
        </w:rPr>
        <w:t xml:space="preserve"> </w:t>
      </w:r>
      <w:r w:rsidRPr="0049795A">
        <w:rPr>
          <w:rFonts w:ascii="Times New Roman" w:hAnsi="Times New Roman" w:cs="Times New Roman"/>
        </w:rPr>
        <w:t xml:space="preserve">Applied to examine associations between categorical variables such as agro ecological zone and adaptation strategy choice. </w:t>
      </w:r>
    </w:p>
    <w:p w14:paraId="60062F02" w14:textId="76178AD3" w:rsidR="0049795A" w:rsidRPr="0049795A" w:rsidRDefault="0049795A" w:rsidP="0049795A">
      <w:pPr>
        <w:spacing w:line="360" w:lineRule="auto"/>
        <w:rPr>
          <w:rFonts w:ascii="Times New Roman" w:hAnsi="Times New Roman" w:cs="Times New Roman"/>
        </w:rPr>
      </w:pPr>
      <w:r w:rsidRPr="0049795A">
        <w:rPr>
          <w:rStyle w:val="Strong"/>
          <w:rFonts w:ascii="Times New Roman" w:hAnsi="Times New Roman" w:cs="Times New Roman"/>
        </w:rPr>
        <w:t>One-way ANOVA:</w:t>
      </w:r>
      <w:r>
        <w:rPr>
          <w:rFonts w:ascii="Times New Roman" w:hAnsi="Times New Roman" w:cs="Times New Roman"/>
        </w:rPr>
        <w:t xml:space="preserve"> </w:t>
      </w:r>
      <w:r w:rsidRPr="0049795A">
        <w:rPr>
          <w:rFonts w:ascii="Times New Roman" w:hAnsi="Times New Roman" w:cs="Times New Roman"/>
        </w:rPr>
        <w:t xml:space="preserve">Used to test statistically significant differences in livelihood outcomes (e.g., income, crop productivity) across agro ecological zones and levels of tree density. </w:t>
      </w:r>
    </w:p>
    <w:p w14:paraId="68463A76" w14:textId="7917B497" w:rsidR="0049795A" w:rsidRPr="0049795A" w:rsidRDefault="0049795A" w:rsidP="0049795A">
      <w:pPr>
        <w:spacing w:line="360" w:lineRule="auto"/>
        <w:rPr>
          <w:rFonts w:ascii="Times New Roman" w:hAnsi="Times New Roman" w:cs="Times New Roman"/>
        </w:rPr>
      </w:pPr>
      <w:r w:rsidRPr="0049795A">
        <w:rPr>
          <w:rStyle w:val="Strong"/>
          <w:rFonts w:ascii="Times New Roman" w:hAnsi="Times New Roman" w:cs="Times New Roman"/>
        </w:rPr>
        <w:t>Pearson correlation analysis:</w:t>
      </w:r>
      <w:r>
        <w:rPr>
          <w:rFonts w:ascii="Times New Roman" w:hAnsi="Times New Roman" w:cs="Times New Roman"/>
        </w:rPr>
        <w:t xml:space="preserve"> </w:t>
      </w:r>
      <w:r w:rsidRPr="0049795A">
        <w:rPr>
          <w:rFonts w:ascii="Times New Roman" w:hAnsi="Times New Roman" w:cs="Times New Roman"/>
        </w:rPr>
        <w:t xml:space="preserve">Employed to assess linear relationships between key continuous variables such as tree abundance, household income, and crop productivity. </w:t>
      </w:r>
    </w:p>
    <w:p w14:paraId="693DBFCB" w14:textId="0C414D4D" w:rsidR="0049795A" w:rsidRPr="0049795A" w:rsidRDefault="0049795A" w:rsidP="0049795A">
      <w:pPr>
        <w:spacing w:line="360" w:lineRule="auto"/>
        <w:rPr>
          <w:rFonts w:ascii="Times New Roman" w:hAnsi="Times New Roman" w:cs="Times New Roman"/>
        </w:rPr>
      </w:pPr>
      <w:r w:rsidRPr="0049795A">
        <w:rPr>
          <w:rStyle w:val="Strong"/>
          <w:rFonts w:ascii="Times New Roman" w:hAnsi="Times New Roman" w:cs="Times New Roman"/>
        </w:rPr>
        <w:t>Multinomial logistic regression model:</w:t>
      </w:r>
      <w:r w:rsidR="00EB6F60">
        <w:rPr>
          <w:rStyle w:val="Strong"/>
          <w:rFonts w:ascii="Times New Roman" w:hAnsi="Times New Roman" w:cs="Times New Roman"/>
        </w:rPr>
        <w:t xml:space="preserve"> </w:t>
      </w:r>
      <w:r w:rsidRPr="0049795A">
        <w:rPr>
          <w:rFonts w:ascii="Times New Roman" w:hAnsi="Times New Roman" w:cs="Times New Roman"/>
        </w:rPr>
        <w:t xml:space="preserve">Used to identify determinants of household adaptation strategy choice (e.g., agroforestry, livestock diversification, off-farm activities). The model was appropriate because the dependent variable consisted of more than two categorical outcomes. Independent variables included household demographic, socioeconomic, and environmental factors. </w:t>
      </w:r>
    </w:p>
    <w:p w14:paraId="07DD5628" w14:textId="77777777" w:rsidR="00EB6F60" w:rsidRDefault="0049795A" w:rsidP="0049795A">
      <w:pPr>
        <w:spacing w:line="360" w:lineRule="auto"/>
        <w:jc w:val="both"/>
        <w:rPr>
          <w:rFonts w:ascii="Times New Roman" w:hAnsi="Times New Roman" w:cs="Times New Roman"/>
          <w:b/>
        </w:rPr>
      </w:pPr>
      <w:r w:rsidRPr="00EB6F60">
        <w:rPr>
          <w:rFonts w:ascii="Times New Roman" w:hAnsi="Times New Roman" w:cs="Times New Roman"/>
          <w:b/>
        </w:rPr>
        <w:t>Model robustness was evaluated using:</w:t>
      </w:r>
      <w:r w:rsidR="00EB6F60">
        <w:rPr>
          <w:rFonts w:ascii="Times New Roman" w:hAnsi="Times New Roman" w:cs="Times New Roman"/>
          <w:b/>
        </w:rPr>
        <w:t xml:space="preserve"> </w:t>
      </w:r>
    </w:p>
    <w:p w14:paraId="32DA497A" w14:textId="77777777" w:rsidR="00EB6F60" w:rsidRPr="00EB6F60" w:rsidRDefault="0049795A" w:rsidP="0049795A">
      <w:pPr>
        <w:pStyle w:val="ListParagraph"/>
        <w:numPr>
          <w:ilvl w:val="0"/>
          <w:numId w:val="15"/>
        </w:numPr>
        <w:spacing w:line="360" w:lineRule="auto"/>
        <w:jc w:val="both"/>
        <w:rPr>
          <w:rFonts w:ascii="Times New Roman" w:hAnsi="Times New Roman" w:cs="Times New Roman"/>
          <w:sz w:val="24"/>
        </w:rPr>
      </w:pPr>
      <w:r w:rsidRPr="00EB6F60">
        <w:rPr>
          <w:rFonts w:ascii="Times New Roman" w:hAnsi="Times New Roman" w:cs="Times New Roman"/>
          <w:sz w:val="24"/>
        </w:rPr>
        <w:t xml:space="preserve">Likelihood ratio </w:t>
      </w:r>
      <w:r w:rsidR="00EB6F60" w:rsidRPr="00EB6F60">
        <w:rPr>
          <w:rFonts w:ascii="Times New Roman" w:hAnsi="Times New Roman" w:cs="Times New Roman"/>
          <w:sz w:val="24"/>
        </w:rPr>
        <w:t xml:space="preserve">tests </w:t>
      </w:r>
    </w:p>
    <w:p w14:paraId="1D9E8BF9" w14:textId="77777777" w:rsidR="00EB6F60" w:rsidRPr="00EB6F60" w:rsidRDefault="00EB6F60" w:rsidP="0049795A">
      <w:pPr>
        <w:pStyle w:val="ListParagraph"/>
        <w:numPr>
          <w:ilvl w:val="0"/>
          <w:numId w:val="15"/>
        </w:numPr>
        <w:spacing w:line="360" w:lineRule="auto"/>
        <w:jc w:val="both"/>
        <w:rPr>
          <w:rFonts w:ascii="Times New Roman" w:hAnsi="Times New Roman" w:cs="Times New Roman"/>
          <w:sz w:val="24"/>
        </w:rPr>
      </w:pPr>
      <w:r w:rsidRPr="00EB6F60">
        <w:rPr>
          <w:rFonts w:ascii="Times New Roman" w:hAnsi="Times New Roman" w:cs="Times New Roman"/>
          <w:sz w:val="24"/>
        </w:rPr>
        <w:t>Pseudo</w:t>
      </w:r>
      <w:r w:rsidR="0049795A" w:rsidRPr="00EB6F60">
        <w:rPr>
          <w:rFonts w:ascii="Times New Roman" w:hAnsi="Times New Roman" w:cs="Times New Roman"/>
          <w:sz w:val="24"/>
        </w:rPr>
        <w:t xml:space="preserve"> R² (Cox &amp; Snell, Nagelkerke) </w:t>
      </w:r>
    </w:p>
    <w:p w14:paraId="4EFEEA9F" w14:textId="666C9331" w:rsidR="0049795A" w:rsidRDefault="0049795A" w:rsidP="0049795A">
      <w:pPr>
        <w:pStyle w:val="ListParagraph"/>
        <w:numPr>
          <w:ilvl w:val="0"/>
          <w:numId w:val="15"/>
        </w:numPr>
        <w:spacing w:line="360" w:lineRule="auto"/>
        <w:jc w:val="both"/>
        <w:rPr>
          <w:rFonts w:ascii="Times New Roman" w:hAnsi="Times New Roman" w:cs="Times New Roman"/>
          <w:sz w:val="24"/>
        </w:rPr>
      </w:pPr>
      <w:r w:rsidRPr="00EB6F60">
        <w:rPr>
          <w:rFonts w:ascii="Times New Roman" w:hAnsi="Times New Roman" w:cs="Times New Roman"/>
          <w:sz w:val="24"/>
        </w:rPr>
        <w:t xml:space="preserve">Model classification accuracy </w:t>
      </w:r>
    </w:p>
    <w:p w14:paraId="6E57A06E" w14:textId="77777777" w:rsidR="00EB6F60" w:rsidRPr="00EB6F60" w:rsidRDefault="00EB6F60" w:rsidP="00EB6F60">
      <w:pPr>
        <w:spacing w:line="360" w:lineRule="auto"/>
        <w:jc w:val="both"/>
        <w:rPr>
          <w:rFonts w:ascii="Times New Roman" w:hAnsi="Times New Roman" w:cs="Times New Roman"/>
          <w:sz w:val="24"/>
        </w:rPr>
      </w:pPr>
    </w:p>
    <w:p w14:paraId="247BB55F" w14:textId="6A6797A5" w:rsidR="0049795A" w:rsidRPr="00EB6F60" w:rsidRDefault="00EB6F60" w:rsidP="0049795A">
      <w:pPr>
        <w:spacing w:line="360" w:lineRule="auto"/>
        <w:jc w:val="both"/>
        <w:rPr>
          <w:rFonts w:ascii="Times New Roman" w:hAnsi="Times New Roman" w:cs="Times New Roman"/>
          <w:sz w:val="32"/>
        </w:rPr>
      </w:pPr>
      <w:r>
        <w:rPr>
          <w:rStyle w:val="Strong"/>
          <w:rFonts w:ascii="Times New Roman" w:hAnsi="Times New Roman" w:cs="Times New Roman"/>
          <w:bCs w:val="0"/>
          <w:sz w:val="32"/>
        </w:rPr>
        <w:lastRenderedPageBreak/>
        <w:t xml:space="preserve">2.4.2. </w:t>
      </w:r>
      <w:r w:rsidR="0049795A" w:rsidRPr="00EB6F60">
        <w:rPr>
          <w:rStyle w:val="Strong"/>
          <w:rFonts w:ascii="Times New Roman" w:hAnsi="Times New Roman" w:cs="Times New Roman"/>
          <w:bCs w:val="0"/>
          <w:sz w:val="32"/>
        </w:rPr>
        <w:t>Qualitative Analysis</w:t>
      </w:r>
    </w:p>
    <w:p w14:paraId="79E70D19" w14:textId="3FE8C17A" w:rsidR="0049795A" w:rsidRPr="00EB6F60" w:rsidRDefault="0049795A" w:rsidP="007B66E3">
      <w:pPr>
        <w:spacing w:line="360" w:lineRule="auto"/>
        <w:jc w:val="both"/>
        <w:rPr>
          <w:rFonts w:ascii="Times New Roman" w:hAnsi="Times New Roman" w:cs="Times New Roman"/>
        </w:rPr>
      </w:pPr>
      <w:r w:rsidRPr="0049795A">
        <w:rPr>
          <w:rFonts w:ascii="Times New Roman" w:hAnsi="Times New Roman" w:cs="Times New Roman"/>
        </w:rPr>
        <w:t xml:space="preserve">Qualitative data from key informant interviews were analyzed using </w:t>
      </w:r>
      <w:r w:rsidRPr="0049795A">
        <w:rPr>
          <w:rStyle w:val="Strong"/>
          <w:rFonts w:ascii="Times New Roman" w:hAnsi="Times New Roman" w:cs="Times New Roman"/>
        </w:rPr>
        <w:t>thematic content analysis</w:t>
      </w:r>
      <w:r w:rsidRPr="0049795A">
        <w:rPr>
          <w:rFonts w:ascii="Times New Roman" w:hAnsi="Times New Roman" w:cs="Times New Roman"/>
        </w:rPr>
        <w:t>. Responses were transcribed, coded, and grouped into themes such as adaptation practices, perceived benefits of agroforestry, and local environmental changes. These qualitative insights were used to triangulate and enrich quantitative findings.</w:t>
      </w:r>
    </w:p>
    <w:p w14:paraId="54D10070" w14:textId="5F5336C4" w:rsidR="00D86D39" w:rsidRDefault="00D86D39" w:rsidP="007B66E3">
      <w:pPr>
        <w:spacing w:line="360" w:lineRule="auto"/>
        <w:jc w:val="both"/>
        <w:rPr>
          <w:rFonts w:ascii="Times New Roman" w:hAnsi="Times New Roman" w:cs="Times New Roman"/>
          <w:b/>
          <w:color w:val="000000" w:themeColor="text1"/>
          <w:sz w:val="28"/>
        </w:rPr>
      </w:pPr>
    </w:p>
    <w:p w14:paraId="1668E80E" w14:textId="519B154F" w:rsidR="00EB6F60" w:rsidRDefault="00EB6F60" w:rsidP="007B66E3">
      <w:pPr>
        <w:spacing w:line="360" w:lineRule="auto"/>
        <w:jc w:val="both"/>
        <w:rPr>
          <w:rFonts w:ascii="Times New Roman" w:hAnsi="Times New Roman" w:cs="Times New Roman"/>
          <w:b/>
          <w:color w:val="000000" w:themeColor="text1"/>
          <w:sz w:val="28"/>
        </w:rPr>
      </w:pPr>
    </w:p>
    <w:p w14:paraId="458D68B1" w14:textId="5CF624D7" w:rsidR="00EB6F60" w:rsidRDefault="00EB6F60" w:rsidP="007B66E3">
      <w:pPr>
        <w:spacing w:line="360" w:lineRule="auto"/>
        <w:jc w:val="both"/>
        <w:rPr>
          <w:rFonts w:ascii="Times New Roman" w:hAnsi="Times New Roman" w:cs="Times New Roman"/>
          <w:b/>
          <w:color w:val="000000" w:themeColor="text1"/>
          <w:sz w:val="28"/>
        </w:rPr>
      </w:pPr>
    </w:p>
    <w:p w14:paraId="69F04470" w14:textId="417E71F3" w:rsidR="00EB6F60" w:rsidRDefault="00EB6F60" w:rsidP="007B66E3">
      <w:pPr>
        <w:spacing w:line="360" w:lineRule="auto"/>
        <w:jc w:val="both"/>
        <w:rPr>
          <w:rFonts w:ascii="Times New Roman" w:hAnsi="Times New Roman" w:cs="Times New Roman"/>
          <w:b/>
          <w:color w:val="000000" w:themeColor="text1"/>
          <w:sz w:val="28"/>
        </w:rPr>
      </w:pPr>
    </w:p>
    <w:p w14:paraId="2AE65B62" w14:textId="624C8BDA" w:rsidR="00EB6F60" w:rsidRDefault="00EB6F60" w:rsidP="007B66E3">
      <w:pPr>
        <w:spacing w:line="360" w:lineRule="auto"/>
        <w:jc w:val="both"/>
        <w:rPr>
          <w:rFonts w:ascii="Times New Roman" w:hAnsi="Times New Roman" w:cs="Times New Roman"/>
          <w:b/>
          <w:color w:val="000000" w:themeColor="text1"/>
          <w:sz w:val="28"/>
        </w:rPr>
      </w:pPr>
    </w:p>
    <w:p w14:paraId="2D9E0E73" w14:textId="239D2CF8" w:rsidR="00EB6F60" w:rsidRDefault="00EB6F60" w:rsidP="007B66E3">
      <w:pPr>
        <w:spacing w:line="360" w:lineRule="auto"/>
        <w:jc w:val="both"/>
        <w:rPr>
          <w:rFonts w:ascii="Times New Roman" w:hAnsi="Times New Roman" w:cs="Times New Roman"/>
          <w:b/>
          <w:color w:val="000000" w:themeColor="text1"/>
          <w:sz w:val="28"/>
        </w:rPr>
      </w:pPr>
    </w:p>
    <w:p w14:paraId="5FD2DBBE" w14:textId="3744E3F6" w:rsidR="00EB6F60" w:rsidRDefault="00EB6F60" w:rsidP="007B66E3">
      <w:pPr>
        <w:spacing w:line="360" w:lineRule="auto"/>
        <w:jc w:val="both"/>
        <w:rPr>
          <w:rFonts w:ascii="Times New Roman" w:hAnsi="Times New Roman" w:cs="Times New Roman"/>
          <w:b/>
          <w:color w:val="000000" w:themeColor="text1"/>
          <w:sz w:val="28"/>
        </w:rPr>
      </w:pPr>
    </w:p>
    <w:p w14:paraId="68EA2955" w14:textId="7A40A154" w:rsidR="00EB6F60" w:rsidRDefault="00EB6F60" w:rsidP="007B66E3">
      <w:pPr>
        <w:spacing w:line="360" w:lineRule="auto"/>
        <w:jc w:val="both"/>
        <w:rPr>
          <w:rFonts w:ascii="Times New Roman" w:hAnsi="Times New Roman" w:cs="Times New Roman"/>
          <w:b/>
          <w:color w:val="000000" w:themeColor="text1"/>
          <w:sz w:val="28"/>
        </w:rPr>
      </w:pPr>
    </w:p>
    <w:p w14:paraId="1C7A1299" w14:textId="12282D75" w:rsidR="00EB6F60" w:rsidRDefault="00EB6F60" w:rsidP="007B66E3">
      <w:pPr>
        <w:spacing w:line="360" w:lineRule="auto"/>
        <w:jc w:val="both"/>
        <w:rPr>
          <w:rFonts w:ascii="Times New Roman" w:hAnsi="Times New Roman" w:cs="Times New Roman"/>
          <w:b/>
          <w:color w:val="000000" w:themeColor="text1"/>
          <w:sz w:val="28"/>
        </w:rPr>
      </w:pPr>
    </w:p>
    <w:p w14:paraId="2A64ABFC" w14:textId="7326AB26" w:rsidR="00EB6F60" w:rsidRDefault="00EB6F60" w:rsidP="007B66E3">
      <w:pPr>
        <w:spacing w:line="360" w:lineRule="auto"/>
        <w:jc w:val="both"/>
        <w:rPr>
          <w:rFonts w:ascii="Times New Roman" w:hAnsi="Times New Roman" w:cs="Times New Roman"/>
          <w:b/>
          <w:color w:val="000000" w:themeColor="text1"/>
          <w:sz w:val="28"/>
        </w:rPr>
      </w:pPr>
    </w:p>
    <w:p w14:paraId="2D80D162" w14:textId="41ED6AC1" w:rsidR="00EB6F60" w:rsidRDefault="00EB6F60" w:rsidP="007B66E3">
      <w:pPr>
        <w:spacing w:line="360" w:lineRule="auto"/>
        <w:jc w:val="both"/>
        <w:rPr>
          <w:rFonts w:ascii="Times New Roman" w:hAnsi="Times New Roman" w:cs="Times New Roman"/>
          <w:b/>
          <w:color w:val="000000" w:themeColor="text1"/>
          <w:sz w:val="28"/>
        </w:rPr>
      </w:pPr>
    </w:p>
    <w:p w14:paraId="4C2532E6" w14:textId="4A1E71A7" w:rsidR="00EB6F60" w:rsidRDefault="00EB6F60" w:rsidP="007B66E3">
      <w:pPr>
        <w:spacing w:line="360" w:lineRule="auto"/>
        <w:jc w:val="both"/>
        <w:rPr>
          <w:rFonts w:ascii="Times New Roman" w:hAnsi="Times New Roman" w:cs="Times New Roman"/>
          <w:b/>
          <w:color w:val="000000" w:themeColor="text1"/>
          <w:sz w:val="28"/>
        </w:rPr>
      </w:pPr>
    </w:p>
    <w:p w14:paraId="0CFAF42E" w14:textId="12763A64" w:rsidR="00EB6F60" w:rsidRDefault="00EB6F60" w:rsidP="007B66E3">
      <w:pPr>
        <w:spacing w:line="360" w:lineRule="auto"/>
        <w:jc w:val="both"/>
        <w:rPr>
          <w:rFonts w:ascii="Times New Roman" w:hAnsi="Times New Roman" w:cs="Times New Roman"/>
          <w:b/>
          <w:color w:val="000000" w:themeColor="text1"/>
          <w:sz w:val="28"/>
        </w:rPr>
      </w:pPr>
    </w:p>
    <w:p w14:paraId="5CAAD236" w14:textId="77777777" w:rsidR="00EB6F60" w:rsidRPr="00D86D39" w:rsidRDefault="00EB6F60" w:rsidP="007B66E3">
      <w:pPr>
        <w:spacing w:line="360" w:lineRule="auto"/>
        <w:jc w:val="both"/>
        <w:rPr>
          <w:rFonts w:ascii="Times New Roman" w:hAnsi="Times New Roman" w:cs="Times New Roman"/>
          <w:color w:val="000000" w:themeColor="text1"/>
          <w:sz w:val="24"/>
        </w:rPr>
      </w:pPr>
    </w:p>
    <w:p w14:paraId="710AADFD" w14:textId="77777777" w:rsidR="00D86D39" w:rsidRPr="00D86D39" w:rsidRDefault="00D86D39" w:rsidP="007B66E3">
      <w:pPr>
        <w:spacing w:line="360" w:lineRule="auto"/>
        <w:jc w:val="both"/>
        <w:rPr>
          <w:rFonts w:ascii="Times New Roman" w:hAnsi="Times New Roman" w:cs="Times New Roman"/>
          <w:color w:val="000000" w:themeColor="text1"/>
          <w:sz w:val="24"/>
        </w:rPr>
      </w:pPr>
    </w:p>
    <w:p w14:paraId="41C1B2EE"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lastRenderedPageBreak/>
        <w:t>3. Results and Discussion</w:t>
      </w:r>
    </w:p>
    <w:p w14:paraId="3EFA1D37"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Most respondents were male and engaged primarily in mixed crop-livestock farming. Education levels were generally low, and the average household size was six members. Rainfed agriculture dominated livelihoods across all sites, supplemented by various agroforestry practices such as home gardens, woodlots, and boundary planting.</w:t>
      </w:r>
    </w:p>
    <w:p w14:paraId="1C3FAF22" w14:textId="77777777" w:rsidR="00C67806"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Nearly all respondents (94%) reported noticeable climate changes over the past three decades, primarily decreased rainfall, shortened rainy seasons, and rising temperatures. Drought was identified as the most prevalent hazard, especially in lowland areas. Farmers have developed diverse strategies to cope with climatic variability, including crop diversification, livestock adjustment, and agroforestry. Agroforestry ranked third among adaptation options.</w:t>
      </w:r>
    </w:p>
    <w:p w14:paraId="22561CEF" w14:textId="51D3557A" w:rsidR="0062765D" w:rsidRPr="00D86D39" w:rsidRDefault="0062765D" w:rsidP="007B66E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Fig 2: </w:t>
      </w:r>
      <w:r w:rsidR="006F2CEC">
        <w:rPr>
          <w:rFonts w:ascii="Times New Roman" w:hAnsi="Times New Roman" w:cs="Times New Roman"/>
          <w:color w:val="000000" w:themeColor="text1"/>
          <w:sz w:val="24"/>
        </w:rPr>
        <w:t>Respondents from Lowland, Midland, and Highland Farm</w:t>
      </w:r>
    </w:p>
    <w:p w14:paraId="522E7142" w14:textId="77777777" w:rsidR="00D86D39"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eastAsia="Times New Roman" w:hAnsi="Times New Roman" w:cs="Times New Roman"/>
          <w:noProof/>
          <w:color w:val="000000" w:themeColor="text1"/>
          <w:sz w:val="24"/>
          <w:szCs w:val="24"/>
        </w:rPr>
        <w:drawing>
          <wp:inline distT="0" distB="0" distL="0" distR="0" wp14:anchorId="07AD9FC9" wp14:editId="2AD79F9D">
            <wp:extent cx="5021580" cy="2777946"/>
            <wp:effectExtent l="19050" t="19050" r="2667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1187" cy="2805389"/>
                    </a:xfrm>
                    <a:prstGeom prst="rect">
                      <a:avLst/>
                    </a:prstGeom>
                    <a:ln w="19050">
                      <a:solidFill>
                        <a:schemeClr val="tx1"/>
                      </a:solidFill>
                    </a:ln>
                  </pic:spPr>
                </pic:pic>
              </a:graphicData>
            </a:graphic>
          </wp:inline>
        </w:drawing>
      </w:r>
    </w:p>
    <w:p w14:paraId="5ABBDCDF"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 xml:space="preserve">Agroforestry trees served multiple purposes: construction materials (30%), livestock feed (25%), and fuelwood (15%). Trees also provided essential resources for building and farming, reducing pressure on natural forests. About 73% of respondents agreed that on-farm trees enhance crop productivity, confirmed by significant positive correlations between tree abundance and both crop and total income (r = 0.37, p &lt; 0.01; r = 0.55, p &lt; </w:t>
      </w:r>
      <w:r w:rsidRPr="00D86D39">
        <w:rPr>
          <w:rFonts w:ascii="Times New Roman" w:hAnsi="Times New Roman" w:cs="Times New Roman"/>
          <w:color w:val="000000" w:themeColor="text1"/>
          <w:sz w:val="24"/>
        </w:rPr>
        <w:lastRenderedPageBreak/>
        <w:t>0.01). On average, trees contributed 34.35% of household income, underscoring their livelihood value.</w:t>
      </w:r>
    </w:p>
    <w:p w14:paraId="7415466D" w14:textId="7666EBFB"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40"/>
          <w:szCs w:val="24"/>
        </w:rPr>
      </w:pPr>
      <w:r w:rsidRPr="00D86D39">
        <w:rPr>
          <w:rFonts w:ascii="Times New Roman" w:eastAsia="Times New Roman" w:hAnsi="Times New Roman" w:cs="Times New Roman"/>
          <w:b/>
          <w:bCs/>
          <w:color w:val="000000" w:themeColor="text1"/>
          <w:sz w:val="24"/>
          <w:szCs w:val="24"/>
        </w:rPr>
        <w:t xml:space="preserve">Table </w:t>
      </w:r>
      <w:r w:rsidR="00423A30">
        <w:rPr>
          <w:rFonts w:ascii="Times New Roman" w:eastAsia="Times New Roman" w:hAnsi="Times New Roman" w:cs="Times New Roman"/>
          <w:b/>
          <w:bCs/>
          <w:color w:val="000000" w:themeColor="text1"/>
          <w:sz w:val="24"/>
          <w:szCs w:val="24"/>
        </w:rPr>
        <w:t>1</w:t>
      </w:r>
      <w:r w:rsidRPr="00D86D39">
        <w:rPr>
          <w:rFonts w:ascii="Times New Roman" w:eastAsia="Times New Roman" w:hAnsi="Times New Roman" w:cs="Times New Roman"/>
          <w:b/>
          <w:bCs/>
          <w:color w:val="000000" w:themeColor="text1"/>
          <w:sz w:val="24"/>
          <w:szCs w:val="24"/>
        </w:rPr>
        <w:t>. Type and source of material for house building and farm utilities</w:t>
      </w:r>
    </w:p>
    <w:tbl>
      <w:tblPr>
        <w:tblW w:w="10338" w:type="dxa"/>
        <w:tblInd w:w="-270" w:type="dxa"/>
        <w:tblLook w:val="04A0" w:firstRow="1" w:lastRow="0" w:firstColumn="1" w:lastColumn="0" w:noHBand="0" w:noVBand="1"/>
      </w:tblPr>
      <w:tblGrid>
        <w:gridCol w:w="3338"/>
        <w:gridCol w:w="172"/>
        <w:gridCol w:w="2735"/>
        <w:gridCol w:w="145"/>
        <w:gridCol w:w="952"/>
        <w:gridCol w:w="1023"/>
        <w:gridCol w:w="1048"/>
        <w:gridCol w:w="925"/>
      </w:tblGrid>
      <w:tr w:rsidR="00D86D39" w:rsidRPr="00D86D39" w14:paraId="360AE499" w14:textId="77777777" w:rsidTr="00A56CA9">
        <w:trPr>
          <w:trHeight w:val="312"/>
        </w:trPr>
        <w:tc>
          <w:tcPr>
            <w:tcW w:w="3338" w:type="dxa"/>
            <w:tcBorders>
              <w:top w:val="nil"/>
              <w:left w:val="nil"/>
              <w:bottom w:val="nil"/>
              <w:right w:val="nil"/>
            </w:tcBorders>
            <w:noWrap/>
            <w:vAlign w:val="bottom"/>
            <w:hideMark/>
          </w:tcPr>
          <w:p w14:paraId="6F3BC79E" w14:textId="77777777" w:rsidR="00D86D39" w:rsidRPr="00D86D39" w:rsidRDefault="00D86D39" w:rsidP="00A56CA9">
            <w:pPr>
              <w:rPr>
                <w:rFonts w:ascii="Times New Roman" w:eastAsia="Times New Roman" w:hAnsi="Times New Roman" w:cs="Times New Roman"/>
                <w:b/>
                <w:bCs/>
                <w:color w:val="000000" w:themeColor="text1"/>
                <w:sz w:val="24"/>
                <w:szCs w:val="24"/>
              </w:rPr>
            </w:pPr>
          </w:p>
        </w:tc>
        <w:tc>
          <w:tcPr>
            <w:tcW w:w="2907" w:type="dxa"/>
            <w:gridSpan w:val="2"/>
            <w:tcBorders>
              <w:top w:val="nil"/>
              <w:left w:val="nil"/>
              <w:bottom w:val="nil"/>
              <w:right w:val="nil"/>
            </w:tcBorders>
            <w:noWrap/>
            <w:vAlign w:val="bottom"/>
            <w:hideMark/>
          </w:tcPr>
          <w:p w14:paraId="6365FAB2" w14:textId="77777777" w:rsidR="00D86D39" w:rsidRPr="00D86D39" w:rsidRDefault="00D86D39" w:rsidP="00A56CA9">
            <w:pPr>
              <w:jc w:val="center"/>
              <w:rPr>
                <w:rFonts w:ascii="Times New Roman" w:eastAsia="Times New Roman" w:hAnsi="Times New Roman" w:cs="Times New Roman"/>
                <w:color w:val="000000" w:themeColor="text1"/>
              </w:rPr>
            </w:pPr>
          </w:p>
        </w:tc>
        <w:tc>
          <w:tcPr>
            <w:tcW w:w="4093" w:type="dxa"/>
            <w:gridSpan w:val="5"/>
            <w:tcBorders>
              <w:top w:val="nil"/>
              <w:left w:val="nil"/>
              <w:bottom w:val="single" w:sz="4" w:space="0" w:color="auto"/>
              <w:right w:val="nil"/>
            </w:tcBorders>
            <w:noWrap/>
            <w:vAlign w:val="bottom"/>
            <w:hideMark/>
          </w:tcPr>
          <w:p w14:paraId="5A4F7A12" w14:textId="77777777" w:rsidR="00D86D39" w:rsidRPr="00D86D39" w:rsidRDefault="00D86D39" w:rsidP="00A56CA9">
            <w:pPr>
              <w:jc w:val="cente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of respondents </w:t>
            </w:r>
          </w:p>
        </w:tc>
      </w:tr>
      <w:tr w:rsidR="00D86D39" w:rsidRPr="00D86D39" w14:paraId="33096AFB" w14:textId="77777777" w:rsidTr="00A56CA9">
        <w:trPr>
          <w:trHeight w:val="312"/>
        </w:trPr>
        <w:tc>
          <w:tcPr>
            <w:tcW w:w="3338" w:type="dxa"/>
            <w:tcBorders>
              <w:top w:val="nil"/>
              <w:left w:val="nil"/>
              <w:bottom w:val="single" w:sz="4" w:space="0" w:color="auto"/>
              <w:right w:val="nil"/>
            </w:tcBorders>
            <w:noWrap/>
            <w:vAlign w:val="bottom"/>
            <w:hideMark/>
          </w:tcPr>
          <w:p w14:paraId="5AF0962D" w14:textId="77777777" w:rsidR="00D86D39" w:rsidRPr="00D86D39" w:rsidRDefault="00D86D39" w:rsidP="00A56CA9">
            <w:pP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Type of material </w:t>
            </w:r>
          </w:p>
        </w:tc>
        <w:tc>
          <w:tcPr>
            <w:tcW w:w="2907" w:type="dxa"/>
            <w:gridSpan w:val="2"/>
            <w:tcBorders>
              <w:top w:val="nil"/>
              <w:left w:val="nil"/>
              <w:bottom w:val="single" w:sz="4" w:space="0" w:color="auto"/>
              <w:right w:val="nil"/>
            </w:tcBorders>
            <w:noWrap/>
            <w:vAlign w:val="bottom"/>
            <w:hideMark/>
          </w:tcPr>
          <w:p w14:paraId="5ABE18F5" w14:textId="77777777" w:rsidR="00D86D39" w:rsidRPr="00D86D39" w:rsidRDefault="00D86D39" w:rsidP="00A56CA9">
            <w:pP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Source</w:t>
            </w:r>
          </w:p>
        </w:tc>
        <w:tc>
          <w:tcPr>
            <w:tcW w:w="1097" w:type="dxa"/>
            <w:gridSpan w:val="2"/>
            <w:tcBorders>
              <w:top w:val="nil"/>
              <w:left w:val="nil"/>
              <w:bottom w:val="single" w:sz="4" w:space="0" w:color="auto"/>
              <w:right w:val="nil"/>
            </w:tcBorders>
            <w:noWrap/>
            <w:vAlign w:val="bottom"/>
            <w:hideMark/>
          </w:tcPr>
          <w:p w14:paraId="49D05C53"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Highland</w:t>
            </w:r>
          </w:p>
        </w:tc>
        <w:tc>
          <w:tcPr>
            <w:tcW w:w="1023" w:type="dxa"/>
            <w:tcBorders>
              <w:top w:val="nil"/>
              <w:left w:val="nil"/>
              <w:bottom w:val="single" w:sz="4" w:space="0" w:color="auto"/>
              <w:right w:val="nil"/>
            </w:tcBorders>
            <w:noWrap/>
            <w:vAlign w:val="bottom"/>
            <w:hideMark/>
          </w:tcPr>
          <w:p w14:paraId="5972B684"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Midland</w:t>
            </w:r>
          </w:p>
        </w:tc>
        <w:tc>
          <w:tcPr>
            <w:tcW w:w="1048" w:type="dxa"/>
            <w:tcBorders>
              <w:top w:val="nil"/>
              <w:left w:val="nil"/>
              <w:bottom w:val="single" w:sz="4" w:space="0" w:color="auto"/>
              <w:right w:val="nil"/>
            </w:tcBorders>
            <w:noWrap/>
            <w:vAlign w:val="bottom"/>
            <w:hideMark/>
          </w:tcPr>
          <w:p w14:paraId="20D0C20B"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Lowland</w:t>
            </w:r>
          </w:p>
        </w:tc>
        <w:tc>
          <w:tcPr>
            <w:tcW w:w="925" w:type="dxa"/>
            <w:tcBorders>
              <w:top w:val="nil"/>
              <w:left w:val="nil"/>
              <w:bottom w:val="single" w:sz="4" w:space="0" w:color="auto"/>
              <w:right w:val="nil"/>
            </w:tcBorders>
            <w:noWrap/>
            <w:vAlign w:val="bottom"/>
            <w:hideMark/>
          </w:tcPr>
          <w:p w14:paraId="03B0DC8B"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Overall</w:t>
            </w:r>
          </w:p>
        </w:tc>
      </w:tr>
      <w:tr w:rsidR="00D86D39" w:rsidRPr="00D86D39" w14:paraId="10EDE2F4" w14:textId="77777777" w:rsidTr="00A56CA9">
        <w:trPr>
          <w:trHeight w:val="312"/>
        </w:trPr>
        <w:tc>
          <w:tcPr>
            <w:tcW w:w="3510" w:type="dxa"/>
            <w:gridSpan w:val="2"/>
            <w:tcBorders>
              <w:top w:val="nil"/>
              <w:left w:val="nil"/>
              <w:bottom w:val="nil"/>
              <w:right w:val="nil"/>
            </w:tcBorders>
            <w:noWrap/>
            <w:vAlign w:val="bottom"/>
            <w:hideMark/>
          </w:tcPr>
          <w:p w14:paraId="0B59F8A7"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farm utilities</w:t>
            </w:r>
          </w:p>
        </w:tc>
        <w:tc>
          <w:tcPr>
            <w:tcW w:w="2880" w:type="dxa"/>
            <w:gridSpan w:val="2"/>
            <w:tcBorders>
              <w:top w:val="nil"/>
              <w:left w:val="nil"/>
              <w:bottom w:val="nil"/>
              <w:right w:val="nil"/>
            </w:tcBorders>
            <w:noWrap/>
            <w:vAlign w:val="bottom"/>
            <w:hideMark/>
          </w:tcPr>
          <w:p w14:paraId="15A4CD80"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open Forest</w:t>
            </w:r>
          </w:p>
        </w:tc>
        <w:tc>
          <w:tcPr>
            <w:tcW w:w="952" w:type="dxa"/>
            <w:tcBorders>
              <w:top w:val="nil"/>
              <w:left w:val="nil"/>
              <w:bottom w:val="nil"/>
              <w:right w:val="nil"/>
            </w:tcBorders>
            <w:noWrap/>
            <w:vAlign w:val="bottom"/>
            <w:hideMark/>
          </w:tcPr>
          <w:p w14:paraId="6E6C6F2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21.5</w:t>
            </w:r>
          </w:p>
        </w:tc>
        <w:tc>
          <w:tcPr>
            <w:tcW w:w="1023" w:type="dxa"/>
            <w:tcBorders>
              <w:top w:val="nil"/>
              <w:left w:val="nil"/>
              <w:bottom w:val="nil"/>
              <w:right w:val="nil"/>
            </w:tcBorders>
            <w:noWrap/>
            <w:vAlign w:val="bottom"/>
            <w:hideMark/>
          </w:tcPr>
          <w:p w14:paraId="50F037B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21.9</w:t>
            </w:r>
          </w:p>
        </w:tc>
        <w:tc>
          <w:tcPr>
            <w:tcW w:w="1048" w:type="dxa"/>
            <w:tcBorders>
              <w:top w:val="nil"/>
              <w:left w:val="nil"/>
              <w:bottom w:val="nil"/>
              <w:right w:val="nil"/>
            </w:tcBorders>
            <w:noWrap/>
            <w:vAlign w:val="bottom"/>
            <w:hideMark/>
          </w:tcPr>
          <w:p w14:paraId="2A95D1D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17.6</w:t>
            </w:r>
          </w:p>
        </w:tc>
        <w:tc>
          <w:tcPr>
            <w:tcW w:w="925" w:type="dxa"/>
            <w:tcBorders>
              <w:top w:val="nil"/>
              <w:left w:val="nil"/>
              <w:bottom w:val="nil"/>
              <w:right w:val="nil"/>
            </w:tcBorders>
            <w:noWrap/>
            <w:vAlign w:val="bottom"/>
            <w:hideMark/>
          </w:tcPr>
          <w:p w14:paraId="509F78E6"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20.3</w:t>
            </w:r>
          </w:p>
        </w:tc>
      </w:tr>
      <w:tr w:rsidR="00D86D39" w:rsidRPr="00D86D39" w14:paraId="50B6664E" w14:textId="77777777" w:rsidTr="00A56CA9">
        <w:trPr>
          <w:trHeight w:val="312"/>
        </w:trPr>
        <w:tc>
          <w:tcPr>
            <w:tcW w:w="3510" w:type="dxa"/>
            <w:gridSpan w:val="2"/>
            <w:tcBorders>
              <w:top w:val="nil"/>
              <w:left w:val="nil"/>
              <w:bottom w:val="nil"/>
              <w:right w:val="nil"/>
            </w:tcBorders>
            <w:noWrap/>
            <w:vAlign w:val="bottom"/>
            <w:hideMark/>
          </w:tcPr>
          <w:p w14:paraId="1128647D" w14:textId="77777777" w:rsidR="00D86D39" w:rsidRPr="00D86D39" w:rsidRDefault="00D86D39" w:rsidP="00A56CA9">
            <w:pPr>
              <w:jc w:val="right"/>
              <w:rPr>
                <w:rFonts w:ascii="Times New Roman" w:eastAsia="Times New Roman" w:hAnsi="Times New Roman" w:cs="Times New Roman"/>
                <w:color w:val="000000" w:themeColor="text1"/>
                <w:sz w:val="24"/>
                <w:szCs w:val="24"/>
              </w:rPr>
            </w:pPr>
          </w:p>
        </w:tc>
        <w:tc>
          <w:tcPr>
            <w:tcW w:w="2880" w:type="dxa"/>
            <w:gridSpan w:val="2"/>
            <w:tcBorders>
              <w:top w:val="nil"/>
              <w:left w:val="nil"/>
              <w:bottom w:val="nil"/>
              <w:right w:val="nil"/>
            </w:tcBorders>
            <w:noWrap/>
            <w:vAlign w:val="bottom"/>
            <w:hideMark/>
          </w:tcPr>
          <w:p w14:paraId="55A3CB94"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own farm</w:t>
            </w:r>
          </w:p>
        </w:tc>
        <w:tc>
          <w:tcPr>
            <w:tcW w:w="952" w:type="dxa"/>
            <w:tcBorders>
              <w:top w:val="nil"/>
              <w:left w:val="nil"/>
              <w:bottom w:val="nil"/>
              <w:right w:val="nil"/>
            </w:tcBorders>
            <w:noWrap/>
            <w:vAlign w:val="bottom"/>
            <w:hideMark/>
          </w:tcPr>
          <w:p w14:paraId="07C5C123"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78.5</w:t>
            </w:r>
          </w:p>
        </w:tc>
        <w:tc>
          <w:tcPr>
            <w:tcW w:w="1023" w:type="dxa"/>
            <w:tcBorders>
              <w:top w:val="nil"/>
              <w:left w:val="nil"/>
              <w:bottom w:val="nil"/>
              <w:right w:val="nil"/>
            </w:tcBorders>
            <w:noWrap/>
            <w:vAlign w:val="bottom"/>
            <w:hideMark/>
          </w:tcPr>
          <w:p w14:paraId="488F236C"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78.1</w:t>
            </w:r>
          </w:p>
        </w:tc>
        <w:tc>
          <w:tcPr>
            <w:tcW w:w="1048" w:type="dxa"/>
            <w:tcBorders>
              <w:top w:val="nil"/>
              <w:left w:val="nil"/>
              <w:bottom w:val="nil"/>
              <w:right w:val="nil"/>
            </w:tcBorders>
            <w:noWrap/>
            <w:vAlign w:val="bottom"/>
            <w:hideMark/>
          </w:tcPr>
          <w:p w14:paraId="364EB98E"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82.4</w:t>
            </w:r>
          </w:p>
        </w:tc>
        <w:tc>
          <w:tcPr>
            <w:tcW w:w="925" w:type="dxa"/>
            <w:tcBorders>
              <w:top w:val="nil"/>
              <w:left w:val="nil"/>
              <w:bottom w:val="nil"/>
              <w:right w:val="nil"/>
            </w:tcBorders>
            <w:noWrap/>
            <w:vAlign w:val="bottom"/>
            <w:hideMark/>
          </w:tcPr>
          <w:p w14:paraId="053155D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79.7</w:t>
            </w:r>
          </w:p>
        </w:tc>
      </w:tr>
      <w:tr w:rsidR="00D86D39" w:rsidRPr="00D86D39" w14:paraId="4797D79E" w14:textId="77777777" w:rsidTr="00A56CA9">
        <w:trPr>
          <w:trHeight w:val="312"/>
        </w:trPr>
        <w:tc>
          <w:tcPr>
            <w:tcW w:w="3510" w:type="dxa"/>
            <w:gridSpan w:val="2"/>
            <w:tcBorders>
              <w:top w:val="nil"/>
              <w:left w:val="nil"/>
              <w:bottom w:val="nil"/>
              <w:right w:val="nil"/>
            </w:tcBorders>
            <w:noWrap/>
            <w:vAlign w:val="bottom"/>
            <w:hideMark/>
          </w:tcPr>
          <w:p w14:paraId="007F9256"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Most Material of wall a house </w:t>
            </w:r>
          </w:p>
        </w:tc>
        <w:tc>
          <w:tcPr>
            <w:tcW w:w="2880" w:type="dxa"/>
            <w:gridSpan w:val="2"/>
            <w:tcBorders>
              <w:top w:val="nil"/>
              <w:left w:val="nil"/>
              <w:bottom w:val="nil"/>
              <w:right w:val="nil"/>
            </w:tcBorders>
            <w:noWrap/>
            <w:vAlign w:val="bottom"/>
            <w:hideMark/>
          </w:tcPr>
          <w:p w14:paraId="391D921C"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Wooden(with mud)</w:t>
            </w:r>
          </w:p>
        </w:tc>
        <w:tc>
          <w:tcPr>
            <w:tcW w:w="952" w:type="dxa"/>
            <w:tcBorders>
              <w:top w:val="nil"/>
              <w:left w:val="nil"/>
              <w:bottom w:val="nil"/>
              <w:right w:val="nil"/>
            </w:tcBorders>
            <w:noWrap/>
            <w:vAlign w:val="bottom"/>
            <w:hideMark/>
          </w:tcPr>
          <w:p w14:paraId="3E7AFDBC"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79.7</w:t>
            </w:r>
          </w:p>
        </w:tc>
        <w:tc>
          <w:tcPr>
            <w:tcW w:w="1023" w:type="dxa"/>
            <w:tcBorders>
              <w:top w:val="nil"/>
              <w:left w:val="nil"/>
              <w:bottom w:val="nil"/>
              <w:right w:val="nil"/>
            </w:tcBorders>
            <w:noWrap/>
            <w:vAlign w:val="bottom"/>
            <w:hideMark/>
          </w:tcPr>
          <w:p w14:paraId="0F64F82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21.9</w:t>
            </w:r>
          </w:p>
        </w:tc>
        <w:tc>
          <w:tcPr>
            <w:tcW w:w="1048" w:type="dxa"/>
            <w:tcBorders>
              <w:top w:val="nil"/>
              <w:left w:val="nil"/>
              <w:bottom w:val="nil"/>
              <w:right w:val="nil"/>
            </w:tcBorders>
            <w:noWrap/>
            <w:vAlign w:val="bottom"/>
            <w:hideMark/>
          </w:tcPr>
          <w:p w14:paraId="2F8FD3DE"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13.2</w:t>
            </w:r>
          </w:p>
        </w:tc>
        <w:tc>
          <w:tcPr>
            <w:tcW w:w="925" w:type="dxa"/>
            <w:tcBorders>
              <w:top w:val="nil"/>
              <w:left w:val="nil"/>
              <w:bottom w:val="nil"/>
              <w:right w:val="nil"/>
            </w:tcBorders>
            <w:noWrap/>
            <w:vAlign w:val="bottom"/>
            <w:hideMark/>
          </w:tcPr>
          <w:p w14:paraId="3BBFC93C"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37.8</w:t>
            </w:r>
          </w:p>
        </w:tc>
      </w:tr>
      <w:tr w:rsidR="00D86D39" w:rsidRPr="00D86D39" w14:paraId="6153CA39" w14:textId="77777777" w:rsidTr="00A56CA9">
        <w:trPr>
          <w:trHeight w:val="312"/>
        </w:trPr>
        <w:tc>
          <w:tcPr>
            <w:tcW w:w="3510" w:type="dxa"/>
            <w:gridSpan w:val="2"/>
            <w:tcBorders>
              <w:top w:val="nil"/>
              <w:left w:val="nil"/>
              <w:bottom w:val="nil"/>
              <w:right w:val="nil"/>
            </w:tcBorders>
            <w:noWrap/>
            <w:vAlign w:val="bottom"/>
            <w:hideMark/>
          </w:tcPr>
          <w:p w14:paraId="2737938E" w14:textId="77777777" w:rsidR="00D86D39" w:rsidRPr="00D86D39" w:rsidRDefault="00D86D39" w:rsidP="00A56CA9">
            <w:pPr>
              <w:jc w:val="right"/>
              <w:rPr>
                <w:rFonts w:ascii="Times New Roman" w:eastAsia="Times New Roman" w:hAnsi="Times New Roman" w:cs="Times New Roman"/>
                <w:color w:val="000000" w:themeColor="text1"/>
                <w:sz w:val="24"/>
                <w:szCs w:val="24"/>
              </w:rPr>
            </w:pPr>
          </w:p>
        </w:tc>
        <w:tc>
          <w:tcPr>
            <w:tcW w:w="2880" w:type="dxa"/>
            <w:gridSpan w:val="2"/>
            <w:tcBorders>
              <w:top w:val="nil"/>
              <w:left w:val="nil"/>
              <w:bottom w:val="nil"/>
              <w:right w:val="nil"/>
            </w:tcBorders>
            <w:noWrap/>
            <w:vAlign w:val="bottom"/>
            <w:hideMark/>
          </w:tcPr>
          <w:p w14:paraId="1A24692F"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Bricks/stones</w:t>
            </w:r>
          </w:p>
        </w:tc>
        <w:tc>
          <w:tcPr>
            <w:tcW w:w="952" w:type="dxa"/>
            <w:tcBorders>
              <w:top w:val="nil"/>
              <w:left w:val="nil"/>
              <w:bottom w:val="nil"/>
              <w:right w:val="nil"/>
            </w:tcBorders>
            <w:noWrap/>
            <w:vAlign w:val="bottom"/>
            <w:hideMark/>
          </w:tcPr>
          <w:p w14:paraId="01E3E53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20.3</w:t>
            </w:r>
          </w:p>
        </w:tc>
        <w:tc>
          <w:tcPr>
            <w:tcW w:w="1023" w:type="dxa"/>
            <w:tcBorders>
              <w:top w:val="nil"/>
              <w:left w:val="nil"/>
              <w:bottom w:val="nil"/>
              <w:right w:val="nil"/>
            </w:tcBorders>
            <w:noWrap/>
            <w:vAlign w:val="bottom"/>
            <w:hideMark/>
          </w:tcPr>
          <w:p w14:paraId="1EDCA70D"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78.1</w:t>
            </w:r>
          </w:p>
        </w:tc>
        <w:tc>
          <w:tcPr>
            <w:tcW w:w="1048" w:type="dxa"/>
            <w:tcBorders>
              <w:top w:val="nil"/>
              <w:left w:val="nil"/>
              <w:bottom w:val="nil"/>
              <w:right w:val="nil"/>
            </w:tcBorders>
            <w:noWrap/>
            <w:vAlign w:val="bottom"/>
            <w:hideMark/>
          </w:tcPr>
          <w:p w14:paraId="1201692E"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86.8</w:t>
            </w:r>
          </w:p>
        </w:tc>
        <w:tc>
          <w:tcPr>
            <w:tcW w:w="925" w:type="dxa"/>
            <w:tcBorders>
              <w:top w:val="nil"/>
              <w:left w:val="nil"/>
              <w:bottom w:val="nil"/>
              <w:right w:val="nil"/>
            </w:tcBorders>
            <w:noWrap/>
            <w:vAlign w:val="bottom"/>
            <w:hideMark/>
          </w:tcPr>
          <w:p w14:paraId="5B2CD0D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62.2</w:t>
            </w:r>
          </w:p>
        </w:tc>
      </w:tr>
      <w:tr w:rsidR="00D86D39" w:rsidRPr="00D86D39" w14:paraId="09944E98" w14:textId="77777777" w:rsidTr="00A56CA9">
        <w:trPr>
          <w:trHeight w:val="312"/>
        </w:trPr>
        <w:tc>
          <w:tcPr>
            <w:tcW w:w="3510" w:type="dxa"/>
            <w:gridSpan w:val="2"/>
            <w:tcBorders>
              <w:top w:val="nil"/>
              <w:left w:val="nil"/>
              <w:bottom w:val="nil"/>
              <w:right w:val="nil"/>
            </w:tcBorders>
            <w:noWrap/>
            <w:vAlign w:val="bottom"/>
            <w:hideMark/>
          </w:tcPr>
          <w:p w14:paraId="6681E6EA"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Most Material of wall a house </w:t>
            </w:r>
          </w:p>
        </w:tc>
        <w:tc>
          <w:tcPr>
            <w:tcW w:w="2880" w:type="dxa"/>
            <w:gridSpan w:val="2"/>
            <w:tcBorders>
              <w:top w:val="nil"/>
              <w:left w:val="nil"/>
              <w:bottom w:val="nil"/>
              <w:right w:val="nil"/>
            </w:tcBorders>
            <w:noWrap/>
            <w:vAlign w:val="bottom"/>
            <w:hideMark/>
          </w:tcPr>
          <w:p w14:paraId="208482AA"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Wooden(with mud)</w:t>
            </w:r>
          </w:p>
        </w:tc>
        <w:tc>
          <w:tcPr>
            <w:tcW w:w="952" w:type="dxa"/>
            <w:tcBorders>
              <w:top w:val="nil"/>
              <w:left w:val="nil"/>
              <w:bottom w:val="nil"/>
              <w:right w:val="nil"/>
            </w:tcBorders>
            <w:noWrap/>
            <w:vAlign w:val="bottom"/>
            <w:hideMark/>
          </w:tcPr>
          <w:p w14:paraId="16957D9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9.5</w:t>
            </w:r>
          </w:p>
        </w:tc>
        <w:tc>
          <w:tcPr>
            <w:tcW w:w="1023" w:type="dxa"/>
            <w:tcBorders>
              <w:top w:val="nil"/>
              <w:left w:val="nil"/>
              <w:bottom w:val="nil"/>
              <w:right w:val="nil"/>
            </w:tcBorders>
            <w:noWrap/>
            <w:vAlign w:val="bottom"/>
            <w:hideMark/>
          </w:tcPr>
          <w:p w14:paraId="7FFED3ED"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59.4</w:t>
            </w:r>
          </w:p>
        </w:tc>
        <w:tc>
          <w:tcPr>
            <w:tcW w:w="1048" w:type="dxa"/>
            <w:tcBorders>
              <w:top w:val="nil"/>
              <w:left w:val="nil"/>
              <w:bottom w:val="nil"/>
              <w:right w:val="nil"/>
            </w:tcBorders>
            <w:noWrap/>
            <w:vAlign w:val="bottom"/>
            <w:hideMark/>
          </w:tcPr>
          <w:p w14:paraId="6E152A66"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61.8</w:t>
            </w:r>
          </w:p>
        </w:tc>
        <w:tc>
          <w:tcPr>
            <w:tcW w:w="925" w:type="dxa"/>
            <w:tcBorders>
              <w:top w:val="nil"/>
              <w:left w:val="nil"/>
              <w:bottom w:val="nil"/>
              <w:right w:val="nil"/>
            </w:tcBorders>
            <w:noWrap/>
            <w:vAlign w:val="bottom"/>
            <w:hideMark/>
          </w:tcPr>
          <w:p w14:paraId="3D087C46"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43.9</w:t>
            </w:r>
          </w:p>
        </w:tc>
      </w:tr>
      <w:tr w:rsidR="00D86D39" w:rsidRPr="00D86D39" w14:paraId="1E9E982F" w14:textId="77777777" w:rsidTr="00A56CA9">
        <w:trPr>
          <w:trHeight w:val="312"/>
        </w:trPr>
        <w:tc>
          <w:tcPr>
            <w:tcW w:w="3510" w:type="dxa"/>
            <w:gridSpan w:val="2"/>
            <w:tcBorders>
              <w:top w:val="nil"/>
              <w:left w:val="nil"/>
              <w:bottom w:val="single" w:sz="4" w:space="0" w:color="auto"/>
              <w:right w:val="nil"/>
            </w:tcBorders>
            <w:noWrap/>
            <w:vAlign w:val="bottom"/>
            <w:hideMark/>
          </w:tcPr>
          <w:p w14:paraId="1997C36F"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w:t>
            </w:r>
          </w:p>
        </w:tc>
        <w:tc>
          <w:tcPr>
            <w:tcW w:w="2880" w:type="dxa"/>
            <w:gridSpan w:val="2"/>
            <w:tcBorders>
              <w:top w:val="nil"/>
              <w:left w:val="nil"/>
              <w:bottom w:val="single" w:sz="4" w:space="0" w:color="auto"/>
              <w:right w:val="nil"/>
            </w:tcBorders>
            <w:noWrap/>
            <w:vAlign w:val="bottom"/>
            <w:hideMark/>
          </w:tcPr>
          <w:p w14:paraId="6E314539"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Iron Sheet(with woo/timber/</w:t>
            </w:r>
          </w:p>
        </w:tc>
        <w:tc>
          <w:tcPr>
            <w:tcW w:w="952" w:type="dxa"/>
            <w:tcBorders>
              <w:top w:val="nil"/>
              <w:left w:val="nil"/>
              <w:bottom w:val="single" w:sz="4" w:space="0" w:color="auto"/>
              <w:right w:val="nil"/>
            </w:tcBorders>
            <w:noWrap/>
            <w:vAlign w:val="bottom"/>
            <w:hideMark/>
          </w:tcPr>
          <w:p w14:paraId="73399BFB"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90.6</w:t>
            </w:r>
          </w:p>
        </w:tc>
        <w:tc>
          <w:tcPr>
            <w:tcW w:w="1023" w:type="dxa"/>
            <w:tcBorders>
              <w:top w:val="nil"/>
              <w:left w:val="nil"/>
              <w:bottom w:val="single" w:sz="4" w:space="0" w:color="auto"/>
              <w:right w:val="nil"/>
            </w:tcBorders>
            <w:noWrap/>
            <w:vAlign w:val="bottom"/>
            <w:hideMark/>
          </w:tcPr>
          <w:p w14:paraId="0421EB3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40.6</w:t>
            </w:r>
          </w:p>
        </w:tc>
        <w:tc>
          <w:tcPr>
            <w:tcW w:w="1048" w:type="dxa"/>
            <w:tcBorders>
              <w:top w:val="nil"/>
              <w:left w:val="nil"/>
              <w:bottom w:val="single" w:sz="4" w:space="0" w:color="auto"/>
              <w:right w:val="nil"/>
            </w:tcBorders>
            <w:noWrap/>
            <w:vAlign w:val="bottom"/>
            <w:hideMark/>
          </w:tcPr>
          <w:p w14:paraId="244865C8"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38.2</w:t>
            </w:r>
          </w:p>
        </w:tc>
        <w:tc>
          <w:tcPr>
            <w:tcW w:w="925" w:type="dxa"/>
            <w:tcBorders>
              <w:top w:val="nil"/>
              <w:left w:val="nil"/>
              <w:bottom w:val="single" w:sz="4" w:space="0" w:color="auto"/>
              <w:right w:val="nil"/>
            </w:tcBorders>
            <w:noWrap/>
            <w:vAlign w:val="bottom"/>
            <w:hideMark/>
          </w:tcPr>
          <w:p w14:paraId="08757F3A"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56.1</w:t>
            </w:r>
          </w:p>
        </w:tc>
      </w:tr>
    </w:tbl>
    <w:p w14:paraId="4540FAD2"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The research also found that most residents use tree products from their farmland for constructing their houses. Respondents confirmed that more than two-thirds of their house walls are made from tree products sourced from their farmland. In the highland areas, most farmers use tree products for constructing house walls. However, in the lowland and midland areas, only 13.2% and 21.9% of respondents, respectively, use tree products for this purpose, as most house walls in these regions are made of stone or bricks. The use of tree products for house walls is significantly higher in the highland areas.</w:t>
      </w:r>
    </w:p>
    <w:p w14:paraId="68E32985" w14:textId="382CD892"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Additionally, 43.9% of total respondents stated that most of their house roofs are made of wood products. Farmers in the highland (9.4%), midland (59.4%), and lowland (61.8%) use tree products for roofing, with usage being higher in the midland and lowland areas. A majority of respondents also confirmed that they obtain farm tools from their farmland. Farmers across the highland, midland, and lowland areas primarily source farm tools from their land, while some respondents mentioned acquiring farm equipment from open forests (Table </w:t>
      </w:r>
      <w:r w:rsidR="00BB418C">
        <w:rPr>
          <w:rFonts w:ascii="Times New Roman" w:eastAsia="Times New Roman" w:hAnsi="Times New Roman" w:cs="Times New Roman"/>
          <w:color w:val="000000" w:themeColor="text1"/>
          <w:sz w:val="24"/>
          <w:szCs w:val="24"/>
        </w:rPr>
        <w:t>1</w:t>
      </w:r>
      <w:r w:rsidRPr="00D86D39">
        <w:rPr>
          <w:rFonts w:ascii="Times New Roman" w:eastAsia="Times New Roman" w:hAnsi="Times New Roman" w:cs="Times New Roman"/>
          <w:color w:val="000000" w:themeColor="text1"/>
          <w:sz w:val="24"/>
          <w:szCs w:val="24"/>
        </w:rPr>
        <w:t>).</w:t>
      </w:r>
    </w:p>
    <w:p w14:paraId="6DBCCE59"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Most importantly, farmers acknowledged that the benefits of farm trees help them save money that would otherwise be spent on construction materials and farm tools, thereby enhancing their adaptive capacity. Responses from open-ended questions and interviews with elders revealed that tre</w:t>
      </w:r>
      <w:r w:rsidR="007578FF">
        <w:rPr>
          <w:rFonts w:ascii="Times New Roman" w:eastAsia="Times New Roman" w:hAnsi="Times New Roman" w:cs="Times New Roman"/>
          <w:color w:val="000000" w:themeColor="text1"/>
          <w:sz w:val="24"/>
          <w:szCs w:val="24"/>
        </w:rPr>
        <w:t xml:space="preserve">es on farmland tolerate drought </w:t>
      </w:r>
      <w:r w:rsidRPr="00D86D39">
        <w:rPr>
          <w:rFonts w:ascii="Times New Roman" w:eastAsia="Times New Roman" w:hAnsi="Times New Roman" w:cs="Times New Roman"/>
          <w:color w:val="000000" w:themeColor="text1"/>
          <w:sz w:val="24"/>
          <w:szCs w:val="24"/>
        </w:rPr>
        <w:t>one of the most freq</w:t>
      </w:r>
      <w:r w:rsidR="007578FF">
        <w:rPr>
          <w:rFonts w:ascii="Times New Roman" w:eastAsia="Times New Roman" w:hAnsi="Times New Roman" w:cs="Times New Roman"/>
          <w:color w:val="000000" w:themeColor="text1"/>
          <w:sz w:val="24"/>
          <w:szCs w:val="24"/>
        </w:rPr>
        <w:t xml:space="preserve">uent </w:t>
      </w:r>
      <w:r w:rsidR="007578FF">
        <w:rPr>
          <w:rFonts w:ascii="Times New Roman" w:eastAsia="Times New Roman" w:hAnsi="Times New Roman" w:cs="Times New Roman"/>
          <w:color w:val="000000" w:themeColor="text1"/>
          <w:sz w:val="24"/>
          <w:szCs w:val="24"/>
        </w:rPr>
        <w:lastRenderedPageBreak/>
        <w:t xml:space="preserve">climate-related challenges </w:t>
      </w:r>
      <w:r w:rsidRPr="00D86D39">
        <w:rPr>
          <w:rFonts w:ascii="Times New Roman" w:eastAsia="Times New Roman" w:hAnsi="Times New Roman" w:cs="Times New Roman"/>
          <w:color w:val="000000" w:themeColor="text1"/>
          <w:sz w:val="24"/>
          <w:szCs w:val="24"/>
        </w:rPr>
        <w:t>allowing farmers to build shelters and obtain farm tools even during difficult periods. Farmers testified that by not purchasing construction or farm materials, they save money and time that would have otherwise been spent searching for resources in distant open forests. These savings provide financial security during challenging times. Despite a decline in tree product availability, farmers reported that they have never faced significant difficulties harvesting tree products (such as farm tools, timber, and forage), even during drought conditions.</w:t>
      </w:r>
    </w:p>
    <w:p w14:paraId="7F450FE8"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Furthermore, 73.1% of respondents affirmed that the presence of trees on farmland improves crop production. The Pearson Correlation test confirmed that an increase in the number of trees on farmland leads to higher crop yields and increased household income. However, the chi-square test analysis results indicated a significant relationship between these factors.</w:t>
      </w:r>
    </w:p>
    <w:p w14:paraId="178046EC" w14:textId="77777777" w:rsidR="00D86D39" w:rsidRPr="00D86D39" w:rsidRDefault="00D86D39" w:rsidP="00D86D39">
      <w:pPr>
        <w:rPr>
          <w:rFonts w:ascii="Times New Roman" w:eastAsia="Times New Roman" w:hAnsi="Times New Roman" w:cs="Times New Roman"/>
          <w:color w:val="000000" w:themeColor="text1"/>
        </w:rPr>
      </w:pPr>
    </w:p>
    <w:p w14:paraId="2F2D8727" w14:textId="442ED556" w:rsidR="00D86D39" w:rsidRPr="00D86D39" w:rsidRDefault="00D86D39" w:rsidP="00D86D39">
      <w:pPr>
        <w:jc w:val="both"/>
        <w:rPr>
          <w:rFonts w:ascii="Times New Roman" w:eastAsia="Arial" w:hAnsi="Times New Roman" w:cs="Times New Roman"/>
          <w:color w:val="000000" w:themeColor="text1"/>
          <w:sz w:val="24"/>
        </w:rPr>
      </w:pPr>
      <w:r w:rsidRPr="00D86D39">
        <w:rPr>
          <w:rFonts w:ascii="Times New Roman" w:eastAsia="Arial" w:hAnsi="Times New Roman" w:cs="Times New Roman"/>
          <w:b/>
          <w:color w:val="000000" w:themeColor="text1"/>
          <w:sz w:val="24"/>
        </w:rPr>
        <w:t xml:space="preserve">Table </w:t>
      </w:r>
      <w:r w:rsidR="00423A30">
        <w:rPr>
          <w:rFonts w:ascii="Times New Roman" w:eastAsia="Arial" w:hAnsi="Times New Roman" w:cs="Times New Roman"/>
          <w:b/>
          <w:color w:val="000000" w:themeColor="text1"/>
          <w:sz w:val="24"/>
        </w:rPr>
        <w:t>2</w:t>
      </w:r>
      <w:r w:rsidRPr="00D86D39">
        <w:rPr>
          <w:rFonts w:ascii="Times New Roman" w:eastAsia="Arial" w:hAnsi="Times New Roman" w:cs="Times New Roman"/>
          <w:b/>
          <w:color w:val="000000" w:themeColor="text1"/>
          <w:sz w:val="24"/>
        </w:rPr>
        <w:t>.</w:t>
      </w:r>
      <w:r w:rsidRPr="00D86D39">
        <w:rPr>
          <w:rFonts w:ascii="Times New Roman" w:eastAsia="Arial" w:hAnsi="Times New Roman" w:cs="Times New Roman"/>
          <w:color w:val="000000" w:themeColor="text1"/>
          <w:sz w:val="24"/>
        </w:rPr>
        <w:t xml:space="preserve"> The relationship between trees in farmland and income (income from crop and total household income).</w:t>
      </w:r>
    </w:p>
    <w:tbl>
      <w:tblPr>
        <w:tblpPr w:leftFromText="180" w:rightFromText="180" w:vertAnchor="text" w:horzAnchor="margin" w:tblpY="146"/>
        <w:tblW w:w="5709" w:type="dxa"/>
        <w:tblLook w:val="04A0" w:firstRow="1" w:lastRow="0" w:firstColumn="1" w:lastColumn="0" w:noHBand="0" w:noVBand="1"/>
      </w:tblPr>
      <w:tblGrid>
        <w:gridCol w:w="2615"/>
        <w:gridCol w:w="1280"/>
        <w:gridCol w:w="1814"/>
      </w:tblGrid>
      <w:tr w:rsidR="00D86D39" w:rsidRPr="00D86D39" w14:paraId="43011C66" w14:textId="77777777" w:rsidTr="00A56CA9">
        <w:trPr>
          <w:trHeight w:val="340"/>
        </w:trPr>
        <w:tc>
          <w:tcPr>
            <w:tcW w:w="2615" w:type="dxa"/>
            <w:tcBorders>
              <w:top w:val="single" w:sz="4" w:space="0" w:color="auto"/>
              <w:left w:val="nil"/>
              <w:bottom w:val="single" w:sz="4" w:space="0" w:color="auto"/>
              <w:right w:val="nil"/>
            </w:tcBorders>
            <w:noWrap/>
            <w:vAlign w:val="bottom"/>
            <w:hideMark/>
          </w:tcPr>
          <w:p w14:paraId="00A6BE96"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Variables</w:t>
            </w:r>
          </w:p>
        </w:tc>
        <w:tc>
          <w:tcPr>
            <w:tcW w:w="1280" w:type="dxa"/>
            <w:tcBorders>
              <w:top w:val="single" w:sz="4" w:space="0" w:color="auto"/>
              <w:left w:val="nil"/>
              <w:bottom w:val="single" w:sz="4" w:space="0" w:color="auto"/>
              <w:right w:val="nil"/>
            </w:tcBorders>
            <w:noWrap/>
            <w:vAlign w:val="bottom"/>
            <w:hideMark/>
          </w:tcPr>
          <w:p w14:paraId="17EA24AF"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 xml:space="preserve">Income </w:t>
            </w:r>
          </w:p>
        </w:tc>
        <w:tc>
          <w:tcPr>
            <w:tcW w:w="1814" w:type="dxa"/>
            <w:tcBorders>
              <w:top w:val="single" w:sz="4" w:space="0" w:color="auto"/>
              <w:left w:val="nil"/>
              <w:bottom w:val="single" w:sz="4" w:space="0" w:color="auto"/>
              <w:right w:val="nil"/>
            </w:tcBorders>
            <w:noWrap/>
            <w:vAlign w:val="bottom"/>
            <w:hideMark/>
          </w:tcPr>
          <w:p w14:paraId="0C8E1D27"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Total Income</w:t>
            </w:r>
          </w:p>
        </w:tc>
      </w:tr>
      <w:tr w:rsidR="00D86D39" w:rsidRPr="00D86D39" w14:paraId="19886A3A" w14:textId="77777777" w:rsidTr="00A56CA9">
        <w:trPr>
          <w:trHeight w:val="340"/>
        </w:trPr>
        <w:tc>
          <w:tcPr>
            <w:tcW w:w="2615" w:type="dxa"/>
            <w:tcBorders>
              <w:top w:val="nil"/>
              <w:left w:val="nil"/>
              <w:bottom w:val="nil"/>
              <w:right w:val="nil"/>
            </w:tcBorders>
            <w:noWrap/>
            <w:vAlign w:val="bottom"/>
            <w:hideMark/>
          </w:tcPr>
          <w:p w14:paraId="1CAB523B"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Abundance</w:t>
            </w:r>
          </w:p>
        </w:tc>
        <w:tc>
          <w:tcPr>
            <w:tcW w:w="1280" w:type="dxa"/>
            <w:tcBorders>
              <w:top w:val="nil"/>
              <w:left w:val="nil"/>
              <w:bottom w:val="nil"/>
              <w:right w:val="nil"/>
            </w:tcBorders>
            <w:noWrap/>
            <w:vAlign w:val="bottom"/>
            <w:hideMark/>
          </w:tcPr>
          <w:p w14:paraId="737E6311"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.374**</w:t>
            </w:r>
          </w:p>
        </w:tc>
        <w:tc>
          <w:tcPr>
            <w:tcW w:w="1814" w:type="dxa"/>
            <w:tcBorders>
              <w:top w:val="nil"/>
              <w:left w:val="nil"/>
              <w:bottom w:val="nil"/>
              <w:right w:val="nil"/>
            </w:tcBorders>
            <w:noWrap/>
            <w:vAlign w:val="bottom"/>
            <w:hideMark/>
          </w:tcPr>
          <w:p w14:paraId="52AB87DF"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.552**</w:t>
            </w:r>
          </w:p>
        </w:tc>
      </w:tr>
      <w:tr w:rsidR="00D86D39" w:rsidRPr="00D86D39" w14:paraId="46265790" w14:textId="77777777" w:rsidTr="00A56CA9">
        <w:trPr>
          <w:trHeight w:val="340"/>
        </w:trPr>
        <w:tc>
          <w:tcPr>
            <w:tcW w:w="2615" w:type="dxa"/>
            <w:tcBorders>
              <w:top w:val="nil"/>
              <w:left w:val="nil"/>
              <w:bottom w:val="single" w:sz="4" w:space="0" w:color="auto"/>
              <w:right w:val="nil"/>
            </w:tcBorders>
            <w:noWrap/>
            <w:vAlign w:val="bottom"/>
            <w:hideMark/>
          </w:tcPr>
          <w:p w14:paraId="21600259"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Richness</w:t>
            </w:r>
          </w:p>
        </w:tc>
        <w:tc>
          <w:tcPr>
            <w:tcW w:w="1280" w:type="dxa"/>
            <w:tcBorders>
              <w:top w:val="nil"/>
              <w:left w:val="nil"/>
              <w:bottom w:val="single" w:sz="4" w:space="0" w:color="auto"/>
              <w:right w:val="nil"/>
            </w:tcBorders>
            <w:noWrap/>
            <w:vAlign w:val="bottom"/>
            <w:hideMark/>
          </w:tcPr>
          <w:p w14:paraId="7B46CA8C"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.231**</w:t>
            </w:r>
          </w:p>
        </w:tc>
        <w:tc>
          <w:tcPr>
            <w:tcW w:w="1814" w:type="dxa"/>
            <w:tcBorders>
              <w:top w:val="nil"/>
              <w:left w:val="nil"/>
              <w:bottom w:val="single" w:sz="4" w:space="0" w:color="auto"/>
              <w:right w:val="nil"/>
            </w:tcBorders>
            <w:noWrap/>
            <w:vAlign w:val="bottom"/>
            <w:hideMark/>
          </w:tcPr>
          <w:p w14:paraId="65D5623B"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.169*</w:t>
            </w:r>
          </w:p>
        </w:tc>
      </w:tr>
    </w:tbl>
    <w:p w14:paraId="47F9F8E4" w14:textId="77777777" w:rsidR="00D86D39" w:rsidRPr="00D86D39" w:rsidRDefault="00D86D39" w:rsidP="00D86D39">
      <w:pPr>
        <w:jc w:val="both"/>
        <w:rPr>
          <w:rFonts w:ascii="Times New Roman" w:eastAsia="Arial" w:hAnsi="Times New Roman" w:cs="Times New Roman"/>
          <w:color w:val="000000" w:themeColor="text1"/>
          <w:sz w:val="16"/>
        </w:rPr>
      </w:pPr>
    </w:p>
    <w:p w14:paraId="5BCE2AE7" w14:textId="77777777" w:rsidR="00D86D39" w:rsidRPr="00D86D39" w:rsidRDefault="00D86D39" w:rsidP="00D86D39">
      <w:pPr>
        <w:rPr>
          <w:rFonts w:ascii="Times New Roman" w:eastAsia="Times New Roman" w:hAnsi="Times New Roman" w:cs="Times New Roman"/>
          <w:color w:val="000000" w:themeColor="text1"/>
          <w:sz w:val="24"/>
          <w:szCs w:val="16"/>
        </w:rPr>
      </w:pPr>
    </w:p>
    <w:p w14:paraId="0F50C539" w14:textId="77777777" w:rsidR="00D86D39" w:rsidRPr="00D86D39" w:rsidRDefault="00D86D39" w:rsidP="00D86D39">
      <w:pPr>
        <w:rPr>
          <w:rFonts w:ascii="Times New Roman" w:eastAsia="Times New Roman" w:hAnsi="Times New Roman" w:cs="Times New Roman"/>
          <w:color w:val="000000" w:themeColor="text1"/>
          <w:sz w:val="24"/>
          <w:szCs w:val="16"/>
        </w:rPr>
      </w:pPr>
    </w:p>
    <w:p w14:paraId="28AAE55D" w14:textId="77777777" w:rsidR="00D86D39" w:rsidRPr="00D86D39" w:rsidRDefault="00D86D39" w:rsidP="00D86D39">
      <w:pPr>
        <w:rPr>
          <w:rFonts w:ascii="Times New Roman" w:eastAsia="Times New Roman" w:hAnsi="Times New Roman" w:cs="Times New Roman"/>
          <w:color w:val="000000" w:themeColor="text1"/>
          <w:sz w:val="24"/>
          <w:szCs w:val="16"/>
        </w:rPr>
      </w:pPr>
    </w:p>
    <w:p w14:paraId="3F2DE977" w14:textId="77777777" w:rsidR="00D86D39" w:rsidRPr="007578FF" w:rsidRDefault="00D86D39" w:rsidP="00D86D39">
      <w:pPr>
        <w:rPr>
          <w:rFonts w:ascii="Times New Roman" w:eastAsia="Times New Roman" w:hAnsi="Times New Roman" w:cs="Times New Roman"/>
          <w:color w:val="000000" w:themeColor="text1"/>
          <w:sz w:val="24"/>
          <w:szCs w:val="16"/>
        </w:rPr>
      </w:pPr>
      <w:r w:rsidRPr="00D86D39">
        <w:rPr>
          <w:rFonts w:ascii="Times New Roman" w:eastAsia="Times New Roman" w:hAnsi="Times New Roman" w:cs="Times New Roman"/>
          <w:color w:val="000000" w:themeColor="text1"/>
          <w:sz w:val="24"/>
          <w:szCs w:val="16"/>
        </w:rPr>
        <w:t xml:space="preserve">**Correlation is significant at </w:t>
      </w:r>
      <w:r w:rsidRPr="00D86D39">
        <w:rPr>
          <w:rFonts w:ascii="Times New Roman" w:eastAsia="Times New Roman" w:hAnsi="Times New Roman" w:cs="Times New Roman"/>
          <w:i/>
          <w:iCs/>
          <w:color w:val="000000" w:themeColor="text1"/>
          <w:sz w:val="24"/>
          <w:szCs w:val="16"/>
        </w:rPr>
        <w:t xml:space="preserve">p &lt; </w:t>
      </w:r>
      <w:r w:rsidRPr="00D86D39">
        <w:rPr>
          <w:rFonts w:ascii="Times New Roman" w:eastAsia="Times New Roman" w:hAnsi="Times New Roman" w:cs="Times New Roman"/>
          <w:color w:val="000000" w:themeColor="text1"/>
          <w:sz w:val="24"/>
          <w:szCs w:val="16"/>
        </w:rPr>
        <w:t>0.01 and*</w:t>
      </w:r>
      <w:r w:rsidRPr="00D86D39">
        <w:rPr>
          <w:rFonts w:ascii="Times New Roman" w:eastAsia="Times New Roman" w:hAnsi="Times New Roman" w:cs="Times New Roman"/>
          <w:i/>
          <w:iCs/>
          <w:color w:val="000000" w:themeColor="text1"/>
          <w:sz w:val="24"/>
          <w:szCs w:val="16"/>
        </w:rPr>
        <w:t xml:space="preserve">p &lt; </w:t>
      </w:r>
      <w:r w:rsidRPr="00D86D39">
        <w:rPr>
          <w:rFonts w:ascii="Times New Roman" w:eastAsia="Times New Roman" w:hAnsi="Times New Roman" w:cs="Times New Roman"/>
          <w:color w:val="000000" w:themeColor="text1"/>
          <w:sz w:val="24"/>
          <w:szCs w:val="16"/>
        </w:rPr>
        <w:t>0.05</w:t>
      </w:r>
    </w:p>
    <w:p w14:paraId="5F625B69" w14:textId="4D1076B4" w:rsidR="00D86D39" w:rsidRPr="00D86D39" w:rsidRDefault="00D86D39" w:rsidP="00D86D39">
      <w:pPr>
        <w:jc w:val="both"/>
        <w:rPr>
          <w:rFonts w:ascii="Times New Roman" w:eastAsia="Arial" w:hAnsi="Times New Roman" w:cs="Times New Roman"/>
          <w:color w:val="000000" w:themeColor="text1"/>
          <w:sz w:val="16"/>
        </w:rPr>
      </w:pPr>
      <w:r w:rsidRPr="00D86D39">
        <w:rPr>
          <w:rFonts w:ascii="Times New Roman" w:eastAsia="Arial" w:hAnsi="Times New Roman" w:cs="Times New Roman"/>
          <w:b/>
          <w:color w:val="000000" w:themeColor="text1"/>
          <w:sz w:val="24"/>
        </w:rPr>
        <w:t xml:space="preserve">Table </w:t>
      </w:r>
      <w:r w:rsidR="00423A30">
        <w:rPr>
          <w:rFonts w:ascii="Times New Roman" w:eastAsia="Arial" w:hAnsi="Times New Roman" w:cs="Times New Roman"/>
          <w:b/>
          <w:color w:val="000000" w:themeColor="text1"/>
          <w:sz w:val="24"/>
        </w:rPr>
        <w:t>3</w:t>
      </w:r>
      <w:r w:rsidRPr="00D86D39">
        <w:rPr>
          <w:rFonts w:ascii="Times New Roman" w:eastAsia="Arial" w:hAnsi="Times New Roman" w:cs="Times New Roman"/>
          <w:b/>
          <w:color w:val="000000" w:themeColor="text1"/>
          <w:sz w:val="24"/>
        </w:rPr>
        <w:t>.</w:t>
      </w:r>
      <w:r w:rsidRPr="00D86D39">
        <w:rPr>
          <w:rFonts w:ascii="Times New Roman" w:eastAsia="Arial" w:hAnsi="Times New Roman" w:cs="Times New Roman"/>
          <w:color w:val="000000" w:themeColor="text1"/>
          <w:sz w:val="24"/>
        </w:rPr>
        <w:t xml:space="preserve"> Mean difference of on-farm trees and total household income in the three agro-ecologies.</w:t>
      </w:r>
    </w:p>
    <w:tbl>
      <w:tblPr>
        <w:tblW w:w="8815" w:type="dxa"/>
        <w:tblLook w:val="04A0" w:firstRow="1" w:lastRow="0" w:firstColumn="1" w:lastColumn="0" w:noHBand="0" w:noVBand="1"/>
      </w:tblPr>
      <w:tblGrid>
        <w:gridCol w:w="2454"/>
        <w:gridCol w:w="3388"/>
        <w:gridCol w:w="2973"/>
      </w:tblGrid>
      <w:tr w:rsidR="00D86D39" w:rsidRPr="00D86D39" w14:paraId="5440A18E" w14:textId="77777777" w:rsidTr="00A56CA9">
        <w:trPr>
          <w:trHeight w:val="454"/>
        </w:trPr>
        <w:tc>
          <w:tcPr>
            <w:tcW w:w="2454" w:type="dxa"/>
            <w:tcBorders>
              <w:top w:val="single" w:sz="4" w:space="0" w:color="auto"/>
              <w:left w:val="nil"/>
              <w:bottom w:val="single" w:sz="4" w:space="0" w:color="auto"/>
              <w:right w:val="nil"/>
            </w:tcBorders>
            <w:noWrap/>
            <w:vAlign w:val="center"/>
            <w:hideMark/>
          </w:tcPr>
          <w:p w14:paraId="5B59BB89"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 xml:space="preserve">Agro ecology </w:t>
            </w:r>
          </w:p>
        </w:tc>
        <w:tc>
          <w:tcPr>
            <w:tcW w:w="3388" w:type="dxa"/>
            <w:tcBorders>
              <w:top w:val="single" w:sz="4" w:space="0" w:color="auto"/>
              <w:left w:val="nil"/>
              <w:bottom w:val="single" w:sz="4" w:space="0" w:color="auto"/>
              <w:right w:val="nil"/>
            </w:tcBorders>
            <w:vAlign w:val="center"/>
            <w:hideMark/>
          </w:tcPr>
          <w:p w14:paraId="1C7C624B"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Total Household income(Us Dollar)</w:t>
            </w:r>
          </w:p>
        </w:tc>
        <w:tc>
          <w:tcPr>
            <w:tcW w:w="2973" w:type="dxa"/>
            <w:tcBorders>
              <w:top w:val="single" w:sz="4" w:space="0" w:color="auto"/>
              <w:left w:val="nil"/>
              <w:bottom w:val="single" w:sz="4" w:space="0" w:color="auto"/>
              <w:right w:val="nil"/>
            </w:tcBorders>
            <w:vAlign w:val="center"/>
            <w:hideMark/>
          </w:tcPr>
          <w:p w14:paraId="6AD3A3D2"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one Farm tree income</w:t>
            </w:r>
          </w:p>
        </w:tc>
      </w:tr>
      <w:tr w:rsidR="00D86D39" w:rsidRPr="00D86D39" w14:paraId="20EF1C23" w14:textId="77777777" w:rsidTr="00A56CA9">
        <w:trPr>
          <w:trHeight w:val="227"/>
        </w:trPr>
        <w:tc>
          <w:tcPr>
            <w:tcW w:w="2454" w:type="dxa"/>
            <w:tcBorders>
              <w:top w:val="nil"/>
              <w:left w:val="nil"/>
              <w:bottom w:val="nil"/>
              <w:right w:val="nil"/>
            </w:tcBorders>
            <w:noWrap/>
            <w:vAlign w:val="bottom"/>
            <w:hideMark/>
          </w:tcPr>
          <w:p w14:paraId="4E829E93"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Highland</w:t>
            </w:r>
          </w:p>
        </w:tc>
        <w:tc>
          <w:tcPr>
            <w:tcW w:w="3388" w:type="dxa"/>
            <w:tcBorders>
              <w:top w:val="nil"/>
              <w:left w:val="nil"/>
              <w:bottom w:val="nil"/>
              <w:right w:val="nil"/>
            </w:tcBorders>
            <w:noWrap/>
            <w:vAlign w:val="bottom"/>
            <w:hideMark/>
          </w:tcPr>
          <w:p w14:paraId="040A4D04"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622.19±434.99</w:t>
            </w:r>
            <w:r w:rsidRPr="00D86D39">
              <w:rPr>
                <w:rFonts w:ascii="Times New Roman" w:eastAsia="Times New Roman" w:hAnsi="Times New Roman" w:cs="Times New Roman"/>
                <w:color w:val="000000" w:themeColor="text1"/>
                <w:sz w:val="24"/>
                <w:vertAlign w:val="superscript"/>
              </w:rPr>
              <w:t>c</w:t>
            </w:r>
          </w:p>
        </w:tc>
        <w:tc>
          <w:tcPr>
            <w:tcW w:w="2973" w:type="dxa"/>
            <w:tcBorders>
              <w:top w:val="nil"/>
              <w:left w:val="nil"/>
              <w:bottom w:val="nil"/>
              <w:right w:val="nil"/>
            </w:tcBorders>
            <w:noWrap/>
            <w:vAlign w:val="bottom"/>
            <w:hideMark/>
          </w:tcPr>
          <w:p w14:paraId="1A393D3D"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622.19±434.99c</w:t>
            </w:r>
          </w:p>
        </w:tc>
      </w:tr>
      <w:tr w:rsidR="00D86D39" w:rsidRPr="00D86D39" w14:paraId="5B2A2931" w14:textId="77777777" w:rsidTr="00A56CA9">
        <w:trPr>
          <w:trHeight w:val="209"/>
        </w:trPr>
        <w:tc>
          <w:tcPr>
            <w:tcW w:w="2454" w:type="dxa"/>
            <w:tcBorders>
              <w:top w:val="nil"/>
              <w:left w:val="nil"/>
              <w:bottom w:val="nil"/>
              <w:right w:val="nil"/>
            </w:tcBorders>
            <w:noWrap/>
            <w:vAlign w:val="bottom"/>
            <w:hideMark/>
          </w:tcPr>
          <w:p w14:paraId="10172F6D"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 xml:space="preserve">Midland </w:t>
            </w:r>
          </w:p>
        </w:tc>
        <w:tc>
          <w:tcPr>
            <w:tcW w:w="3388" w:type="dxa"/>
            <w:tcBorders>
              <w:top w:val="nil"/>
              <w:left w:val="nil"/>
              <w:bottom w:val="nil"/>
              <w:right w:val="nil"/>
            </w:tcBorders>
            <w:noWrap/>
            <w:vAlign w:val="bottom"/>
            <w:hideMark/>
          </w:tcPr>
          <w:p w14:paraId="648331BA"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222.11±236.82</w:t>
            </w:r>
            <w:r w:rsidRPr="00D86D39">
              <w:rPr>
                <w:rFonts w:ascii="Times New Roman" w:eastAsia="Times New Roman" w:hAnsi="Times New Roman" w:cs="Times New Roman"/>
                <w:color w:val="000000" w:themeColor="text1"/>
                <w:sz w:val="24"/>
                <w:vertAlign w:val="superscript"/>
              </w:rPr>
              <w:t>a</w:t>
            </w:r>
          </w:p>
        </w:tc>
        <w:tc>
          <w:tcPr>
            <w:tcW w:w="2973" w:type="dxa"/>
            <w:tcBorders>
              <w:top w:val="nil"/>
              <w:left w:val="nil"/>
              <w:bottom w:val="nil"/>
              <w:right w:val="nil"/>
            </w:tcBorders>
            <w:noWrap/>
            <w:vAlign w:val="bottom"/>
            <w:hideMark/>
          </w:tcPr>
          <w:p w14:paraId="18179134"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222.11±236.82a</w:t>
            </w:r>
          </w:p>
        </w:tc>
      </w:tr>
      <w:tr w:rsidR="00D86D39" w:rsidRPr="00D86D39" w14:paraId="2FBC22BE" w14:textId="77777777" w:rsidTr="00A56CA9">
        <w:trPr>
          <w:trHeight w:val="198"/>
        </w:trPr>
        <w:tc>
          <w:tcPr>
            <w:tcW w:w="2454" w:type="dxa"/>
            <w:tcBorders>
              <w:top w:val="nil"/>
              <w:left w:val="nil"/>
              <w:bottom w:val="nil"/>
              <w:right w:val="nil"/>
            </w:tcBorders>
            <w:noWrap/>
            <w:vAlign w:val="bottom"/>
            <w:hideMark/>
          </w:tcPr>
          <w:p w14:paraId="7B7B2A91"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Lowland</w:t>
            </w:r>
          </w:p>
        </w:tc>
        <w:tc>
          <w:tcPr>
            <w:tcW w:w="3388" w:type="dxa"/>
            <w:tcBorders>
              <w:top w:val="nil"/>
              <w:left w:val="nil"/>
              <w:bottom w:val="nil"/>
              <w:right w:val="nil"/>
            </w:tcBorders>
            <w:noWrap/>
            <w:vAlign w:val="bottom"/>
            <w:hideMark/>
          </w:tcPr>
          <w:p w14:paraId="3F1D00DA"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304.54±209.09</w:t>
            </w:r>
            <w:r w:rsidRPr="00D86D39">
              <w:rPr>
                <w:rFonts w:ascii="Times New Roman" w:eastAsia="Times New Roman" w:hAnsi="Times New Roman" w:cs="Times New Roman"/>
                <w:color w:val="000000" w:themeColor="text1"/>
                <w:sz w:val="24"/>
                <w:vertAlign w:val="superscript"/>
              </w:rPr>
              <w:t>b</w:t>
            </w:r>
          </w:p>
        </w:tc>
        <w:tc>
          <w:tcPr>
            <w:tcW w:w="2973" w:type="dxa"/>
            <w:tcBorders>
              <w:top w:val="nil"/>
              <w:left w:val="nil"/>
              <w:bottom w:val="nil"/>
              <w:right w:val="nil"/>
            </w:tcBorders>
            <w:noWrap/>
            <w:vAlign w:val="bottom"/>
            <w:hideMark/>
          </w:tcPr>
          <w:p w14:paraId="56B66E8E"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304.54±209.09b</w:t>
            </w:r>
          </w:p>
        </w:tc>
      </w:tr>
      <w:tr w:rsidR="00D86D39" w:rsidRPr="00D86D39" w14:paraId="0B4F5268" w14:textId="77777777" w:rsidTr="00A56CA9">
        <w:trPr>
          <w:trHeight w:val="209"/>
        </w:trPr>
        <w:tc>
          <w:tcPr>
            <w:tcW w:w="2454" w:type="dxa"/>
            <w:tcBorders>
              <w:top w:val="nil"/>
              <w:left w:val="nil"/>
              <w:bottom w:val="single" w:sz="4" w:space="0" w:color="auto"/>
              <w:right w:val="nil"/>
            </w:tcBorders>
            <w:noWrap/>
            <w:vAlign w:val="bottom"/>
            <w:hideMark/>
          </w:tcPr>
          <w:p w14:paraId="5F8D8EBD" w14:textId="77777777" w:rsidR="00D86D39" w:rsidRPr="00D86D39" w:rsidRDefault="00D86D39" w:rsidP="00A56CA9">
            <w:pPr>
              <w:rPr>
                <w:rFonts w:ascii="Times New Roman" w:eastAsia="Times New Roman" w:hAnsi="Times New Roman" w:cs="Times New Roman"/>
                <w:i/>
                <w:color w:val="000000" w:themeColor="text1"/>
                <w:sz w:val="24"/>
                <w:u w:val="single"/>
              </w:rPr>
            </w:pPr>
            <w:r w:rsidRPr="00D86D39">
              <w:rPr>
                <w:rFonts w:ascii="Times New Roman" w:eastAsia="Times New Roman" w:hAnsi="Times New Roman" w:cs="Times New Roman"/>
                <w:i/>
                <w:color w:val="000000" w:themeColor="text1"/>
                <w:sz w:val="24"/>
                <w:u w:val="single"/>
              </w:rPr>
              <w:t>P-Value</w:t>
            </w:r>
          </w:p>
        </w:tc>
        <w:tc>
          <w:tcPr>
            <w:tcW w:w="3388" w:type="dxa"/>
            <w:tcBorders>
              <w:top w:val="nil"/>
              <w:left w:val="nil"/>
              <w:bottom w:val="single" w:sz="4" w:space="0" w:color="auto"/>
              <w:right w:val="nil"/>
            </w:tcBorders>
            <w:noWrap/>
            <w:vAlign w:val="center"/>
            <w:hideMark/>
          </w:tcPr>
          <w:p w14:paraId="54A9DFF2" w14:textId="77777777" w:rsidR="00D86D39" w:rsidRPr="00D86D39" w:rsidRDefault="00D86D39" w:rsidP="00A56CA9">
            <w:pPr>
              <w:rPr>
                <w:rFonts w:ascii="Times New Roman" w:eastAsia="Times New Roman" w:hAnsi="Times New Roman" w:cs="Times New Roman"/>
                <w:color w:val="000000" w:themeColor="text1"/>
                <w:sz w:val="24"/>
                <w:u w:val="single"/>
              </w:rPr>
            </w:pPr>
            <w:r w:rsidRPr="00D86D39">
              <w:rPr>
                <w:rFonts w:ascii="Times New Roman" w:eastAsia="Times New Roman" w:hAnsi="Times New Roman" w:cs="Times New Roman"/>
                <w:color w:val="000000" w:themeColor="text1"/>
                <w:sz w:val="24"/>
              </w:rPr>
              <w:t xml:space="preserve">       </w:t>
            </w:r>
            <w:r w:rsidRPr="00D86D39">
              <w:rPr>
                <w:rFonts w:ascii="Times New Roman" w:eastAsia="Times New Roman" w:hAnsi="Times New Roman" w:cs="Times New Roman"/>
                <w:color w:val="000000" w:themeColor="text1"/>
                <w:sz w:val="24"/>
                <w:u w:val="single"/>
              </w:rPr>
              <w:t>0.000</w:t>
            </w:r>
          </w:p>
        </w:tc>
        <w:tc>
          <w:tcPr>
            <w:tcW w:w="2973" w:type="dxa"/>
            <w:tcBorders>
              <w:top w:val="nil"/>
              <w:left w:val="nil"/>
              <w:bottom w:val="single" w:sz="4" w:space="0" w:color="auto"/>
              <w:right w:val="nil"/>
            </w:tcBorders>
            <w:noWrap/>
            <w:vAlign w:val="center"/>
            <w:hideMark/>
          </w:tcPr>
          <w:p w14:paraId="1401275A" w14:textId="77777777" w:rsidR="00D86D39" w:rsidRPr="00D86D39" w:rsidRDefault="00D86D39" w:rsidP="00A56CA9">
            <w:pPr>
              <w:rPr>
                <w:rFonts w:ascii="Times New Roman" w:eastAsia="Times New Roman" w:hAnsi="Times New Roman" w:cs="Times New Roman"/>
                <w:color w:val="000000" w:themeColor="text1"/>
                <w:sz w:val="24"/>
                <w:u w:val="single"/>
              </w:rPr>
            </w:pPr>
            <w:r w:rsidRPr="00D86D39">
              <w:rPr>
                <w:rFonts w:ascii="Times New Roman" w:eastAsia="Times New Roman" w:hAnsi="Times New Roman" w:cs="Times New Roman"/>
                <w:color w:val="000000" w:themeColor="text1"/>
                <w:sz w:val="24"/>
              </w:rPr>
              <w:t xml:space="preserve">           </w:t>
            </w:r>
            <w:r w:rsidRPr="00D86D39">
              <w:rPr>
                <w:rFonts w:ascii="Times New Roman" w:eastAsia="Times New Roman" w:hAnsi="Times New Roman" w:cs="Times New Roman"/>
                <w:color w:val="000000" w:themeColor="text1"/>
                <w:sz w:val="24"/>
                <w:u w:val="single"/>
              </w:rPr>
              <w:t>0.000</w:t>
            </w:r>
          </w:p>
        </w:tc>
      </w:tr>
    </w:tbl>
    <w:p w14:paraId="7D1927C9" w14:textId="77777777" w:rsidR="00D86D39" w:rsidRDefault="00D86D39" w:rsidP="00D86D39">
      <w:pPr>
        <w:jc w:val="both"/>
        <w:rPr>
          <w:rFonts w:ascii="Times New Roman" w:eastAsia="Arial" w:hAnsi="Times New Roman" w:cs="Times New Roman"/>
          <w:color w:val="000000" w:themeColor="text1"/>
          <w:szCs w:val="24"/>
        </w:rPr>
      </w:pPr>
      <w:r w:rsidRPr="00D86D39">
        <w:rPr>
          <w:rFonts w:ascii="Times New Roman" w:eastAsia="Arial" w:hAnsi="Times New Roman" w:cs="Times New Roman"/>
          <w:i/>
          <w:color w:val="000000" w:themeColor="text1"/>
          <w:szCs w:val="24"/>
        </w:rPr>
        <w:t>Similar letters indicate no significant difference and different letters indicate significant difference at p &lt; 0.05. 1 US dollar</w:t>
      </w:r>
      <w:r w:rsidRPr="00D86D39">
        <w:rPr>
          <w:rFonts w:ascii="Times New Roman" w:eastAsia="Arial" w:hAnsi="Times New Roman" w:cs="Times New Roman"/>
          <w:color w:val="000000" w:themeColor="text1"/>
          <w:szCs w:val="24"/>
        </w:rPr>
        <w:t xml:space="preserve"> ¼ </w:t>
      </w:r>
      <w:r w:rsidRPr="00D86D39">
        <w:rPr>
          <w:rFonts w:ascii="Times New Roman" w:eastAsia="Arial" w:hAnsi="Times New Roman" w:cs="Times New Roman"/>
          <w:i/>
          <w:color w:val="000000" w:themeColor="text1"/>
          <w:szCs w:val="24"/>
        </w:rPr>
        <w:t>55.40 Ethiopian Birr (ETB) (Exchange rate as of November 29, 2023)</w:t>
      </w:r>
      <w:r w:rsidRPr="00D86D39">
        <w:rPr>
          <w:rFonts w:ascii="Times New Roman" w:eastAsia="Arial" w:hAnsi="Times New Roman" w:cs="Times New Roman"/>
          <w:color w:val="000000" w:themeColor="text1"/>
          <w:szCs w:val="24"/>
        </w:rPr>
        <w:t>.</w:t>
      </w:r>
    </w:p>
    <w:p w14:paraId="49183936" w14:textId="77777777" w:rsidR="007578FF" w:rsidRDefault="007578FF" w:rsidP="00D86D39">
      <w:pPr>
        <w:jc w:val="both"/>
        <w:rPr>
          <w:rFonts w:ascii="Times New Roman" w:eastAsia="Arial" w:hAnsi="Times New Roman" w:cs="Times New Roman"/>
          <w:color w:val="000000" w:themeColor="text1"/>
          <w:szCs w:val="24"/>
        </w:rPr>
      </w:pPr>
    </w:p>
    <w:p w14:paraId="4157BBBC" w14:textId="77777777" w:rsidR="007578FF" w:rsidRPr="00D86D39" w:rsidRDefault="007578FF" w:rsidP="00D86D39">
      <w:pPr>
        <w:jc w:val="both"/>
        <w:rPr>
          <w:rFonts w:ascii="Times New Roman" w:eastAsia="Arial" w:hAnsi="Times New Roman" w:cs="Times New Roman"/>
          <w:color w:val="000000" w:themeColor="text1"/>
          <w:szCs w:val="24"/>
        </w:rPr>
      </w:pPr>
    </w:p>
    <w:p w14:paraId="5DCA0372" w14:textId="17D8345B" w:rsidR="00D86D39" w:rsidRPr="00D86D39" w:rsidRDefault="007578FF" w:rsidP="00D86D39">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w:t>
      </w:r>
      <w:r w:rsidR="00D86D39" w:rsidRPr="00D86D39">
        <w:rPr>
          <w:rFonts w:ascii="Times New Roman" w:eastAsia="Times New Roman" w:hAnsi="Times New Roman" w:cs="Times New Roman"/>
          <w:color w:val="000000" w:themeColor="text1"/>
          <w:sz w:val="24"/>
          <w:szCs w:val="24"/>
        </w:rPr>
        <w:t xml:space="preserve"> study revealed significant differences in tree stand assets on farmland across different agro ecological zones. An increased number of tree species (higher diversity) on farmland was positively correlated with income from crop production and total household income (Table </w:t>
      </w:r>
      <w:r w:rsidR="00423A30">
        <w:rPr>
          <w:rFonts w:ascii="Times New Roman" w:eastAsia="Times New Roman" w:hAnsi="Times New Roman" w:cs="Times New Roman"/>
          <w:color w:val="000000" w:themeColor="text1"/>
          <w:sz w:val="24"/>
          <w:szCs w:val="24"/>
        </w:rPr>
        <w:t>2</w:t>
      </w:r>
      <w:r w:rsidR="00D86D39" w:rsidRPr="00D86D39">
        <w:rPr>
          <w:rFonts w:ascii="Times New Roman" w:eastAsia="Times New Roman" w:hAnsi="Times New Roman" w:cs="Times New Roman"/>
          <w:color w:val="000000" w:themeColor="text1"/>
          <w:sz w:val="24"/>
          <w:szCs w:val="24"/>
        </w:rPr>
        <w:t>). With a moderate strength of correlation, an increase in tree abundance led to higher crop income and overall household income (p &lt; 0.01). Similarly, increased tree species richness showed a weak but positive relationship with both crop income (p &lt; 0.01) and total household income (p &lt; 0.05). However, this positive relationship was only observed up to an optimal level of tree species richness.</w:t>
      </w:r>
    </w:p>
    <w:p w14:paraId="29F318B0"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The mean number of trees and the diversity of tree species on farmland varied significantly across different wealth categories. Notably, these two variables showed a significant difference between households in the poor and medium wealth categories.</w:t>
      </w:r>
    </w:p>
    <w:p w14:paraId="6E06DD78" w14:textId="7F538EAC"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The study also found that household income varied across agro ecological zones. The mean household income was highest in the highland ($622.19 ± 434.99), followed by the midland and lowland regions. The overall mean total household income was $382.57. Income from farm trees averaged $131.41, with the highest income reported in the highland ($202.63 ± 261.51), and followed by the midland and lowland agro ecologies. The contribution of on-farm trees to total household income was 32.57% in the highland, 39.05% in the midland, and 33.65% in the lowland. Overall, agroforestry practices in the studied agro ecological zones contributed 34.35% to total household income (Table </w:t>
      </w:r>
      <w:r w:rsidR="00423A30">
        <w:rPr>
          <w:rFonts w:ascii="Times New Roman" w:eastAsia="Times New Roman" w:hAnsi="Times New Roman" w:cs="Times New Roman"/>
          <w:color w:val="000000" w:themeColor="text1"/>
          <w:sz w:val="24"/>
          <w:szCs w:val="24"/>
        </w:rPr>
        <w:t>3</w:t>
      </w:r>
      <w:r w:rsidRPr="00D86D39">
        <w:rPr>
          <w:rFonts w:ascii="Times New Roman" w:eastAsia="Times New Roman" w:hAnsi="Times New Roman" w:cs="Times New Roman"/>
          <w:color w:val="000000" w:themeColor="text1"/>
          <w:sz w:val="24"/>
          <w:szCs w:val="24"/>
        </w:rPr>
        <w:t>).</w:t>
      </w:r>
    </w:p>
    <w:p w14:paraId="186B3404"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Furthermore, interviewees from our study indicated that during climate shocks, trees on farmland played a crucial role in supporting farmers. During difficult times, particularly droughts, farmers harvested tree products such as timber, fuel wood, and forage, which served as a source of income and compensation for failed crop production. In times of extreme climate stress, farmers sold timber and fuel wood to meet their household's food and other essential needs. Additionally, trees provided a critical source of forage for cattle and sheep during droughts, helping farmers mitigate feed shortages.</w:t>
      </w:r>
    </w:p>
    <w:p w14:paraId="63B734D3"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06726569"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6DA9300E"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0EA56ACC"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7AFEC230"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1A6CA07A"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545537AB" w14:textId="52319335" w:rsidR="00D86D39" w:rsidRPr="00D86D39" w:rsidRDefault="00D86D39" w:rsidP="00D86D39">
      <w:pPr>
        <w:jc w:val="both"/>
        <w:rPr>
          <w:rFonts w:ascii="Times New Roman" w:eastAsia="Arial" w:hAnsi="Times New Roman" w:cs="Times New Roman"/>
          <w:color w:val="000000" w:themeColor="text1"/>
          <w:sz w:val="24"/>
          <w:szCs w:val="24"/>
        </w:rPr>
      </w:pPr>
      <w:r w:rsidRPr="00D86D39">
        <w:rPr>
          <w:rFonts w:ascii="Times New Roman" w:eastAsia="Arial" w:hAnsi="Times New Roman" w:cs="Times New Roman"/>
          <w:b/>
          <w:color w:val="000000" w:themeColor="text1"/>
          <w:sz w:val="24"/>
          <w:szCs w:val="24"/>
        </w:rPr>
        <w:t xml:space="preserve">Table </w:t>
      </w:r>
      <w:r w:rsidR="00423A30">
        <w:rPr>
          <w:rFonts w:ascii="Times New Roman" w:eastAsia="Arial" w:hAnsi="Times New Roman" w:cs="Times New Roman"/>
          <w:b/>
          <w:color w:val="000000" w:themeColor="text1"/>
          <w:sz w:val="24"/>
          <w:szCs w:val="24"/>
        </w:rPr>
        <w:t>4</w:t>
      </w:r>
      <w:r w:rsidRPr="00D86D39">
        <w:rPr>
          <w:rFonts w:ascii="Times New Roman" w:eastAsia="Arial" w:hAnsi="Times New Roman" w:cs="Times New Roman"/>
          <w:b/>
          <w:color w:val="000000" w:themeColor="text1"/>
          <w:sz w:val="24"/>
          <w:szCs w:val="24"/>
        </w:rPr>
        <w:t>.</w:t>
      </w:r>
      <w:r w:rsidRPr="00D86D39">
        <w:rPr>
          <w:rFonts w:ascii="Times New Roman" w:eastAsia="Arial" w:hAnsi="Times New Roman" w:cs="Times New Roman"/>
          <w:color w:val="000000" w:themeColor="text1"/>
          <w:sz w:val="24"/>
          <w:szCs w:val="24"/>
        </w:rPr>
        <w:t xml:space="preserve"> Percentage of respondents who ranked the main livelihood products based on their importance to their livelihood.</w:t>
      </w:r>
    </w:p>
    <w:tbl>
      <w:tblPr>
        <w:tblW w:w="10060" w:type="dxa"/>
        <w:tblLook w:val="04A0" w:firstRow="1" w:lastRow="0" w:firstColumn="1" w:lastColumn="0" w:noHBand="0" w:noVBand="1"/>
      </w:tblPr>
      <w:tblGrid>
        <w:gridCol w:w="2178"/>
        <w:gridCol w:w="1397"/>
        <w:gridCol w:w="999"/>
        <w:gridCol w:w="1652"/>
        <w:gridCol w:w="1677"/>
        <w:gridCol w:w="2157"/>
      </w:tblGrid>
      <w:tr w:rsidR="00D86D39" w:rsidRPr="00D86D39" w14:paraId="59380983" w14:textId="77777777" w:rsidTr="00D86D39">
        <w:trPr>
          <w:trHeight w:val="237"/>
        </w:trPr>
        <w:tc>
          <w:tcPr>
            <w:tcW w:w="2178" w:type="dxa"/>
            <w:tcBorders>
              <w:top w:val="single" w:sz="4" w:space="0" w:color="auto"/>
              <w:left w:val="nil"/>
              <w:bottom w:val="nil"/>
              <w:right w:val="nil"/>
            </w:tcBorders>
            <w:noWrap/>
            <w:vAlign w:val="bottom"/>
            <w:hideMark/>
          </w:tcPr>
          <w:p w14:paraId="644582AC" w14:textId="77777777" w:rsidR="00D86D39" w:rsidRPr="00D86D39" w:rsidRDefault="00D86D39" w:rsidP="00D86D39">
            <w:pPr>
              <w:spacing w:line="240" w:lineRule="auto"/>
              <w:rPr>
                <w:rFonts w:ascii="Times New Roman" w:eastAsia="Times New Roman" w:hAnsi="Times New Roman" w:cs="Times New Roman"/>
                <w:color w:val="000000" w:themeColor="text1"/>
              </w:rPr>
            </w:pPr>
            <w:r w:rsidRPr="00D86D39">
              <w:rPr>
                <w:rFonts w:ascii="Times New Roman" w:eastAsia="Times New Roman" w:hAnsi="Times New Roman" w:cs="Times New Roman"/>
                <w:color w:val="000000" w:themeColor="text1"/>
              </w:rPr>
              <w:t> </w:t>
            </w:r>
          </w:p>
        </w:tc>
        <w:tc>
          <w:tcPr>
            <w:tcW w:w="1397" w:type="dxa"/>
            <w:tcBorders>
              <w:top w:val="single" w:sz="4" w:space="0" w:color="auto"/>
              <w:left w:val="nil"/>
              <w:bottom w:val="nil"/>
              <w:right w:val="nil"/>
            </w:tcBorders>
            <w:noWrap/>
            <w:vAlign w:val="bottom"/>
            <w:hideMark/>
          </w:tcPr>
          <w:p w14:paraId="59B2DB5F" w14:textId="77777777" w:rsidR="00D86D39" w:rsidRPr="00D86D39" w:rsidRDefault="00D86D39" w:rsidP="00D86D39">
            <w:pPr>
              <w:spacing w:line="240" w:lineRule="auto"/>
              <w:rPr>
                <w:rFonts w:ascii="Times New Roman" w:eastAsia="Times New Roman" w:hAnsi="Times New Roman" w:cs="Times New Roman"/>
                <w:color w:val="000000" w:themeColor="text1"/>
              </w:rPr>
            </w:pPr>
            <w:r w:rsidRPr="00D86D39">
              <w:rPr>
                <w:rFonts w:ascii="Times New Roman" w:eastAsia="Times New Roman" w:hAnsi="Times New Roman" w:cs="Times New Roman"/>
                <w:color w:val="000000" w:themeColor="text1"/>
              </w:rPr>
              <w:t> </w:t>
            </w:r>
          </w:p>
        </w:tc>
        <w:tc>
          <w:tcPr>
            <w:tcW w:w="6485" w:type="dxa"/>
            <w:gridSpan w:val="4"/>
            <w:tcBorders>
              <w:top w:val="single" w:sz="4" w:space="0" w:color="auto"/>
              <w:left w:val="nil"/>
              <w:bottom w:val="single" w:sz="4" w:space="0" w:color="auto"/>
              <w:right w:val="nil"/>
            </w:tcBorders>
            <w:noWrap/>
            <w:vAlign w:val="bottom"/>
            <w:hideMark/>
          </w:tcPr>
          <w:p w14:paraId="3D96B204" w14:textId="77777777" w:rsidR="00D86D39" w:rsidRPr="00D86D39" w:rsidRDefault="00D86D39" w:rsidP="00D86D39">
            <w:pPr>
              <w:spacing w:line="240" w:lineRule="auto"/>
              <w:jc w:val="cente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of respondents </w:t>
            </w:r>
          </w:p>
        </w:tc>
      </w:tr>
      <w:tr w:rsidR="00D86D39" w:rsidRPr="00D86D39" w14:paraId="3CEA65EF" w14:textId="77777777" w:rsidTr="00D86D39">
        <w:trPr>
          <w:trHeight w:val="237"/>
        </w:trPr>
        <w:tc>
          <w:tcPr>
            <w:tcW w:w="2178" w:type="dxa"/>
            <w:tcBorders>
              <w:top w:val="nil"/>
              <w:left w:val="nil"/>
              <w:bottom w:val="single" w:sz="4" w:space="0" w:color="auto"/>
              <w:right w:val="nil"/>
            </w:tcBorders>
            <w:noWrap/>
            <w:vAlign w:val="center"/>
            <w:hideMark/>
          </w:tcPr>
          <w:p w14:paraId="55D1BA0F"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Agro ecology </w:t>
            </w:r>
          </w:p>
        </w:tc>
        <w:tc>
          <w:tcPr>
            <w:tcW w:w="1397" w:type="dxa"/>
            <w:tcBorders>
              <w:top w:val="nil"/>
              <w:left w:val="nil"/>
              <w:bottom w:val="single" w:sz="4" w:space="0" w:color="auto"/>
              <w:right w:val="nil"/>
            </w:tcBorders>
            <w:noWrap/>
            <w:vAlign w:val="bottom"/>
            <w:hideMark/>
          </w:tcPr>
          <w:p w14:paraId="69DBB8A0"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Rank</w:t>
            </w:r>
          </w:p>
        </w:tc>
        <w:tc>
          <w:tcPr>
            <w:tcW w:w="999" w:type="dxa"/>
            <w:tcBorders>
              <w:top w:val="nil"/>
              <w:left w:val="nil"/>
              <w:bottom w:val="single" w:sz="4" w:space="0" w:color="auto"/>
              <w:right w:val="nil"/>
            </w:tcBorders>
            <w:noWrap/>
            <w:vAlign w:val="bottom"/>
            <w:hideMark/>
          </w:tcPr>
          <w:p w14:paraId="2D46B089"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Crop</w:t>
            </w:r>
          </w:p>
        </w:tc>
        <w:tc>
          <w:tcPr>
            <w:tcW w:w="1652" w:type="dxa"/>
            <w:tcBorders>
              <w:top w:val="nil"/>
              <w:left w:val="nil"/>
              <w:bottom w:val="single" w:sz="4" w:space="0" w:color="auto"/>
              <w:right w:val="nil"/>
            </w:tcBorders>
            <w:noWrap/>
            <w:vAlign w:val="bottom"/>
            <w:hideMark/>
          </w:tcPr>
          <w:p w14:paraId="0BEF4C84"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Livestock</w:t>
            </w:r>
          </w:p>
        </w:tc>
        <w:tc>
          <w:tcPr>
            <w:tcW w:w="1677" w:type="dxa"/>
            <w:tcBorders>
              <w:top w:val="nil"/>
              <w:left w:val="nil"/>
              <w:bottom w:val="single" w:sz="4" w:space="0" w:color="auto"/>
              <w:right w:val="nil"/>
            </w:tcBorders>
            <w:noWrap/>
            <w:vAlign w:val="bottom"/>
            <w:hideMark/>
          </w:tcPr>
          <w:p w14:paraId="76572823"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Non-Farm</w:t>
            </w:r>
          </w:p>
        </w:tc>
        <w:tc>
          <w:tcPr>
            <w:tcW w:w="2156" w:type="dxa"/>
            <w:tcBorders>
              <w:top w:val="nil"/>
              <w:left w:val="nil"/>
              <w:bottom w:val="single" w:sz="4" w:space="0" w:color="auto"/>
              <w:right w:val="nil"/>
            </w:tcBorders>
            <w:noWrap/>
            <w:vAlign w:val="bottom"/>
            <w:hideMark/>
          </w:tcPr>
          <w:p w14:paraId="08ABABCC"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Agroforestry</w:t>
            </w:r>
          </w:p>
        </w:tc>
      </w:tr>
      <w:tr w:rsidR="00D86D39" w:rsidRPr="00D86D39" w14:paraId="4CE780CE" w14:textId="77777777" w:rsidTr="00D86D39">
        <w:trPr>
          <w:trHeight w:val="218"/>
        </w:trPr>
        <w:tc>
          <w:tcPr>
            <w:tcW w:w="2178" w:type="dxa"/>
            <w:tcBorders>
              <w:top w:val="nil"/>
              <w:left w:val="nil"/>
              <w:bottom w:val="nil"/>
              <w:right w:val="nil"/>
            </w:tcBorders>
            <w:noWrap/>
            <w:vAlign w:val="bottom"/>
            <w:hideMark/>
          </w:tcPr>
          <w:p w14:paraId="07555DD7"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Highland</w:t>
            </w:r>
          </w:p>
        </w:tc>
        <w:tc>
          <w:tcPr>
            <w:tcW w:w="1397" w:type="dxa"/>
            <w:tcBorders>
              <w:top w:val="nil"/>
              <w:left w:val="nil"/>
              <w:bottom w:val="nil"/>
              <w:right w:val="nil"/>
            </w:tcBorders>
            <w:noWrap/>
            <w:vAlign w:val="bottom"/>
            <w:hideMark/>
          </w:tcPr>
          <w:p w14:paraId="70FDB6AD"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5056062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93.8</w:t>
            </w:r>
          </w:p>
        </w:tc>
        <w:tc>
          <w:tcPr>
            <w:tcW w:w="1652" w:type="dxa"/>
            <w:tcBorders>
              <w:top w:val="nil"/>
              <w:left w:val="nil"/>
              <w:bottom w:val="nil"/>
              <w:right w:val="nil"/>
            </w:tcBorders>
            <w:noWrap/>
            <w:vAlign w:val="bottom"/>
            <w:hideMark/>
          </w:tcPr>
          <w:p w14:paraId="0F37EBF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w:t>
            </w:r>
          </w:p>
        </w:tc>
        <w:tc>
          <w:tcPr>
            <w:tcW w:w="1677" w:type="dxa"/>
            <w:tcBorders>
              <w:top w:val="nil"/>
              <w:left w:val="nil"/>
              <w:bottom w:val="nil"/>
              <w:right w:val="nil"/>
            </w:tcBorders>
            <w:noWrap/>
            <w:vAlign w:val="bottom"/>
            <w:hideMark/>
          </w:tcPr>
          <w:p w14:paraId="6F63AFED"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w:t>
            </w:r>
          </w:p>
        </w:tc>
        <w:tc>
          <w:tcPr>
            <w:tcW w:w="2156" w:type="dxa"/>
            <w:tcBorders>
              <w:top w:val="nil"/>
              <w:left w:val="nil"/>
              <w:bottom w:val="nil"/>
              <w:right w:val="nil"/>
            </w:tcBorders>
            <w:noWrap/>
            <w:vAlign w:val="bottom"/>
            <w:hideMark/>
          </w:tcPr>
          <w:p w14:paraId="5E61117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3.1</w:t>
            </w:r>
          </w:p>
        </w:tc>
      </w:tr>
      <w:tr w:rsidR="00D86D39" w:rsidRPr="00D86D39" w14:paraId="004A0C8C" w14:textId="77777777" w:rsidTr="00D86D39">
        <w:trPr>
          <w:trHeight w:val="218"/>
        </w:trPr>
        <w:tc>
          <w:tcPr>
            <w:tcW w:w="2178" w:type="dxa"/>
            <w:tcBorders>
              <w:top w:val="nil"/>
              <w:left w:val="nil"/>
              <w:bottom w:val="nil"/>
              <w:right w:val="nil"/>
            </w:tcBorders>
            <w:noWrap/>
            <w:vAlign w:val="bottom"/>
            <w:hideMark/>
          </w:tcPr>
          <w:p w14:paraId="68454DBA"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5C3D22E"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046300F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6.8</w:t>
            </w:r>
          </w:p>
        </w:tc>
        <w:tc>
          <w:tcPr>
            <w:tcW w:w="1652" w:type="dxa"/>
            <w:tcBorders>
              <w:top w:val="nil"/>
              <w:left w:val="nil"/>
              <w:bottom w:val="nil"/>
              <w:right w:val="nil"/>
            </w:tcBorders>
            <w:noWrap/>
            <w:vAlign w:val="bottom"/>
            <w:hideMark/>
          </w:tcPr>
          <w:p w14:paraId="652987F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54.2</w:t>
            </w:r>
          </w:p>
        </w:tc>
        <w:tc>
          <w:tcPr>
            <w:tcW w:w="1677" w:type="dxa"/>
            <w:tcBorders>
              <w:top w:val="nil"/>
              <w:left w:val="nil"/>
              <w:bottom w:val="nil"/>
              <w:right w:val="nil"/>
            </w:tcBorders>
            <w:noWrap/>
            <w:vAlign w:val="bottom"/>
            <w:hideMark/>
          </w:tcPr>
          <w:p w14:paraId="055195A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6.8</w:t>
            </w:r>
          </w:p>
        </w:tc>
        <w:tc>
          <w:tcPr>
            <w:tcW w:w="2156" w:type="dxa"/>
            <w:tcBorders>
              <w:top w:val="nil"/>
              <w:left w:val="nil"/>
              <w:bottom w:val="nil"/>
              <w:right w:val="nil"/>
            </w:tcBorders>
            <w:noWrap/>
            <w:vAlign w:val="bottom"/>
            <w:hideMark/>
          </w:tcPr>
          <w:p w14:paraId="25E5E9E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32.2</w:t>
            </w:r>
          </w:p>
        </w:tc>
      </w:tr>
      <w:tr w:rsidR="00D86D39" w:rsidRPr="00D86D39" w14:paraId="4025E888" w14:textId="77777777" w:rsidTr="00D86D39">
        <w:trPr>
          <w:trHeight w:val="218"/>
        </w:trPr>
        <w:tc>
          <w:tcPr>
            <w:tcW w:w="2178" w:type="dxa"/>
            <w:tcBorders>
              <w:top w:val="nil"/>
              <w:left w:val="nil"/>
              <w:bottom w:val="nil"/>
              <w:right w:val="nil"/>
            </w:tcBorders>
            <w:noWrap/>
            <w:vAlign w:val="bottom"/>
            <w:hideMark/>
          </w:tcPr>
          <w:p w14:paraId="33D005F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E829E6A"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nil"/>
              <w:right w:val="nil"/>
            </w:tcBorders>
            <w:noWrap/>
            <w:vAlign w:val="bottom"/>
            <w:hideMark/>
          </w:tcPr>
          <w:p w14:paraId="0404392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31.4</w:t>
            </w:r>
          </w:p>
        </w:tc>
        <w:tc>
          <w:tcPr>
            <w:tcW w:w="1652" w:type="dxa"/>
            <w:tcBorders>
              <w:top w:val="nil"/>
              <w:left w:val="nil"/>
              <w:bottom w:val="nil"/>
              <w:right w:val="nil"/>
            </w:tcBorders>
            <w:noWrap/>
            <w:vAlign w:val="bottom"/>
            <w:hideMark/>
          </w:tcPr>
          <w:p w14:paraId="31105AB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0</w:t>
            </w:r>
          </w:p>
        </w:tc>
        <w:tc>
          <w:tcPr>
            <w:tcW w:w="1677" w:type="dxa"/>
            <w:tcBorders>
              <w:top w:val="nil"/>
              <w:left w:val="nil"/>
              <w:bottom w:val="nil"/>
              <w:right w:val="nil"/>
            </w:tcBorders>
            <w:noWrap/>
            <w:vAlign w:val="bottom"/>
            <w:hideMark/>
          </w:tcPr>
          <w:p w14:paraId="5B73F883"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9.8</w:t>
            </w:r>
          </w:p>
        </w:tc>
        <w:tc>
          <w:tcPr>
            <w:tcW w:w="2156" w:type="dxa"/>
            <w:tcBorders>
              <w:top w:val="nil"/>
              <w:left w:val="nil"/>
              <w:bottom w:val="nil"/>
              <w:right w:val="nil"/>
            </w:tcBorders>
            <w:noWrap/>
            <w:vAlign w:val="bottom"/>
            <w:hideMark/>
          </w:tcPr>
          <w:p w14:paraId="0B11ACF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58.8</w:t>
            </w:r>
          </w:p>
        </w:tc>
      </w:tr>
      <w:tr w:rsidR="00D86D39" w:rsidRPr="00D86D39" w14:paraId="3F7965AA" w14:textId="77777777" w:rsidTr="00D86D39">
        <w:trPr>
          <w:trHeight w:val="218"/>
        </w:trPr>
        <w:tc>
          <w:tcPr>
            <w:tcW w:w="2178" w:type="dxa"/>
            <w:tcBorders>
              <w:top w:val="nil"/>
              <w:left w:val="nil"/>
              <w:bottom w:val="nil"/>
              <w:right w:val="nil"/>
            </w:tcBorders>
            <w:noWrap/>
            <w:vAlign w:val="bottom"/>
            <w:hideMark/>
          </w:tcPr>
          <w:p w14:paraId="095690F6"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Midland </w:t>
            </w:r>
          </w:p>
        </w:tc>
        <w:tc>
          <w:tcPr>
            <w:tcW w:w="1397" w:type="dxa"/>
            <w:tcBorders>
              <w:top w:val="nil"/>
              <w:left w:val="nil"/>
              <w:bottom w:val="nil"/>
              <w:right w:val="nil"/>
            </w:tcBorders>
            <w:noWrap/>
            <w:vAlign w:val="bottom"/>
            <w:hideMark/>
          </w:tcPr>
          <w:p w14:paraId="5903E1E4"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04FDCE55"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89.1</w:t>
            </w:r>
          </w:p>
        </w:tc>
        <w:tc>
          <w:tcPr>
            <w:tcW w:w="1652" w:type="dxa"/>
            <w:tcBorders>
              <w:top w:val="nil"/>
              <w:left w:val="nil"/>
              <w:bottom w:val="nil"/>
              <w:right w:val="nil"/>
            </w:tcBorders>
            <w:noWrap/>
            <w:vAlign w:val="bottom"/>
            <w:hideMark/>
          </w:tcPr>
          <w:p w14:paraId="17E158F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1677" w:type="dxa"/>
            <w:tcBorders>
              <w:top w:val="nil"/>
              <w:left w:val="nil"/>
              <w:bottom w:val="nil"/>
              <w:right w:val="nil"/>
            </w:tcBorders>
            <w:noWrap/>
            <w:vAlign w:val="bottom"/>
            <w:hideMark/>
          </w:tcPr>
          <w:p w14:paraId="3B1DC2A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w:t>
            </w:r>
          </w:p>
        </w:tc>
        <w:tc>
          <w:tcPr>
            <w:tcW w:w="2156" w:type="dxa"/>
            <w:tcBorders>
              <w:top w:val="nil"/>
              <w:left w:val="nil"/>
              <w:bottom w:val="nil"/>
              <w:right w:val="nil"/>
            </w:tcBorders>
            <w:noWrap/>
            <w:vAlign w:val="bottom"/>
            <w:hideMark/>
          </w:tcPr>
          <w:p w14:paraId="7FC18E3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3.1</w:t>
            </w:r>
          </w:p>
        </w:tc>
      </w:tr>
      <w:tr w:rsidR="00D86D39" w:rsidRPr="00D86D39" w14:paraId="4DE410E3" w14:textId="77777777" w:rsidTr="00D86D39">
        <w:trPr>
          <w:trHeight w:val="218"/>
        </w:trPr>
        <w:tc>
          <w:tcPr>
            <w:tcW w:w="2178" w:type="dxa"/>
            <w:tcBorders>
              <w:top w:val="nil"/>
              <w:left w:val="nil"/>
              <w:bottom w:val="nil"/>
              <w:right w:val="nil"/>
            </w:tcBorders>
            <w:noWrap/>
            <w:vAlign w:val="bottom"/>
            <w:hideMark/>
          </w:tcPr>
          <w:p w14:paraId="2F3DFF8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787FBC0B"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575DFD7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1652" w:type="dxa"/>
            <w:tcBorders>
              <w:top w:val="nil"/>
              <w:left w:val="nil"/>
              <w:bottom w:val="nil"/>
              <w:right w:val="nil"/>
            </w:tcBorders>
            <w:noWrap/>
            <w:vAlign w:val="bottom"/>
            <w:hideMark/>
          </w:tcPr>
          <w:p w14:paraId="4BD08CE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71.9</w:t>
            </w:r>
          </w:p>
        </w:tc>
        <w:tc>
          <w:tcPr>
            <w:tcW w:w="1677" w:type="dxa"/>
            <w:tcBorders>
              <w:top w:val="nil"/>
              <w:left w:val="nil"/>
              <w:bottom w:val="nil"/>
              <w:right w:val="nil"/>
            </w:tcBorders>
            <w:noWrap/>
            <w:vAlign w:val="bottom"/>
            <w:hideMark/>
          </w:tcPr>
          <w:p w14:paraId="1AB9496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2156" w:type="dxa"/>
            <w:tcBorders>
              <w:top w:val="nil"/>
              <w:left w:val="nil"/>
              <w:bottom w:val="nil"/>
              <w:right w:val="nil"/>
            </w:tcBorders>
            <w:noWrap/>
            <w:vAlign w:val="bottom"/>
            <w:hideMark/>
          </w:tcPr>
          <w:p w14:paraId="514136E7"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15.6</w:t>
            </w:r>
          </w:p>
        </w:tc>
      </w:tr>
      <w:tr w:rsidR="00D86D39" w:rsidRPr="00D86D39" w14:paraId="0461EC52" w14:textId="77777777" w:rsidTr="00D86D39">
        <w:trPr>
          <w:trHeight w:val="218"/>
        </w:trPr>
        <w:tc>
          <w:tcPr>
            <w:tcW w:w="2178" w:type="dxa"/>
            <w:tcBorders>
              <w:top w:val="nil"/>
              <w:left w:val="nil"/>
              <w:bottom w:val="nil"/>
              <w:right w:val="nil"/>
            </w:tcBorders>
            <w:noWrap/>
            <w:vAlign w:val="bottom"/>
            <w:hideMark/>
          </w:tcPr>
          <w:p w14:paraId="4168AD8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67D6F94D"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nil"/>
              <w:right w:val="nil"/>
            </w:tcBorders>
            <w:noWrap/>
            <w:vAlign w:val="bottom"/>
            <w:hideMark/>
          </w:tcPr>
          <w:p w14:paraId="3D26DB36"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3.3</w:t>
            </w:r>
          </w:p>
        </w:tc>
        <w:tc>
          <w:tcPr>
            <w:tcW w:w="1652" w:type="dxa"/>
            <w:tcBorders>
              <w:top w:val="nil"/>
              <w:left w:val="nil"/>
              <w:bottom w:val="nil"/>
              <w:right w:val="nil"/>
            </w:tcBorders>
            <w:noWrap/>
            <w:vAlign w:val="bottom"/>
            <w:hideMark/>
          </w:tcPr>
          <w:p w14:paraId="16B4711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16.7</w:t>
            </w:r>
          </w:p>
        </w:tc>
        <w:tc>
          <w:tcPr>
            <w:tcW w:w="1677" w:type="dxa"/>
            <w:tcBorders>
              <w:top w:val="nil"/>
              <w:left w:val="nil"/>
              <w:bottom w:val="nil"/>
              <w:right w:val="nil"/>
            </w:tcBorders>
            <w:noWrap/>
            <w:vAlign w:val="bottom"/>
            <w:hideMark/>
          </w:tcPr>
          <w:p w14:paraId="236394B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8.3</w:t>
            </w:r>
          </w:p>
        </w:tc>
        <w:tc>
          <w:tcPr>
            <w:tcW w:w="2156" w:type="dxa"/>
            <w:tcBorders>
              <w:top w:val="nil"/>
              <w:left w:val="nil"/>
              <w:bottom w:val="nil"/>
              <w:right w:val="nil"/>
            </w:tcBorders>
            <w:noWrap/>
            <w:vAlign w:val="bottom"/>
            <w:hideMark/>
          </w:tcPr>
          <w:p w14:paraId="3E4BFE27"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71.7</w:t>
            </w:r>
          </w:p>
        </w:tc>
      </w:tr>
      <w:tr w:rsidR="00D86D39" w:rsidRPr="00D86D39" w14:paraId="753B2D74" w14:textId="77777777" w:rsidTr="00D86D39">
        <w:trPr>
          <w:trHeight w:val="218"/>
        </w:trPr>
        <w:tc>
          <w:tcPr>
            <w:tcW w:w="2178" w:type="dxa"/>
            <w:tcBorders>
              <w:top w:val="nil"/>
              <w:left w:val="nil"/>
              <w:bottom w:val="nil"/>
              <w:right w:val="nil"/>
            </w:tcBorders>
            <w:noWrap/>
            <w:vAlign w:val="bottom"/>
            <w:hideMark/>
          </w:tcPr>
          <w:p w14:paraId="3BB3CA93"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Lowland</w:t>
            </w:r>
          </w:p>
        </w:tc>
        <w:tc>
          <w:tcPr>
            <w:tcW w:w="1397" w:type="dxa"/>
            <w:tcBorders>
              <w:top w:val="nil"/>
              <w:left w:val="nil"/>
              <w:bottom w:val="nil"/>
              <w:right w:val="nil"/>
            </w:tcBorders>
            <w:noWrap/>
            <w:vAlign w:val="bottom"/>
            <w:hideMark/>
          </w:tcPr>
          <w:p w14:paraId="7B6F397F"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74FDC40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92.6</w:t>
            </w:r>
          </w:p>
        </w:tc>
        <w:tc>
          <w:tcPr>
            <w:tcW w:w="1652" w:type="dxa"/>
            <w:tcBorders>
              <w:top w:val="nil"/>
              <w:left w:val="nil"/>
              <w:bottom w:val="nil"/>
              <w:right w:val="nil"/>
            </w:tcBorders>
            <w:noWrap/>
            <w:vAlign w:val="bottom"/>
            <w:hideMark/>
          </w:tcPr>
          <w:p w14:paraId="465558C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5.9</w:t>
            </w:r>
          </w:p>
        </w:tc>
        <w:tc>
          <w:tcPr>
            <w:tcW w:w="1677" w:type="dxa"/>
            <w:tcBorders>
              <w:top w:val="nil"/>
              <w:left w:val="nil"/>
              <w:bottom w:val="nil"/>
              <w:right w:val="nil"/>
            </w:tcBorders>
            <w:noWrap/>
            <w:vAlign w:val="bottom"/>
            <w:hideMark/>
          </w:tcPr>
          <w:p w14:paraId="533B4187"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2156" w:type="dxa"/>
            <w:tcBorders>
              <w:top w:val="nil"/>
              <w:left w:val="nil"/>
              <w:bottom w:val="nil"/>
              <w:right w:val="nil"/>
            </w:tcBorders>
            <w:noWrap/>
            <w:vAlign w:val="bottom"/>
            <w:hideMark/>
          </w:tcPr>
          <w:p w14:paraId="234DA838"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0</w:t>
            </w:r>
          </w:p>
        </w:tc>
      </w:tr>
      <w:tr w:rsidR="00D86D39" w:rsidRPr="00D86D39" w14:paraId="25615F02" w14:textId="77777777" w:rsidTr="00D86D39">
        <w:trPr>
          <w:trHeight w:val="218"/>
        </w:trPr>
        <w:tc>
          <w:tcPr>
            <w:tcW w:w="2178" w:type="dxa"/>
            <w:tcBorders>
              <w:top w:val="nil"/>
              <w:left w:val="nil"/>
              <w:bottom w:val="nil"/>
              <w:right w:val="nil"/>
            </w:tcBorders>
            <w:noWrap/>
            <w:vAlign w:val="bottom"/>
            <w:hideMark/>
          </w:tcPr>
          <w:p w14:paraId="7A4BB56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57BDADB"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3B87EFA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5.9</w:t>
            </w:r>
          </w:p>
        </w:tc>
        <w:tc>
          <w:tcPr>
            <w:tcW w:w="1652" w:type="dxa"/>
            <w:tcBorders>
              <w:top w:val="nil"/>
              <w:left w:val="nil"/>
              <w:bottom w:val="nil"/>
              <w:right w:val="nil"/>
            </w:tcBorders>
            <w:noWrap/>
            <w:vAlign w:val="bottom"/>
            <w:hideMark/>
          </w:tcPr>
          <w:p w14:paraId="6902C42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89.7</w:t>
            </w:r>
          </w:p>
        </w:tc>
        <w:tc>
          <w:tcPr>
            <w:tcW w:w="1677" w:type="dxa"/>
            <w:tcBorders>
              <w:top w:val="nil"/>
              <w:left w:val="nil"/>
              <w:bottom w:val="nil"/>
              <w:right w:val="nil"/>
            </w:tcBorders>
            <w:noWrap/>
            <w:vAlign w:val="bottom"/>
            <w:hideMark/>
          </w:tcPr>
          <w:p w14:paraId="2A2C9D4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0</w:t>
            </w:r>
          </w:p>
        </w:tc>
        <w:tc>
          <w:tcPr>
            <w:tcW w:w="2156" w:type="dxa"/>
            <w:tcBorders>
              <w:top w:val="nil"/>
              <w:left w:val="nil"/>
              <w:bottom w:val="nil"/>
              <w:right w:val="nil"/>
            </w:tcBorders>
            <w:noWrap/>
            <w:vAlign w:val="bottom"/>
            <w:hideMark/>
          </w:tcPr>
          <w:p w14:paraId="0C9AB012"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4.4</w:t>
            </w:r>
          </w:p>
        </w:tc>
      </w:tr>
      <w:tr w:rsidR="00D86D39" w:rsidRPr="00D86D39" w14:paraId="49D08682" w14:textId="77777777" w:rsidTr="00D86D39">
        <w:trPr>
          <w:trHeight w:val="218"/>
        </w:trPr>
        <w:tc>
          <w:tcPr>
            <w:tcW w:w="2178" w:type="dxa"/>
            <w:tcBorders>
              <w:top w:val="nil"/>
              <w:left w:val="nil"/>
              <w:bottom w:val="nil"/>
              <w:right w:val="nil"/>
            </w:tcBorders>
            <w:noWrap/>
            <w:vAlign w:val="bottom"/>
            <w:hideMark/>
          </w:tcPr>
          <w:p w14:paraId="2386999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7DBFACE4"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nil"/>
              <w:right w:val="nil"/>
            </w:tcBorders>
            <w:noWrap/>
            <w:vAlign w:val="bottom"/>
            <w:hideMark/>
          </w:tcPr>
          <w:p w14:paraId="3D58A203"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1652" w:type="dxa"/>
            <w:tcBorders>
              <w:top w:val="nil"/>
              <w:left w:val="nil"/>
              <w:bottom w:val="nil"/>
              <w:right w:val="nil"/>
            </w:tcBorders>
            <w:noWrap/>
            <w:vAlign w:val="bottom"/>
            <w:hideMark/>
          </w:tcPr>
          <w:p w14:paraId="0C4C183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1677" w:type="dxa"/>
            <w:tcBorders>
              <w:top w:val="nil"/>
              <w:left w:val="nil"/>
              <w:bottom w:val="nil"/>
              <w:right w:val="nil"/>
            </w:tcBorders>
            <w:noWrap/>
            <w:vAlign w:val="bottom"/>
            <w:hideMark/>
          </w:tcPr>
          <w:p w14:paraId="5E4AE37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8.8</w:t>
            </w:r>
          </w:p>
        </w:tc>
        <w:tc>
          <w:tcPr>
            <w:tcW w:w="2156" w:type="dxa"/>
            <w:tcBorders>
              <w:top w:val="nil"/>
              <w:left w:val="nil"/>
              <w:bottom w:val="nil"/>
              <w:right w:val="nil"/>
            </w:tcBorders>
            <w:noWrap/>
            <w:vAlign w:val="bottom"/>
            <w:hideMark/>
          </w:tcPr>
          <w:p w14:paraId="7A05C12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88.2</w:t>
            </w:r>
          </w:p>
        </w:tc>
      </w:tr>
      <w:tr w:rsidR="00D86D39" w:rsidRPr="00D86D39" w14:paraId="6CD5E71E" w14:textId="77777777" w:rsidTr="00D86D39">
        <w:trPr>
          <w:trHeight w:val="218"/>
        </w:trPr>
        <w:tc>
          <w:tcPr>
            <w:tcW w:w="2178" w:type="dxa"/>
            <w:tcBorders>
              <w:top w:val="nil"/>
              <w:left w:val="nil"/>
              <w:bottom w:val="nil"/>
              <w:right w:val="nil"/>
            </w:tcBorders>
            <w:noWrap/>
            <w:vAlign w:val="bottom"/>
            <w:hideMark/>
          </w:tcPr>
          <w:p w14:paraId="5FC4F4AE"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Overall</w:t>
            </w:r>
          </w:p>
        </w:tc>
        <w:tc>
          <w:tcPr>
            <w:tcW w:w="1397" w:type="dxa"/>
            <w:tcBorders>
              <w:top w:val="nil"/>
              <w:left w:val="nil"/>
              <w:bottom w:val="nil"/>
              <w:right w:val="nil"/>
            </w:tcBorders>
            <w:noWrap/>
            <w:vAlign w:val="bottom"/>
            <w:hideMark/>
          </w:tcPr>
          <w:p w14:paraId="21EB8DAE"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64A71736"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91.8</w:t>
            </w:r>
          </w:p>
        </w:tc>
        <w:tc>
          <w:tcPr>
            <w:tcW w:w="1652" w:type="dxa"/>
            <w:tcBorders>
              <w:top w:val="nil"/>
              <w:left w:val="nil"/>
              <w:bottom w:val="nil"/>
              <w:right w:val="nil"/>
            </w:tcBorders>
            <w:noWrap/>
            <w:vAlign w:val="bottom"/>
            <w:hideMark/>
          </w:tcPr>
          <w:p w14:paraId="79326BF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4.6</w:t>
            </w:r>
          </w:p>
        </w:tc>
        <w:tc>
          <w:tcPr>
            <w:tcW w:w="1677" w:type="dxa"/>
            <w:tcBorders>
              <w:top w:val="nil"/>
              <w:left w:val="nil"/>
              <w:bottom w:val="nil"/>
              <w:right w:val="nil"/>
            </w:tcBorders>
            <w:noWrap/>
            <w:vAlign w:val="bottom"/>
            <w:hideMark/>
          </w:tcPr>
          <w:p w14:paraId="1E661FB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2156" w:type="dxa"/>
            <w:tcBorders>
              <w:top w:val="nil"/>
              <w:left w:val="nil"/>
              <w:bottom w:val="nil"/>
              <w:right w:val="nil"/>
            </w:tcBorders>
            <w:noWrap/>
            <w:vAlign w:val="bottom"/>
            <w:hideMark/>
          </w:tcPr>
          <w:p w14:paraId="4EDC19C8"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w:t>
            </w:r>
          </w:p>
        </w:tc>
      </w:tr>
      <w:tr w:rsidR="00D86D39" w:rsidRPr="00D86D39" w14:paraId="3189FDDB" w14:textId="77777777" w:rsidTr="00D86D39">
        <w:trPr>
          <w:trHeight w:val="218"/>
        </w:trPr>
        <w:tc>
          <w:tcPr>
            <w:tcW w:w="2178" w:type="dxa"/>
            <w:tcBorders>
              <w:top w:val="nil"/>
              <w:left w:val="nil"/>
              <w:bottom w:val="nil"/>
              <w:right w:val="nil"/>
            </w:tcBorders>
            <w:noWrap/>
            <w:vAlign w:val="bottom"/>
            <w:hideMark/>
          </w:tcPr>
          <w:p w14:paraId="6510657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1110136"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446847F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1652" w:type="dxa"/>
            <w:tcBorders>
              <w:top w:val="nil"/>
              <w:left w:val="nil"/>
              <w:bottom w:val="nil"/>
              <w:right w:val="nil"/>
            </w:tcBorders>
            <w:noWrap/>
            <w:vAlign w:val="bottom"/>
            <w:hideMark/>
          </w:tcPr>
          <w:p w14:paraId="6F9C9B6D"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72.8</w:t>
            </w:r>
          </w:p>
        </w:tc>
        <w:tc>
          <w:tcPr>
            <w:tcW w:w="1677" w:type="dxa"/>
            <w:tcBorders>
              <w:top w:val="nil"/>
              <w:left w:val="nil"/>
              <w:bottom w:val="nil"/>
              <w:right w:val="nil"/>
            </w:tcBorders>
            <w:noWrap/>
            <w:vAlign w:val="bottom"/>
            <w:hideMark/>
          </w:tcPr>
          <w:p w14:paraId="66038B3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4.2</w:t>
            </w:r>
          </w:p>
        </w:tc>
        <w:tc>
          <w:tcPr>
            <w:tcW w:w="2156" w:type="dxa"/>
            <w:tcBorders>
              <w:top w:val="nil"/>
              <w:left w:val="nil"/>
              <w:bottom w:val="nil"/>
              <w:right w:val="nil"/>
            </w:tcBorders>
            <w:noWrap/>
            <w:vAlign w:val="bottom"/>
            <w:hideMark/>
          </w:tcPr>
          <w:p w14:paraId="3101EA65"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16.8</w:t>
            </w:r>
          </w:p>
        </w:tc>
      </w:tr>
      <w:tr w:rsidR="00D86D39" w:rsidRPr="00D86D39" w14:paraId="6840F241" w14:textId="77777777" w:rsidTr="00D86D39">
        <w:trPr>
          <w:trHeight w:val="218"/>
        </w:trPr>
        <w:tc>
          <w:tcPr>
            <w:tcW w:w="2178" w:type="dxa"/>
            <w:tcBorders>
              <w:top w:val="nil"/>
              <w:left w:val="nil"/>
              <w:bottom w:val="single" w:sz="4" w:space="0" w:color="auto"/>
              <w:right w:val="nil"/>
            </w:tcBorders>
            <w:noWrap/>
            <w:vAlign w:val="bottom"/>
            <w:hideMark/>
          </w:tcPr>
          <w:p w14:paraId="15DC9A3F"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w:t>
            </w:r>
          </w:p>
        </w:tc>
        <w:tc>
          <w:tcPr>
            <w:tcW w:w="1397" w:type="dxa"/>
            <w:tcBorders>
              <w:top w:val="nil"/>
              <w:left w:val="nil"/>
              <w:bottom w:val="single" w:sz="4" w:space="0" w:color="auto"/>
              <w:right w:val="nil"/>
            </w:tcBorders>
            <w:noWrap/>
            <w:vAlign w:val="bottom"/>
            <w:hideMark/>
          </w:tcPr>
          <w:p w14:paraId="4B1614A4"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single" w:sz="4" w:space="0" w:color="auto"/>
              <w:right w:val="nil"/>
            </w:tcBorders>
            <w:noWrap/>
            <w:vAlign w:val="bottom"/>
            <w:hideMark/>
          </w:tcPr>
          <w:p w14:paraId="2922A26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1.7</w:t>
            </w:r>
          </w:p>
        </w:tc>
        <w:tc>
          <w:tcPr>
            <w:tcW w:w="1652" w:type="dxa"/>
            <w:tcBorders>
              <w:top w:val="nil"/>
              <w:left w:val="nil"/>
              <w:bottom w:val="single" w:sz="4" w:space="0" w:color="auto"/>
              <w:right w:val="nil"/>
            </w:tcBorders>
            <w:noWrap/>
            <w:vAlign w:val="bottom"/>
            <w:hideMark/>
          </w:tcPr>
          <w:p w14:paraId="30BE416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15.1</w:t>
            </w:r>
          </w:p>
        </w:tc>
        <w:tc>
          <w:tcPr>
            <w:tcW w:w="1677" w:type="dxa"/>
            <w:tcBorders>
              <w:top w:val="nil"/>
              <w:left w:val="nil"/>
              <w:bottom w:val="single" w:sz="4" w:space="0" w:color="auto"/>
              <w:right w:val="nil"/>
            </w:tcBorders>
            <w:noWrap/>
            <w:vAlign w:val="bottom"/>
            <w:hideMark/>
          </w:tcPr>
          <w:p w14:paraId="0DE01EC2"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8.9</w:t>
            </w:r>
          </w:p>
        </w:tc>
        <w:tc>
          <w:tcPr>
            <w:tcW w:w="2156" w:type="dxa"/>
            <w:tcBorders>
              <w:top w:val="nil"/>
              <w:left w:val="nil"/>
              <w:bottom w:val="single" w:sz="4" w:space="0" w:color="auto"/>
              <w:right w:val="nil"/>
            </w:tcBorders>
            <w:noWrap/>
            <w:vAlign w:val="bottom"/>
            <w:hideMark/>
          </w:tcPr>
          <w:p w14:paraId="6A08A222"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74.3</w:t>
            </w:r>
          </w:p>
        </w:tc>
      </w:tr>
    </w:tbl>
    <w:p w14:paraId="1E9A83C7"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This, in turn, helped mitigate food shortages for households. Additionally, respondents stated that income generated from trees during periods without climate challenges contributed to financial stability and improved resilience when climate shocks occurred. This finding highlights that trees on farmland, which are less affected by climate hazards, play a significant role in enhancing household income and livelihood resilience.</w:t>
      </w:r>
    </w:p>
    <w:p w14:paraId="28BE2CCE" w14:textId="56C9392D"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The study results indicated that income from on-farm trees varied across agro ecological zones (p &lt; 0.05). A significant difference was observed in the mean income from trees between the highland and midland, as well as between the highland and lowland (p &lt; 0.05). However, the mean income difference between the midland and lowland agro ecologies was not statistically significant (Table </w:t>
      </w:r>
      <w:r w:rsidR="00423A30">
        <w:rPr>
          <w:rFonts w:ascii="Times New Roman" w:eastAsia="Times New Roman" w:hAnsi="Times New Roman" w:cs="Times New Roman"/>
          <w:color w:val="000000" w:themeColor="text1"/>
          <w:sz w:val="24"/>
          <w:szCs w:val="24"/>
        </w:rPr>
        <w:t>3</w:t>
      </w:r>
      <w:r w:rsidRPr="00D86D39">
        <w:rPr>
          <w:rFonts w:ascii="Times New Roman" w:eastAsia="Times New Roman" w:hAnsi="Times New Roman" w:cs="Times New Roman"/>
          <w:color w:val="000000" w:themeColor="text1"/>
          <w:sz w:val="24"/>
          <w:szCs w:val="24"/>
        </w:rPr>
        <w:t>).</w:t>
      </w:r>
    </w:p>
    <w:p w14:paraId="22C9A791" w14:textId="139E5E92"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lastRenderedPageBreak/>
        <w:t xml:space="preserve">Furthermore, the study confirmed that on-farm trees are among the primary livelihood assets for households. Most respondents ranked crops, livestock, and trees as their first, second, and third most important livelihood assets, respectively. This pattern applied across all three agro ecological zones, except in the highland, where fewer respondents ranked trees as their third most important livelihood asset compared to the other zones. This finding underscores that trees on farmland are among the top three essential livelihood assets (Table </w:t>
      </w:r>
      <w:r w:rsidR="00423A30">
        <w:rPr>
          <w:rFonts w:ascii="Times New Roman" w:eastAsia="Times New Roman" w:hAnsi="Times New Roman" w:cs="Times New Roman"/>
          <w:color w:val="000000" w:themeColor="text1"/>
          <w:sz w:val="24"/>
          <w:szCs w:val="24"/>
        </w:rPr>
        <w:t>4</w:t>
      </w:r>
      <w:r w:rsidRPr="00D86D39">
        <w:rPr>
          <w:rFonts w:ascii="Times New Roman" w:eastAsia="Times New Roman" w:hAnsi="Times New Roman" w:cs="Times New Roman"/>
          <w:color w:val="000000" w:themeColor="text1"/>
          <w:sz w:val="24"/>
          <w:szCs w:val="24"/>
        </w:rPr>
        <w:t>).</w:t>
      </w:r>
    </w:p>
    <w:p w14:paraId="2D2E1927" w14:textId="477CA15F"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Additionally, the total mean household asset value was estimated at $690.85 ± 524.72. The mean asset value of trees on farmland was $132.73, contributing 19.21% to the total household livelihood asset, ranking third after livestock ($369.86 ± 271.34) and crop production ($189.09 ± 211.69). The mean total livelihood asset value was highest in the highland ($795.86 ± 691.47), followed by the other agro ecological zones. Similarly, the mean tree stands asset value in the highland ($283.15 ± 409.66) was higher than in the midland and lowland. There was a significant difference (p &lt; 0.05) in the mean values of all three main livelihood assets and total assets across the three agro ecological zones. However, the mean difference in total livelihood assets between the highland and lowland was not statistically significant at p &lt; 0.05 (Table </w:t>
      </w:r>
      <w:r w:rsidR="00423A30">
        <w:rPr>
          <w:rFonts w:ascii="Times New Roman" w:eastAsia="Times New Roman" w:hAnsi="Times New Roman" w:cs="Times New Roman"/>
          <w:color w:val="000000" w:themeColor="text1"/>
          <w:sz w:val="24"/>
          <w:szCs w:val="24"/>
        </w:rPr>
        <w:t>5</w:t>
      </w:r>
      <w:r w:rsidRPr="00D86D39">
        <w:rPr>
          <w:rFonts w:ascii="Times New Roman" w:eastAsia="Times New Roman" w:hAnsi="Times New Roman" w:cs="Times New Roman"/>
          <w:color w:val="000000" w:themeColor="text1"/>
          <w:sz w:val="24"/>
          <w:szCs w:val="24"/>
        </w:rPr>
        <w:t>).</w:t>
      </w:r>
    </w:p>
    <w:p w14:paraId="5C87BED7"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Interviews conducted during the study revealed that the increased income and productivity resulting from trees on farmland helped farmers enhance their adaptive capacity, making them more resilient to climate-related challenges.</w:t>
      </w:r>
    </w:p>
    <w:p w14:paraId="5EB1177E" w14:textId="77777777" w:rsidR="00D86D39" w:rsidRPr="00D86D39" w:rsidRDefault="00D86D39" w:rsidP="00D86D39">
      <w:pPr>
        <w:ind w:firstLine="240"/>
        <w:jc w:val="both"/>
        <w:rPr>
          <w:rFonts w:ascii="Times New Roman" w:eastAsia="Arial" w:hAnsi="Times New Roman" w:cs="Times New Roman"/>
          <w:color w:val="000000" w:themeColor="text1"/>
          <w:sz w:val="19"/>
        </w:rPr>
      </w:pPr>
    </w:p>
    <w:p w14:paraId="4ADF315D" w14:textId="3D14C80C" w:rsidR="00D86D39" w:rsidRPr="00D86D39" w:rsidRDefault="00D86D39" w:rsidP="00D86D39">
      <w:pPr>
        <w:rPr>
          <w:rFonts w:ascii="Times New Roman" w:eastAsia="Arial" w:hAnsi="Times New Roman" w:cs="Times New Roman"/>
          <w:color w:val="000000" w:themeColor="text1"/>
          <w:sz w:val="16"/>
        </w:rPr>
      </w:pPr>
      <w:r w:rsidRPr="00D86D39">
        <w:rPr>
          <w:rFonts w:ascii="Times New Roman" w:eastAsia="Arial" w:hAnsi="Times New Roman" w:cs="Times New Roman"/>
          <w:color w:val="000000" w:themeColor="text1"/>
          <w:sz w:val="19"/>
        </w:rPr>
        <w:br w:type="column"/>
      </w:r>
      <w:r w:rsidRPr="00D86D39">
        <w:rPr>
          <w:rFonts w:ascii="Times New Roman" w:eastAsia="Arial" w:hAnsi="Times New Roman" w:cs="Times New Roman"/>
          <w:b/>
          <w:color w:val="000000" w:themeColor="text1"/>
          <w:sz w:val="24"/>
        </w:rPr>
        <w:lastRenderedPageBreak/>
        <w:t xml:space="preserve">Table </w:t>
      </w:r>
      <w:r w:rsidR="00423A30">
        <w:rPr>
          <w:rFonts w:ascii="Times New Roman" w:eastAsia="Arial" w:hAnsi="Times New Roman" w:cs="Times New Roman"/>
          <w:b/>
          <w:color w:val="000000" w:themeColor="text1"/>
          <w:sz w:val="24"/>
        </w:rPr>
        <w:t>5</w:t>
      </w:r>
      <w:r w:rsidRPr="00D86D39">
        <w:rPr>
          <w:rFonts w:ascii="Times New Roman" w:eastAsia="Arial" w:hAnsi="Times New Roman" w:cs="Times New Roman"/>
          <w:b/>
          <w:color w:val="000000" w:themeColor="text1"/>
          <w:sz w:val="24"/>
        </w:rPr>
        <w:t>.</w:t>
      </w:r>
      <w:r w:rsidRPr="00D86D39">
        <w:rPr>
          <w:rFonts w:ascii="Times New Roman" w:eastAsia="Arial" w:hAnsi="Times New Roman" w:cs="Times New Roman"/>
          <w:color w:val="000000" w:themeColor="text1"/>
          <w:sz w:val="24"/>
        </w:rPr>
        <w:t xml:space="preserve"> Mean difference of main household livelihood assets in different agro-ecologies (estimated in USD)</w:t>
      </w:r>
    </w:p>
    <w:tbl>
      <w:tblPr>
        <w:tblpPr w:leftFromText="180" w:rightFromText="180" w:vertAnchor="page" w:horzAnchor="margin" w:tblpY="2101"/>
        <w:tblW w:w="9452" w:type="dxa"/>
        <w:tblLayout w:type="fixed"/>
        <w:tblCellMar>
          <w:left w:w="0" w:type="dxa"/>
          <w:right w:w="0" w:type="dxa"/>
        </w:tblCellMar>
        <w:tblLook w:val="0000" w:firstRow="0" w:lastRow="0" w:firstColumn="0" w:lastColumn="0" w:noHBand="0" w:noVBand="0"/>
      </w:tblPr>
      <w:tblGrid>
        <w:gridCol w:w="1210"/>
        <w:gridCol w:w="853"/>
        <w:gridCol w:w="946"/>
        <w:gridCol w:w="1140"/>
        <w:gridCol w:w="1212"/>
        <w:gridCol w:w="893"/>
        <w:gridCol w:w="1073"/>
        <w:gridCol w:w="1171"/>
        <w:gridCol w:w="954"/>
      </w:tblGrid>
      <w:tr w:rsidR="00D86D39" w:rsidRPr="00D86D39" w14:paraId="44156520" w14:textId="77777777" w:rsidTr="00D86D39">
        <w:trPr>
          <w:trHeight w:val="224"/>
        </w:trPr>
        <w:tc>
          <w:tcPr>
            <w:tcW w:w="1210" w:type="dxa"/>
            <w:tcBorders>
              <w:top w:val="single" w:sz="4" w:space="0" w:color="auto"/>
              <w:bottom w:val="single" w:sz="4" w:space="0" w:color="auto"/>
            </w:tcBorders>
            <w:vAlign w:val="bottom"/>
          </w:tcPr>
          <w:p w14:paraId="6F758889"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Agro ecology</w:t>
            </w:r>
          </w:p>
        </w:tc>
        <w:tc>
          <w:tcPr>
            <w:tcW w:w="1799" w:type="dxa"/>
            <w:gridSpan w:val="2"/>
            <w:tcBorders>
              <w:top w:val="single" w:sz="4" w:space="0" w:color="auto"/>
              <w:bottom w:val="single" w:sz="4" w:space="0" w:color="auto"/>
            </w:tcBorders>
            <w:vAlign w:val="bottom"/>
          </w:tcPr>
          <w:p w14:paraId="0B03E21D" w14:textId="77777777" w:rsidR="00D86D39" w:rsidRPr="00D86D39" w:rsidRDefault="00D86D39" w:rsidP="00A56CA9">
            <w:pPr>
              <w:jc w:val="center"/>
              <w:rPr>
                <w:rFonts w:ascii="Times New Roman" w:eastAsia="Arial" w:hAnsi="Times New Roman" w:cs="Times New Roman"/>
                <w:color w:val="000000" w:themeColor="text1"/>
                <w:w w:val="85"/>
                <w:sz w:val="24"/>
              </w:rPr>
            </w:pPr>
            <w:r w:rsidRPr="00D86D39">
              <w:rPr>
                <w:rFonts w:ascii="Times New Roman" w:eastAsia="Arial" w:hAnsi="Times New Roman" w:cs="Times New Roman"/>
                <w:color w:val="000000" w:themeColor="text1"/>
                <w:w w:val="85"/>
                <w:sz w:val="24"/>
              </w:rPr>
              <w:t>Livestock asset</w:t>
            </w:r>
          </w:p>
        </w:tc>
        <w:tc>
          <w:tcPr>
            <w:tcW w:w="2352" w:type="dxa"/>
            <w:gridSpan w:val="2"/>
            <w:tcBorders>
              <w:top w:val="single" w:sz="4" w:space="0" w:color="auto"/>
              <w:bottom w:val="single" w:sz="4" w:space="0" w:color="auto"/>
            </w:tcBorders>
            <w:vAlign w:val="bottom"/>
          </w:tcPr>
          <w:p w14:paraId="2F062D35" w14:textId="77777777" w:rsidR="00D86D39" w:rsidRPr="00D86D39" w:rsidRDefault="00D86D39" w:rsidP="00A56CA9">
            <w:pPr>
              <w:jc w:val="center"/>
              <w:rPr>
                <w:rFonts w:ascii="Times New Roman" w:eastAsia="Arial" w:hAnsi="Times New Roman" w:cs="Times New Roman"/>
                <w:color w:val="000000" w:themeColor="text1"/>
                <w:w w:val="88"/>
                <w:sz w:val="24"/>
              </w:rPr>
            </w:pPr>
            <w:r w:rsidRPr="00D86D39">
              <w:rPr>
                <w:rFonts w:ascii="Times New Roman" w:eastAsia="Arial" w:hAnsi="Times New Roman" w:cs="Times New Roman"/>
                <w:color w:val="000000" w:themeColor="text1"/>
                <w:w w:val="88"/>
                <w:sz w:val="24"/>
              </w:rPr>
              <w:t>Crop production asset</w:t>
            </w:r>
          </w:p>
        </w:tc>
        <w:tc>
          <w:tcPr>
            <w:tcW w:w="1966" w:type="dxa"/>
            <w:gridSpan w:val="2"/>
            <w:tcBorders>
              <w:top w:val="single" w:sz="4" w:space="0" w:color="auto"/>
              <w:bottom w:val="single" w:sz="4" w:space="0" w:color="auto"/>
            </w:tcBorders>
            <w:vAlign w:val="bottom"/>
          </w:tcPr>
          <w:p w14:paraId="1B010659" w14:textId="77777777" w:rsidR="00D86D39" w:rsidRPr="00D86D39" w:rsidRDefault="00D86D39" w:rsidP="00D86D39">
            <w:pPr>
              <w:rPr>
                <w:rFonts w:ascii="Times New Roman" w:eastAsia="Arial" w:hAnsi="Times New Roman" w:cs="Times New Roman"/>
                <w:color w:val="000000" w:themeColor="text1"/>
                <w:w w:val="86"/>
                <w:sz w:val="24"/>
              </w:rPr>
            </w:pPr>
            <w:r w:rsidRPr="00D86D39">
              <w:rPr>
                <w:rFonts w:ascii="Times New Roman" w:eastAsia="Arial" w:hAnsi="Times New Roman" w:cs="Times New Roman"/>
                <w:color w:val="000000" w:themeColor="text1"/>
                <w:w w:val="86"/>
                <w:sz w:val="24"/>
              </w:rPr>
              <w:t>Trees stand asset</w:t>
            </w:r>
          </w:p>
        </w:tc>
        <w:tc>
          <w:tcPr>
            <w:tcW w:w="2125" w:type="dxa"/>
            <w:gridSpan w:val="2"/>
            <w:tcBorders>
              <w:top w:val="single" w:sz="4" w:space="0" w:color="auto"/>
              <w:bottom w:val="single" w:sz="4" w:space="0" w:color="auto"/>
            </w:tcBorders>
            <w:vAlign w:val="bottom"/>
          </w:tcPr>
          <w:p w14:paraId="115D51BC" w14:textId="77777777" w:rsidR="00D86D39" w:rsidRPr="00D86D39" w:rsidRDefault="00D86D39" w:rsidP="00A56CA9">
            <w:pPr>
              <w:ind w:left="340"/>
              <w:jc w:val="center"/>
              <w:rPr>
                <w:rFonts w:ascii="Times New Roman" w:eastAsia="Arial" w:hAnsi="Times New Roman" w:cs="Times New Roman"/>
                <w:color w:val="000000" w:themeColor="text1"/>
                <w:w w:val="90"/>
                <w:sz w:val="24"/>
              </w:rPr>
            </w:pPr>
            <w:r w:rsidRPr="00D86D39">
              <w:rPr>
                <w:rFonts w:ascii="Times New Roman" w:eastAsia="Arial" w:hAnsi="Times New Roman" w:cs="Times New Roman"/>
                <w:color w:val="000000" w:themeColor="text1"/>
                <w:w w:val="90"/>
                <w:sz w:val="24"/>
              </w:rPr>
              <w:t>Total main livelihood asset</w:t>
            </w:r>
          </w:p>
        </w:tc>
      </w:tr>
      <w:tr w:rsidR="00D86D39" w:rsidRPr="00D86D39" w14:paraId="64FFB90B" w14:textId="77777777" w:rsidTr="00D86D39">
        <w:trPr>
          <w:trHeight w:val="82"/>
        </w:trPr>
        <w:tc>
          <w:tcPr>
            <w:tcW w:w="1210" w:type="dxa"/>
            <w:tcBorders>
              <w:top w:val="single" w:sz="4" w:space="0" w:color="auto"/>
            </w:tcBorders>
            <w:vAlign w:val="bottom"/>
          </w:tcPr>
          <w:p w14:paraId="03D54F93"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Highland</w:t>
            </w:r>
          </w:p>
        </w:tc>
        <w:tc>
          <w:tcPr>
            <w:tcW w:w="853" w:type="dxa"/>
            <w:tcBorders>
              <w:top w:val="single" w:sz="4" w:space="0" w:color="auto"/>
            </w:tcBorders>
            <w:vAlign w:val="bottom"/>
          </w:tcPr>
          <w:p w14:paraId="295A70CD"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284.80</w:t>
            </w:r>
          </w:p>
        </w:tc>
        <w:tc>
          <w:tcPr>
            <w:tcW w:w="945" w:type="dxa"/>
            <w:tcBorders>
              <w:top w:val="single" w:sz="4" w:space="0" w:color="auto"/>
            </w:tcBorders>
            <w:vAlign w:val="bottom"/>
          </w:tcPr>
          <w:p w14:paraId="0DA63D5F"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218.42</w:t>
            </w:r>
            <w:r w:rsidRPr="00D86D39">
              <w:rPr>
                <w:rFonts w:ascii="Times New Roman" w:eastAsia="Arial" w:hAnsi="Times New Roman" w:cs="Times New Roman"/>
                <w:color w:val="000000" w:themeColor="text1"/>
                <w:sz w:val="24"/>
                <w:vertAlign w:val="superscript"/>
              </w:rPr>
              <w:t>a</w:t>
            </w:r>
          </w:p>
        </w:tc>
        <w:tc>
          <w:tcPr>
            <w:tcW w:w="1140" w:type="dxa"/>
            <w:tcBorders>
              <w:top w:val="single" w:sz="4" w:space="0" w:color="auto"/>
            </w:tcBorders>
            <w:vAlign w:val="bottom"/>
          </w:tcPr>
          <w:p w14:paraId="3D8D1145"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238.39</w:t>
            </w:r>
          </w:p>
        </w:tc>
        <w:tc>
          <w:tcPr>
            <w:tcW w:w="1212" w:type="dxa"/>
            <w:tcBorders>
              <w:top w:val="single" w:sz="4" w:space="0" w:color="auto"/>
            </w:tcBorders>
            <w:vAlign w:val="bottom"/>
          </w:tcPr>
          <w:p w14:paraId="67DC60E7"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279.41</w:t>
            </w:r>
            <w:r w:rsidRPr="00D86D39">
              <w:rPr>
                <w:rFonts w:ascii="Times New Roman" w:eastAsia="Arial" w:hAnsi="Times New Roman" w:cs="Times New Roman"/>
                <w:color w:val="000000" w:themeColor="text1"/>
                <w:sz w:val="24"/>
                <w:vertAlign w:val="superscript"/>
              </w:rPr>
              <w:t>b</w:t>
            </w:r>
          </w:p>
        </w:tc>
        <w:tc>
          <w:tcPr>
            <w:tcW w:w="893" w:type="dxa"/>
            <w:tcBorders>
              <w:top w:val="single" w:sz="4" w:space="0" w:color="auto"/>
            </w:tcBorders>
            <w:vAlign w:val="bottom"/>
          </w:tcPr>
          <w:p w14:paraId="0C7E59C9" w14:textId="77777777" w:rsidR="00D86D39" w:rsidRPr="00D86D39" w:rsidRDefault="00D86D39" w:rsidP="00D86D3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283.15</w:t>
            </w:r>
          </w:p>
        </w:tc>
        <w:tc>
          <w:tcPr>
            <w:tcW w:w="1072" w:type="dxa"/>
            <w:tcBorders>
              <w:top w:val="single" w:sz="4" w:space="0" w:color="auto"/>
            </w:tcBorders>
            <w:vAlign w:val="bottom"/>
          </w:tcPr>
          <w:p w14:paraId="66471BA8" w14:textId="77777777" w:rsidR="00D86D39" w:rsidRPr="00D86D39" w:rsidRDefault="00D86D39" w:rsidP="00D86D39">
            <w:pPr>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409.66</w:t>
            </w:r>
            <w:r w:rsidRPr="00D86D39">
              <w:rPr>
                <w:rFonts w:ascii="Times New Roman" w:eastAsia="Arial" w:hAnsi="Times New Roman" w:cs="Times New Roman"/>
                <w:color w:val="000000" w:themeColor="text1"/>
                <w:sz w:val="24"/>
                <w:vertAlign w:val="superscript"/>
              </w:rPr>
              <w:t>c</w:t>
            </w:r>
          </w:p>
        </w:tc>
        <w:tc>
          <w:tcPr>
            <w:tcW w:w="1171" w:type="dxa"/>
            <w:tcBorders>
              <w:top w:val="single" w:sz="4" w:space="0" w:color="auto"/>
            </w:tcBorders>
            <w:vAlign w:val="bottom"/>
          </w:tcPr>
          <w:p w14:paraId="50FCD93E"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795.86</w:t>
            </w:r>
          </w:p>
        </w:tc>
        <w:tc>
          <w:tcPr>
            <w:tcW w:w="953" w:type="dxa"/>
            <w:tcBorders>
              <w:top w:val="single" w:sz="4" w:space="0" w:color="auto"/>
            </w:tcBorders>
            <w:vAlign w:val="bottom"/>
          </w:tcPr>
          <w:p w14:paraId="0F26F7DE"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691.47</w:t>
            </w:r>
            <w:r w:rsidRPr="00D86D39">
              <w:rPr>
                <w:rFonts w:ascii="Times New Roman" w:eastAsia="Arial" w:hAnsi="Times New Roman" w:cs="Times New Roman"/>
                <w:color w:val="000000" w:themeColor="text1"/>
                <w:sz w:val="24"/>
                <w:vertAlign w:val="superscript"/>
              </w:rPr>
              <w:t>b</w:t>
            </w:r>
          </w:p>
        </w:tc>
      </w:tr>
      <w:tr w:rsidR="00D86D39" w:rsidRPr="00D86D39" w14:paraId="5B0471D0" w14:textId="77777777" w:rsidTr="00D86D39">
        <w:trPr>
          <w:trHeight w:val="219"/>
        </w:trPr>
        <w:tc>
          <w:tcPr>
            <w:tcW w:w="1210" w:type="dxa"/>
            <w:vAlign w:val="bottom"/>
          </w:tcPr>
          <w:p w14:paraId="416ABA15"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Midland</w:t>
            </w:r>
          </w:p>
        </w:tc>
        <w:tc>
          <w:tcPr>
            <w:tcW w:w="853" w:type="dxa"/>
            <w:vAlign w:val="bottom"/>
          </w:tcPr>
          <w:p w14:paraId="36717E5D"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375.77</w:t>
            </w:r>
          </w:p>
        </w:tc>
        <w:tc>
          <w:tcPr>
            <w:tcW w:w="945" w:type="dxa"/>
            <w:vAlign w:val="bottom"/>
          </w:tcPr>
          <w:p w14:paraId="3B097B3F"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269.03</w:t>
            </w:r>
            <w:r w:rsidRPr="00D86D39">
              <w:rPr>
                <w:rFonts w:ascii="Times New Roman" w:eastAsia="Arial" w:hAnsi="Times New Roman" w:cs="Times New Roman"/>
                <w:color w:val="000000" w:themeColor="text1"/>
                <w:sz w:val="24"/>
                <w:vertAlign w:val="superscript"/>
              </w:rPr>
              <w:t>b</w:t>
            </w:r>
          </w:p>
        </w:tc>
        <w:tc>
          <w:tcPr>
            <w:tcW w:w="1140" w:type="dxa"/>
            <w:vAlign w:val="bottom"/>
          </w:tcPr>
          <w:p w14:paraId="75C9E1F8"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120.28</w:t>
            </w:r>
          </w:p>
        </w:tc>
        <w:tc>
          <w:tcPr>
            <w:tcW w:w="1212" w:type="dxa"/>
            <w:vAlign w:val="bottom"/>
          </w:tcPr>
          <w:p w14:paraId="5CEEEF3D"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156.78</w:t>
            </w:r>
            <w:r w:rsidRPr="00D86D39">
              <w:rPr>
                <w:rFonts w:ascii="Times New Roman" w:eastAsia="Arial" w:hAnsi="Times New Roman" w:cs="Times New Roman"/>
                <w:color w:val="000000" w:themeColor="text1"/>
                <w:sz w:val="24"/>
                <w:vertAlign w:val="superscript"/>
              </w:rPr>
              <w:t>a</w:t>
            </w:r>
          </w:p>
        </w:tc>
        <w:tc>
          <w:tcPr>
            <w:tcW w:w="893" w:type="dxa"/>
            <w:vAlign w:val="bottom"/>
          </w:tcPr>
          <w:p w14:paraId="555CD2A6"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55.51</w:t>
            </w:r>
          </w:p>
        </w:tc>
        <w:tc>
          <w:tcPr>
            <w:tcW w:w="1072" w:type="dxa"/>
            <w:vAlign w:val="bottom"/>
          </w:tcPr>
          <w:p w14:paraId="6509FBD3"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87.39</w:t>
            </w:r>
            <w:r w:rsidRPr="00D86D39">
              <w:rPr>
                <w:rFonts w:ascii="Times New Roman" w:eastAsia="Arial" w:hAnsi="Times New Roman" w:cs="Times New Roman"/>
                <w:color w:val="000000" w:themeColor="text1"/>
                <w:sz w:val="24"/>
                <w:vertAlign w:val="superscript"/>
              </w:rPr>
              <w:t>a</w:t>
            </w:r>
          </w:p>
        </w:tc>
        <w:tc>
          <w:tcPr>
            <w:tcW w:w="1171" w:type="dxa"/>
            <w:vAlign w:val="bottom"/>
          </w:tcPr>
          <w:p w14:paraId="4B0EBF78"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555.59</w:t>
            </w:r>
          </w:p>
        </w:tc>
        <w:tc>
          <w:tcPr>
            <w:tcW w:w="953" w:type="dxa"/>
            <w:vAlign w:val="bottom"/>
          </w:tcPr>
          <w:p w14:paraId="0FD43510"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380.09</w:t>
            </w:r>
            <w:r w:rsidRPr="00D86D39">
              <w:rPr>
                <w:rFonts w:ascii="Times New Roman" w:eastAsia="Arial" w:hAnsi="Times New Roman" w:cs="Times New Roman"/>
                <w:color w:val="000000" w:themeColor="text1"/>
                <w:sz w:val="24"/>
                <w:vertAlign w:val="superscript"/>
              </w:rPr>
              <w:t>a</w:t>
            </w:r>
          </w:p>
        </w:tc>
      </w:tr>
      <w:tr w:rsidR="00D86D39" w:rsidRPr="00D86D39" w14:paraId="20B869EA" w14:textId="77777777" w:rsidTr="00D86D39">
        <w:trPr>
          <w:trHeight w:val="247"/>
        </w:trPr>
        <w:tc>
          <w:tcPr>
            <w:tcW w:w="1210" w:type="dxa"/>
            <w:vAlign w:val="bottom"/>
          </w:tcPr>
          <w:p w14:paraId="548F31F2"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Lowland</w:t>
            </w:r>
          </w:p>
        </w:tc>
        <w:tc>
          <w:tcPr>
            <w:tcW w:w="853" w:type="dxa"/>
            <w:vAlign w:val="bottom"/>
          </w:tcPr>
          <w:p w14:paraId="147BF4A6"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444.21</w:t>
            </w:r>
          </w:p>
        </w:tc>
        <w:tc>
          <w:tcPr>
            <w:tcW w:w="945" w:type="dxa"/>
            <w:vAlign w:val="bottom"/>
          </w:tcPr>
          <w:p w14:paraId="72652EB6"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298.07</w:t>
            </w:r>
            <w:r w:rsidRPr="00D86D39">
              <w:rPr>
                <w:rFonts w:ascii="Times New Roman" w:eastAsia="Arial" w:hAnsi="Times New Roman" w:cs="Times New Roman"/>
                <w:color w:val="000000" w:themeColor="text1"/>
                <w:sz w:val="24"/>
                <w:vertAlign w:val="superscript"/>
              </w:rPr>
              <w:t>b</w:t>
            </w:r>
          </w:p>
        </w:tc>
        <w:tc>
          <w:tcPr>
            <w:tcW w:w="1140" w:type="dxa"/>
            <w:vAlign w:val="bottom"/>
          </w:tcPr>
          <w:p w14:paraId="2EBDF4FA"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207.19</w:t>
            </w:r>
          </w:p>
        </w:tc>
        <w:tc>
          <w:tcPr>
            <w:tcW w:w="1212" w:type="dxa"/>
            <w:vAlign w:val="bottom"/>
          </w:tcPr>
          <w:p w14:paraId="486BF436"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160.43</w:t>
            </w:r>
            <w:r w:rsidRPr="00D86D39">
              <w:rPr>
                <w:rFonts w:ascii="Times New Roman" w:eastAsia="Arial" w:hAnsi="Times New Roman" w:cs="Times New Roman"/>
                <w:color w:val="000000" w:themeColor="text1"/>
                <w:sz w:val="24"/>
                <w:vertAlign w:val="superscript"/>
              </w:rPr>
              <w:t>b</w:t>
            </w:r>
          </w:p>
        </w:tc>
        <w:tc>
          <w:tcPr>
            <w:tcW w:w="893" w:type="dxa"/>
            <w:vAlign w:val="bottom"/>
          </w:tcPr>
          <w:p w14:paraId="708489D7"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73.99</w:t>
            </w:r>
          </w:p>
        </w:tc>
        <w:tc>
          <w:tcPr>
            <w:tcW w:w="1072" w:type="dxa"/>
            <w:vAlign w:val="bottom"/>
          </w:tcPr>
          <w:p w14:paraId="27A8EF39"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72.16</w:t>
            </w:r>
            <w:r w:rsidRPr="00D86D39">
              <w:rPr>
                <w:rFonts w:ascii="Times New Roman" w:eastAsia="Arial" w:hAnsi="Times New Roman" w:cs="Times New Roman"/>
                <w:color w:val="000000" w:themeColor="text1"/>
                <w:sz w:val="24"/>
                <w:vertAlign w:val="superscript"/>
              </w:rPr>
              <w:t>b</w:t>
            </w:r>
          </w:p>
        </w:tc>
        <w:tc>
          <w:tcPr>
            <w:tcW w:w="1171" w:type="dxa"/>
            <w:vAlign w:val="bottom"/>
          </w:tcPr>
          <w:p w14:paraId="16EE29C3"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717.77</w:t>
            </w:r>
          </w:p>
        </w:tc>
        <w:tc>
          <w:tcPr>
            <w:tcW w:w="953" w:type="dxa"/>
            <w:vAlign w:val="bottom"/>
          </w:tcPr>
          <w:p w14:paraId="49C4DF54"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428.92</w:t>
            </w:r>
            <w:r w:rsidRPr="00D86D39">
              <w:rPr>
                <w:rFonts w:ascii="Times New Roman" w:eastAsia="Arial" w:hAnsi="Times New Roman" w:cs="Times New Roman"/>
                <w:color w:val="000000" w:themeColor="text1"/>
                <w:sz w:val="24"/>
                <w:vertAlign w:val="superscript"/>
              </w:rPr>
              <w:t>b</w:t>
            </w:r>
          </w:p>
        </w:tc>
      </w:tr>
      <w:tr w:rsidR="00D86D39" w:rsidRPr="00D86D39" w14:paraId="19A0A8AC" w14:textId="77777777" w:rsidTr="00D86D39">
        <w:trPr>
          <w:trHeight w:val="217"/>
        </w:trPr>
        <w:tc>
          <w:tcPr>
            <w:tcW w:w="1210" w:type="dxa"/>
            <w:tcBorders>
              <w:bottom w:val="single" w:sz="4" w:space="0" w:color="auto"/>
            </w:tcBorders>
            <w:vAlign w:val="bottom"/>
          </w:tcPr>
          <w:p w14:paraId="5DC40C06"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p-Value</w:t>
            </w:r>
          </w:p>
        </w:tc>
        <w:tc>
          <w:tcPr>
            <w:tcW w:w="1799" w:type="dxa"/>
            <w:gridSpan w:val="2"/>
            <w:tcBorders>
              <w:bottom w:val="single" w:sz="4" w:space="0" w:color="auto"/>
            </w:tcBorders>
            <w:vAlign w:val="bottom"/>
          </w:tcPr>
          <w:p w14:paraId="450E3019" w14:textId="77777777" w:rsidR="00D86D39" w:rsidRPr="00D86D39" w:rsidRDefault="00D86D39" w:rsidP="00A56CA9">
            <w:pPr>
              <w:ind w:right="72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0.003</w:t>
            </w:r>
          </w:p>
        </w:tc>
        <w:tc>
          <w:tcPr>
            <w:tcW w:w="2352" w:type="dxa"/>
            <w:gridSpan w:val="2"/>
            <w:tcBorders>
              <w:bottom w:val="single" w:sz="4" w:space="0" w:color="auto"/>
            </w:tcBorders>
            <w:vAlign w:val="bottom"/>
          </w:tcPr>
          <w:p w14:paraId="4C581AD4" w14:textId="77777777" w:rsidR="00D86D39" w:rsidRPr="00D86D39" w:rsidRDefault="00D86D39" w:rsidP="00A56CA9">
            <w:pPr>
              <w:ind w:right="88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0.000</w:t>
            </w:r>
          </w:p>
        </w:tc>
        <w:tc>
          <w:tcPr>
            <w:tcW w:w="1966" w:type="dxa"/>
            <w:gridSpan w:val="2"/>
            <w:tcBorders>
              <w:bottom w:val="single" w:sz="4" w:space="0" w:color="auto"/>
            </w:tcBorders>
            <w:vAlign w:val="bottom"/>
          </w:tcPr>
          <w:p w14:paraId="6B0A187F" w14:textId="77777777" w:rsidR="00D86D39" w:rsidRPr="00D86D39" w:rsidRDefault="00D86D39" w:rsidP="00A56CA9">
            <w:pPr>
              <w:ind w:right="74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0.000</w:t>
            </w:r>
          </w:p>
        </w:tc>
        <w:tc>
          <w:tcPr>
            <w:tcW w:w="2125" w:type="dxa"/>
            <w:gridSpan w:val="2"/>
            <w:tcBorders>
              <w:bottom w:val="single" w:sz="4" w:space="0" w:color="auto"/>
            </w:tcBorders>
            <w:vAlign w:val="bottom"/>
          </w:tcPr>
          <w:p w14:paraId="7D5AA609" w14:textId="77777777" w:rsidR="00D86D39" w:rsidRPr="00D86D39" w:rsidRDefault="00D86D39" w:rsidP="00A56CA9">
            <w:pPr>
              <w:ind w:right="60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0.033</w:t>
            </w:r>
          </w:p>
        </w:tc>
      </w:tr>
    </w:tbl>
    <w:p w14:paraId="43739CA2" w14:textId="77777777" w:rsidR="00D86D39" w:rsidRPr="00D86D39" w:rsidRDefault="00D86D39" w:rsidP="00D86D39">
      <w:pPr>
        <w:rPr>
          <w:rFonts w:ascii="Times New Roman" w:eastAsia="Arial" w:hAnsi="Times New Roman" w:cs="Times New Roman"/>
          <w:color w:val="000000" w:themeColor="text1"/>
        </w:rPr>
      </w:pPr>
      <w:r w:rsidRPr="00D86D39">
        <w:rPr>
          <w:rFonts w:ascii="Times New Roman" w:eastAsia="Arial" w:hAnsi="Times New Roman" w:cs="Times New Roman"/>
          <w:i/>
          <w:color w:val="000000" w:themeColor="text1"/>
        </w:rPr>
        <w:t>Similar letters indicate no significant difference and different letters indicate significant difference at p &lt; 0.05</w:t>
      </w:r>
      <w:r w:rsidRPr="00D86D39">
        <w:rPr>
          <w:rFonts w:ascii="Times New Roman" w:eastAsia="Arial" w:hAnsi="Times New Roman" w:cs="Times New Roman"/>
          <w:color w:val="000000" w:themeColor="text1"/>
        </w:rPr>
        <w:t>.</w:t>
      </w:r>
    </w:p>
    <w:p w14:paraId="454CDE00"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The low vulnerability of trees to climate shocks has led farmers to consider them a primary livelihood asset and a crucial source of income. Interviewees highlighted that trees on farmland serve as a key livelihood asset and an essential source of livestock feed during droughts. This support helped farmers minimize livestock losses due to climate shocks and enabled them to meet their household food demands.</w:t>
      </w:r>
    </w:p>
    <w:p w14:paraId="30ED7619"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Additionally, respondents noted that accumulating agroforestry tree assets during periods without climate challenges provided them with a more resilient asset base during climate shocks. This, in turn, enhanced their adaptive capacity, allowing them to better withstand and recover from adverse climatic conditions.</w:t>
      </w:r>
    </w:p>
    <w:p w14:paraId="20D87D98"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Agroforestry was also identified as one of the top three livelihood assets—after livestock and crops—contributing nearly 20% to total household asset value. Trees provided a stable income source less sensitive to climate shocks, confirming agroforestry as a ‘natural insurance mechanism’ stabilizing rural livelihoods.</w:t>
      </w:r>
    </w:p>
    <w:p w14:paraId="2C56E1E6" w14:textId="77777777" w:rsidR="007B66E3" w:rsidRPr="00D86D39" w:rsidRDefault="007B66E3" w:rsidP="007B66E3">
      <w:pPr>
        <w:spacing w:line="360" w:lineRule="auto"/>
        <w:jc w:val="both"/>
        <w:rPr>
          <w:rFonts w:ascii="Times New Roman" w:hAnsi="Times New Roman" w:cs="Times New Roman"/>
          <w:color w:val="000000" w:themeColor="text1"/>
          <w:sz w:val="24"/>
        </w:rPr>
      </w:pPr>
    </w:p>
    <w:p w14:paraId="1C24F871" w14:textId="77777777" w:rsidR="007B66E3" w:rsidRPr="00D86D39" w:rsidRDefault="007B66E3" w:rsidP="007B66E3">
      <w:pPr>
        <w:spacing w:line="360" w:lineRule="auto"/>
        <w:jc w:val="both"/>
        <w:rPr>
          <w:rFonts w:ascii="Times New Roman" w:hAnsi="Times New Roman" w:cs="Times New Roman"/>
          <w:color w:val="000000" w:themeColor="text1"/>
          <w:sz w:val="24"/>
        </w:rPr>
      </w:pPr>
    </w:p>
    <w:p w14:paraId="515BD041"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lastRenderedPageBreak/>
        <w:t>4. Conclusion and Recommendations</w:t>
      </w:r>
    </w:p>
    <w:p w14:paraId="78A80B47" w14:textId="27A5C11E" w:rsidR="005C0A86" w:rsidRPr="005C0A86" w:rsidRDefault="005C0A86" w:rsidP="005C0A86">
      <w:pPr>
        <w:spacing w:line="360" w:lineRule="auto"/>
        <w:jc w:val="both"/>
        <w:rPr>
          <w:rFonts w:ascii="Times New Roman" w:hAnsi="Times New Roman" w:cs="Times New Roman"/>
          <w:color w:val="000000" w:themeColor="text1"/>
          <w:sz w:val="24"/>
        </w:rPr>
      </w:pPr>
      <w:r w:rsidRPr="005C0A86">
        <w:rPr>
          <w:rFonts w:ascii="Times New Roman" w:hAnsi="Times New Roman" w:cs="Times New Roman"/>
          <w:color w:val="000000" w:themeColor="text1"/>
          <w:sz w:val="24"/>
        </w:rPr>
        <w:t>This study provides strong empirical evidence that indigenous Agroforestry systems play a central role in enhancing Climate Change Adaptation and livelihood resilience in northwestern Tigray, Ethiopia. The findings show that on-farm trees contribute substantially to rural livelihoods, accounting for approximately 34.35% of total household income and about 19.21% of total livelihood asset value, confirming their status as a key economic asset after livestock and crop production</w:t>
      </w:r>
      <w:r>
        <w:rPr>
          <w:rFonts w:ascii="Times New Roman" w:hAnsi="Times New Roman" w:cs="Times New Roman"/>
          <w:color w:val="000000" w:themeColor="text1"/>
          <w:sz w:val="24"/>
        </w:rPr>
        <w:t>.</w:t>
      </w:r>
    </w:p>
    <w:p w14:paraId="72D1E76C" w14:textId="56C0D9F6" w:rsidR="005C0A86" w:rsidRPr="005C0A86" w:rsidRDefault="005C0A86" w:rsidP="005C0A86">
      <w:pPr>
        <w:spacing w:line="360" w:lineRule="auto"/>
        <w:jc w:val="both"/>
        <w:rPr>
          <w:rFonts w:ascii="Times New Roman" w:hAnsi="Times New Roman" w:cs="Times New Roman"/>
          <w:color w:val="000000" w:themeColor="text1"/>
          <w:sz w:val="24"/>
        </w:rPr>
      </w:pPr>
      <w:r w:rsidRPr="005C0A86">
        <w:rPr>
          <w:rFonts w:ascii="Times New Roman" w:hAnsi="Times New Roman" w:cs="Times New Roman"/>
          <w:color w:val="000000" w:themeColor="text1"/>
          <w:sz w:val="24"/>
        </w:rPr>
        <w:t xml:space="preserve">Statistical results further demonstrate that tree abundance is significantly and positively associated with both crop income (r = 0.374, p &lt; 0.01) and total household income (r = 0.552, p &lt; 0.01), indicating that increased tree density directly enhances household economic performance. In addition, agroforestry ranked as the third most important adaptation strategy, and on-farm trees were consistently identified as a critical source of construction materials, fuelwood, and livestock feed, particularly during drought periods. ANOVA results also revealed significant differences in income and asset values across agro ecological zones (p &lt; 0.05), with the highest total household income </w:t>
      </w:r>
      <w:r>
        <w:rPr>
          <w:rFonts w:ascii="Times New Roman" w:hAnsi="Times New Roman" w:cs="Times New Roman"/>
          <w:color w:val="000000" w:themeColor="text1"/>
          <w:sz w:val="24"/>
        </w:rPr>
        <w:t>observed in the highland areas.</w:t>
      </w:r>
    </w:p>
    <w:p w14:paraId="6469330A" w14:textId="450F0133" w:rsidR="00263E5D" w:rsidRDefault="005C0A86" w:rsidP="005C0A86">
      <w:pPr>
        <w:spacing w:line="360" w:lineRule="auto"/>
        <w:jc w:val="both"/>
        <w:rPr>
          <w:rFonts w:ascii="Times New Roman" w:hAnsi="Times New Roman" w:cs="Times New Roman"/>
          <w:color w:val="000000" w:themeColor="text1"/>
          <w:sz w:val="24"/>
        </w:rPr>
      </w:pPr>
      <w:r w:rsidRPr="005C0A86">
        <w:rPr>
          <w:rFonts w:ascii="Times New Roman" w:hAnsi="Times New Roman" w:cs="Times New Roman"/>
          <w:color w:val="000000" w:themeColor="text1"/>
          <w:sz w:val="24"/>
        </w:rPr>
        <w:t>Overall, these results confirm that agroforestry functions as a “natural insurance mechanism” that stabilizes livelihoods under climate stress by simultaneously supporting income generation, resource provision, and production stability. Strengthening indigenous agroforestry systems through targeted extension services, improved tree management practices, and supportive policy frameworks is therefore essential for building resilient agricultural systems in Ethiopia’s dryland regions.</w:t>
      </w:r>
    </w:p>
    <w:p w14:paraId="674D3430" w14:textId="77777777" w:rsidR="003043D2" w:rsidRPr="003043D2" w:rsidRDefault="003043D2" w:rsidP="003043D2">
      <w:pPr>
        <w:spacing w:line="360" w:lineRule="auto"/>
        <w:jc w:val="both"/>
        <w:rPr>
          <w:rFonts w:ascii="Times New Roman" w:hAnsi="Times New Roman" w:cs="Times New Roman"/>
          <w:color w:val="000000" w:themeColor="text1"/>
          <w:sz w:val="24"/>
        </w:rPr>
      </w:pPr>
      <w:r w:rsidRPr="003043D2">
        <w:rPr>
          <w:rFonts w:ascii="Times New Roman" w:hAnsi="Times New Roman" w:cs="Times New Roman"/>
          <w:color w:val="000000" w:themeColor="text1"/>
          <w:sz w:val="24"/>
        </w:rPr>
        <w:t xml:space="preserve">Consent </w:t>
      </w:r>
    </w:p>
    <w:p w14:paraId="6BADCAE1" w14:textId="4D26FA6A" w:rsidR="00AB0F99" w:rsidRDefault="003043D2" w:rsidP="003043D2">
      <w:pPr>
        <w:spacing w:line="360" w:lineRule="auto"/>
        <w:jc w:val="both"/>
        <w:rPr>
          <w:rFonts w:ascii="Times New Roman" w:hAnsi="Times New Roman" w:cs="Times New Roman"/>
          <w:color w:val="000000" w:themeColor="text1"/>
          <w:sz w:val="24"/>
        </w:rPr>
      </w:pPr>
      <w:r w:rsidRPr="003043D2">
        <w:rPr>
          <w:rFonts w:ascii="Times New Roman" w:hAnsi="Times New Roman" w:cs="Times New Roman"/>
          <w:color w:val="000000" w:themeColor="text1"/>
          <w:sz w:val="24"/>
        </w:rPr>
        <w:t xml:space="preserve">As per international standards or university standards, </w:t>
      </w:r>
      <w:r w:rsidRPr="003043D2">
        <w:rPr>
          <w:rFonts w:ascii="Times New Roman" w:hAnsi="Times New Roman" w:cs="Times New Roman"/>
          <w:color w:val="000000" w:themeColor="text1"/>
          <w:sz w:val="24"/>
        </w:rPr>
        <w:t>respondents’</w:t>
      </w:r>
      <w:r>
        <w:rPr>
          <w:rFonts w:ascii="Times New Roman" w:hAnsi="Times New Roman" w:cs="Times New Roman"/>
          <w:color w:val="000000" w:themeColor="text1"/>
          <w:sz w:val="24"/>
        </w:rPr>
        <w:t xml:space="preserve"> </w:t>
      </w:r>
      <w:r w:rsidRPr="003043D2">
        <w:rPr>
          <w:rFonts w:ascii="Times New Roman" w:hAnsi="Times New Roman" w:cs="Times New Roman"/>
          <w:color w:val="000000" w:themeColor="text1"/>
          <w:sz w:val="24"/>
        </w:rPr>
        <w:t>written consent has been collected and preserved by the author(s).</w:t>
      </w:r>
      <w:bookmarkStart w:id="0" w:name="_GoBack"/>
      <w:bookmarkEnd w:id="0"/>
    </w:p>
    <w:p w14:paraId="579632C8" w14:textId="77777777" w:rsidR="008605C1" w:rsidRPr="005C0A86" w:rsidRDefault="008605C1" w:rsidP="008605C1">
      <w:pPr>
        <w:spacing w:before="100" w:beforeAutospacing="1" w:after="100" w:afterAutospacing="1" w:line="240" w:lineRule="auto"/>
        <w:jc w:val="both"/>
        <w:rPr>
          <w:rFonts w:ascii="Times New Roman" w:eastAsia="Times New Roman" w:hAnsi="Times New Roman" w:cs="Times New Roman"/>
          <w:sz w:val="24"/>
          <w:szCs w:val="24"/>
          <w:highlight w:val="yellow"/>
        </w:rPr>
      </w:pPr>
      <w:bookmarkStart w:id="1" w:name="_Hlk198031404"/>
      <w:r w:rsidRPr="008605C1">
        <w:rPr>
          <w:rFonts w:ascii="Times New Roman" w:eastAsia="Times New Roman" w:hAnsi="Times New Roman" w:cs="Times New Roman"/>
          <w:sz w:val="24"/>
          <w:szCs w:val="24"/>
          <w:highlight w:val="yellow"/>
        </w:rPr>
        <w:t>Declaration (Artificial Intelligence)</w:t>
      </w:r>
    </w:p>
    <w:p w14:paraId="1B229580" w14:textId="6AD8A3DF" w:rsidR="009055EE" w:rsidRPr="005C0A86" w:rsidRDefault="008605C1" w:rsidP="008605C1">
      <w:pPr>
        <w:spacing w:before="100" w:beforeAutospacing="1" w:after="100" w:afterAutospacing="1" w:line="240" w:lineRule="auto"/>
        <w:jc w:val="both"/>
        <w:rPr>
          <w:rFonts w:ascii="Arial" w:eastAsia="Calibri" w:hAnsi="Arial" w:cs="Arial"/>
          <w:highlight w:val="yellow"/>
          <w:lang w:val="en-GB"/>
        </w:rPr>
      </w:pPr>
      <w:r w:rsidRPr="008605C1">
        <w:rPr>
          <w:rFonts w:ascii="Times New Roman" w:eastAsia="Times New Roman" w:hAnsi="Times New Roman" w:cs="Times New Roman"/>
          <w:sz w:val="24"/>
          <w:szCs w:val="24"/>
          <w:highlight w:val="yellow"/>
        </w:rPr>
        <w:t xml:space="preserve"> I hereby declare that I have not used any artificial intelligence tools, including generative AI systems (such as ChatGPT, Copilot, or text-to-image generators), in the writing, editing, or preparation of this manuscript. </w:t>
      </w:r>
      <w:r w:rsidRPr="005C0A86">
        <w:rPr>
          <w:highlight w:val="yellow"/>
        </w:rPr>
        <w:t>All work has been carried out solely by me</w:t>
      </w:r>
      <w:r w:rsidR="005C0A86" w:rsidRPr="005C0A86">
        <w:rPr>
          <w:highlight w:val="yellow"/>
        </w:rPr>
        <w:t>.</w:t>
      </w:r>
    </w:p>
    <w:bookmarkEnd w:id="1"/>
    <w:p w14:paraId="44E00799" w14:textId="77777777" w:rsidR="00263E5D" w:rsidRPr="009055EE" w:rsidRDefault="00263E5D" w:rsidP="007B66E3">
      <w:pPr>
        <w:spacing w:line="360" w:lineRule="auto"/>
        <w:jc w:val="both"/>
        <w:rPr>
          <w:rFonts w:ascii="Times New Roman" w:hAnsi="Times New Roman" w:cs="Times New Roman"/>
          <w:color w:val="000000" w:themeColor="text1"/>
          <w:sz w:val="24"/>
          <w:lang w:val="en-GB"/>
        </w:rPr>
      </w:pPr>
    </w:p>
    <w:p w14:paraId="61903F50" w14:textId="1029CA11" w:rsidR="00263E5D" w:rsidRDefault="0062765D" w:rsidP="00263E5D">
      <w:pPr>
        <w:pStyle w:val="Heading1"/>
        <w:rPr>
          <w:color w:val="000000" w:themeColor="text1"/>
        </w:rPr>
      </w:pPr>
      <w:r>
        <w:rPr>
          <w:color w:val="000000" w:themeColor="text1"/>
        </w:rPr>
        <w:t>6</w:t>
      </w:r>
      <w:r w:rsidR="00263E5D" w:rsidRPr="00263E5D">
        <w:rPr>
          <w:color w:val="000000" w:themeColor="text1"/>
        </w:rPr>
        <w:t xml:space="preserve">. References </w:t>
      </w:r>
    </w:p>
    <w:p w14:paraId="426A7A14" w14:textId="3177A322"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Ajayi, O. C., Place, F., Akinnifesi, F. K., &amp; Sileshi, G. W. (2016). Agricultural success from Africa’s drylands: The role of agroforestry in improving livelihoods and resilience. Ag</w:t>
      </w:r>
      <w:r>
        <w:rPr>
          <w:rFonts w:ascii="Times New Roman" w:eastAsia="Times New Roman" w:hAnsi="Times New Roman" w:cs="Times New Roman"/>
          <w:bCs/>
          <w:color w:val="000000" w:themeColor="text1"/>
          <w:sz w:val="24"/>
          <w:szCs w:val="24"/>
        </w:rPr>
        <w:t>ricultural Systems, 146, 11–22.</w:t>
      </w:r>
    </w:p>
    <w:p w14:paraId="0F759659" w14:textId="5F35EC37"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Alemu, B. (2016). The role of agroforestry practices in improving rural livelihoods in Ethiopia</w:t>
      </w:r>
      <w:r>
        <w:rPr>
          <w:rFonts w:ascii="Times New Roman" w:eastAsia="Times New Roman" w:hAnsi="Times New Roman" w:cs="Times New Roman"/>
          <w:bCs/>
          <w:color w:val="000000" w:themeColor="text1"/>
          <w:sz w:val="24"/>
          <w:szCs w:val="24"/>
        </w:rPr>
        <w:t>. Addis Ababa University Press.</w:t>
      </w:r>
    </w:p>
    <w:p w14:paraId="30BF8293" w14:textId="3BD142EC"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Bekele, M. (2019). Agroforestry practices and their contribution to household income in rural Ethiopia. Journal of Environm</w:t>
      </w:r>
      <w:r>
        <w:rPr>
          <w:rFonts w:ascii="Times New Roman" w:eastAsia="Times New Roman" w:hAnsi="Times New Roman" w:cs="Times New Roman"/>
          <w:bCs/>
          <w:color w:val="000000" w:themeColor="text1"/>
          <w:sz w:val="24"/>
          <w:szCs w:val="24"/>
        </w:rPr>
        <w:t>ental Management, 244, 272–281.</w:t>
      </w:r>
    </w:p>
    <w:p w14:paraId="4B736BB6" w14:textId="5561F6E3"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Food and Agriculture Organization (FAO). (2006). World reference base for soil resources: A framework for international classification, correlatio</w:t>
      </w:r>
      <w:r>
        <w:rPr>
          <w:rFonts w:ascii="Times New Roman" w:eastAsia="Times New Roman" w:hAnsi="Times New Roman" w:cs="Times New Roman"/>
          <w:bCs/>
          <w:color w:val="000000" w:themeColor="text1"/>
          <w:sz w:val="24"/>
          <w:szCs w:val="24"/>
        </w:rPr>
        <w:t>n and communication. Rome: FAO.</w:t>
      </w:r>
    </w:p>
    <w:p w14:paraId="3863F300" w14:textId="5656511C"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Food and Agriculture Organization (FAO). (2013). Climate-smart agr</w:t>
      </w:r>
      <w:r>
        <w:rPr>
          <w:rFonts w:ascii="Times New Roman" w:eastAsia="Times New Roman" w:hAnsi="Times New Roman" w:cs="Times New Roman"/>
          <w:bCs/>
          <w:color w:val="000000" w:themeColor="text1"/>
          <w:sz w:val="24"/>
          <w:szCs w:val="24"/>
        </w:rPr>
        <w:t>iculture sourcebook. Rome: FAO.</w:t>
      </w:r>
    </w:p>
    <w:p w14:paraId="34EEA9C7" w14:textId="6DDAD441"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Garrity, D. P., Akinnifesi, F. K., Ajayi, O. C., Weldesemayat, S. G., Mowo, J. G., Kalinganire, A., Larwanou, M., &amp; Bayala, J. (2010). Evergreen agriculture: A robust approach to sustainable food security in Afr</w:t>
      </w:r>
      <w:r>
        <w:rPr>
          <w:rFonts w:ascii="Times New Roman" w:eastAsia="Times New Roman" w:hAnsi="Times New Roman" w:cs="Times New Roman"/>
          <w:bCs/>
          <w:color w:val="000000" w:themeColor="text1"/>
          <w:sz w:val="24"/>
          <w:szCs w:val="24"/>
        </w:rPr>
        <w:t>ica. Food Security, 2, 197–214.</w:t>
      </w:r>
    </w:p>
    <w:p w14:paraId="2836978B" w14:textId="4CDFCB89"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Intergovernmental Panel on Climate Change (IPCC). (2014). Climate change 2014: Impacts, adaptation, and vulnerabili</w:t>
      </w:r>
      <w:r>
        <w:rPr>
          <w:rFonts w:ascii="Times New Roman" w:eastAsia="Times New Roman" w:hAnsi="Times New Roman" w:cs="Times New Roman"/>
          <w:bCs/>
          <w:color w:val="000000" w:themeColor="text1"/>
          <w:sz w:val="24"/>
          <w:szCs w:val="24"/>
        </w:rPr>
        <w:t>ty. Cambridge University Press.</w:t>
      </w:r>
    </w:p>
    <w:p w14:paraId="7C28E073" w14:textId="755F4568"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Intergovernmental Panel on Climate Change (IPCC). (2021). Climate change 2021: Impacts, adaptation and vulnerabili</w:t>
      </w:r>
      <w:r>
        <w:rPr>
          <w:rFonts w:ascii="Times New Roman" w:eastAsia="Times New Roman" w:hAnsi="Times New Roman" w:cs="Times New Roman"/>
          <w:bCs/>
          <w:color w:val="000000" w:themeColor="text1"/>
          <w:sz w:val="24"/>
          <w:szCs w:val="24"/>
        </w:rPr>
        <w:t>ty. Cambridge University Press.</w:t>
      </w:r>
    </w:p>
    <w:p w14:paraId="3B67BDEE" w14:textId="2CDB1300"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 xml:space="preserve">Jose, S. (2009). Agroforestry for ecosystem services and environmental benefits: An overview. </w:t>
      </w:r>
      <w:r>
        <w:rPr>
          <w:rFonts w:ascii="Times New Roman" w:eastAsia="Times New Roman" w:hAnsi="Times New Roman" w:cs="Times New Roman"/>
          <w:bCs/>
          <w:color w:val="000000" w:themeColor="text1"/>
          <w:sz w:val="24"/>
          <w:szCs w:val="24"/>
        </w:rPr>
        <w:t>Agroforestry Systems, 76, 1–10.</w:t>
      </w:r>
    </w:p>
    <w:p w14:paraId="6E46C964" w14:textId="76FD41F5"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Kebede, B., &amp; Shumeta, Z. (2019). Contribution of agroforestry systems to livelihood improvement in Ethiopia. Forest</w:t>
      </w:r>
      <w:r>
        <w:rPr>
          <w:rFonts w:ascii="Times New Roman" w:eastAsia="Times New Roman" w:hAnsi="Times New Roman" w:cs="Times New Roman"/>
          <w:bCs/>
          <w:color w:val="000000" w:themeColor="text1"/>
          <w:sz w:val="24"/>
          <w:szCs w:val="24"/>
        </w:rPr>
        <w:t xml:space="preserve"> Policy and Economics, 98, 1–9.</w:t>
      </w:r>
    </w:p>
    <w:p w14:paraId="689E87BE" w14:textId="429641D4"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Lasco, R. D., Delfino, R. J. P., &amp; Catacutan, D. C. (2013). Agroforestry systems: Helping smallholders adapt to climate risks while mitigating climate change. Wiley Interdisciplinary Reviews:</w:t>
      </w:r>
      <w:r>
        <w:rPr>
          <w:rFonts w:ascii="Times New Roman" w:eastAsia="Times New Roman" w:hAnsi="Times New Roman" w:cs="Times New Roman"/>
          <w:bCs/>
          <w:color w:val="000000" w:themeColor="text1"/>
          <w:sz w:val="24"/>
          <w:szCs w:val="24"/>
        </w:rPr>
        <w:t xml:space="preserve"> Climate Change, 5(6), 825–833.</w:t>
      </w:r>
    </w:p>
    <w:p w14:paraId="24CA76AA" w14:textId="77777777"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Linger, E. (2014). Agroforestry practices and socio-economic roles of Cordia africana in Ethiopia. Journal of Agriculture and Rural Development in the Tropics and Subtropics, 115(1), 11–17.</w:t>
      </w:r>
    </w:p>
    <w:p w14:paraId="06372E27" w14:textId="77777777"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p>
    <w:p w14:paraId="24486C09" w14:textId="4E151A82"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Mbow, C., Smith, P., Skole, D., Duguma, L., &amp; Bustamante, M. (2014). Achieving mitigation and adaptation to climate change through sustainable agroforestry practices in Africa. Current Opinion in Environmental Sustainabi</w:t>
      </w:r>
      <w:r>
        <w:rPr>
          <w:rFonts w:ascii="Times New Roman" w:eastAsia="Times New Roman" w:hAnsi="Times New Roman" w:cs="Times New Roman"/>
          <w:bCs/>
          <w:color w:val="000000" w:themeColor="text1"/>
          <w:sz w:val="24"/>
          <w:szCs w:val="24"/>
        </w:rPr>
        <w:t>lity, 6, 8–14.</w:t>
      </w:r>
    </w:p>
    <w:p w14:paraId="0F11A8A3" w14:textId="0A6671E7"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Mekonnen, M., Alemu, T., &amp; Belay, K. (2018). Climate variability and drought impacts on rural livelihoods in Ethiopia. Climat</w:t>
      </w:r>
      <w:r>
        <w:rPr>
          <w:rFonts w:ascii="Times New Roman" w:eastAsia="Times New Roman" w:hAnsi="Times New Roman" w:cs="Times New Roman"/>
          <w:bCs/>
          <w:color w:val="000000" w:themeColor="text1"/>
          <w:sz w:val="24"/>
          <w:szCs w:val="24"/>
        </w:rPr>
        <w:t>e and Development, 10(5), 1–12.</w:t>
      </w:r>
    </w:p>
    <w:p w14:paraId="3245A915" w14:textId="3B0DBD61"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Montagnini, F., &amp; Nair, P. K. R. (2004). Carbon sequestration: An underexploited environmental benefit of agroforestry systems. Agr</w:t>
      </w:r>
      <w:r>
        <w:rPr>
          <w:rFonts w:ascii="Times New Roman" w:eastAsia="Times New Roman" w:hAnsi="Times New Roman" w:cs="Times New Roman"/>
          <w:bCs/>
          <w:color w:val="000000" w:themeColor="text1"/>
          <w:sz w:val="24"/>
          <w:szCs w:val="24"/>
        </w:rPr>
        <w:t>oforestry Systems, 61, 281–295.</w:t>
      </w:r>
    </w:p>
    <w:p w14:paraId="4D19C2F2" w14:textId="0A8E46DD"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Nair, P. K. R. (2011). Agroforestry systems and environm</w:t>
      </w:r>
      <w:r>
        <w:rPr>
          <w:rFonts w:ascii="Times New Roman" w:eastAsia="Times New Roman" w:hAnsi="Times New Roman" w:cs="Times New Roman"/>
          <w:bCs/>
          <w:color w:val="000000" w:themeColor="text1"/>
          <w:sz w:val="24"/>
          <w:szCs w:val="24"/>
        </w:rPr>
        <w:t>ental sustainability. Springer.</w:t>
      </w:r>
    </w:p>
    <w:p w14:paraId="13F8DF50" w14:textId="54DED185"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 xml:space="preserve">Negash, M. (2013). Tree-based farming systems in Ethiopia: A review. </w:t>
      </w:r>
      <w:r>
        <w:rPr>
          <w:rFonts w:ascii="Times New Roman" w:eastAsia="Times New Roman" w:hAnsi="Times New Roman" w:cs="Times New Roman"/>
          <w:bCs/>
          <w:color w:val="000000" w:themeColor="text1"/>
          <w:sz w:val="24"/>
          <w:szCs w:val="24"/>
        </w:rPr>
        <w:t>Agroforestry Systems, 87, 1–15.</w:t>
      </w:r>
    </w:p>
    <w:p w14:paraId="6846922F" w14:textId="67BF1C1F"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Teketay, D., &amp; Tegineh, T. (1991). Traditional tree crop production practices in Ethiopia. A</w:t>
      </w:r>
      <w:r>
        <w:rPr>
          <w:rFonts w:ascii="Times New Roman" w:eastAsia="Times New Roman" w:hAnsi="Times New Roman" w:cs="Times New Roman"/>
          <w:bCs/>
          <w:color w:val="000000" w:themeColor="text1"/>
          <w:sz w:val="24"/>
          <w:szCs w:val="24"/>
        </w:rPr>
        <w:t>groforestry Systems, 14, 71–83.</w:t>
      </w:r>
    </w:p>
    <w:p w14:paraId="4EFDFB74" w14:textId="7CBF2D6F" w:rsidR="001553D9" w:rsidRPr="001553D9" w:rsidRDefault="001553D9" w:rsidP="001553D9">
      <w:pPr>
        <w:spacing w:before="100" w:beforeAutospacing="1" w:after="100" w:afterAutospacing="1" w:line="240" w:lineRule="auto"/>
        <w:ind w:left="180" w:hanging="180"/>
        <w:rPr>
          <w:rFonts w:ascii="Times New Roman" w:eastAsia="Times New Roman" w:hAnsi="Times New Roman" w:cs="Times New Roman"/>
          <w:bCs/>
          <w:color w:val="000000" w:themeColor="text1"/>
          <w:sz w:val="24"/>
          <w:szCs w:val="24"/>
        </w:rPr>
      </w:pPr>
      <w:r w:rsidRPr="001553D9">
        <w:rPr>
          <w:rFonts w:ascii="Times New Roman" w:eastAsia="Times New Roman" w:hAnsi="Times New Roman" w:cs="Times New Roman"/>
          <w:bCs/>
          <w:color w:val="000000" w:themeColor="text1"/>
          <w:sz w:val="24"/>
          <w:szCs w:val="24"/>
        </w:rPr>
        <w:t xml:space="preserve">Verchot, L. V., </w:t>
      </w:r>
      <w:proofErr w:type="spellStart"/>
      <w:r w:rsidRPr="001553D9">
        <w:rPr>
          <w:rFonts w:ascii="Times New Roman" w:eastAsia="Times New Roman" w:hAnsi="Times New Roman" w:cs="Times New Roman"/>
          <w:bCs/>
          <w:color w:val="000000" w:themeColor="text1"/>
          <w:sz w:val="24"/>
          <w:szCs w:val="24"/>
        </w:rPr>
        <w:t>Noordwijk</w:t>
      </w:r>
      <w:proofErr w:type="spellEnd"/>
      <w:r w:rsidRPr="001553D9">
        <w:rPr>
          <w:rFonts w:ascii="Times New Roman" w:eastAsia="Times New Roman" w:hAnsi="Times New Roman" w:cs="Times New Roman"/>
          <w:bCs/>
          <w:color w:val="000000" w:themeColor="text1"/>
          <w:sz w:val="24"/>
          <w:szCs w:val="24"/>
        </w:rPr>
        <w:t xml:space="preserve">, M., </w:t>
      </w:r>
      <w:proofErr w:type="spellStart"/>
      <w:r w:rsidRPr="001553D9">
        <w:rPr>
          <w:rFonts w:ascii="Times New Roman" w:eastAsia="Times New Roman" w:hAnsi="Times New Roman" w:cs="Times New Roman"/>
          <w:bCs/>
          <w:color w:val="000000" w:themeColor="text1"/>
          <w:sz w:val="24"/>
          <w:szCs w:val="24"/>
        </w:rPr>
        <w:t>Kandji</w:t>
      </w:r>
      <w:proofErr w:type="spellEnd"/>
      <w:r w:rsidRPr="001553D9">
        <w:rPr>
          <w:rFonts w:ascii="Times New Roman" w:eastAsia="Times New Roman" w:hAnsi="Times New Roman" w:cs="Times New Roman"/>
          <w:bCs/>
          <w:color w:val="000000" w:themeColor="text1"/>
          <w:sz w:val="24"/>
          <w:szCs w:val="24"/>
        </w:rPr>
        <w:t xml:space="preserve">, S., </w:t>
      </w:r>
      <w:proofErr w:type="spellStart"/>
      <w:r w:rsidRPr="001553D9">
        <w:rPr>
          <w:rFonts w:ascii="Times New Roman" w:eastAsia="Times New Roman" w:hAnsi="Times New Roman" w:cs="Times New Roman"/>
          <w:bCs/>
          <w:color w:val="000000" w:themeColor="text1"/>
          <w:sz w:val="24"/>
          <w:szCs w:val="24"/>
        </w:rPr>
        <w:t>Tomich</w:t>
      </w:r>
      <w:proofErr w:type="spellEnd"/>
      <w:r w:rsidRPr="001553D9">
        <w:rPr>
          <w:rFonts w:ascii="Times New Roman" w:eastAsia="Times New Roman" w:hAnsi="Times New Roman" w:cs="Times New Roman"/>
          <w:bCs/>
          <w:color w:val="000000" w:themeColor="text1"/>
          <w:sz w:val="24"/>
          <w:szCs w:val="24"/>
        </w:rPr>
        <w:t xml:space="preserve">, T., Ong, C., Albrecht, A., ... Palm, C. (2007). Climate change: Linking adaptation and mitigation through agroforestry. Mitigation and Adaptation Strategies </w:t>
      </w:r>
      <w:r>
        <w:rPr>
          <w:rFonts w:ascii="Times New Roman" w:eastAsia="Times New Roman" w:hAnsi="Times New Roman" w:cs="Times New Roman"/>
          <w:bCs/>
          <w:color w:val="000000" w:themeColor="text1"/>
          <w:sz w:val="24"/>
          <w:szCs w:val="24"/>
        </w:rPr>
        <w:t>for Global Change, 12, 901–918.</w:t>
      </w:r>
    </w:p>
    <w:p w14:paraId="3DBA3A10" w14:textId="00A45FE5" w:rsidR="00CB03E0" w:rsidRDefault="001553D9" w:rsidP="001553D9">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1553D9">
        <w:rPr>
          <w:rFonts w:ascii="Times New Roman" w:eastAsia="Times New Roman" w:hAnsi="Times New Roman" w:cs="Times New Roman"/>
          <w:bCs/>
          <w:color w:val="000000" w:themeColor="text1"/>
          <w:sz w:val="24"/>
          <w:szCs w:val="24"/>
        </w:rPr>
        <w:t>Yamane, T. (1967). Statistics: An introductory analysis (2nd ed.). New York: Harper and Row.</w:t>
      </w:r>
    </w:p>
    <w:p w14:paraId="2C524FEE" w14:textId="77777777" w:rsidR="00CB03E0" w:rsidRDefault="00CB03E0"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p>
    <w:p w14:paraId="1B67018C" w14:textId="77777777" w:rsidR="00263E5D" w:rsidRPr="00263E5D" w:rsidRDefault="00263E5D" w:rsidP="00263E5D">
      <w:pPr>
        <w:rPr>
          <w:color w:val="000000" w:themeColor="text1"/>
        </w:rPr>
      </w:pPr>
    </w:p>
    <w:sectPr w:rsidR="00263E5D" w:rsidRPr="00263E5D"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A6FE" w14:textId="77777777" w:rsidR="00702F72" w:rsidRDefault="00702F72" w:rsidP="00FD627D">
      <w:pPr>
        <w:spacing w:after="0" w:line="240" w:lineRule="auto"/>
      </w:pPr>
      <w:r>
        <w:separator/>
      </w:r>
    </w:p>
  </w:endnote>
  <w:endnote w:type="continuationSeparator" w:id="0">
    <w:p w14:paraId="24BCE9D7" w14:textId="77777777" w:rsidR="00702F72" w:rsidRDefault="00702F72" w:rsidP="00FD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DECC" w14:textId="77777777" w:rsidR="00FD627D" w:rsidRDefault="00FD6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776F" w14:textId="77777777" w:rsidR="00FD627D" w:rsidRDefault="00FD6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C173" w14:textId="77777777" w:rsidR="00FD627D" w:rsidRDefault="00FD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D8166" w14:textId="77777777" w:rsidR="00702F72" w:rsidRDefault="00702F72" w:rsidP="00FD627D">
      <w:pPr>
        <w:spacing w:after="0" w:line="240" w:lineRule="auto"/>
      </w:pPr>
      <w:r>
        <w:separator/>
      </w:r>
    </w:p>
  </w:footnote>
  <w:footnote w:type="continuationSeparator" w:id="0">
    <w:p w14:paraId="16370C85" w14:textId="77777777" w:rsidR="00702F72" w:rsidRDefault="00702F72" w:rsidP="00FD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F533" w14:textId="756B4248" w:rsidR="00FD627D" w:rsidRDefault="00702F72">
    <w:pPr>
      <w:pStyle w:val="Header"/>
    </w:pPr>
    <w:r>
      <w:rPr>
        <w:noProof/>
      </w:rPr>
      <w:pict w14:anchorId="630C9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5289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7DF3" w14:textId="4524FC36" w:rsidR="00FD627D" w:rsidRDefault="00702F72">
    <w:pPr>
      <w:pStyle w:val="Header"/>
    </w:pPr>
    <w:r>
      <w:rPr>
        <w:noProof/>
      </w:rPr>
      <w:pict w14:anchorId="6BA8C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5289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56A3" w14:textId="19D2D184" w:rsidR="00FD627D" w:rsidRDefault="00702F72">
    <w:pPr>
      <w:pStyle w:val="Header"/>
    </w:pPr>
    <w:r>
      <w:rPr>
        <w:noProof/>
      </w:rPr>
      <w:pict w14:anchorId="46A74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5289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3B3064"/>
    <w:multiLevelType w:val="multilevel"/>
    <w:tmpl w:val="55C0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5308A"/>
    <w:multiLevelType w:val="multilevel"/>
    <w:tmpl w:val="A416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306AD"/>
    <w:multiLevelType w:val="multilevel"/>
    <w:tmpl w:val="A71C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A714D"/>
    <w:multiLevelType w:val="hybridMultilevel"/>
    <w:tmpl w:val="DBD2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E52B6"/>
    <w:multiLevelType w:val="multilevel"/>
    <w:tmpl w:val="925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D71F9"/>
    <w:multiLevelType w:val="multilevel"/>
    <w:tmpl w:val="385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1"/>
  </w:num>
  <w:num w:numId="12">
    <w:abstractNumId w:val="10"/>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MjUyNjUyNzc2NTRT0lEKTi0uzszPAykwrAUA8dkMYywAAAA="/>
  </w:docVars>
  <w:rsids>
    <w:rsidRoot w:val="00B47730"/>
    <w:rsid w:val="00034616"/>
    <w:rsid w:val="000544E5"/>
    <w:rsid w:val="0006063C"/>
    <w:rsid w:val="0015074B"/>
    <w:rsid w:val="001553D9"/>
    <w:rsid w:val="00217C49"/>
    <w:rsid w:val="00263E5D"/>
    <w:rsid w:val="0028701F"/>
    <w:rsid w:val="0029639D"/>
    <w:rsid w:val="003043D2"/>
    <w:rsid w:val="00326F90"/>
    <w:rsid w:val="00351F57"/>
    <w:rsid w:val="003C17D2"/>
    <w:rsid w:val="003D2B21"/>
    <w:rsid w:val="00423A30"/>
    <w:rsid w:val="0049795A"/>
    <w:rsid w:val="005C0A86"/>
    <w:rsid w:val="0062765D"/>
    <w:rsid w:val="0066129D"/>
    <w:rsid w:val="006F2CEC"/>
    <w:rsid w:val="00702F72"/>
    <w:rsid w:val="007578FF"/>
    <w:rsid w:val="0077187E"/>
    <w:rsid w:val="007B533E"/>
    <w:rsid w:val="007B66E3"/>
    <w:rsid w:val="008605C1"/>
    <w:rsid w:val="008B647D"/>
    <w:rsid w:val="008F2CC4"/>
    <w:rsid w:val="009055EE"/>
    <w:rsid w:val="00A57F1B"/>
    <w:rsid w:val="00AA1D8D"/>
    <w:rsid w:val="00AB0F99"/>
    <w:rsid w:val="00B0509C"/>
    <w:rsid w:val="00B47730"/>
    <w:rsid w:val="00BB418C"/>
    <w:rsid w:val="00C3314A"/>
    <w:rsid w:val="00C67806"/>
    <w:rsid w:val="00C848AD"/>
    <w:rsid w:val="00CB03E0"/>
    <w:rsid w:val="00CB0664"/>
    <w:rsid w:val="00D86D39"/>
    <w:rsid w:val="00E35A88"/>
    <w:rsid w:val="00EB6F60"/>
    <w:rsid w:val="00FC693F"/>
    <w:rsid w:val="00FD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985C9FB"/>
  <w14:defaultImageDpi w14:val="300"/>
  <w15:docId w15:val="{4DD5B775-E72B-4740-8ED4-9252BAC0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66E3"/>
    <w:rPr>
      <w:color w:val="0000FF" w:themeColor="hyperlink"/>
      <w:u w:val="single"/>
    </w:rPr>
  </w:style>
  <w:style w:type="paragraph" w:styleId="NormalWeb">
    <w:name w:val="Normal (Web)"/>
    <w:basedOn w:val="Normal"/>
    <w:uiPriority w:val="99"/>
    <w:unhideWhenUsed/>
    <w:rsid w:val="007B6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49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12664">
      <w:bodyDiv w:val="1"/>
      <w:marLeft w:val="0"/>
      <w:marRight w:val="0"/>
      <w:marTop w:val="0"/>
      <w:marBottom w:val="0"/>
      <w:divBdr>
        <w:top w:val="none" w:sz="0" w:space="0" w:color="auto"/>
        <w:left w:val="none" w:sz="0" w:space="0" w:color="auto"/>
        <w:bottom w:val="none" w:sz="0" w:space="0" w:color="auto"/>
        <w:right w:val="none" w:sz="0" w:space="0" w:color="auto"/>
      </w:divBdr>
    </w:div>
    <w:div w:id="490411046">
      <w:bodyDiv w:val="1"/>
      <w:marLeft w:val="0"/>
      <w:marRight w:val="0"/>
      <w:marTop w:val="0"/>
      <w:marBottom w:val="0"/>
      <w:divBdr>
        <w:top w:val="none" w:sz="0" w:space="0" w:color="auto"/>
        <w:left w:val="none" w:sz="0" w:space="0" w:color="auto"/>
        <w:bottom w:val="none" w:sz="0" w:space="0" w:color="auto"/>
        <w:right w:val="none" w:sz="0" w:space="0" w:color="auto"/>
      </w:divBdr>
    </w:div>
    <w:div w:id="571040847">
      <w:bodyDiv w:val="1"/>
      <w:marLeft w:val="0"/>
      <w:marRight w:val="0"/>
      <w:marTop w:val="0"/>
      <w:marBottom w:val="0"/>
      <w:divBdr>
        <w:top w:val="none" w:sz="0" w:space="0" w:color="auto"/>
        <w:left w:val="none" w:sz="0" w:space="0" w:color="auto"/>
        <w:bottom w:val="none" w:sz="0" w:space="0" w:color="auto"/>
        <w:right w:val="none" w:sz="0" w:space="0" w:color="auto"/>
      </w:divBdr>
    </w:div>
    <w:div w:id="624190757">
      <w:bodyDiv w:val="1"/>
      <w:marLeft w:val="0"/>
      <w:marRight w:val="0"/>
      <w:marTop w:val="0"/>
      <w:marBottom w:val="0"/>
      <w:divBdr>
        <w:top w:val="none" w:sz="0" w:space="0" w:color="auto"/>
        <w:left w:val="none" w:sz="0" w:space="0" w:color="auto"/>
        <w:bottom w:val="none" w:sz="0" w:space="0" w:color="auto"/>
        <w:right w:val="none" w:sz="0" w:space="0" w:color="auto"/>
      </w:divBdr>
    </w:div>
    <w:div w:id="809858452">
      <w:bodyDiv w:val="1"/>
      <w:marLeft w:val="0"/>
      <w:marRight w:val="0"/>
      <w:marTop w:val="0"/>
      <w:marBottom w:val="0"/>
      <w:divBdr>
        <w:top w:val="none" w:sz="0" w:space="0" w:color="auto"/>
        <w:left w:val="none" w:sz="0" w:space="0" w:color="auto"/>
        <w:bottom w:val="none" w:sz="0" w:space="0" w:color="auto"/>
        <w:right w:val="none" w:sz="0" w:space="0" w:color="auto"/>
      </w:divBdr>
    </w:div>
    <w:div w:id="846289910">
      <w:bodyDiv w:val="1"/>
      <w:marLeft w:val="0"/>
      <w:marRight w:val="0"/>
      <w:marTop w:val="0"/>
      <w:marBottom w:val="0"/>
      <w:divBdr>
        <w:top w:val="none" w:sz="0" w:space="0" w:color="auto"/>
        <w:left w:val="none" w:sz="0" w:space="0" w:color="auto"/>
        <w:bottom w:val="none" w:sz="0" w:space="0" w:color="auto"/>
        <w:right w:val="none" w:sz="0" w:space="0" w:color="auto"/>
      </w:divBdr>
    </w:div>
    <w:div w:id="1721173080">
      <w:bodyDiv w:val="1"/>
      <w:marLeft w:val="0"/>
      <w:marRight w:val="0"/>
      <w:marTop w:val="0"/>
      <w:marBottom w:val="0"/>
      <w:divBdr>
        <w:top w:val="none" w:sz="0" w:space="0" w:color="auto"/>
        <w:left w:val="none" w:sz="0" w:space="0" w:color="auto"/>
        <w:bottom w:val="none" w:sz="0" w:space="0" w:color="auto"/>
        <w:right w:val="none" w:sz="0" w:space="0" w:color="auto"/>
      </w:divBdr>
    </w:div>
    <w:div w:id="185310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AAC3B-5833-46ED-85B1-7DBD7EB6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1089</cp:lastModifiedBy>
  <cp:revision>34</cp:revision>
  <dcterms:created xsi:type="dcterms:W3CDTF">2013-12-23T23:15:00Z</dcterms:created>
  <dcterms:modified xsi:type="dcterms:W3CDTF">2026-04-16T07:00:00Z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b65995b9-37b6-40a6-ba72-c06284dba273</vt:lpwstr>
  </property>
</Properties>
</file>