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0E3" w:rsidRDefault="00DB00E3" w:rsidP="00EA4D88">
      <w:pPr>
        <w:rPr>
          <w:b/>
          <w:sz w:val="48"/>
          <w:szCs w:val="48"/>
        </w:rPr>
      </w:pPr>
      <w:r>
        <w:rPr>
          <w:sz w:val="48"/>
          <w:szCs w:val="48"/>
        </w:rPr>
        <w:t>INFLUENCE OF PARENT MATERIAL ON SOIL PROPERTIES ALONG A TOPOSEQUENCE IN IRESA-APA, SOUTHERN GUINEA SAVANNA</w:t>
      </w:r>
    </w:p>
    <w:p w:rsidR="00DB00E3" w:rsidRDefault="00DB00E3" w:rsidP="00DB00E3">
      <w:pPr>
        <w:rPr>
          <w:b/>
          <w:sz w:val="24"/>
          <w:szCs w:val="24"/>
        </w:rPr>
      </w:pPr>
    </w:p>
    <w:p w:rsidR="00DB00E3" w:rsidRDefault="00DB00E3" w:rsidP="00DB00E3">
      <w:pPr>
        <w:rPr>
          <w:b/>
          <w:sz w:val="24"/>
          <w:szCs w:val="24"/>
        </w:rPr>
      </w:pPr>
    </w:p>
    <w:p w:rsidR="00DB00E3" w:rsidRDefault="00DB00E3" w:rsidP="00DB00E3">
      <w:pPr>
        <w:rPr>
          <w:b/>
          <w:sz w:val="24"/>
          <w:szCs w:val="24"/>
        </w:rPr>
      </w:pPr>
    </w:p>
    <w:p w:rsidR="00DB00E3" w:rsidRDefault="00DB00E3" w:rsidP="00DB00E3">
      <w:pPr>
        <w:rPr>
          <w:b/>
          <w:sz w:val="24"/>
          <w:szCs w:val="24"/>
        </w:rPr>
      </w:pPr>
      <w:r>
        <w:rPr>
          <w:b/>
          <w:sz w:val="24"/>
          <w:szCs w:val="24"/>
        </w:rPr>
        <w:t>ABSTRACT</w:t>
      </w:r>
    </w:p>
    <w:p w:rsidR="00DB00E3" w:rsidRDefault="00DB00E3" w:rsidP="00DB00E3">
      <w:pPr>
        <w:pStyle w:val="NormalWeb"/>
      </w:pPr>
      <w:r>
        <w:t xml:space="preserve">The </w:t>
      </w:r>
      <w:proofErr w:type="spellStart"/>
      <w:r>
        <w:t>Iresa-Apa</w:t>
      </w:r>
      <w:proofErr w:type="spellEnd"/>
      <w:r>
        <w:t xml:space="preserve"> </w:t>
      </w:r>
      <w:proofErr w:type="spellStart"/>
      <w:r>
        <w:t>toposequence</w:t>
      </w:r>
      <w:proofErr w:type="spellEnd"/>
      <w:r>
        <w:t xml:space="preserve"> in the Southern Guinea Savanna of Nigeria exhibits a well-defined drainage catena where landscape position significantly influences soil properties. The soils are moderately to strongly developed, with distinct horizons ranging from dark, organic-rich surface layers (5YR–10YR) to yellowish-brown and orange subsoils enriched with iron oxides. Redoximorphic features, including Fe–Mn concretions and mottling in the B and BC horizons, indicate seasonal water saturation, particularly in lower slope positions.</w:t>
      </w:r>
    </w:p>
    <w:p w:rsidR="00DB00E3" w:rsidRDefault="00DB00E3" w:rsidP="00DB00E3">
      <w:pPr>
        <w:pStyle w:val="NormalWeb"/>
      </w:pPr>
      <w:r>
        <w:t xml:space="preserve">Particle size distribution shows clear topographic variation. The summit exhibits coarse-textured subsoil with high sand content (up to 86.3%), while the upper, middle, and lower slopes are dominated by clay (&gt;60%), indicating downslope clay accumulation and advanced weathering. Increasing clay content with depth and the presence of clay </w:t>
      </w:r>
      <w:proofErr w:type="spellStart"/>
      <w:r>
        <w:t>cutans</w:t>
      </w:r>
      <w:proofErr w:type="spellEnd"/>
      <w:r>
        <w:t xml:space="preserve"> confirm active illuviation and argillic horizon development. Soil structure transitions from friable granular surface layers to firm blocky subsurface horizons, restricting permeability and root penetration.</w:t>
      </w:r>
    </w:p>
    <w:p w:rsidR="00DB00E3" w:rsidRDefault="00DB00E3" w:rsidP="00DB00E3">
      <w:pPr>
        <w:pStyle w:val="NormalWeb"/>
      </w:pPr>
      <w:r>
        <w:t xml:space="preserve">Soil pH is moderately acidic (5.0–5.5) and decreases slightly with depth due to leaching. Organic carbon is highest in surface horizons (3.5–4.0%) but declines sharply downward, while total nitrogen remains low. Effective cation exchange capacity is generally low (&lt;2.0 </w:t>
      </w:r>
      <w:proofErr w:type="spellStart"/>
      <w:r>
        <w:t>cmol</w:t>
      </w:r>
      <w:proofErr w:type="spellEnd"/>
      <w:r>
        <w:t xml:space="preserve"> kg⁻¹). Available phosphorus decreases with depth due to fixation by Fe and Al oxides.</w:t>
      </w:r>
    </w:p>
    <w:p w:rsidR="00DB00E3" w:rsidRDefault="00DB00E3" w:rsidP="00DB00E3">
      <w:pPr>
        <w:pStyle w:val="NormalWeb"/>
      </w:pPr>
      <w:r>
        <w:rPr>
          <w:bCs/>
        </w:rPr>
        <w:t>In conclusion</w:t>
      </w:r>
      <w:r>
        <w:t xml:space="preserve">, while the </w:t>
      </w:r>
      <w:proofErr w:type="spellStart"/>
      <w:r>
        <w:t>Iresa-apa</w:t>
      </w:r>
      <w:proofErr w:type="spellEnd"/>
      <w:r>
        <w:t xml:space="preserve"> soils possess moderate inherent fertility, their productivity is limited by subsoil compaction and impeded drainage. Sustainable use requires topography-specific management, emphasizing strategic subsoiling and moisture-tolerant cropping systems to navigate the seasonal hydrological constraints </w:t>
      </w:r>
    </w:p>
    <w:p w:rsidR="00DB00E3" w:rsidRDefault="00DB00E3" w:rsidP="00DB00E3">
      <w:pPr>
        <w:spacing w:after="120"/>
        <w:rPr>
          <w:sz w:val="24"/>
          <w:szCs w:val="24"/>
        </w:rPr>
      </w:pPr>
      <w:r>
        <w:rPr>
          <w:b/>
          <w:bCs/>
          <w:sz w:val="24"/>
          <w:szCs w:val="24"/>
        </w:rPr>
        <w:t>Keywords:</w:t>
      </w:r>
      <w:r>
        <w:rPr>
          <w:sz w:val="24"/>
          <w:szCs w:val="24"/>
        </w:rPr>
        <w:t xml:space="preserve"> </w:t>
      </w:r>
      <w:proofErr w:type="spellStart"/>
      <w:r>
        <w:rPr>
          <w:i/>
          <w:sz w:val="24"/>
          <w:szCs w:val="24"/>
        </w:rPr>
        <w:t>toposequence</w:t>
      </w:r>
      <w:proofErr w:type="spellEnd"/>
      <w:r>
        <w:rPr>
          <w:i/>
          <w:sz w:val="24"/>
          <w:szCs w:val="24"/>
        </w:rPr>
        <w:t xml:space="preserve">, soil chemical properties, </w:t>
      </w:r>
      <w:proofErr w:type="spellStart"/>
      <w:r>
        <w:rPr>
          <w:i/>
          <w:sz w:val="24"/>
          <w:szCs w:val="24"/>
        </w:rPr>
        <w:t>Iresa-Apa</w:t>
      </w:r>
      <w:proofErr w:type="spellEnd"/>
      <w:r>
        <w:rPr>
          <w:i/>
          <w:sz w:val="24"/>
          <w:szCs w:val="24"/>
        </w:rPr>
        <w:t xml:space="preserve">, </w:t>
      </w:r>
      <w:r>
        <w:rPr>
          <w:bCs/>
          <w:i/>
        </w:rPr>
        <w:t>redoximorphic</w:t>
      </w:r>
    </w:p>
    <w:p w:rsidR="00DB00E3" w:rsidRDefault="00DB00E3" w:rsidP="00DB00E3">
      <w:pPr>
        <w:rPr>
          <w:b/>
          <w:sz w:val="24"/>
          <w:szCs w:val="24"/>
        </w:rPr>
      </w:pPr>
    </w:p>
    <w:p w:rsidR="00DB00E3" w:rsidRDefault="00DB00E3" w:rsidP="00DB00E3">
      <w:pPr>
        <w:rPr>
          <w:b/>
          <w:sz w:val="24"/>
          <w:szCs w:val="24"/>
        </w:rPr>
      </w:pPr>
    </w:p>
    <w:p w:rsidR="00DB00E3" w:rsidRDefault="00DB00E3" w:rsidP="00DB00E3">
      <w:pPr>
        <w:rPr>
          <w:b/>
          <w:sz w:val="24"/>
          <w:szCs w:val="24"/>
        </w:rPr>
      </w:pPr>
    </w:p>
    <w:p w:rsidR="00DB00E3" w:rsidRDefault="00DB00E3" w:rsidP="00DB00E3">
      <w:pPr>
        <w:rPr>
          <w:b/>
          <w:sz w:val="24"/>
          <w:szCs w:val="24"/>
        </w:rPr>
      </w:pPr>
    </w:p>
    <w:p w:rsidR="00DB00E3" w:rsidRDefault="00DB00E3" w:rsidP="00DB00E3">
      <w:pPr>
        <w:rPr>
          <w:b/>
          <w:sz w:val="24"/>
          <w:szCs w:val="24"/>
        </w:rPr>
      </w:pPr>
    </w:p>
    <w:p w:rsidR="00DB00E3" w:rsidRDefault="00DB00E3" w:rsidP="00DB00E3">
      <w:pPr>
        <w:rPr>
          <w:b/>
          <w:sz w:val="24"/>
          <w:szCs w:val="24"/>
        </w:rPr>
      </w:pPr>
    </w:p>
    <w:p w:rsidR="00DB00E3" w:rsidRDefault="00DB00E3" w:rsidP="00DB00E3">
      <w:pPr>
        <w:rPr>
          <w:b/>
          <w:sz w:val="24"/>
          <w:szCs w:val="24"/>
        </w:rPr>
      </w:pPr>
    </w:p>
    <w:p w:rsidR="00DB00E3" w:rsidRDefault="00DB00E3" w:rsidP="00DB00E3">
      <w:pPr>
        <w:rPr>
          <w:b/>
          <w:sz w:val="24"/>
          <w:szCs w:val="24"/>
        </w:rPr>
      </w:pPr>
    </w:p>
    <w:p w:rsidR="00DB00E3" w:rsidRDefault="00DB00E3" w:rsidP="00DB00E3">
      <w:pPr>
        <w:rPr>
          <w:b/>
          <w:sz w:val="24"/>
          <w:szCs w:val="24"/>
        </w:rPr>
      </w:pPr>
      <w:r>
        <w:rPr>
          <w:b/>
          <w:sz w:val="24"/>
          <w:szCs w:val="24"/>
        </w:rPr>
        <w:lastRenderedPageBreak/>
        <w:t>INTRODUCTION</w:t>
      </w:r>
    </w:p>
    <w:p w:rsidR="00DB00E3" w:rsidRDefault="00DB00E3" w:rsidP="00DB00E3">
      <w:pPr>
        <w:ind w:firstLine="720"/>
        <w:jc w:val="both"/>
        <w:rPr>
          <w:sz w:val="24"/>
          <w:szCs w:val="24"/>
        </w:rPr>
      </w:pPr>
      <w:r>
        <w:rPr>
          <w:sz w:val="24"/>
          <w:szCs w:val="24"/>
        </w:rPr>
        <w:t xml:space="preserve">The type of the parent material influences the development and characteristics of soils, including their texture, structure, fertility, and water retention capacity. For instance, the composition of the mineral that forms the parent material determines the soil's texture and structure, which in turn affect its water retention and nutrient availability. Soils formed from coarse-grained parent materials, like granite, tend to have a sandy texture with larger particles, leading to reduced water-holding capacity and limited nutrient retention. In contrast, fine-textured parent materials such as shale or basalt typically give rise to clay-rich soils characterized by enhanced water retention and fertility, owing to their finer particle size and higher specific surface area. Additionally, the chemical composition of the parent material influences soil pH and nutrient content, thereby affecting soil fertility and suitability for various plant species (Brady and Weil, 2010). </w:t>
      </w:r>
    </w:p>
    <w:p w:rsidR="00DB00E3" w:rsidRDefault="00DB00E3" w:rsidP="00DB00E3">
      <w:pPr>
        <w:pStyle w:val="NormalWeb"/>
        <w:ind w:firstLine="720"/>
        <w:jc w:val="both"/>
        <w:rPr>
          <w:i/>
        </w:rPr>
      </w:pPr>
      <w:r>
        <w:t xml:space="preserve">Parent materials are classified based on mode of transportation through water, gravity, </w:t>
      </w:r>
      <w:proofErr w:type="gramStart"/>
      <w:r>
        <w:t>ice,  wind</w:t>
      </w:r>
      <w:proofErr w:type="gramEnd"/>
      <w:r>
        <w:t xml:space="preserve">, lake and oceans. Glacier is the parent materials transported by ice. This parent materials </w:t>
      </w:r>
      <w:proofErr w:type="gramStart"/>
      <w:r>
        <w:t>is</w:t>
      </w:r>
      <w:proofErr w:type="gramEnd"/>
      <w:r>
        <w:t xml:space="preserve"> formed where glacier are deposited. Water is an essential soil constituent, playing a critical role in shaping its physical structure, chemical reactions, and biological activity (SSSA, 2023); parent material transported by flowing water (streams and river) is called alluvium. Soil physical and chemical properties significantly influence plant growth and guide management practices. A thorough understanding of these properties is crucial for effective soil management and maximizing crop productivity. These properties influence water retention, nutrient availability, and soil structure, all of which are critical for agricultural productivity. Chemical properties encompass pH, electrical conductivity, cation exchange capacity, and organic matter content. For instance, soil texture affects water-holding capacity and aeration, while pH influences nutrient availability and microbial activity. Managing these properties can lead to improved soil health and crop yields (Gardner </w:t>
      </w:r>
      <w:r>
        <w:rPr>
          <w:i/>
        </w:rPr>
        <w:t>et al.,</w:t>
      </w:r>
      <w:r>
        <w:t>1999</w:t>
      </w:r>
      <w:r>
        <w:rPr>
          <w:i/>
        </w:rPr>
        <w:t xml:space="preserve">). </w:t>
      </w:r>
    </w:p>
    <w:p w:rsidR="00DB00E3" w:rsidRDefault="00DB00E3" w:rsidP="00DB00E3">
      <w:pPr>
        <w:ind w:firstLine="720"/>
        <w:rPr>
          <w:sz w:val="24"/>
          <w:szCs w:val="24"/>
        </w:rPr>
      </w:pPr>
      <w:r>
        <w:rPr>
          <w:sz w:val="24"/>
          <w:szCs w:val="24"/>
        </w:rPr>
        <w:t xml:space="preserve">The persistent gap in knowledge regarding nutrient management, particularly in relation to existing pedological information on nutrient-depleted soils, continues to intensify soil degradation and threatens long-term agricultural sustainability (Ayoub, 1999; </w:t>
      </w:r>
      <w:proofErr w:type="spellStart"/>
      <w:r>
        <w:rPr>
          <w:sz w:val="24"/>
          <w:szCs w:val="24"/>
        </w:rPr>
        <w:t>Sheldrick</w:t>
      </w:r>
      <w:proofErr w:type="spellEnd"/>
      <w:r>
        <w:rPr>
          <w:sz w:val="24"/>
          <w:szCs w:val="24"/>
        </w:rPr>
        <w:t xml:space="preserve"> </w:t>
      </w:r>
      <w:r>
        <w:rPr>
          <w:i/>
          <w:sz w:val="24"/>
          <w:szCs w:val="24"/>
        </w:rPr>
        <w:t>et al</w:t>
      </w:r>
      <w:r>
        <w:rPr>
          <w:sz w:val="24"/>
          <w:szCs w:val="24"/>
        </w:rPr>
        <w:t xml:space="preserve">., 2002). These challenges, among others, contribute to the widespread inefficiencies in soil resource utilization, thereby impeding effective agricultural development across regions with either similar or contrasting soil types (Chukwu </w:t>
      </w:r>
      <w:r>
        <w:rPr>
          <w:i/>
          <w:sz w:val="24"/>
          <w:szCs w:val="24"/>
        </w:rPr>
        <w:t>et al</w:t>
      </w:r>
      <w:r>
        <w:rPr>
          <w:sz w:val="24"/>
          <w:szCs w:val="24"/>
        </w:rPr>
        <w:t>., 2016). It is well established that soils exhibit both vertical and lateral variability, with such spatial differences occurring in systematic patterns (Wilding and Dress, 1983).</w:t>
      </w:r>
    </w:p>
    <w:p w:rsidR="00DB00E3" w:rsidRDefault="00DB00E3" w:rsidP="00DB00E3">
      <w:pPr>
        <w:rPr>
          <w:sz w:val="24"/>
          <w:szCs w:val="24"/>
        </w:rPr>
      </w:pPr>
    </w:p>
    <w:p w:rsidR="00DB00E3" w:rsidRDefault="00DB00E3" w:rsidP="00DB00E3">
      <w:pPr>
        <w:spacing w:before="100" w:beforeAutospacing="1" w:after="100" w:afterAutospacing="1"/>
        <w:ind w:firstLine="720"/>
        <w:jc w:val="both"/>
        <w:rPr>
          <w:sz w:val="24"/>
          <w:szCs w:val="24"/>
        </w:rPr>
      </w:pPr>
      <w:r>
        <w:rPr>
          <w:sz w:val="24"/>
          <w:szCs w:val="24"/>
        </w:rPr>
        <w:t xml:space="preserve">One of the challenges of agricultural production in Nigeria is the low productivity of soils formed on basement complex rocks. These soils are often shallow, acidic, and low in nutrients. As a result, they are not well-suited for the production of many crops. A deeper understanding of the properties of soils developed on basement complex rocks is essential for enhancing agricultural productivity in Nigeria. There is need to compare the texture, pH, particle size </w:t>
      </w:r>
      <w:proofErr w:type="gramStart"/>
      <w:r>
        <w:rPr>
          <w:sz w:val="24"/>
          <w:szCs w:val="24"/>
        </w:rPr>
        <w:t>distribution,  nutrient</w:t>
      </w:r>
      <w:proofErr w:type="gramEnd"/>
      <w:r>
        <w:rPr>
          <w:sz w:val="24"/>
          <w:szCs w:val="24"/>
        </w:rPr>
        <w:t xml:space="preserve"> content, cation exchange capacity and other properties of soils formed on different parent materials as such knowledge would offer valuable insights into the factors and processes governing soil formation on basement complex rocks. The type of rock that a soil is formed from will have a significant impact on its physical and chemical properties, such as its structure texture, nutrient </w:t>
      </w:r>
      <w:r>
        <w:rPr>
          <w:sz w:val="24"/>
          <w:szCs w:val="24"/>
        </w:rPr>
        <w:lastRenderedPageBreak/>
        <w:t>content and acidity. Soil parent material is an important determinant of soil properties. The type of rock used for soil formation will have a significant impact on its physical and chemical properties.</w:t>
      </w:r>
      <w:r>
        <w:rPr>
          <w:sz w:val="24"/>
          <w:szCs w:val="24"/>
        </w:rPr>
        <w:tab/>
      </w:r>
    </w:p>
    <w:p w:rsidR="00DB00E3" w:rsidRDefault="00DB00E3" w:rsidP="00DB00E3">
      <w:pPr>
        <w:pStyle w:val="ListParagraph"/>
        <w:adjustRightInd w:val="0"/>
        <w:spacing w:after="120"/>
        <w:ind w:firstLine="720"/>
        <w:jc w:val="both"/>
      </w:pPr>
      <w:r>
        <w:t xml:space="preserve">A comparative analysis of soil properties such as texture, cation exchange capacity, particle size distribution, pH, and nutrient content across different parent materials is necessary to identify key factors affecting soil development and fertility. This knowledge will provide critical insights into improving soil management and fertility enhancement strategies for agricultural production in Nigeria. Without a clear understanding of how parent materials influence soil properties, efforts to improve soil productivity and optimize land use for agriculture remain challenging. This research aims to provide detailed information on the physical and chemical properties, as well as the mineral composition of soils derived from basement rocks in selected sites of </w:t>
      </w:r>
      <w:proofErr w:type="spellStart"/>
      <w:r>
        <w:t>Ogbomoso</w:t>
      </w:r>
      <w:proofErr w:type="spellEnd"/>
      <w:r>
        <w:t xml:space="preserve">, Southern Guinea Savanna, with </w:t>
      </w:r>
      <w:proofErr w:type="spellStart"/>
      <w:r>
        <w:t>Iresa-Apa</w:t>
      </w:r>
      <w:proofErr w:type="spellEnd"/>
      <w:r>
        <w:t xml:space="preserve"> serving as a case study.</w:t>
      </w:r>
    </w:p>
    <w:p w:rsidR="00DB00E3" w:rsidRDefault="00DB00E3" w:rsidP="00DB00E3">
      <w:pPr>
        <w:pStyle w:val="ListParagraph"/>
        <w:adjustRightInd w:val="0"/>
        <w:spacing w:after="120"/>
        <w:ind w:firstLine="720"/>
        <w:jc w:val="both"/>
        <w:rPr>
          <w:rFonts w:eastAsiaTheme="minorHAnsi"/>
        </w:rPr>
      </w:pPr>
      <w:r>
        <w:t xml:space="preserve">The objectives of the study are:  </w:t>
      </w:r>
    </w:p>
    <w:p w:rsidR="00DB00E3" w:rsidRDefault="00DB00E3" w:rsidP="00DB00E3">
      <w:pPr>
        <w:pStyle w:val="ListParagraph"/>
        <w:widowControl/>
        <w:numPr>
          <w:ilvl w:val="0"/>
          <w:numId w:val="9"/>
        </w:numPr>
        <w:adjustRightInd w:val="0"/>
        <w:contextualSpacing/>
        <w:jc w:val="both"/>
      </w:pPr>
      <w:r>
        <w:t>Determine the physical and chemical properties of soils of the selected site.</w:t>
      </w:r>
    </w:p>
    <w:p w:rsidR="00DB00E3" w:rsidRDefault="00DB00E3" w:rsidP="00DB00E3">
      <w:pPr>
        <w:pStyle w:val="ListParagraph"/>
        <w:widowControl/>
        <w:numPr>
          <w:ilvl w:val="0"/>
          <w:numId w:val="9"/>
        </w:numPr>
        <w:adjustRightInd w:val="0"/>
        <w:contextualSpacing/>
        <w:jc w:val="both"/>
      </w:pPr>
      <w:r>
        <w:t>Examine the differences in the properties of soils derived from various parent materials.</w:t>
      </w:r>
    </w:p>
    <w:p w:rsidR="00DB00E3" w:rsidRDefault="00DB00E3" w:rsidP="00DB00E3">
      <w:pPr>
        <w:pStyle w:val="NoSpacing"/>
        <w:ind w:firstLine="720"/>
        <w:jc w:val="both"/>
        <w:rPr>
          <w:rFonts w:ascii="Times New Roman" w:hAnsi="Times New Roman" w:cs="Times New Roman"/>
          <w:sz w:val="24"/>
          <w:szCs w:val="24"/>
        </w:rPr>
      </w:pPr>
    </w:p>
    <w:p w:rsidR="00DB00E3" w:rsidRDefault="00DB00E3" w:rsidP="00DB00E3">
      <w:pPr>
        <w:jc w:val="both"/>
        <w:rPr>
          <w:b/>
          <w:sz w:val="24"/>
          <w:szCs w:val="24"/>
        </w:rPr>
      </w:pPr>
      <w:r>
        <w:rPr>
          <w:b/>
          <w:sz w:val="24"/>
          <w:szCs w:val="24"/>
        </w:rPr>
        <w:t>MATERIALS AND METHOD</w:t>
      </w:r>
    </w:p>
    <w:p w:rsidR="00DB00E3" w:rsidRDefault="00DB00E3" w:rsidP="00DB00E3">
      <w:pPr>
        <w:jc w:val="both"/>
        <w:rPr>
          <w:b/>
          <w:sz w:val="24"/>
          <w:szCs w:val="24"/>
        </w:rPr>
      </w:pPr>
    </w:p>
    <w:p w:rsidR="00DB00E3" w:rsidRDefault="00DB00E3" w:rsidP="00DB00E3">
      <w:pPr>
        <w:pStyle w:val="NoSpacing"/>
        <w:jc w:val="both"/>
        <w:rPr>
          <w:rFonts w:ascii="Times New Roman" w:hAnsi="Times New Roman" w:cs="Times New Roman"/>
          <w:b/>
          <w:sz w:val="24"/>
          <w:szCs w:val="24"/>
        </w:rPr>
      </w:pPr>
      <w:r>
        <w:rPr>
          <w:rFonts w:ascii="Times New Roman" w:hAnsi="Times New Roman" w:cs="Times New Roman"/>
          <w:b/>
          <w:sz w:val="24"/>
          <w:szCs w:val="24"/>
        </w:rPr>
        <w:t>Description of the study area</w:t>
      </w:r>
    </w:p>
    <w:p w:rsidR="00DB00E3" w:rsidRDefault="00DB00E3" w:rsidP="00DB00E3">
      <w:pPr>
        <w:spacing w:before="240"/>
        <w:jc w:val="both"/>
        <w:rPr>
          <w:b/>
          <w:sz w:val="24"/>
          <w:szCs w:val="24"/>
        </w:rPr>
      </w:pPr>
      <w:r>
        <w:rPr>
          <w:b/>
          <w:sz w:val="24"/>
          <w:szCs w:val="24"/>
        </w:rPr>
        <w:t xml:space="preserve">Site Location: </w:t>
      </w:r>
      <w:proofErr w:type="spellStart"/>
      <w:r>
        <w:rPr>
          <w:rStyle w:val="Strong"/>
          <w:sz w:val="24"/>
          <w:szCs w:val="24"/>
          <w:shd w:val="clear" w:color="auto" w:fill="FFFFFF"/>
        </w:rPr>
        <w:t>Iresa-Apa</w:t>
      </w:r>
      <w:proofErr w:type="spellEnd"/>
      <w:r>
        <w:rPr>
          <w:rStyle w:val="Strong"/>
          <w:sz w:val="24"/>
          <w:szCs w:val="24"/>
          <w:shd w:val="clear" w:color="auto" w:fill="FFFFFF"/>
        </w:rPr>
        <w:t>:</w:t>
      </w:r>
      <w:r>
        <w:rPr>
          <w:sz w:val="24"/>
          <w:szCs w:val="24"/>
          <w:shd w:val="clear" w:color="auto" w:fill="FFFFFF"/>
        </w:rPr>
        <w:t xml:space="preserve"> This is a town located in the southeastern part of Surulere Local Government Area in </w:t>
      </w:r>
      <w:proofErr w:type="spellStart"/>
      <w:r>
        <w:rPr>
          <w:sz w:val="24"/>
          <w:szCs w:val="24"/>
          <w:shd w:val="clear" w:color="auto" w:fill="FFFFFF"/>
        </w:rPr>
        <w:t>Ogbomoso</w:t>
      </w:r>
      <w:proofErr w:type="spellEnd"/>
      <w:r>
        <w:rPr>
          <w:sz w:val="24"/>
          <w:szCs w:val="24"/>
          <w:shd w:val="clear" w:color="auto" w:fill="FFFFFF"/>
        </w:rPr>
        <w:t xml:space="preserve">. It is situated on a hill, with an elevation of about 250 meters above sea level. It lies on latitude 8° 4' 18" N </w:t>
      </w:r>
      <w:r>
        <w:rPr>
          <w:sz w:val="24"/>
          <w:szCs w:val="24"/>
          <w:shd w:val="clear" w:color="auto" w:fill="FCFCFC"/>
        </w:rPr>
        <w:t xml:space="preserve">and longitude </w:t>
      </w:r>
      <w:r>
        <w:rPr>
          <w:sz w:val="24"/>
          <w:szCs w:val="24"/>
          <w:shd w:val="clear" w:color="auto" w:fill="FFFFFF"/>
        </w:rPr>
        <w:t xml:space="preserve">4° 24' 54" E </w:t>
      </w:r>
      <w:r>
        <w:rPr>
          <w:sz w:val="24"/>
          <w:szCs w:val="24"/>
          <w:shd w:val="clear" w:color="auto" w:fill="FCFCFC"/>
        </w:rPr>
        <w:t>of South West, Nigeria</w:t>
      </w:r>
      <w:r>
        <w:rPr>
          <w:sz w:val="24"/>
          <w:szCs w:val="24"/>
          <w:shd w:val="clear" w:color="auto" w:fill="FFFFFF"/>
        </w:rPr>
        <w:t xml:space="preserve"> (Google map, 2023). The upland is one of the landforms in the area. It has distinguished rocky soil composition and steep slopes. (</w:t>
      </w:r>
      <w:r>
        <w:rPr>
          <w:sz w:val="24"/>
          <w:szCs w:val="24"/>
        </w:rPr>
        <w:t>Ritter</w:t>
      </w:r>
      <w:r>
        <w:rPr>
          <w:sz w:val="24"/>
          <w:szCs w:val="24"/>
          <w:shd w:val="clear" w:color="auto" w:fill="FFFFFF"/>
        </w:rPr>
        <w:t xml:space="preserve">, 2002). The </w:t>
      </w:r>
      <w:proofErr w:type="spellStart"/>
      <w:r>
        <w:rPr>
          <w:sz w:val="24"/>
          <w:szCs w:val="24"/>
          <w:shd w:val="clear" w:color="auto" w:fill="FFFFFF"/>
        </w:rPr>
        <w:t>Iresa-Apa</w:t>
      </w:r>
      <w:proofErr w:type="spellEnd"/>
      <w:r>
        <w:rPr>
          <w:sz w:val="24"/>
          <w:szCs w:val="24"/>
          <w:shd w:val="clear" w:color="auto" w:fill="FFFFFF"/>
        </w:rPr>
        <w:t xml:space="preserve"> </w:t>
      </w:r>
      <w:proofErr w:type="spellStart"/>
      <w:r>
        <w:rPr>
          <w:sz w:val="24"/>
          <w:szCs w:val="24"/>
          <w:shd w:val="clear" w:color="auto" w:fill="FFFFFF"/>
        </w:rPr>
        <w:t>toposequence</w:t>
      </w:r>
      <w:proofErr w:type="spellEnd"/>
      <w:r>
        <w:rPr>
          <w:sz w:val="24"/>
          <w:szCs w:val="24"/>
          <w:shd w:val="clear" w:color="auto" w:fill="FFFFFF"/>
        </w:rPr>
        <w:t xml:space="preserve"> is facing a number of threats including deforestation, pollution and climate change. These threats are causing the landforms to change and they are also harming the animals and plants that live in the area </w:t>
      </w:r>
      <w:r>
        <w:rPr>
          <w:sz w:val="24"/>
          <w:szCs w:val="24"/>
        </w:rPr>
        <w:t>(Climate</w:t>
      </w:r>
      <w:r>
        <w:rPr>
          <w:sz w:val="24"/>
          <w:szCs w:val="24"/>
        </w:rPr>
        <w:noBreakHyphen/>
        <w:t>data.org</w:t>
      </w:r>
      <w:r>
        <w:t>)</w:t>
      </w:r>
    </w:p>
    <w:p w:rsidR="00DB00E3" w:rsidRDefault="00DB00E3" w:rsidP="00DB00E3">
      <w:pPr>
        <w:pStyle w:val="para"/>
        <w:spacing w:beforeAutospacing="0" w:afterAutospacing="0"/>
        <w:ind w:left="60" w:right="122" w:firstLine="660"/>
        <w:jc w:val="both"/>
        <w:rPr>
          <w:b/>
        </w:rPr>
      </w:pPr>
      <w:r>
        <w:rPr>
          <w:b/>
        </w:rPr>
        <w:t>Field study and Soil Sampling</w:t>
      </w:r>
    </w:p>
    <w:p w:rsidR="00DB00E3" w:rsidRDefault="00DB00E3" w:rsidP="00DB00E3">
      <w:pPr>
        <w:pStyle w:val="para"/>
        <w:spacing w:beforeAutospacing="0" w:afterAutospacing="0"/>
        <w:ind w:left="60" w:right="122" w:firstLine="660"/>
        <w:jc w:val="both"/>
      </w:pPr>
      <w:r>
        <w:t xml:space="preserve">Three </w:t>
      </w:r>
      <w:proofErr w:type="spellStart"/>
      <w:r>
        <w:t>pedons</w:t>
      </w:r>
      <w:proofErr w:type="spellEnd"/>
      <w:r>
        <w:t xml:space="preserve"> of 1.5 m (length) × 1.0 m (width) × 2.0 m (depth) were excavated each for the both sites. The </w:t>
      </w:r>
      <w:proofErr w:type="spellStart"/>
      <w:r>
        <w:t>pedons</w:t>
      </w:r>
      <w:proofErr w:type="spellEnd"/>
      <w:r>
        <w:t xml:space="preserve"> were occupy upper slope, middle slope and the valley bottom. Morphological characteristics such as horizon identification, thickness, </w:t>
      </w:r>
      <w:proofErr w:type="spellStart"/>
      <w:r>
        <w:t>colour</w:t>
      </w:r>
      <w:proofErr w:type="spellEnd"/>
      <w:r>
        <w:t>, texture, structure, consistency, roots distribution, concretions, mottles and boundaries forms (Soil survey staff 1975, 2003) were described. Samples were taken from each horizon and sealed in Nylon bags and tagged accordingly. The soil samples were air-dried, ground using a ceramic mortar and pestle, and sieved through a 2mm mesh to separate the gravel fraction (&gt;2mm). The fine fraction (&lt;2mm) were used for subsequent laboratory analyses.</w:t>
      </w:r>
    </w:p>
    <w:p w:rsidR="00DB00E3" w:rsidRDefault="00DB00E3" w:rsidP="00DB00E3">
      <w:pPr>
        <w:pStyle w:val="para"/>
        <w:spacing w:before="0" w:beforeAutospacing="0" w:afterAutospacing="0"/>
        <w:ind w:left="60" w:right="122" w:firstLine="660"/>
        <w:jc w:val="both"/>
        <w:rPr>
          <w:b/>
        </w:rPr>
      </w:pPr>
      <w:r>
        <w:rPr>
          <w:b/>
        </w:rPr>
        <w:t>Sampling Tools and Accessories</w:t>
      </w:r>
    </w:p>
    <w:p w:rsidR="00DB00E3" w:rsidRDefault="00DB00E3" w:rsidP="00DB00E3">
      <w:pPr>
        <w:pStyle w:val="para"/>
        <w:spacing w:before="0" w:beforeAutospacing="0" w:afterAutospacing="0"/>
        <w:ind w:left="60" w:right="122" w:firstLine="660"/>
        <w:jc w:val="both"/>
      </w:pPr>
      <w:r>
        <w:tab/>
        <w:t xml:space="preserve">The following tools were used in taking the samples: Soil Auger, Drying trays, color charts, Ceramic mortar and pestle, shovel, cutlass, nylons of different sizes, measuring tapes, ropes, pegs, permanent marker, paper tapes, sieves of 2mm size and sensitive weight scale. </w:t>
      </w:r>
    </w:p>
    <w:p w:rsidR="00DB00E3" w:rsidRDefault="00DB00E3" w:rsidP="00DB00E3">
      <w:pPr>
        <w:pStyle w:val="Default"/>
        <w:ind w:left="60" w:right="122" w:firstLine="660"/>
        <w:jc w:val="both"/>
        <w:rPr>
          <w:b/>
          <w:color w:val="auto"/>
        </w:rPr>
      </w:pPr>
    </w:p>
    <w:p w:rsidR="00DB00E3" w:rsidRDefault="00DB00E3" w:rsidP="00DB00E3">
      <w:pPr>
        <w:pStyle w:val="Default"/>
        <w:ind w:left="60" w:right="122" w:firstLine="660"/>
        <w:jc w:val="both"/>
        <w:rPr>
          <w:b/>
          <w:color w:val="auto"/>
        </w:rPr>
      </w:pPr>
      <w:r>
        <w:rPr>
          <w:b/>
          <w:color w:val="auto"/>
        </w:rPr>
        <w:t xml:space="preserve">Soil morphology </w:t>
      </w:r>
    </w:p>
    <w:p w:rsidR="00DB00E3" w:rsidRDefault="00DB00E3" w:rsidP="00DB00E3">
      <w:pPr>
        <w:adjustRightInd w:val="0"/>
        <w:ind w:left="60" w:right="122" w:firstLine="660"/>
        <w:jc w:val="both"/>
        <w:rPr>
          <w:sz w:val="24"/>
          <w:szCs w:val="24"/>
        </w:rPr>
      </w:pPr>
      <w:r>
        <w:rPr>
          <w:sz w:val="24"/>
          <w:szCs w:val="24"/>
        </w:rPr>
        <w:t xml:space="preserve">The soil moist color of each horizon </w:t>
      </w:r>
      <w:proofErr w:type="gramStart"/>
      <w:r>
        <w:rPr>
          <w:sz w:val="24"/>
          <w:szCs w:val="24"/>
        </w:rPr>
        <w:t>were</w:t>
      </w:r>
      <w:proofErr w:type="gramEnd"/>
      <w:r>
        <w:rPr>
          <w:sz w:val="24"/>
          <w:szCs w:val="24"/>
        </w:rPr>
        <w:t xml:space="preserve"> done using Munsell Soil Color Charts. Soil color in form of hue, value and chroma were determined. Hue will show dominance of the spectra </w:t>
      </w:r>
      <w:r>
        <w:rPr>
          <w:sz w:val="24"/>
          <w:szCs w:val="24"/>
        </w:rPr>
        <w:lastRenderedPageBreak/>
        <w:t xml:space="preserve">color, value indicate the lightness or darkness of soil color, while chroma shows the purity or strength of the soil color. Soil properties that were examined are color, texture, consistence, drainage, effective soil depth, presence or absence of concretions and mottles. </w:t>
      </w:r>
    </w:p>
    <w:p w:rsidR="00DB00E3" w:rsidRDefault="00DB00E3" w:rsidP="00DB00E3">
      <w:pPr>
        <w:spacing w:after="160"/>
        <w:ind w:left="60" w:right="122" w:firstLine="660"/>
        <w:jc w:val="both"/>
        <w:rPr>
          <w:bCs/>
          <w:sz w:val="24"/>
          <w:szCs w:val="24"/>
        </w:rPr>
      </w:pPr>
      <w:r>
        <w:rPr>
          <w:bCs/>
          <w:sz w:val="24"/>
          <w:szCs w:val="24"/>
        </w:rPr>
        <w:t xml:space="preserve">Soil texture, soil structure, stoniness, consistence with </w:t>
      </w:r>
      <w:proofErr w:type="spellStart"/>
      <w:r>
        <w:rPr>
          <w:bCs/>
          <w:sz w:val="24"/>
          <w:szCs w:val="24"/>
        </w:rPr>
        <w:t>motles</w:t>
      </w:r>
      <w:proofErr w:type="spellEnd"/>
      <w:r>
        <w:rPr>
          <w:bCs/>
          <w:sz w:val="24"/>
          <w:szCs w:val="24"/>
        </w:rPr>
        <w:t xml:space="preserve"> and drainage were observed</w:t>
      </w:r>
    </w:p>
    <w:p w:rsidR="00DB00E3" w:rsidRDefault="00DB00E3" w:rsidP="00DB00E3">
      <w:pPr>
        <w:keepNext/>
        <w:keepLines/>
        <w:ind w:left="60" w:right="122" w:firstLine="660"/>
        <w:jc w:val="both"/>
        <w:outlineLvl w:val="1"/>
        <w:rPr>
          <w:sz w:val="24"/>
          <w:szCs w:val="24"/>
        </w:rPr>
      </w:pPr>
      <w:bookmarkStart w:id="0" w:name="_Toc93411212"/>
      <w:r>
        <w:rPr>
          <w:b/>
          <w:sz w:val="24"/>
          <w:szCs w:val="24"/>
        </w:rPr>
        <w:t xml:space="preserve">Laboratory Sample </w:t>
      </w:r>
      <w:bookmarkEnd w:id="0"/>
      <w:r>
        <w:rPr>
          <w:b/>
          <w:sz w:val="24"/>
          <w:szCs w:val="24"/>
        </w:rPr>
        <w:t>preparations</w:t>
      </w:r>
    </w:p>
    <w:p w:rsidR="00DB00E3" w:rsidRDefault="00DB00E3" w:rsidP="00DB00E3">
      <w:pPr>
        <w:pStyle w:val="Heading1"/>
        <w:spacing w:before="0"/>
        <w:ind w:left="60" w:right="122" w:firstLine="660"/>
        <w:jc w:val="both"/>
        <w:rPr>
          <w:rFonts w:ascii="Times New Roman" w:hAnsi="Times New Roman" w:cs="Times New Roman"/>
          <w:color w:val="auto"/>
          <w:sz w:val="24"/>
          <w:szCs w:val="24"/>
        </w:rPr>
      </w:pPr>
      <w:r>
        <w:rPr>
          <w:rFonts w:ascii="Times New Roman" w:hAnsi="Times New Roman" w:cs="Times New Roman"/>
          <w:b w:val="0"/>
          <w:color w:val="auto"/>
          <w:sz w:val="24"/>
          <w:szCs w:val="24"/>
        </w:rPr>
        <w:t>The collected soil samples were air-dried and gently crushed using a ceramic mortar and pestle. They will then be sieved through a 2mm sieve to separate the fine soils from the gravel fraction, as the mineral content of the soil is primarily within the 2mm size range. Both the fine and gravel fractions were weighed and relabeled accordingly. The percentage of gravel content for each sample were calculated and recorded. The fine soil samples were sent to the soil science laboratory for further analysis</w:t>
      </w:r>
      <w:r>
        <w:rPr>
          <w:rFonts w:ascii="Times New Roman" w:hAnsi="Times New Roman" w:cs="Times New Roman"/>
          <w:color w:val="auto"/>
          <w:sz w:val="24"/>
          <w:szCs w:val="24"/>
        </w:rPr>
        <w:t>.</w:t>
      </w:r>
    </w:p>
    <w:p w:rsidR="00DB00E3" w:rsidRDefault="00DB00E3" w:rsidP="00DB00E3">
      <w:pPr>
        <w:pStyle w:val="NormalWeb"/>
      </w:pPr>
      <w:r>
        <w:t>The determination of soil physical and chemical properties was carried out using standard laboratory procedures.</w:t>
      </w:r>
    </w:p>
    <w:p w:rsidR="00DB00E3" w:rsidRDefault="00DB00E3" w:rsidP="00DB00E3">
      <w:pPr>
        <w:pStyle w:val="NormalWeb"/>
      </w:pPr>
      <w:r>
        <w:rPr>
          <w:rStyle w:val="Strong"/>
          <w:rFonts w:eastAsiaTheme="majorEastAsia"/>
        </w:rPr>
        <w:t>Physical properties</w:t>
      </w:r>
      <w:r>
        <w:rPr>
          <w:rStyle w:val="Strong"/>
        </w:rPr>
        <w:t xml:space="preserve"> - </w:t>
      </w:r>
      <w:r>
        <w:t xml:space="preserve">Particle size distribution (sand, silt, and clay fractions) was determined using the </w:t>
      </w:r>
      <w:proofErr w:type="spellStart"/>
      <w:r>
        <w:rPr>
          <w:rStyle w:val="Strong"/>
          <w:rFonts w:eastAsiaTheme="majorEastAsia"/>
          <w:b w:val="0"/>
        </w:rPr>
        <w:t>Bouyoucos</w:t>
      </w:r>
      <w:proofErr w:type="spellEnd"/>
      <w:r>
        <w:rPr>
          <w:rStyle w:val="Strong"/>
          <w:rFonts w:eastAsiaTheme="majorEastAsia"/>
          <w:b w:val="0"/>
        </w:rPr>
        <w:t xml:space="preserve"> hydrometer method</w:t>
      </w:r>
      <w:r>
        <w:t xml:space="preserve"> after dispersion with sodium hexametaphosphate (Gee and Or, 2002). Soil textural classes were assigned using the USDA textural triangle. </w:t>
      </w:r>
    </w:p>
    <w:p w:rsidR="00DB00E3" w:rsidRDefault="00DB00E3" w:rsidP="00DB00E3">
      <w:pPr>
        <w:pStyle w:val="NormalWeb"/>
      </w:pPr>
      <w:r>
        <w:rPr>
          <w:rStyle w:val="Strong"/>
          <w:rFonts w:eastAsiaTheme="majorEastAsia"/>
        </w:rPr>
        <w:t>Chemical properties</w:t>
      </w:r>
      <w:r>
        <w:rPr>
          <w:rStyle w:val="Strong"/>
        </w:rPr>
        <w:t xml:space="preserve"> - </w:t>
      </w:r>
      <w:r>
        <w:t>Soil pH was measured potentiometrically in a 1:1 soil–water and soil–</w:t>
      </w:r>
      <w:proofErr w:type="spellStart"/>
      <w:r>
        <w:t>KCl</w:t>
      </w:r>
      <w:proofErr w:type="spellEnd"/>
      <w:r>
        <w:t xml:space="preserve"> suspension using a glass electrode pH meter (McLean, 1982). Organic carbon (OC) was determined using the </w:t>
      </w:r>
      <w:r>
        <w:rPr>
          <w:rStyle w:val="Strong"/>
          <w:rFonts w:eastAsiaTheme="majorEastAsia"/>
          <w:b w:val="0"/>
        </w:rPr>
        <w:t>Walkley–Black wet oxidation method</w:t>
      </w:r>
      <w:r>
        <w:t xml:space="preserve">, and organic matter was calculated by multiplying OC by a factor of 1.724 (Walkley and Black, 1934). Total nitrogen (TN) was analyzed using the </w:t>
      </w:r>
      <w:proofErr w:type="spellStart"/>
      <w:r>
        <w:rPr>
          <w:rStyle w:val="Strong"/>
          <w:rFonts w:eastAsiaTheme="majorEastAsia"/>
          <w:b w:val="0"/>
        </w:rPr>
        <w:t>Kjeldahl</w:t>
      </w:r>
      <w:proofErr w:type="spellEnd"/>
      <w:r>
        <w:rPr>
          <w:rStyle w:val="Strong"/>
          <w:rFonts w:eastAsiaTheme="majorEastAsia"/>
          <w:b w:val="0"/>
        </w:rPr>
        <w:t xml:space="preserve"> digestion method</w:t>
      </w:r>
      <w:r>
        <w:t xml:space="preserve"> (</w:t>
      </w:r>
      <w:proofErr w:type="spellStart"/>
      <w:r>
        <w:t>Bremner</w:t>
      </w:r>
      <w:proofErr w:type="spellEnd"/>
      <w:r>
        <w:t xml:space="preserve">, 1996). Available phosphorus was determined using the </w:t>
      </w:r>
      <w:r>
        <w:rPr>
          <w:rStyle w:val="Strong"/>
          <w:rFonts w:eastAsiaTheme="majorEastAsia"/>
          <w:b w:val="0"/>
        </w:rPr>
        <w:t>Bray-1 extraction method</w:t>
      </w:r>
      <w:r>
        <w:t>, followed by colorimetric analysis (Bray and Kurtz, 1945).</w:t>
      </w:r>
    </w:p>
    <w:p w:rsidR="00DB00E3" w:rsidRDefault="00DB00E3" w:rsidP="00DB00E3">
      <w:pPr>
        <w:pStyle w:val="NormalWeb"/>
      </w:pPr>
      <w:r>
        <w:rPr>
          <w:b/>
        </w:rPr>
        <w:t xml:space="preserve">Soil pH - </w:t>
      </w:r>
      <w:r>
        <w:t xml:space="preserve">Hand pH meter </w:t>
      </w:r>
      <w:proofErr w:type="gramStart"/>
      <w:r>
        <w:t>were</w:t>
      </w:r>
      <w:proofErr w:type="gramEnd"/>
      <w:r>
        <w:t xml:space="preserve"> used to determine the pH in water and KCL.</w:t>
      </w:r>
    </w:p>
    <w:p w:rsidR="00DB00E3" w:rsidRDefault="00DB00E3" w:rsidP="00DB00E3">
      <w:pPr>
        <w:pStyle w:val="NormalWeb"/>
      </w:pPr>
      <w:r>
        <w:t xml:space="preserve">Exchangeable bases (Ca²⁺, Mg²⁺, K⁺, and Na⁺) were extracted with 1N ammonium acetate at pH 7.0 and determined using atomic absorption spectrophotometry (AAS) or flame photometry (Thomas, 1982). Exchangeable acidity (Al³⁺ + H⁺) was determined by extraction with 1N </w:t>
      </w:r>
      <w:proofErr w:type="spellStart"/>
      <w:r>
        <w:t>KCl</w:t>
      </w:r>
      <w:proofErr w:type="spellEnd"/>
      <w:r>
        <w:t xml:space="preserve"> and titration. Effective cation exchange capacity (ECEC) was calculated using the sum of exchangeable bases and exchangeable acidity.</w:t>
      </w:r>
    </w:p>
    <w:p w:rsidR="00DB00E3" w:rsidRDefault="00DB00E3" w:rsidP="00DB00E3">
      <w:pPr>
        <w:pStyle w:val="NormalWeb"/>
      </w:pPr>
      <w:r>
        <w:t xml:space="preserve">Micronutrients (Fe, Zn, Mn, and Cu) were extracted using the </w:t>
      </w:r>
      <w:r>
        <w:rPr>
          <w:rStyle w:val="Strong"/>
          <w:rFonts w:eastAsiaTheme="majorEastAsia"/>
          <w:b w:val="0"/>
        </w:rPr>
        <w:t>DTPA method</w:t>
      </w:r>
      <w:r>
        <w:t xml:space="preserve"> and quantified using atomic absorption spectrophotometry (Lindsay and Norvell, 1978).</w:t>
      </w:r>
    </w:p>
    <w:p w:rsidR="00DB00E3" w:rsidRDefault="00DB00E3" w:rsidP="00DB00E3">
      <w:pPr>
        <w:jc w:val="both"/>
        <w:rPr>
          <w:b/>
          <w:sz w:val="24"/>
          <w:szCs w:val="24"/>
        </w:rPr>
      </w:pPr>
      <w:r>
        <w:rPr>
          <w:b/>
          <w:sz w:val="24"/>
          <w:szCs w:val="24"/>
        </w:rPr>
        <w:t>Soil characterization and Classification</w:t>
      </w:r>
    </w:p>
    <w:p w:rsidR="00DB00E3" w:rsidRDefault="00DB00E3" w:rsidP="00DB00E3">
      <w:r>
        <w:rPr>
          <w:sz w:val="24"/>
          <w:szCs w:val="24"/>
        </w:rPr>
        <w:t xml:space="preserve">      </w:t>
      </w:r>
      <w:proofErr w:type="spellStart"/>
      <w:r>
        <w:rPr>
          <w:sz w:val="24"/>
          <w:szCs w:val="24"/>
        </w:rPr>
        <w:t>Pedons</w:t>
      </w:r>
      <w:proofErr w:type="spellEnd"/>
      <w:r>
        <w:rPr>
          <w:sz w:val="24"/>
          <w:szCs w:val="24"/>
        </w:rPr>
        <w:t xml:space="preserve"> were characterized and classified following the USDA Soil Taxonomy system (Soil Survey Staff, 2016) and correlated with the FAO/UNESCO legend (FAO, 2006). Classification were based on observed soil properties, including chemical, physical, and morphological characteristics identified during field and laboratory analyses. A detailed taxonomic classification </w:t>
      </w:r>
      <w:proofErr w:type="gramStart"/>
      <w:r>
        <w:rPr>
          <w:sz w:val="24"/>
          <w:szCs w:val="24"/>
        </w:rPr>
        <w:t>were</w:t>
      </w:r>
      <w:proofErr w:type="gramEnd"/>
      <w:r>
        <w:rPr>
          <w:sz w:val="24"/>
          <w:szCs w:val="24"/>
        </w:rPr>
        <w:t xml:space="preserve"> carried out down to the subgroup level</w:t>
      </w:r>
    </w:p>
    <w:p w:rsidR="00DB00E3" w:rsidRDefault="00DB00E3" w:rsidP="00DB00E3">
      <w:pPr>
        <w:spacing w:before="100" w:beforeAutospacing="1" w:after="100" w:afterAutospacing="1"/>
        <w:outlineLvl w:val="2"/>
        <w:rPr>
          <w:b/>
          <w:bCs/>
          <w:sz w:val="24"/>
          <w:szCs w:val="24"/>
        </w:rPr>
      </w:pPr>
      <w:r>
        <w:rPr>
          <w:b/>
          <w:bCs/>
          <w:sz w:val="24"/>
          <w:szCs w:val="24"/>
        </w:rPr>
        <w:t>Statistical Analysis</w:t>
      </w:r>
    </w:p>
    <w:p w:rsidR="00DB00E3" w:rsidRDefault="00DB00E3" w:rsidP="00DB00E3">
      <w:pPr>
        <w:spacing w:before="100" w:beforeAutospacing="1" w:after="100" w:afterAutospacing="1"/>
        <w:rPr>
          <w:sz w:val="24"/>
          <w:szCs w:val="24"/>
        </w:rPr>
      </w:pPr>
      <w:r>
        <w:rPr>
          <w:sz w:val="24"/>
          <w:szCs w:val="24"/>
        </w:rPr>
        <w:lastRenderedPageBreak/>
        <w:t>The data generated were analyzed using descriptive statistics, including minimum, maximum, mean, median, and standard deviation. Coefficient of variation (CV) was calculated to assess the degree of variability of soil properties across the study sites (Gomez and Gomez, 1984). All statistical analyses were carried out using SAS software (SAS Institute, 2009).</w:t>
      </w:r>
    </w:p>
    <w:p w:rsidR="00DB00E3" w:rsidRDefault="00DB00E3" w:rsidP="00DB00E3">
      <w:pPr>
        <w:pStyle w:val="NoSpacing"/>
        <w:jc w:val="both"/>
        <w:rPr>
          <w:rFonts w:ascii="Times New Roman" w:hAnsi="Times New Roman" w:cs="Times New Roman"/>
          <w:b/>
          <w:sz w:val="24"/>
          <w:szCs w:val="20"/>
        </w:rPr>
      </w:pPr>
      <w:r>
        <w:rPr>
          <w:rFonts w:ascii="Times New Roman" w:hAnsi="Times New Roman" w:cs="Times New Roman"/>
          <w:b/>
          <w:sz w:val="24"/>
          <w:szCs w:val="20"/>
        </w:rPr>
        <w:t>RESULTS AND DISCUSSIONS</w:t>
      </w:r>
    </w:p>
    <w:p w:rsidR="00DB00E3" w:rsidRDefault="00DB00E3" w:rsidP="00DB00E3">
      <w:pPr>
        <w:pStyle w:val="Heading2"/>
        <w:rPr>
          <w:rFonts w:ascii="Times New Roman" w:hAnsi="Times New Roman" w:cs="Times New Roman"/>
          <w:color w:val="auto"/>
          <w:sz w:val="24"/>
          <w:szCs w:val="24"/>
        </w:rPr>
      </w:pPr>
      <w:r>
        <w:rPr>
          <w:rStyle w:val="Strong"/>
          <w:bCs w:val="0"/>
          <w:color w:val="auto"/>
          <w:sz w:val="24"/>
          <w:szCs w:val="24"/>
        </w:rPr>
        <w:t>Soil Profile Description and Pedogenic Processes</w:t>
      </w:r>
    </w:p>
    <w:p w:rsidR="00DB00E3" w:rsidRDefault="00DB00E3" w:rsidP="00DB00E3">
      <w:pPr>
        <w:pStyle w:val="NormalWeb"/>
      </w:pPr>
      <w:r>
        <w:t xml:space="preserve">The three soil profile pits, described to depths of 160–200 cm, exhibited well-developed </w:t>
      </w:r>
      <w:proofErr w:type="spellStart"/>
      <w:r>
        <w:t>pedons</w:t>
      </w:r>
      <w:proofErr w:type="spellEnd"/>
      <w:r>
        <w:t xml:space="preserve"> with distinct A, AB, B, BC, and C horizons, indicating advanced pedogenesis under tropical conditions. Such deep and clearly differentiated profiles are typical of highly weathered soils formed under humid tropical climates where prolonged weathering and leaching dominate soil-forming processes (</w:t>
      </w:r>
      <w:r>
        <w:rPr>
          <w:rStyle w:val="whitespace-normal"/>
        </w:rPr>
        <w:t>Soil Survey Staff</w:t>
      </w:r>
      <w:r>
        <w:t>, 2014).</w:t>
      </w:r>
    </w:p>
    <w:p w:rsidR="00DB00E3" w:rsidRDefault="00DB00E3" w:rsidP="00DB00E3">
      <w:pPr>
        <w:pStyle w:val="NormalWeb"/>
      </w:pPr>
      <w:r>
        <w:t>The surface horizons (A₁ and AB) are characterized by dark brown to grayish colors (5YR–10YR hues, low value and chroma), which are indicative of relatively higher organic matter content. Soil color in these horizons reflects the accumulation and decomposition of organic residues, a key factor influencing topsoil fertility and aggregation (Brady and Weil, 2017). The fine to very fine crumb and granular structures, along with loose to friable consistence, suggest strong biological activity, including root proliferation and faunal mixing. These processes enhance soil aggregation and promote nutrient cycling, thereby improving soil structural stability and productivity (Six et al., 2004).</w:t>
      </w:r>
    </w:p>
    <w:p w:rsidR="00DB00E3" w:rsidRDefault="00DB00E3" w:rsidP="00DB00E3">
      <w:pPr>
        <w:pStyle w:val="NormalWeb"/>
      </w:pPr>
      <w:r>
        <w:t>In contrast, subsurface horizons (B₁ and B₂) display yellowish-brown to orange hues (7.5YR–10YR), which are commonly associated with the presence of iron oxides such as goethite and hematite. These oxides form under well-drained to moderately drained conditions through the oxidation of iron-bearing minerals during pedogenesis (</w:t>
      </w:r>
      <w:proofErr w:type="spellStart"/>
      <w:r>
        <w:t>Schwertmann</w:t>
      </w:r>
      <w:proofErr w:type="spellEnd"/>
      <w:r>
        <w:t xml:space="preserve"> and Taylor, 1989). The increasing abundance of mottles (medium to coarse, common to many) suggests periodic water saturation and fluctuating redox conditions, indicative of imperfect drainage regimes (</w:t>
      </w:r>
      <w:proofErr w:type="spellStart"/>
      <w:r>
        <w:t>Vepraskas</w:t>
      </w:r>
      <w:proofErr w:type="spellEnd"/>
      <w:r>
        <w:t xml:space="preserve"> and </w:t>
      </w:r>
      <w:proofErr w:type="spellStart"/>
      <w:r>
        <w:t>Lindbo</w:t>
      </w:r>
      <w:proofErr w:type="spellEnd"/>
      <w:r>
        <w:t>, 2012).</w:t>
      </w:r>
    </w:p>
    <w:p w:rsidR="00DB00E3" w:rsidRDefault="00DB00E3" w:rsidP="00DB00E3">
      <w:pPr>
        <w:pStyle w:val="NormalWeb"/>
      </w:pPr>
      <w:r>
        <w:t xml:space="preserve">The structural evolution from granular in the surface horizons to sub-angular and angular blocky in the subsurface reflects increasing clay content and pedogenic development. This is further supported by the presence of clay </w:t>
      </w:r>
      <w:proofErr w:type="spellStart"/>
      <w:r>
        <w:t>cutans</w:t>
      </w:r>
      <w:proofErr w:type="spellEnd"/>
      <w:r>
        <w:t xml:space="preserve"> (argillans), which confirm active clay illuviation and the formation of an argillic horizon. Clay translocation is a dominant pedogenic process in humid tropical soils and is strongly influenced by seasonal wetting and drying cycles (</w:t>
      </w:r>
      <w:proofErr w:type="spellStart"/>
      <w:r>
        <w:t>Schaetzl</w:t>
      </w:r>
      <w:proofErr w:type="spellEnd"/>
      <w:r>
        <w:t xml:space="preserve"> and Thompson, 2015).</w:t>
      </w:r>
    </w:p>
    <w:p w:rsidR="00DB00E3" w:rsidRDefault="00DB00E3" w:rsidP="00DB00E3">
      <w:pPr>
        <w:pStyle w:val="NormalWeb"/>
      </w:pPr>
      <w:r>
        <w:t>Additionally, the occurrence of Fe–Mn concretions in the B and BC horizons provides clear evidence of redoximorphic processes. These features form through repeated cycles of reduction, mobilization, and oxidation of iron and manganese under fluctuating water table conditions (</w:t>
      </w:r>
      <w:proofErr w:type="spellStart"/>
      <w:r>
        <w:t>Vepraskas</w:t>
      </w:r>
      <w:proofErr w:type="spellEnd"/>
      <w:r>
        <w:t xml:space="preserve"> and </w:t>
      </w:r>
      <w:proofErr w:type="spellStart"/>
      <w:r>
        <w:t>Lindbo</w:t>
      </w:r>
      <w:proofErr w:type="spellEnd"/>
      <w:r>
        <w:t>, 2012). In the BC and C horizons, the dominance of high-chroma colors, firm to very hard consistence, and reduced biological activity indicates prolonged saturation and limited aeration. These conditions are typical of lower landscape positions where water accumulates and drainage is restricted.</w:t>
      </w:r>
    </w:p>
    <w:p w:rsidR="00DB00E3" w:rsidRDefault="00DB00E3" w:rsidP="00DB00E3">
      <w:pPr>
        <w:pStyle w:val="NormalWeb"/>
      </w:pPr>
      <w:r>
        <w:lastRenderedPageBreak/>
        <w:t xml:space="preserve">Generally, the vertical differentiation—from organic-rich surface horizons to clay-enriched, mottled subsoils—reflects the combined influence of parent material, topography, and hydrological processes. This pattern is consistent with soils developed along a </w:t>
      </w:r>
      <w:proofErr w:type="spellStart"/>
      <w:r>
        <w:t>toposequence</w:t>
      </w:r>
      <w:proofErr w:type="spellEnd"/>
      <w:r>
        <w:t xml:space="preserve"> where lateral water movement and sediment redistribution play critical roles in soil formation (Jenny, 1941; </w:t>
      </w:r>
      <w:proofErr w:type="spellStart"/>
      <w:r>
        <w:t>Schaetzl</w:t>
      </w:r>
      <w:proofErr w:type="spellEnd"/>
      <w:r>
        <w:t xml:space="preserve"> and Thompson, 2015).</w:t>
      </w:r>
    </w:p>
    <w:p w:rsidR="00DB00E3" w:rsidRDefault="00DB00E3" w:rsidP="00DB00E3">
      <w:pPr>
        <w:pStyle w:val="Heading2"/>
        <w:rPr>
          <w:rFonts w:ascii="Times New Roman" w:hAnsi="Times New Roman" w:cs="Times New Roman"/>
          <w:color w:val="auto"/>
          <w:sz w:val="24"/>
          <w:szCs w:val="24"/>
        </w:rPr>
      </w:pPr>
      <w:r>
        <w:rPr>
          <w:rStyle w:val="Strong"/>
          <w:bCs w:val="0"/>
          <w:color w:val="auto"/>
          <w:sz w:val="24"/>
          <w:szCs w:val="24"/>
        </w:rPr>
        <w:t>Implications for Soil Fertility and Agricultural Use</w:t>
      </w:r>
    </w:p>
    <w:p w:rsidR="00DB00E3" w:rsidRDefault="00DB00E3" w:rsidP="00DB00E3">
      <w:pPr>
        <w:pStyle w:val="NormalWeb"/>
      </w:pPr>
      <w:r>
        <w:t>The morphological characteristics observed have direct implications for soil fertility and land-use potential. The surface horizons, with their favorable structure, moderate organic matter content, and high biological activity, provide suitable conditions for root growth, water infiltration, and nutrient availability. These properties support crop establishment, particularly for shallow-rooted crops that rely on topsoil nutrients (Brady and Weil, 2017).</w:t>
      </w:r>
    </w:p>
    <w:p w:rsidR="00DB00E3" w:rsidRDefault="00DB00E3" w:rsidP="00DB00E3">
      <w:pPr>
        <w:pStyle w:val="NormalWeb"/>
      </w:pPr>
      <w:r>
        <w:t>However, the increase in clay content with depth, coupled with blocky to columnar structures, results in reduced permeability and poor internal drainage. This condition is particularly pronounced in lower slope positions, where the presence of mottles and Fe–Mn concretions indicates seasonal waterlogging. Under such conditions, oxygen availability in the root zone is limited, leading to reduced root respiration and impaired nutrient uptake (</w:t>
      </w:r>
      <w:proofErr w:type="spellStart"/>
      <w:r>
        <w:t>Ponnamperuma</w:t>
      </w:r>
      <w:proofErr w:type="spellEnd"/>
      <w:r>
        <w:t>, 1972).</w:t>
      </w:r>
    </w:p>
    <w:p w:rsidR="00DB00E3" w:rsidRDefault="00DB00E3" w:rsidP="00DB00E3">
      <w:pPr>
        <w:pStyle w:val="NormalWeb"/>
      </w:pPr>
      <w:r>
        <w:t>Furthermore, anaerobic conditions promote denitrification, resulting in nitrogen losses, while redox reactions can alter the availability of micronutrients such as iron and manganese (</w:t>
      </w:r>
      <w:proofErr w:type="spellStart"/>
      <w:r>
        <w:t>Fageria</w:t>
      </w:r>
      <w:proofErr w:type="spellEnd"/>
      <w:r>
        <w:t xml:space="preserve"> et al., 2011). The firm to very hard consistence of the subsurface horizons also restricts root penetration, limiting access to deeper soil moisture during dry periods. This can lead to moisture stress and reduced crop productivity.</w:t>
      </w:r>
    </w:p>
    <w:p w:rsidR="00DB00E3" w:rsidRDefault="00DB00E3" w:rsidP="00DB00E3">
      <w:pPr>
        <w:pStyle w:val="NormalWeb"/>
      </w:pPr>
      <w:r>
        <w:t>The presence of coarse fragments and stoniness further reduces effective rooting depth and may hinder mechanized agricultural operations. Consequently, soil management practices must address both physical and chemical constraints to enhance productivity.</w:t>
      </w:r>
    </w:p>
    <w:p w:rsidR="00DB00E3" w:rsidRDefault="00DB00E3" w:rsidP="00DB00E3">
      <w:pPr>
        <w:pStyle w:val="NormalWeb"/>
      </w:pPr>
      <w:r>
        <w:t>From a land-use perspective, these soils are best suited for crops tolerant of periodic waterlogging, such as rice and sugarcane, particularly in lower slope positions. In upland areas, improved drainage, organic matter amendments, and mechanical loosening (e.g., subsoiling) are recommended to enhance soil structure and root penetration (Lal, 2015).</w:t>
      </w:r>
    </w:p>
    <w:p w:rsidR="00DB00E3" w:rsidRDefault="00DB00E3" w:rsidP="00DB00E3">
      <w:pPr>
        <w:pStyle w:val="Heading2"/>
        <w:rPr>
          <w:rFonts w:ascii="Times New Roman" w:hAnsi="Times New Roman" w:cs="Times New Roman"/>
          <w:color w:val="auto"/>
          <w:sz w:val="24"/>
          <w:szCs w:val="24"/>
        </w:rPr>
      </w:pPr>
      <w:r>
        <w:rPr>
          <w:rStyle w:val="Strong"/>
          <w:bCs w:val="0"/>
          <w:color w:val="auto"/>
          <w:sz w:val="24"/>
          <w:szCs w:val="24"/>
        </w:rPr>
        <w:t>Topographic Influence on Soil Development</w:t>
      </w:r>
    </w:p>
    <w:p w:rsidR="00DB00E3" w:rsidRDefault="00DB00E3" w:rsidP="00DB00E3">
      <w:pPr>
        <w:pStyle w:val="NormalWeb"/>
      </w:pPr>
      <w:r>
        <w:t xml:space="preserve">Topography is a key factor influencing soil formation and variability within the study area. It controls water movement, erosion, and deposition processes, thereby shaping soil morphology and properties along the </w:t>
      </w:r>
      <w:proofErr w:type="spellStart"/>
      <w:r>
        <w:t>toposequence</w:t>
      </w:r>
      <w:proofErr w:type="spellEnd"/>
      <w:r>
        <w:t xml:space="preserve"> (Jenny, 1941).</w:t>
      </w:r>
    </w:p>
    <w:p w:rsidR="00DB00E3" w:rsidRDefault="00DB00E3" w:rsidP="00DB00E3">
      <w:pPr>
        <w:pStyle w:val="NormalWeb"/>
      </w:pPr>
      <w:r>
        <w:t>In summit and upper slope positions, well-drained conditions favor oxidation processes, resulting in better-structured soils with stable aggregates. However, these areas are more susceptible to erosion, which can remove fine particles and organic matter, leading to coarser textures and reduced fertility (</w:t>
      </w:r>
      <w:proofErr w:type="spellStart"/>
      <w:r>
        <w:t>Schaetzl</w:t>
      </w:r>
      <w:proofErr w:type="spellEnd"/>
      <w:r>
        <w:t xml:space="preserve"> and Thompson, 2015).</w:t>
      </w:r>
    </w:p>
    <w:p w:rsidR="00DB00E3" w:rsidRDefault="00DB00E3" w:rsidP="00DB00E3">
      <w:pPr>
        <w:pStyle w:val="NormalWeb"/>
      </w:pPr>
      <w:r>
        <w:lastRenderedPageBreak/>
        <w:t>Conversely, lower slope positions serve as zones of accumulation where materials eroded from upslope are deposited. This results in deeper soils with higher clay content and more pronounced horizon development. The accumulation of water in these areas leads to prolonged saturation, promoting redoximorphic processes and the formation of Fe–Mn concretions (</w:t>
      </w:r>
      <w:proofErr w:type="spellStart"/>
      <w:r>
        <w:t>Vepraskas</w:t>
      </w:r>
      <w:proofErr w:type="spellEnd"/>
      <w:r>
        <w:t xml:space="preserve"> and </w:t>
      </w:r>
      <w:proofErr w:type="spellStart"/>
      <w:r>
        <w:t>Lindbo</w:t>
      </w:r>
      <w:proofErr w:type="spellEnd"/>
      <w:r>
        <w:t>, 2012).</w:t>
      </w:r>
    </w:p>
    <w:p w:rsidR="00DB00E3" w:rsidRDefault="00DB00E3" w:rsidP="00DB00E3">
      <w:pPr>
        <w:pStyle w:val="NormalWeb"/>
      </w:pPr>
      <w:r>
        <w:t>The middle slope represents a transitional zone where both erosion and deposition occur, resulting in relatively balanced soil properties. The interaction between slope position and hydrological regime governs key pedogenic processes such as clay illuviation, mineral weathering, and redox reactions.</w:t>
      </w:r>
    </w:p>
    <w:p w:rsidR="00DB00E3" w:rsidRDefault="00DB00E3" w:rsidP="00DB00E3">
      <w:pPr>
        <w:pStyle w:val="NormalWeb"/>
      </w:pPr>
      <w:r>
        <w:t>Overall, the observed soil variability reflects the dynamic interplay between topography, parent material, and climate, consistent with classical soil-forming factors (Jenny, 1941). These factors collectively determine soil fertility, structure, and suitability for agricultural use.</w:t>
      </w:r>
    </w:p>
    <w:p w:rsidR="00DB00E3" w:rsidRDefault="00DB00E3" w:rsidP="00DB00E3">
      <w:pPr>
        <w:rPr>
          <w:sz w:val="24"/>
          <w:szCs w:val="24"/>
        </w:rPr>
      </w:pPr>
    </w:p>
    <w:p w:rsidR="00DB00E3" w:rsidRDefault="00DB00E3" w:rsidP="00DB00E3">
      <w:pPr>
        <w:rPr>
          <w:sz w:val="24"/>
          <w:szCs w:val="24"/>
        </w:rPr>
      </w:pPr>
    </w:p>
    <w:p w:rsidR="00DB00E3" w:rsidRDefault="00DB00E3" w:rsidP="00DB00E3">
      <w:pPr>
        <w:spacing w:line="276" w:lineRule="auto"/>
        <w:jc w:val="both"/>
        <w:rPr>
          <w:b/>
          <w:bCs/>
          <w:sz w:val="20"/>
          <w:szCs w:val="20"/>
        </w:rPr>
      </w:pPr>
      <w:r>
        <w:rPr>
          <w:b/>
          <w:bCs/>
          <w:sz w:val="20"/>
          <w:szCs w:val="20"/>
        </w:rPr>
        <w:t xml:space="preserve">Table </w:t>
      </w:r>
      <w:proofErr w:type="gramStart"/>
      <w:r>
        <w:rPr>
          <w:b/>
          <w:bCs/>
          <w:sz w:val="20"/>
          <w:szCs w:val="20"/>
        </w:rPr>
        <w:t>1 :</w:t>
      </w:r>
      <w:proofErr w:type="gramEnd"/>
      <w:r>
        <w:rPr>
          <w:b/>
          <w:bCs/>
          <w:sz w:val="20"/>
          <w:szCs w:val="20"/>
        </w:rPr>
        <w:t xml:space="preserve">  Structure of Horizons </w:t>
      </w:r>
    </w:p>
    <w:p w:rsidR="00DB00E3" w:rsidRDefault="00DB00E3" w:rsidP="00DB00E3">
      <w:pPr>
        <w:widowControl/>
        <w:autoSpaceDE/>
        <w:autoSpaceDN/>
        <w:spacing w:line="276" w:lineRule="auto"/>
        <w:rPr>
          <w:b/>
          <w:bCs/>
          <w:sz w:val="20"/>
          <w:szCs w:val="20"/>
        </w:rPr>
        <w:sectPr w:rsidR="00DB00E3">
          <w:pgSz w:w="12240" w:h="15840"/>
          <w:pgMar w:top="1440" w:right="1440" w:bottom="1440" w:left="1440" w:header="720" w:footer="720" w:gutter="0"/>
          <w:cols w:space="720"/>
        </w:sectPr>
      </w:pPr>
    </w:p>
    <w:tbl>
      <w:tblPr>
        <w:tblStyle w:val="LightShading"/>
        <w:tblW w:w="13752" w:type="dxa"/>
        <w:tblLook w:val="04A0" w:firstRow="1" w:lastRow="0" w:firstColumn="1" w:lastColumn="0" w:noHBand="0" w:noVBand="1"/>
      </w:tblPr>
      <w:tblGrid>
        <w:gridCol w:w="930"/>
        <w:gridCol w:w="1197"/>
        <w:gridCol w:w="1500"/>
        <w:gridCol w:w="3000"/>
        <w:gridCol w:w="3500"/>
        <w:gridCol w:w="3625"/>
      </w:tblGrid>
      <w:tr w:rsidR="00DB00E3" w:rsidTr="000F593C">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rsidR="00DB00E3" w:rsidRDefault="00DB00E3" w:rsidP="000F593C">
            <w:pPr>
              <w:spacing w:line="276" w:lineRule="auto"/>
              <w:jc w:val="both"/>
              <w:rPr>
                <w:sz w:val="20"/>
                <w:szCs w:val="20"/>
              </w:rPr>
            </w:pPr>
            <w:r>
              <w:rPr>
                <w:sz w:val="20"/>
                <w:szCs w:val="20"/>
              </w:rPr>
              <w:lastRenderedPageBreak/>
              <w:t>Horizon</w:t>
            </w:r>
          </w:p>
        </w:tc>
        <w:tc>
          <w:tcPr>
            <w:tcW w:w="1197" w:type="dxa"/>
            <w:noWrap/>
            <w:hideMark/>
          </w:tcPr>
          <w:p w:rsidR="00DB00E3" w:rsidRDefault="00DB00E3" w:rsidP="000F593C">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Depth</w:t>
            </w:r>
          </w:p>
        </w:tc>
        <w:tc>
          <w:tcPr>
            <w:tcW w:w="1500" w:type="dxa"/>
            <w:noWrap/>
            <w:hideMark/>
          </w:tcPr>
          <w:p w:rsidR="00DB00E3" w:rsidRDefault="00DB00E3" w:rsidP="000F593C">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proofErr w:type="spellStart"/>
            <w:r>
              <w:rPr>
                <w:sz w:val="20"/>
                <w:szCs w:val="20"/>
              </w:rPr>
              <w:t>Colour</w:t>
            </w:r>
            <w:proofErr w:type="spellEnd"/>
          </w:p>
        </w:tc>
        <w:tc>
          <w:tcPr>
            <w:tcW w:w="3000" w:type="dxa"/>
            <w:noWrap/>
            <w:hideMark/>
          </w:tcPr>
          <w:p w:rsidR="00DB00E3" w:rsidRDefault="00DB00E3" w:rsidP="000F593C">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Structure</w:t>
            </w:r>
          </w:p>
        </w:tc>
        <w:tc>
          <w:tcPr>
            <w:tcW w:w="3500" w:type="dxa"/>
            <w:noWrap/>
            <w:hideMark/>
          </w:tcPr>
          <w:p w:rsidR="00DB00E3" w:rsidRDefault="00DB00E3" w:rsidP="000F593C">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Consistence</w:t>
            </w:r>
          </w:p>
        </w:tc>
        <w:tc>
          <w:tcPr>
            <w:tcW w:w="3624" w:type="dxa"/>
            <w:noWrap/>
            <w:hideMark/>
          </w:tcPr>
          <w:p w:rsidR="00DB00E3" w:rsidRDefault="00DB00E3" w:rsidP="000F593C">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Boundary</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rPr>
                <w:sz w:val="20"/>
                <w:szCs w:val="20"/>
              </w:rPr>
            </w:pP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(cm)</w:t>
            </w:r>
          </w:p>
        </w:tc>
        <w:tc>
          <w:tcPr>
            <w:tcW w:w="1500" w:type="dxa"/>
            <w:tcBorders>
              <w:top w:val="nil"/>
              <w:bottom w:val="nil"/>
            </w:tcBorders>
            <w:noWrap/>
            <w:hideMark/>
          </w:tcPr>
          <w:p w:rsidR="00DB00E3" w:rsidRDefault="00DB00E3" w:rsidP="000F593C">
            <w:pPr>
              <w:cnfStyle w:val="000000100000" w:firstRow="0" w:lastRow="0" w:firstColumn="0" w:lastColumn="0" w:oddVBand="0" w:evenVBand="0" w:oddHBand="1" w:evenHBand="0" w:firstRowFirstColumn="0" w:firstRowLastColumn="0" w:lastRowFirstColumn="0" w:lastRowLastColumn="0"/>
              <w:rPr>
                <w:sz w:val="20"/>
                <w:szCs w:val="20"/>
              </w:rPr>
            </w:pPr>
          </w:p>
        </w:tc>
        <w:tc>
          <w:tcPr>
            <w:tcW w:w="3000" w:type="dxa"/>
            <w:tcBorders>
              <w:top w:val="nil"/>
              <w:bottom w:val="nil"/>
            </w:tcBorders>
            <w:noWrap/>
            <w:hideMark/>
          </w:tcPr>
          <w:p w:rsidR="00DB00E3" w:rsidRDefault="00DB00E3" w:rsidP="000F593C">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 w:val="20"/>
                <w:szCs w:val="20"/>
              </w:rPr>
            </w:pP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(moist)</w:t>
            </w:r>
          </w:p>
        </w:tc>
        <w:tc>
          <w:tcPr>
            <w:tcW w:w="3624" w:type="dxa"/>
            <w:tcBorders>
              <w:top w:val="nil"/>
              <w:bottom w:val="nil"/>
            </w:tcBorders>
            <w:noWrap/>
            <w:hideMark/>
          </w:tcPr>
          <w:p w:rsidR="00DB00E3" w:rsidRDefault="00DB00E3" w:rsidP="000F593C">
            <w:pPr>
              <w:cnfStyle w:val="000000100000" w:firstRow="0" w:lastRow="0" w:firstColumn="0" w:lastColumn="0" w:oddVBand="0" w:evenVBand="0" w:oddHBand="1" w:evenHBand="0" w:firstRowFirstColumn="0" w:firstRowLastColumn="0" w:lastRowFirstColumn="0" w:lastRowLastColumn="0"/>
              <w:rPr>
                <w:sz w:val="20"/>
                <w:szCs w:val="20"/>
              </w:rPr>
            </w:pP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13752" w:type="dxa"/>
            <w:gridSpan w:val="6"/>
            <w:tcBorders>
              <w:top w:val="nil"/>
              <w:left w:val="nil"/>
              <w:bottom w:val="nil"/>
              <w:right w:val="nil"/>
            </w:tcBorders>
            <w:noWrap/>
            <w:hideMark/>
          </w:tcPr>
          <w:p w:rsidR="00DB00E3" w:rsidRDefault="00DB00E3" w:rsidP="000F593C">
            <w:pPr>
              <w:spacing w:line="276" w:lineRule="auto"/>
              <w:jc w:val="both"/>
              <w:rPr>
                <w:b w:val="0"/>
                <w:sz w:val="20"/>
                <w:szCs w:val="20"/>
              </w:rPr>
            </w:pPr>
            <w:proofErr w:type="spellStart"/>
            <w:r>
              <w:rPr>
                <w:sz w:val="20"/>
                <w:szCs w:val="20"/>
              </w:rPr>
              <w:t>pedon</w:t>
            </w:r>
            <w:proofErr w:type="spellEnd"/>
            <w:r>
              <w:rPr>
                <w:sz w:val="20"/>
                <w:szCs w:val="20"/>
              </w:rPr>
              <w:t xml:space="preserve"> 001 RS      summit</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A</w:t>
            </w:r>
            <w:r>
              <w:rPr>
                <w:sz w:val="20"/>
                <w:szCs w:val="20"/>
                <w:vertAlign w:val="subscript"/>
              </w:rPr>
              <w:t>1</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0-38</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5YR 2/1</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fine crumb</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non-sticky, loose and dry loose</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wavy and diffuse</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spacing w:line="276" w:lineRule="auto"/>
              <w:jc w:val="both"/>
              <w:rPr>
                <w:sz w:val="20"/>
                <w:szCs w:val="20"/>
              </w:rPr>
            </w:pPr>
            <w:r>
              <w:rPr>
                <w:sz w:val="20"/>
                <w:szCs w:val="20"/>
              </w:rPr>
              <w:t>AB</w:t>
            </w:r>
          </w:p>
        </w:tc>
        <w:tc>
          <w:tcPr>
            <w:tcW w:w="1197"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38-76</w:t>
            </w:r>
          </w:p>
        </w:tc>
        <w:tc>
          <w:tcPr>
            <w:tcW w:w="1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5YR 2/2</w:t>
            </w:r>
          </w:p>
        </w:tc>
        <w:tc>
          <w:tcPr>
            <w:tcW w:w="30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 granular</w:t>
            </w:r>
          </w:p>
        </w:tc>
        <w:tc>
          <w:tcPr>
            <w:tcW w:w="3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non-sticky, loose and soft hard</w:t>
            </w:r>
          </w:p>
        </w:tc>
        <w:tc>
          <w:tcPr>
            <w:tcW w:w="3624"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wavy and diffuse</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B</w:t>
            </w:r>
            <w:r>
              <w:rPr>
                <w:sz w:val="20"/>
                <w:szCs w:val="20"/>
                <w:vertAlign w:val="subscript"/>
              </w:rPr>
              <w:t>1</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76-126</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7.5YR 6/6</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medium sub angular blocky</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sticky, extra firm and hard</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smooth and gradual</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spacing w:line="276" w:lineRule="auto"/>
              <w:jc w:val="both"/>
              <w:rPr>
                <w:sz w:val="20"/>
                <w:szCs w:val="20"/>
              </w:rPr>
            </w:pPr>
            <w:r>
              <w:rPr>
                <w:sz w:val="20"/>
                <w:szCs w:val="20"/>
              </w:rPr>
              <w:t>B</w:t>
            </w:r>
            <w:r>
              <w:rPr>
                <w:sz w:val="20"/>
                <w:szCs w:val="20"/>
                <w:vertAlign w:val="subscript"/>
              </w:rPr>
              <w:t>2</w:t>
            </w:r>
          </w:p>
        </w:tc>
        <w:tc>
          <w:tcPr>
            <w:tcW w:w="1197"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126-160</w:t>
            </w:r>
          </w:p>
        </w:tc>
        <w:tc>
          <w:tcPr>
            <w:tcW w:w="1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7.5YR 6/4</w:t>
            </w:r>
          </w:p>
        </w:tc>
        <w:tc>
          <w:tcPr>
            <w:tcW w:w="30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 angular blocky</w:t>
            </w:r>
          </w:p>
        </w:tc>
        <w:tc>
          <w:tcPr>
            <w:tcW w:w="3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sticky, firm and hard</w:t>
            </w:r>
          </w:p>
        </w:tc>
        <w:tc>
          <w:tcPr>
            <w:tcW w:w="3624"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smooth and gradual</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BC</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126-200</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7.5YR 7/6</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medium angular blocky</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sticky, firm and hard</w:t>
            </w:r>
          </w:p>
        </w:tc>
        <w:tc>
          <w:tcPr>
            <w:tcW w:w="3624" w:type="dxa"/>
            <w:tcBorders>
              <w:top w:val="nil"/>
              <w:bottom w:val="nil"/>
            </w:tcBorders>
            <w:noWrap/>
            <w:hideMark/>
          </w:tcPr>
          <w:p w:rsidR="00DB00E3" w:rsidRDefault="00DB00E3" w:rsidP="000F593C">
            <w:pPr>
              <w:cnfStyle w:val="000000100000" w:firstRow="0" w:lastRow="0" w:firstColumn="0" w:lastColumn="0" w:oddVBand="0" w:evenVBand="0" w:oddHBand="1" w:evenHBand="0" w:firstRowFirstColumn="0" w:firstRowLastColumn="0" w:lastRowFirstColumn="0" w:lastRowLastColumn="0"/>
              <w:rPr>
                <w:sz w:val="20"/>
                <w:szCs w:val="20"/>
              </w:rPr>
            </w:pP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13752" w:type="dxa"/>
            <w:gridSpan w:val="6"/>
            <w:tcBorders>
              <w:top w:val="nil"/>
              <w:left w:val="nil"/>
              <w:bottom w:val="nil"/>
              <w:right w:val="nil"/>
            </w:tcBorders>
            <w:noWrap/>
            <w:hideMark/>
          </w:tcPr>
          <w:p w:rsidR="00DB00E3" w:rsidRDefault="00DB00E3" w:rsidP="000F593C">
            <w:pPr>
              <w:spacing w:line="276" w:lineRule="auto"/>
              <w:jc w:val="both"/>
              <w:rPr>
                <w:b w:val="0"/>
                <w:sz w:val="20"/>
                <w:szCs w:val="20"/>
              </w:rPr>
            </w:pPr>
            <w:proofErr w:type="spellStart"/>
            <w:r>
              <w:rPr>
                <w:sz w:val="20"/>
                <w:szCs w:val="20"/>
              </w:rPr>
              <w:t>pedon</w:t>
            </w:r>
            <w:proofErr w:type="spellEnd"/>
            <w:r>
              <w:rPr>
                <w:sz w:val="20"/>
                <w:szCs w:val="20"/>
              </w:rPr>
              <w:t xml:space="preserve"> 002 RS     upper slope</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A</w:t>
            </w:r>
            <w:r>
              <w:rPr>
                <w:sz w:val="20"/>
                <w:szCs w:val="20"/>
                <w:vertAlign w:val="subscript"/>
              </w:rPr>
              <w:t>1</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0-35</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7.5YR 4/1</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fine or thin crumb</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non-sticky, friable and dry loose</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smooth and diffuse</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spacing w:line="276" w:lineRule="auto"/>
              <w:jc w:val="both"/>
              <w:rPr>
                <w:sz w:val="20"/>
                <w:szCs w:val="20"/>
              </w:rPr>
            </w:pPr>
            <w:r>
              <w:rPr>
                <w:sz w:val="20"/>
                <w:szCs w:val="20"/>
              </w:rPr>
              <w:t>AB</w:t>
            </w:r>
          </w:p>
        </w:tc>
        <w:tc>
          <w:tcPr>
            <w:tcW w:w="1197"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35-71</w:t>
            </w:r>
          </w:p>
        </w:tc>
        <w:tc>
          <w:tcPr>
            <w:tcW w:w="1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10YR 5/6</w:t>
            </w:r>
          </w:p>
        </w:tc>
        <w:tc>
          <w:tcPr>
            <w:tcW w:w="30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fine and thin crumb</w:t>
            </w:r>
          </w:p>
        </w:tc>
        <w:tc>
          <w:tcPr>
            <w:tcW w:w="3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non-sticky, friable and dry loose</w:t>
            </w:r>
          </w:p>
        </w:tc>
        <w:tc>
          <w:tcPr>
            <w:tcW w:w="3624"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irregular and gradual</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B</w:t>
            </w:r>
            <w:r>
              <w:rPr>
                <w:sz w:val="20"/>
                <w:szCs w:val="20"/>
                <w:vertAlign w:val="subscript"/>
              </w:rPr>
              <w:t>1</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71-119</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10YR 6/8</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fine single grain</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non-sticky, firm and soft hard</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broken and gradual</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spacing w:line="276" w:lineRule="auto"/>
              <w:jc w:val="both"/>
              <w:rPr>
                <w:sz w:val="20"/>
                <w:szCs w:val="20"/>
              </w:rPr>
            </w:pPr>
            <w:r>
              <w:rPr>
                <w:sz w:val="20"/>
                <w:szCs w:val="20"/>
              </w:rPr>
              <w:t>B</w:t>
            </w:r>
            <w:r>
              <w:rPr>
                <w:sz w:val="20"/>
                <w:szCs w:val="20"/>
                <w:vertAlign w:val="subscript"/>
              </w:rPr>
              <w:t>2</w:t>
            </w:r>
          </w:p>
        </w:tc>
        <w:tc>
          <w:tcPr>
            <w:tcW w:w="1197"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119-167</w:t>
            </w:r>
          </w:p>
        </w:tc>
        <w:tc>
          <w:tcPr>
            <w:tcW w:w="1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10YR 7/8</w:t>
            </w:r>
          </w:p>
        </w:tc>
        <w:tc>
          <w:tcPr>
            <w:tcW w:w="30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 sub-angular blocky</w:t>
            </w:r>
          </w:p>
        </w:tc>
        <w:tc>
          <w:tcPr>
            <w:tcW w:w="3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non-sticky, loose and hard</w:t>
            </w:r>
          </w:p>
        </w:tc>
        <w:tc>
          <w:tcPr>
            <w:tcW w:w="3624"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broken and gradual</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BC</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167-200</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10YR 8/8</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coarse and sub-angular blocky</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non-sticky, loose and hard</w:t>
            </w:r>
          </w:p>
        </w:tc>
        <w:tc>
          <w:tcPr>
            <w:tcW w:w="3624" w:type="dxa"/>
            <w:tcBorders>
              <w:top w:val="nil"/>
              <w:bottom w:val="nil"/>
            </w:tcBorders>
            <w:noWrap/>
            <w:hideMark/>
          </w:tcPr>
          <w:p w:rsidR="00DB00E3" w:rsidRDefault="00DB00E3" w:rsidP="000F593C">
            <w:pPr>
              <w:cnfStyle w:val="000000100000" w:firstRow="0" w:lastRow="0" w:firstColumn="0" w:lastColumn="0" w:oddVBand="0" w:evenVBand="0" w:oddHBand="1" w:evenHBand="0" w:firstRowFirstColumn="0" w:firstRowLastColumn="0" w:lastRowFirstColumn="0" w:lastRowLastColumn="0"/>
              <w:rPr>
                <w:sz w:val="20"/>
                <w:szCs w:val="20"/>
              </w:rPr>
            </w:pP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13752" w:type="dxa"/>
            <w:gridSpan w:val="6"/>
            <w:tcBorders>
              <w:top w:val="nil"/>
              <w:left w:val="nil"/>
              <w:bottom w:val="nil"/>
              <w:right w:val="nil"/>
            </w:tcBorders>
            <w:noWrap/>
            <w:hideMark/>
          </w:tcPr>
          <w:p w:rsidR="00DB00E3" w:rsidRDefault="00DB00E3" w:rsidP="000F593C">
            <w:pPr>
              <w:spacing w:line="276" w:lineRule="auto"/>
              <w:jc w:val="both"/>
              <w:rPr>
                <w:b w:val="0"/>
                <w:sz w:val="20"/>
                <w:szCs w:val="20"/>
              </w:rPr>
            </w:pPr>
            <w:proofErr w:type="spellStart"/>
            <w:r>
              <w:rPr>
                <w:sz w:val="20"/>
                <w:szCs w:val="20"/>
              </w:rPr>
              <w:t>pedon</w:t>
            </w:r>
            <w:proofErr w:type="spellEnd"/>
            <w:r>
              <w:rPr>
                <w:sz w:val="20"/>
                <w:szCs w:val="20"/>
              </w:rPr>
              <w:t xml:space="preserve"> 003 RS     middle slope</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A</w:t>
            </w:r>
            <w:r>
              <w:rPr>
                <w:sz w:val="20"/>
                <w:szCs w:val="20"/>
                <w:vertAlign w:val="subscript"/>
              </w:rPr>
              <w:t>1</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0-25</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2.5 YR 4/1</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fine granular</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non-sticky, loose and dry loose</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smooth and diffuse</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spacing w:line="276" w:lineRule="auto"/>
              <w:jc w:val="both"/>
              <w:rPr>
                <w:sz w:val="20"/>
                <w:szCs w:val="20"/>
              </w:rPr>
            </w:pPr>
            <w:r>
              <w:rPr>
                <w:sz w:val="20"/>
                <w:szCs w:val="20"/>
              </w:rPr>
              <w:t>AB</w:t>
            </w:r>
          </w:p>
        </w:tc>
        <w:tc>
          <w:tcPr>
            <w:tcW w:w="1197"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25-55</w:t>
            </w:r>
          </w:p>
        </w:tc>
        <w:tc>
          <w:tcPr>
            <w:tcW w:w="1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5YR 4/1</w:t>
            </w:r>
          </w:p>
        </w:tc>
        <w:tc>
          <w:tcPr>
            <w:tcW w:w="30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very fine crumb</w:t>
            </w:r>
          </w:p>
        </w:tc>
        <w:tc>
          <w:tcPr>
            <w:tcW w:w="3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non-sticky, loose and dry loose</w:t>
            </w:r>
          </w:p>
        </w:tc>
        <w:tc>
          <w:tcPr>
            <w:tcW w:w="3624"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irregular and gradual</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B</w:t>
            </w:r>
            <w:r>
              <w:rPr>
                <w:sz w:val="20"/>
                <w:szCs w:val="20"/>
                <w:vertAlign w:val="subscript"/>
              </w:rPr>
              <w:t>1</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55-80</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10YR 6/8</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fine single grain</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non-sticky, loose and dry loose</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broken and gradual</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spacing w:line="276" w:lineRule="auto"/>
              <w:jc w:val="both"/>
              <w:rPr>
                <w:sz w:val="20"/>
                <w:szCs w:val="20"/>
              </w:rPr>
            </w:pPr>
            <w:r>
              <w:rPr>
                <w:sz w:val="20"/>
                <w:szCs w:val="20"/>
              </w:rPr>
              <w:t>B</w:t>
            </w:r>
            <w:r>
              <w:rPr>
                <w:sz w:val="20"/>
                <w:szCs w:val="20"/>
                <w:vertAlign w:val="subscript"/>
              </w:rPr>
              <w:t>2</w:t>
            </w:r>
          </w:p>
        </w:tc>
        <w:tc>
          <w:tcPr>
            <w:tcW w:w="1197"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80-120</w:t>
            </w:r>
          </w:p>
        </w:tc>
        <w:tc>
          <w:tcPr>
            <w:tcW w:w="1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7.5YR 6/6</w:t>
            </w:r>
          </w:p>
        </w:tc>
        <w:tc>
          <w:tcPr>
            <w:tcW w:w="30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 and crumb</w:t>
            </w:r>
          </w:p>
        </w:tc>
        <w:tc>
          <w:tcPr>
            <w:tcW w:w="3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slightly sticky, friable and soft hard</w:t>
            </w:r>
          </w:p>
        </w:tc>
        <w:tc>
          <w:tcPr>
            <w:tcW w:w="3624"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broken and gradual</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BC</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120-161</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7.5YR 6/6</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medium and columnar</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sticky, firm and hard</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wavy and diffuse</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spacing w:line="276" w:lineRule="auto"/>
              <w:jc w:val="both"/>
              <w:rPr>
                <w:sz w:val="20"/>
                <w:szCs w:val="20"/>
              </w:rPr>
            </w:pPr>
            <w:r>
              <w:rPr>
                <w:sz w:val="20"/>
                <w:szCs w:val="20"/>
              </w:rPr>
              <w:t>C</w:t>
            </w:r>
            <w:r>
              <w:rPr>
                <w:sz w:val="20"/>
                <w:szCs w:val="20"/>
                <w:vertAlign w:val="subscript"/>
              </w:rPr>
              <w:t>1</w:t>
            </w:r>
          </w:p>
        </w:tc>
        <w:tc>
          <w:tcPr>
            <w:tcW w:w="1197"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161-200</w:t>
            </w:r>
          </w:p>
        </w:tc>
        <w:tc>
          <w:tcPr>
            <w:tcW w:w="1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7.5YR 6/8</w:t>
            </w:r>
          </w:p>
        </w:tc>
        <w:tc>
          <w:tcPr>
            <w:tcW w:w="30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 and columnar</w:t>
            </w:r>
          </w:p>
        </w:tc>
        <w:tc>
          <w:tcPr>
            <w:tcW w:w="3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sticky, firm and hard</w:t>
            </w:r>
          </w:p>
        </w:tc>
        <w:tc>
          <w:tcPr>
            <w:tcW w:w="3624" w:type="dxa"/>
            <w:tcBorders>
              <w:top w:val="nil"/>
              <w:left w:val="nil"/>
              <w:bottom w:val="nil"/>
              <w:right w:val="nil"/>
            </w:tcBorders>
            <w:noWrap/>
            <w:hideMark/>
          </w:tcPr>
          <w:p w:rsidR="00DB00E3" w:rsidRDefault="00DB00E3" w:rsidP="000F593C">
            <w:pPr>
              <w:cnfStyle w:val="000000000000" w:firstRow="0" w:lastRow="0" w:firstColumn="0" w:lastColumn="0" w:oddVBand="0" w:evenVBand="0" w:oddHBand="0" w:evenHBand="0" w:firstRowFirstColumn="0" w:firstRowLastColumn="0" w:lastRowFirstColumn="0" w:lastRowLastColumn="0"/>
              <w:rPr>
                <w:sz w:val="20"/>
                <w:szCs w:val="20"/>
              </w:rPr>
            </w:pP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3752" w:type="dxa"/>
            <w:gridSpan w:val="6"/>
            <w:tcBorders>
              <w:top w:val="nil"/>
              <w:bottom w:val="nil"/>
            </w:tcBorders>
            <w:noWrap/>
            <w:hideMark/>
          </w:tcPr>
          <w:p w:rsidR="00DB00E3" w:rsidRDefault="00DB00E3" w:rsidP="000F593C">
            <w:pPr>
              <w:spacing w:line="276" w:lineRule="auto"/>
              <w:jc w:val="both"/>
              <w:rPr>
                <w:b w:val="0"/>
                <w:sz w:val="20"/>
                <w:szCs w:val="20"/>
              </w:rPr>
            </w:pPr>
            <w:proofErr w:type="spellStart"/>
            <w:r>
              <w:rPr>
                <w:sz w:val="20"/>
                <w:szCs w:val="20"/>
              </w:rPr>
              <w:t>pedon</w:t>
            </w:r>
            <w:proofErr w:type="spellEnd"/>
            <w:r>
              <w:rPr>
                <w:sz w:val="20"/>
                <w:szCs w:val="20"/>
              </w:rPr>
              <w:t xml:space="preserve"> 004 RS      lower slope</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rPr>
                <w:b w:val="0"/>
                <w:sz w:val="20"/>
                <w:szCs w:val="20"/>
              </w:rPr>
            </w:pPr>
          </w:p>
        </w:tc>
        <w:tc>
          <w:tcPr>
            <w:tcW w:w="1197" w:type="dxa"/>
            <w:tcBorders>
              <w:top w:val="nil"/>
              <w:left w:val="nil"/>
              <w:bottom w:val="nil"/>
              <w:right w:val="nil"/>
            </w:tcBorders>
            <w:noWrap/>
            <w:hideMark/>
          </w:tcPr>
          <w:p w:rsidR="00DB00E3" w:rsidRDefault="00DB00E3" w:rsidP="000F593C">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p>
        </w:tc>
        <w:tc>
          <w:tcPr>
            <w:tcW w:w="1500" w:type="dxa"/>
            <w:tcBorders>
              <w:top w:val="nil"/>
              <w:left w:val="nil"/>
              <w:bottom w:val="nil"/>
              <w:right w:val="nil"/>
            </w:tcBorders>
            <w:noWrap/>
            <w:hideMark/>
          </w:tcPr>
          <w:p w:rsidR="00DB00E3" w:rsidRDefault="00DB00E3" w:rsidP="000F593C">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p>
        </w:tc>
        <w:tc>
          <w:tcPr>
            <w:tcW w:w="3000" w:type="dxa"/>
            <w:tcBorders>
              <w:top w:val="nil"/>
              <w:left w:val="nil"/>
              <w:bottom w:val="nil"/>
              <w:right w:val="nil"/>
            </w:tcBorders>
            <w:noWrap/>
            <w:hideMark/>
          </w:tcPr>
          <w:p w:rsidR="00DB00E3" w:rsidRDefault="00DB00E3" w:rsidP="000F593C">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p>
        </w:tc>
        <w:tc>
          <w:tcPr>
            <w:tcW w:w="3500" w:type="dxa"/>
            <w:tcBorders>
              <w:top w:val="nil"/>
              <w:left w:val="nil"/>
              <w:bottom w:val="nil"/>
              <w:right w:val="nil"/>
            </w:tcBorders>
            <w:noWrap/>
            <w:hideMark/>
          </w:tcPr>
          <w:p w:rsidR="00DB00E3" w:rsidRDefault="00DB00E3" w:rsidP="000F593C">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p>
        </w:tc>
        <w:tc>
          <w:tcPr>
            <w:tcW w:w="3624" w:type="dxa"/>
            <w:tcBorders>
              <w:top w:val="nil"/>
              <w:left w:val="nil"/>
              <w:bottom w:val="nil"/>
              <w:right w:val="nil"/>
            </w:tcBorders>
            <w:noWrap/>
            <w:hideMark/>
          </w:tcPr>
          <w:p w:rsidR="00DB00E3" w:rsidRDefault="00DB00E3" w:rsidP="000F593C">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A</w:t>
            </w:r>
            <w:r>
              <w:rPr>
                <w:sz w:val="20"/>
                <w:szCs w:val="20"/>
                <w:vertAlign w:val="subscript"/>
              </w:rPr>
              <w:t>1</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0-29</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7.5YR 3/3</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fine crumb</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non-sticky, loose and soft hard</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wavy and gradual</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spacing w:line="276" w:lineRule="auto"/>
              <w:jc w:val="both"/>
              <w:rPr>
                <w:sz w:val="20"/>
                <w:szCs w:val="20"/>
              </w:rPr>
            </w:pPr>
            <w:r>
              <w:rPr>
                <w:sz w:val="20"/>
                <w:szCs w:val="20"/>
              </w:rPr>
              <w:t>AB</w:t>
            </w:r>
          </w:p>
        </w:tc>
        <w:tc>
          <w:tcPr>
            <w:tcW w:w="1197"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29-67</w:t>
            </w:r>
          </w:p>
        </w:tc>
        <w:tc>
          <w:tcPr>
            <w:tcW w:w="1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10YR 5/4</w:t>
            </w:r>
          </w:p>
        </w:tc>
        <w:tc>
          <w:tcPr>
            <w:tcW w:w="30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 granular</w:t>
            </w:r>
          </w:p>
        </w:tc>
        <w:tc>
          <w:tcPr>
            <w:tcW w:w="3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non-sticky, loose and hard</w:t>
            </w:r>
          </w:p>
        </w:tc>
        <w:tc>
          <w:tcPr>
            <w:tcW w:w="3624"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irregular and diffuse</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B</w:t>
            </w:r>
            <w:r>
              <w:rPr>
                <w:sz w:val="20"/>
                <w:szCs w:val="20"/>
                <w:vertAlign w:val="subscript"/>
              </w:rPr>
              <w:t>1</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67-105</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7.5YR 8/6</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fine single grain</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non-sticky, loose and hard</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irregular and gradual</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nil"/>
              <w:right w:val="nil"/>
            </w:tcBorders>
            <w:noWrap/>
            <w:hideMark/>
          </w:tcPr>
          <w:p w:rsidR="00DB00E3" w:rsidRDefault="00DB00E3" w:rsidP="000F593C">
            <w:pPr>
              <w:spacing w:line="276" w:lineRule="auto"/>
              <w:jc w:val="both"/>
              <w:rPr>
                <w:sz w:val="20"/>
                <w:szCs w:val="20"/>
              </w:rPr>
            </w:pPr>
            <w:r>
              <w:rPr>
                <w:sz w:val="20"/>
                <w:szCs w:val="20"/>
              </w:rPr>
              <w:t>B</w:t>
            </w:r>
            <w:r>
              <w:rPr>
                <w:sz w:val="20"/>
                <w:szCs w:val="20"/>
                <w:vertAlign w:val="subscript"/>
              </w:rPr>
              <w:t>2</w:t>
            </w:r>
          </w:p>
        </w:tc>
        <w:tc>
          <w:tcPr>
            <w:tcW w:w="1197"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105-138</w:t>
            </w:r>
          </w:p>
        </w:tc>
        <w:tc>
          <w:tcPr>
            <w:tcW w:w="1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10YR 6/6</w:t>
            </w:r>
          </w:p>
        </w:tc>
        <w:tc>
          <w:tcPr>
            <w:tcW w:w="30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 and angular blocky</w:t>
            </w:r>
          </w:p>
        </w:tc>
        <w:tc>
          <w:tcPr>
            <w:tcW w:w="3500"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slightly sticky, friable and very hard</w:t>
            </w:r>
          </w:p>
        </w:tc>
        <w:tc>
          <w:tcPr>
            <w:tcW w:w="3624" w:type="dxa"/>
            <w:tcBorders>
              <w:top w:val="nil"/>
              <w:left w:val="nil"/>
              <w:bottom w:val="nil"/>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smooth and gradual</w:t>
            </w:r>
          </w:p>
        </w:tc>
      </w:tr>
      <w:tr w:rsidR="00DB00E3" w:rsidTr="000F593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bottom w:val="nil"/>
            </w:tcBorders>
            <w:noWrap/>
            <w:hideMark/>
          </w:tcPr>
          <w:p w:rsidR="00DB00E3" w:rsidRDefault="00DB00E3" w:rsidP="000F593C">
            <w:pPr>
              <w:spacing w:line="276" w:lineRule="auto"/>
              <w:jc w:val="both"/>
              <w:rPr>
                <w:sz w:val="20"/>
                <w:szCs w:val="20"/>
              </w:rPr>
            </w:pPr>
            <w:r>
              <w:rPr>
                <w:sz w:val="20"/>
                <w:szCs w:val="20"/>
              </w:rPr>
              <w:t>BC</w:t>
            </w:r>
          </w:p>
        </w:tc>
        <w:tc>
          <w:tcPr>
            <w:tcW w:w="1197"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138-169</w:t>
            </w:r>
          </w:p>
        </w:tc>
        <w:tc>
          <w:tcPr>
            <w:tcW w:w="1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7.5YR 6/6</w:t>
            </w:r>
          </w:p>
        </w:tc>
        <w:tc>
          <w:tcPr>
            <w:tcW w:w="30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medium angular blocky</w:t>
            </w:r>
          </w:p>
        </w:tc>
        <w:tc>
          <w:tcPr>
            <w:tcW w:w="3500"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sticky, firm and very hard</w:t>
            </w:r>
          </w:p>
        </w:tc>
        <w:tc>
          <w:tcPr>
            <w:tcW w:w="3624" w:type="dxa"/>
            <w:tcBorders>
              <w:top w:val="nil"/>
              <w:bottom w:val="nil"/>
            </w:tcBorders>
            <w:noWrap/>
            <w:hideMark/>
          </w:tcPr>
          <w:p w:rsidR="00DB00E3" w:rsidRDefault="00DB00E3" w:rsidP="000F593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irregular and diffuse</w:t>
            </w:r>
          </w:p>
        </w:tc>
      </w:tr>
      <w:tr w:rsidR="00DB00E3" w:rsidTr="000F593C">
        <w:trPr>
          <w:trHeight w:val="294"/>
        </w:trPr>
        <w:tc>
          <w:tcPr>
            <w:cnfStyle w:val="001000000000" w:firstRow="0" w:lastRow="0" w:firstColumn="1" w:lastColumn="0" w:oddVBand="0" w:evenVBand="0" w:oddHBand="0" w:evenHBand="0" w:firstRowFirstColumn="0" w:firstRowLastColumn="0" w:lastRowFirstColumn="0" w:lastRowLastColumn="0"/>
            <w:tcW w:w="930" w:type="dxa"/>
            <w:tcBorders>
              <w:top w:val="nil"/>
              <w:left w:val="nil"/>
              <w:bottom w:val="single" w:sz="8" w:space="0" w:color="000000" w:themeColor="text1"/>
              <w:right w:val="nil"/>
            </w:tcBorders>
            <w:noWrap/>
            <w:hideMark/>
          </w:tcPr>
          <w:p w:rsidR="00DB00E3" w:rsidRDefault="00DB00E3" w:rsidP="000F593C">
            <w:pPr>
              <w:spacing w:line="276" w:lineRule="auto"/>
              <w:jc w:val="both"/>
              <w:rPr>
                <w:sz w:val="20"/>
                <w:szCs w:val="20"/>
              </w:rPr>
            </w:pPr>
            <w:r>
              <w:rPr>
                <w:sz w:val="20"/>
                <w:szCs w:val="20"/>
              </w:rPr>
              <w:t>C</w:t>
            </w:r>
            <w:r>
              <w:rPr>
                <w:sz w:val="20"/>
                <w:szCs w:val="20"/>
                <w:vertAlign w:val="subscript"/>
              </w:rPr>
              <w:t>1</w:t>
            </w:r>
          </w:p>
        </w:tc>
        <w:tc>
          <w:tcPr>
            <w:tcW w:w="1197" w:type="dxa"/>
            <w:tcBorders>
              <w:top w:val="nil"/>
              <w:left w:val="nil"/>
              <w:bottom w:val="single" w:sz="8" w:space="0" w:color="000000" w:themeColor="text1"/>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169-200</w:t>
            </w:r>
          </w:p>
        </w:tc>
        <w:tc>
          <w:tcPr>
            <w:tcW w:w="1500" w:type="dxa"/>
            <w:tcBorders>
              <w:top w:val="nil"/>
              <w:left w:val="nil"/>
              <w:bottom w:val="single" w:sz="8" w:space="0" w:color="000000" w:themeColor="text1"/>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7.5YR 6/8</w:t>
            </w:r>
          </w:p>
        </w:tc>
        <w:tc>
          <w:tcPr>
            <w:tcW w:w="3000" w:type="dxa"/>
            <w:tcBorders>
              <w:top w:val="nil"/>
              <w:left w:val="nil"/>
              <w:bottom w:val="single" w:sz="8" w:space="0" w:color="000000" w:themeColor="text1"/>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 sub angular blocky</w:t>
            </w:r>
          </w:p>
        </w:tc>
        <w:tc>
          <w:tcPr>
            <w:tcW w:w="3500" w:type="dxa"/>
            <w:tcBorders>
              <w:top w:val="nil"/>
              <w:left w:val="nil"/>
              <w:bottom w:val="single" w:sz="8" w:space="0" w:color="000000" w:themeColor="text1"/>
              <w:right w:val="nil"/>
            </w:tcBorders>
            <w:noWrap/>
            <w:hideMark/>
          </w:tcPr>
          <w:p w:rsidR="00DB00E3" w:rsidRDefault="00DB00E3" w:rsidP="000F593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sticky, firm and very hard</w:t>
            </w:r>
          </w:p>
        </w:tc>
        <w:tc>
          <w:tcPr>
            <w:tcW w:w="3624" w:type="dxa"/>
            <w:tcBorders>
              <w:top w:val="nil"/>
              <w:left w:val="nil"/>
              <w:bottom w:val="single" w:sz="8" w:space="0" w:color="000000" w:themeColor="text1"/>
              <w:right w:val="nil"/>
            </w:tcBorders>
            <w:noWrap/>
            <w:hideMark/>
          </w:tcPr>
          <w:p w:rsidR="00DB00E3" w:rsidRDefault="00DB00E3" w:rsidP="000F593C">
            <w:pPr>
              <w:cnfStyle w:val="000000000000" w:firstRow="0" w:lastRow="0" w:firstColumn="0" w:lastColumn="0" w:oddVBand="0" w:evenVBand="0" w:oddHBand="0" w:evenHBand="0" w:firstRowFirstColumn="0" w:firstRowLastColumn="0" w:lastRowFirstColumn="0" w:lastRowLastColumn="0"/>
              <w:rPr>
                <w:sz w:val="20"/>
                <w:szCs w:val="20"/>
              </w:rPr>
            </w:pPr>
          </w:p>
        </w:tc>
      </w:tr>
    </w:tbl>
    <w:p w:rsidR="00DB00E3" w:rsidRDefault="00DB00E3" w:rsidP="00DB00E3">
      <w:pPr>
        <w:widowControl/>
        <w:autoSpaceDE/>
        <w:autoSpaceDN/>
        <w:sectPr w:rsidR="00DB00E3">
          <w:pgSz w:w="15840" w:h="12240" w:orient="landscape"/>
          <w:pgMar w:top="1440" w:right="1440" w:bottom="1440" w:left="1440" w:header="720" w:footer="720" w:gutter="0"/>
          <w:cols w:space="720"/>
        </w:sectPr>
      </w:pPr>
    </w:p>
    <w:p w:rsidR="00DB00E3" w:rsidRDefault="00DB00E3" w:rsidP="00DB00E3">
      <w:pPr>
        <w:rPr>
          <w:b/>
          <w:sz w:val="24"/>
          <w:szCs w:val="24"/>
        </w:rPr>
      </w:pPr>
      <w:r>
        <w:rPr>
          <w:b/>
          <w:sz w:val="24"/>
          <w:szCs w:val="24"/>
        </w:rPr>
        <w:lastRenderedPageBreak/>
        <w:t xml:space="preserve">Physical Properties of the selected </w:t>
      </w:r>
      <w:proofErr w:type="spellStart"/>
      <w:r>
        <w:rPr>
          <w:b/>
          <w:sz w:val="24"/>
          <w:szCs w:val="24"/>
        </w:rPr>
        <w:t>toposequence</w:t>
      </w:r>
      <w:proofErr w:type="spellEnd"/>
    </w:p>
    <w:p w:rsidR="00DB00E3" w:rsidRDefault="00DB00E3" w:rsidP="00DB00E3">
      <w:pPr>
        <w:rPr>
          <w:sz w:val="24"/>
          <w:szCs w:val="24"/>
        </w:rPr>
      </w:pPr>
    </w:p>
    <w:p w:rsidR="00DB00E3" w:rsidRDefault="00DB00E3" w:rsidP="00DB00E3">
      <w:pPr>
        <w:rPr>
          <w:sz w:val="24"/>
          <w:szCs w:val="24"/>
        </w:rPr>
      </w:pPr>
      <w:r>
        <w:rPr>
          <w:sz w:val="24"/>
          <w:szCs w:val="24"/>
        </w:rPr>
        <w:t>Table 2.</w:t>
      </w:r>
      <w:r>
        <w:rPr>
          <w:sz w:val="24"/>
          <w:szCs w:val="24"/>
        </w:rPr>
        <w:tab/>
        <w:t xml:space="preserve">Summary table of the Physical properties of the selected </w:t>
      </w:r>
      <w:proofErr w:type="spellStart"/>
      <w:r>
        <w:rPr>
          <w:sz w:val="24"/>
          <w:szCs w:val="24"/>
        </w:rPr>
        <w:t>toposequence</w:t>
      </w:r>
      <w:proofErr w:type="spellEnd"/>
    </w:p>
    <w:p w:rsidR="00DB00E3" w:rsidRDefault="00DB00E3" w:rsidP="00DB00E3">
      <w:pPr>
        <w:rPr>
          <w:sz w:val="24"/>
          <w:szCs w:val="24"/>
        </w:rPr>
      </w:pPr>
    </w:p>
    <w:tbl>
      <w:tblPr>
        <w:tblW w:w="0" w:type="auto"/>
        <w:tblCellSpacing w:w="15" w:type="dxa"/>
        <w:tblCellMar>
          <w:left w:w="0" w:type="dxa"/>
          <w:right w:w="0" w:type="dxa"/>
        </w:tblCellMar>
        <w:tblLook w:val="04A0" w:firstRow="1" w:lastRow="0" w:firstColumn="1" w:lastColumn="0" w:noHBand="0" w:noVBand="1"/>
      </w:tblPr>
      <w:tblGrid>
        <w:gridCol w:w="1939"/>
        <w:gridCol w:w="1260"/>
        <w:gridCol w:w="1282"/>
        <w:gridCol w:w="1146"/>
        <w:gridCol w:w="1013"/>
        <w:gridCol w:w="1105"/>
        <w:gridCol w:w="1599"/>
      </w:tblGrid>
      <w:tr w:rsidR="00DB00E3" w:rsidTr="000F593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Landscape Position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Horizon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Depth (cm)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Sand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Silt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Clay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Textural Class</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Summit (001)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A1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0-38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29.4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30.4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40.2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Clay</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B1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76-126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86.3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3.6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9.8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Loamy Sand</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Upper Slope (002)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A1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0-35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11.8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23.5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64.7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Clay</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B1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71-119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15.7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21.6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62.7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Clay</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Middle Slope (003)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A1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10.8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22.5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66.7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Clay</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B1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55-80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16.7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22.5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60.8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Clay</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C1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161-200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19.8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12.9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65.6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Clay</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b/>
                <w:bCs/>
                <w:sz w:val="24"/>
                <w:szCs w:val="24"/>
                <w:bdr w:val="none" w:sz="0" w:space="0" w:color="auto" w:frame="1"/>
              </w:rPr>
              <w:t>Lower Slope (004)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A1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0-29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17.6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31.4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51.0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Clay</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B1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67-105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8.8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22.6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68.6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sz w:val="24"/>
                <w:szCs w:val="24"/>
              </w:rPr>
            </w:pPr>
            <w:r>
              <w:rPr>
                <w:sz w:val="24"/>
                <w:szCs w:val="24"/>
                <w:bdr w:val="none" w:sz="0" w:space="0" w:color="auto" w:frame="1"/>
              </w:rPr>
              <w:t>Clay</w:t>
            </w:r>
          </w:p>
        </w:tc>
      </w:tr>
    </w:tbl>
    <w:p w:rsidR="00DB00E3" w:rsidRDefault="00DB00E3" w:rsidP="00DB00E3">
      <w:pPr>
        <w:pStyle w:val="NormalWeb"/>
      </w:pPr>
    </w:p>
    <w:p w:rsidR="00DB00E3" w:rsidRDefault="00DB00E3" w:rsidP="00DB00E3">
      <w:pPr>
        <w:pStyle w:val="NormalWeb"/>
      </w:pPr>
      <w:r>
        <w:t xml:space="preserve">The analysis of soil separates across the </w:t>
      </w:r>
      <w:proofErr w:type="spellStart"/>
      <w:r>
        <w:t>toposequence</w:t>
      </w:r>
      <w:proofErr w:type="spellEnd"/>
      <w:r>
        <w:t xml:space="preserve"> reveals a distinct relationship between landscape position and particle size distribution (PSD). The study area is characterized by a high clay fraction (typically &gt;50% in the slopes), indicative of advanced pedogenesis or fine-textured parent material. However, significant variations exist between the landform units </w:t>
      </w:r>
    </w:p>
    <w:p w:rsidR="00DB00E3" w:rsidRDefault="00DB00E3" w:rsidP="00DB00E3">
      <w:pPr>
        <w:pStyle w:val="NormalWeb"/>
      </w:pPr>
      <w:r>
        <w:t xml:space="preserve">The </w:t>
      </w:r>
      <w:r>
        <w:rPr>
          <w:bCs/>
        </w:rPr>
        <w:t>Summit (Pedon 001</w:t>
      </w:r>
      <w:r>
        <w:rPr>
          <w:b/>
          <w:bCs/>
        </w:rPr>
        <w:t>)</w:t>
      </w:r>
      <w:r>
        <w:t xml:space="preserve"> stands out as the coarsest unit, particularly in the subsoil (B1), where total sand peaks at </w:t>
      </w:r>
      <w:r>
        <w:rPr>
          <w:bCs/>
        </w:rPr>
        <w:t>86.3%</w:t>
      </w:r>
      <w:r>
        <w:t>. Recent studies emphasize that higher landscape positions often experience "deflation" or high-energy runoff that preferentially removes finer silt and clay, leaving behind a sandy lag or coarser residual material (</w:t>
      </w:r>
      <w:proofErr w:type="spellStart"/>
      <w:r>
        <w:t>Hota</w:t>
      </w:r>
      <w:proofErr w:type="spellEnd"/>
      <w:r>
        <w:t xml:space="preserve"> </w:t>
      </w:r>
      <w:r>
        <w:rPr>
          <w:i/>
        </w:rPr>
        <w:t>et al.,</w:t>
      </w:r>
      <w:r>
        <w:t xml:space="preserve"> 2022; Wang </w:t>
      </w:r>
      <w:r>
        <w:rPr>
          <w:i/>
        </w:rPr>
        <w:t>et al</w:t>
      </w:r>
      <w:r>
        <w:t>., 2024). This coarseness at the summit typically results in lower water-holding capacity compared to the adjacent slopes.</w:t>
      </w:r>
    </w:p>
    <w:p w:rsidR="00DB00E3" w:rsidRDefault="00DB00E3" w:rsidP="00DB00E3">
      <w:pPr>
        <w:pStyle w:val="NormalWeb"/>
      </w:pPr>
      <w:r>
        <w:lastRenderedPageBreak/>
        <w:t xml:space="preserve">Conversely, the </w:t>
      </w:r>
      <w:r>
        <w:rPr>
          <w:bCs/>
        </w:rPr>
        <w:t>Upper (002)</w:t>
      </w:r>
      <w:r>
        <w:t xml:space="preserve">, </w:t>
      </w:r>
      <w:r>
        <w:rPr>
          <w:bCs/>
        </w:rPr>
        <w:t>Middle</w:t>
      </w:r>
      <w:r>
        <w:rPr>
          <w:b/>
          <w:bCs/>
        </w:rPr>
        <w:t xml:space="preserve"> </w:t>
      </w:r>
      <w:r>
        <w:rPr>
          <w:bCs/>
        </w:rPr>
        <w:t>(003)</w:t>
      </w:r>
      <w:r>
        <w:t xml:space="preserve">, and </w:t>
      </w:r>
      <w:r>
        <w:rPr>
          <w:bCs/>
        </w:rPr>
        <w:t>Lower (004)</w:t>
      </w:r>
      <w:r>
        <w:t xml:space="preserve"> slopes demonstrate "downslope fining." Sand content drops dramatically (often &lt;15%), while clay content remains dominant. The </w:t>
      </w:r>
      <w:r>
        <w:rPr>
          <w:bCs/>
        </w:rPr>
        <w:t>Middle Slope (Pedon 003)</w:t>
      </w:r>
      <w:r>
        <w:t xml:space="preserve"> acts as a critical transport zone, showing deep, uniform clay profiles (60–66% clay throughout the B and C horizons), suggesting a stable surface where weathering and material throughput are balanced (Ma </w:t>
      </w:r>
      <w:r>
        <w:rPr>
          <w:i/>
        </w:rPr>
        <w:t>et al</w:t>
      </w:r>
      <w:r>
        <w:t>., 2023).</w:t>
      </w:r>
    </w:p>
    <w:p w:rsidR="00DB00E3" w:rsidRDefault="00DB00E3" w:rsidP="00DB00E3">
      <w:pPr>
        <w:pStyle w:val="Heading3"/>
        <w:rPr>
          <w:rFonts w:ascii="Times New Roman" w:hAnsi="Times New Roman" w:cs="Times New Roman"/>
          <w:b/>
          <w:color w:val="auto"/>
        </w:rPr>
      </w:pPr>
      <w:r>
        <w:rPr>
          <w:rFonts w:ascii="Times New Roman" w:hAnsi="Times New Roman" w:cs="Times New Roman"/>
          <w:b/>
          <w:color w:val="auto"/>
        </w:rPr>
        <w:t xml:space="preserve">2. Pedogenic </w:t>
      </w:r>
      <w:proofErr w:type="spellStart"/>
      <w:r>
        <w:rPr>
          <w:rFonts w:ascii="Times New Roman" w:hAnsi="Times New Roman" w:cs="Times New Roman"/>
          <w:b/>
          <w:color w:val="auto"/>
        </w:rPr>
        <w:t>Horizonation</w:t>
      </w:r>
      <w:proofErr w:type="spellEnd"/>
      <w:r>
        <w:rPr>
          <w:rFonts w:ascii="Times New Roman" w:hAnsi="Times New Roman" w:cs="Times New Roman"/>
          <w:b/>
          <w:color w:val="auto"/>
        </w:rPr>
        <w:t xml:space="preserve"> and Clay Illuviation</w:t>
      </w:r>
    </w:p>
    <w:p w:rsidR="00DB00E3" w:rsidRDefault="00DB00E3" w:rsidP="00DB00E3">
      <w:pPr>
        <w:pStyle w:val="NormalWeb"/>
      </w:pPr>
      <w:r>
        <w:t xml:space="preserve">Vertical clay distribution across the profiles provides evidence of active </w:t>
      </w:r>
      <w:r>
        <w:rPr>
          <w:bCs/>
        </w:rPr>
        <w:t>illuviation</w:t>
      </w:r>
      <w:r>
        <w:t xml:space="preserve"> (clay migration). In the </w:t>
      </w:r>
      <w:r>
        <w:rPr>
          <w:bCs/>
        </w:rPr>
        <w:t>Lower Slope (Pedon 004)</w:t>
      </w:r>
      <w:r>
        <w:t xml:space="preserve">, clay content increases from </w:t>
      </w:r>
      <w:r>
        <w:rPr>
          <w:bCs/>
        </w:rPr>
        <w:t>51.0%</w:t>
      </w:r>
      <w:r>
        <w:t xml:space="preserve"> in the A1 horizon to </w:t>
      </w:r>
      <w:r>
        <w:rPr>
          <w:bCs/>
        </w:rPr>
        <w:t>68.6%</w:t>
      </w:r>
      <w:r>
        <w:t xml:space="preserve"> in the B1 horizon. This "clay bulge" is a classic indicator of the formation of an </w:t>
      </w:r>
      <w:r>
        <w:rPr>
          <w:bCs/>
        </w:rPr>
        <w:t>argillic (</w:t>
      </w:r>
      <w:proofErr w:type="spellStart"/>
      <w:r>
        <w:rPr>
          <w:bCs/>
        </w:rPr>
        <w:t>Bt</w:t>
      </w:r>
      <w:proofErr w:type="spellEnd"/>
      <w:r>
        <w:rPr>
          <w:bCs/>
        </w:rPr>
        <w:t>) horizon</w:t>
      </w:r>
      <w:r>
        <w:t>.</w:t>
      </w:r>
    </w:p>
    <w:p w:rsidR="00DB00E3" w:rsidRDefault="00DB00E3" w:rsidP="00DB00E3">
      <w:pPr>
        <w:pStyle w:val="NormalWeb"/>
      </w:pPr>
      <w:r>
        <w:t>Topography influences this process by regulating the moisture regime; lower slope positions receive lateral subsurface flow, which facilitates the downward leaching of clays into the subsoil (</w:t>
      </w:r>
      <w:proofErr w:type="spellStart"/>
      <w:r>
        <w:t>Hota</w:t>
      </w:r>
      <w:proofErr w:type="spellEnd"/>
      <w:r>
        <w:t xml:space="preserve"> et al., 2022). Furthermore, the heavy clay texture in these low-lying areas (&gt;65%) creates a restrictive layer that promotes the development of </w:t>
      </w:r>
      <w:r>
        <w:rPr>
          <w:bCs/>
        </w:rPr>
        <w:t>redoximorphic features</w:t>
      </w:r>
      <w:r>
        <w:t xml:space="preserve">, such as the mottling and Fe–Mn concretions observed in the field, due to prolonged saturation and anaerobic conditions (Ma </w:t>
      </w:r>
      <w:r>
        <w:rPr>
          <w:i/>
        </w:rPr>
        <w:t>et al.,</w:t>
      </w:r>
      <w:r>
        <w:t xml:space="preserve"> 2023).</w:t>
      </w:r>
    </w:p>
    <w:p w:rsidR="00DB00E3" w:rsidRDefault="00DB00E3" w:rsidP="00DB00E3">
      <w:pPr>
        <w:pStyle w:val="Heading3"/>
        <w:rPr>
          <w:rFonts w:ascii="Times New Roman" w:hAnsi="Times New Roman" w:cs="Times New Roman"/>
          <w:b/>
          <w:color w:val="auto"/>
        </w:rPr>
      </w:pPr>
      <w:r>
        <w:rPr>
          <w:rFonts w:ascii="Times New Roman" w:hAnsi="Times New Roman" w:cs="Times New Roman"/>
          <w:b/>
          <w:color w:val="auto"/>
        </w:rPr>
        <w:t>3. Silt Dynamics and Weathering Indices</w:t>
      </w:r>
    </w:p>
    <w:p w:rsidR="00DB00E3" w:rsidRDefault="00DB00E3" w:rsidP="00DB00E3">
      <w:pPr>
        <w:pStyle w:val="NormalWeb"/>
      </w:pPr>
      <w:r>
        <w:t xml:space="preserve">Silt-to-clay ratios (SCR) are often used as indicators of soil weathering intensity. In this </w:t>
      </w:r>
      <w:proofErr w:type="spellStart"/>
      <w:r>
        <w:t>toposequence</w:t>
      </w:r>
      <w:proofErr w:type="spellEnd"/>
      <w:r>
        <w:t xml:space="preserve">, the </w:t>
      </w:r>
      <w:r>
        <w:rPr>
          <w:bCs/>
        </w:rPr>
        <w:t>Summit</w:t>
      </w:r>
      <w:r>
        <w:t xml:space="preserve"> exhibits the highest surface silt accumulation (</w:t>
      </w:r>
      <w:r>
        <w:rPr>
          <w:bCs/>
        </w:rPr>
        <w:t>30.4%</w:t>
      </w:r>
      <w:r>
        <w:t xml:space="preserve">), whereas the </w:t>
      </w:r>
      <w:r>
        <w:rPr>
          <w:bCs/>
        </w:rPr>
        <w:t>Middle Slope</w:t>
      </w:r>
      <w:r>
        <w:t xml:space="preserve"> shows lower silt levels at depth (</w:t>
      </w:r>
      <w:r>
        <w:rPr>
          <w:bCs/>
        </w:rPr>
        <w:t>12.9%</w:t>
      </w:r>
      <w:r>
        <w:t xml:space="preserve">). This trend suggests that the middle and lower slopes are more </w:t>
      </w:r>
      <w:proofErr w:type="spellStart"/>
      <w:r>
        <w:t>pedogenetically</w:t>
      </w:r>
      <w:proofErr w:type="spellEnd"/>
      <w:r>
        <w:t xml:space="preserve"> mature (highly weathered) than the summit. The higher silt content in the surface horizons across the slope (e.g., </w:t>
      </w:r>
      <w:r>
        <w:rPr>
          <w:bCs/>
        </w:rPr>
        <w:t>31.4%</w:t>
      </w:r>
      <w:r>
        <w:t xml:space="preserve"> in Pedon 004 A1) likely reflects the deposition of fresh sediments eroded from upslope positions, a process known as </w:t>
      </w:r>
      <w:r>
        <w:rPr>
          <w:bCs/>
        </w:rPr>
        <w:t>colluvial</w:t>
      </w:r>
      <w:r>
        <w:rPr>
          <w:b/>
          <w:bCs/>
        </w:rPr>
        <w:t xml:space="preserve"> </w:t>
      </w:r>
      <w:r>
        <w:rPr>
          <w:bCs/>
        </w:rPr>
        <w:t>accumulation</w:t>
      </w:r>
      <w:r>
        <w:t xml:space="preserve"> (Wang </w:t>
      </w:r>
      <w:r>
        <w:rPr>
          <w:i/>
        </w:rPr>
        <w:t>et al</w:t>
      </w:r>
      <w:r>
        <w:t>., 2024).</w:t>
      </w:r>
    </w:p>
    <w:p w:rsidR="00DB00E3" w:rsidRDefault="00DB00E3" w:rsidP="00DB00E3">
      <w:pPr>
        <w:pStyle w:val="Heading3"/>
        <w:rPr>
          <w:rFonts w:ascii="Times New Roman" w:hAnsi="Times New Roman" w:cs="Times New Roman"/>
          <w:b/>
          <w:color w:val="auto"/>
        </w:rPr>
      </w:pPr>
      <w:r>
        <w:rPr>
          <w:rFonts w:ascii="Times New Roman" w:hAnsi="Times New Roman" w:cs="Times New Roman"/>
          <w:b/>
          <w:color w:val="auto"/>
        </w:rPr>
        <w:t xml:space="preserve">Chemical properties of the selected </w:t>
      </w:r>
      <w:proofErr w:type="spellStart"/>
      <w:r>
        <w:rPr>
          <w:rFonts w:ascii="Times New Roman" w:hAnsi="Times New Roman" w:cs="Times New Roman"/>
          <w:b/>
          <w:color w:val="auto"/>
        </w:rPr>
        <w:t>toposequence</w:t>
      </w:r>
      <w:proofErr w:type="spellEnd"/>
    </w:p>
    <w:p w:rsidR="00DB00E3" w:rsidRDefault="00DB00E3" w:rsidP="00DB00E3"/>
    <w:p w:rsidR="00DB00E3" w:rsidRDefault="00DB00E3" w:rsidP="00DB00E3">
      <w:pPr>
        <w:rPr>
          <w:b/>
        </w:rPr>
      </w:pPr>
    </w:p>
    <w:p w:rsidR="00DB00E3" w:rsidRDefault="00DB00E3" w:rsidP="00DB00E3">
      <w:pPr>
        <w:rPr>
          <w:sz w:val="24"/>
          <w:szCs w:val="24"/>
        </w:rPr>
      </w:pPr>
      <w:r>
        <w:t>Table 3.</w:t>
      </w:r>
      <w:r>
        <w:tab/>
      </w:r>
      <w:r>
        <w:rPr>
          <w:sz w:val="24"/>
          <w:szCs w:val="24"/>
        </w:rPr>
        <w:t xml:space="preserve">Summary table of the Physical properties of the selected </w:t>
      </w:r>
      <w:proofErr w:type="spellStart"/>
      <w:r>
        <w:rPr>
          <w:sz w:val="24"/>
          <w:szCs w:val="24"/>
        </w:rPr>
        <w:t>toposequence</w:t>
      </w:r>
      <w:proofErr w:type="spellEnd"/>
    </w:p>
    <w:p w:rsidR="00DB00E3" w:rsidRDefault="00DB00E3" w:rsidP="00DB00E3"/>
    <w:tbl>
      <w:tblPr>
        <w:tblW w:w="0" w:type="auto"/>
        <w:tblCellSpacing w:w="15" w:type="dxa"/>
        <w:tblCellMar>
          <w:left w:w="0" w:type="dxa"/>
          <w:right w:w="0" w:type="dxa"/>
        </w:tblCellMar>
        <w:tblLook w:val="04A0" w:firstRow="1" w:lastRow="0" w:firstColumn="1" w:lastColumn="0" w:noHBand="0" w:noVBand="1"/>
      </w:tblPr>
      <w:tblGrid>
        <w:gridCol w:w="1618"/>
        <w:gridCol w:w="1835"/>
        <w:gridCol w:w="1713"/>
        <w:gridCol w:w="1887"/>
        <w:gridCol w:w="2291"/>
      </w:tblGrid>
      <w:tr w:rsidR="00DB00E3" w:rsidTr="000F593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b/>
                <w:bCs/>
                <w:color w:val="1F1F1F"/>
                <w:sz w:val="24"/>
                <w:szCs w:val="24"/>
                <w:bdr w:val="none" w:sz="0" w:space="0" w:color="auto" w:frame="1"/>
              </w:rPr>
              <w:t>Slope Position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b/>
                <w:bCs/>
                <w:color w:val="1F1F1F"/>
                <w:sz w:val="24"/>
                <w:szCs w:val="24"/>
                <w:bdr w:val="none" w:sz="0" w:space="0" w:color="auto" w:frame="1"/>
              </w:rPr>
              <w:t>Surface pH (H2​O)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b/>
                <w:bCs/>
                <w:color w:val="1F1F1F"/>
                <w:sz w:val="24"/>
                <w:szCs w:val="24"/>
                <w:bdr w:val="none" w:sz="0" w:space="0" w:color="auto" w:frame="1"/>
              </w:rPr>
              <w:t>Surface OC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b/>
                <w:bCs/>
                <w:color w:val="1F1F1F"/>
                <w:sz w:val="24"/>
                <w:szCs w:val="24"/>
                <w:bdr w:val="none" w:sz="0" w:space="0" w:color="auto" w:frame="1"/>
              </w:rPr>
              <w:t>Surface Fe (mg/kg)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b/>
                <w:bCs/>
                <w:color w:val="1F1F1F"/>
                <w:sz w:val="24"/>
                <w:szCs w:val="24"/>
                <w:bdr w:val="none" w:sz="0" w:space="0" w:color="auto" w:frame="1"/>
              </w:rPr>
              <w:t>Subsoil ECEC (</w:t>
            </w:r>
            <w:proofErr w:type="spellStart"/>
            <w:r>
              <w:rPr>
                <w:b/>
                <w:bCs/>
                <w:color w:val="1F1F1F"/>
                <w:sz w:val="24"/>
                <w:szCs w:val="24"/>
                <w:bdr w:val="none" w:sz="0" w:space="0" w:color="auto" w:frame="1"/>
              </w:rPr>
              <w:t>cmol</w:t>
            </w:r>
            <w:proofErr w:type="spellEnd"/>
            <w:r>
              <w:rPr>
                <w:b/>
                <w:bCs/>
                <w:color w:val="1F1F1F"/>
                <w:sz w:val="24"/>
                <w:szCs w:val="24"/>
                <w:bdr w:val="none" w:sz="0" w:space="0" w:color="auto" w:frame="1"/>
              </w:rPr>
              <w:t>/kg)</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b/>
                <w:bCs/>
                <w:color w:val="1F1F1F"/>
                <w:sz w:val="24"/>
                <w:szCs w:val="24"/>
                <w:bdr w:val="none" w:sz="0" w:space="0" w:color="auto" w:frame="1"/>
              </w:rPr>
              <w:t>Summit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5.5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4.0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37.0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0.78</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b/>
                <w:bCs/>
                <w:color w:val="1F1F1F"/>
                <w:sz w:val="24"/>
                <w:szCs w:val="24"/>
                <w:bdr w:val="none" w:sz="0" w:space="0" w:color="auto" w:frame="1"/>
              </w:rPr>
              <w:t>Upper Slope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5.5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3.7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39.0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0.54</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b/>
                <w:bCs/>
                <w:color w:val="1F1F1F"/>
                <w:sz w:val="24"/>
                <w:szCs w:val="24"/>
                <w:bdr w:val="none" w:sz="0" w:space="0" w:color="auto" w:frame="1"/>
              </w:rPr>
              <w:t>Middle Slope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5.4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3.9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36.0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0.65</w:t>
            </w:r>
          </w:p>
        </w:tc>
      </w:tr>
      <w:tr w:rsidR="00DB00E3" w:rsidTr="000F593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b/>
                <w:bCs/>
                <w:color w:val="1F1F1F"/>
                <w:sz w:val="24"/>
                <w:szCs w:val="24"/>
                <w:bdr w:val="none" w:sz="0" w:space="0" w:color="auto" w:frame="1"/>
              </w:rPr>
              <w:lastRenderedPageBreak/>
              <w:t>Lower Slope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5.5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3.5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38.0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B00E3" w:rsidRDefault="00DB00E3" w:rsidP="000F593C">
            <w:pPr>
              <w:widowControl/>
              <w:autoSpaceDE/>
              <w:spacing w:line="256" w:lineRule="auto"/>
              <w:rPr>
                <w:color w:val="1F1F1F"/>
                <w:sz w:val="24"/>
                <w:szCs w:val="24"/>
              </w:rPr>
            </w:pPr>
            <w:r>
              <w:rPr>
                <w:color w:val="1F1F1F"/>
                <w:sz w:val="24"/>
                <w:szCs w:val="24"/>
                <w:bdr w:val="none" w:sz="0" w:space="0" w:color="auto" w:frame="1"/>
              </w:rPr>
              <w:t>0.67</w:t>
            </w:r>
          </w:p>
        </w:tc>
      </w:tr>
    </w:tbl>
    <w:p w:rsidR="00DB00E3" w:rsidRDefault="00DB00E3" w:rsidP="00DB00E3"/>
    <w:p w:rsidR="00DB00E3" w:rsidRDefault="00DB00E3" w:rsidP="00DB00E3">
      <w:pPr>
        <w:pStyle w:val="Heading3"/>
        <w:rPr>
          <w:rFonts w:ascii="Times New Roman" w:hAnsi="Times New Roman" w:cs="Times New Roman"/>
          <w:color w:val="auto"/>
        </w:rPr>
      </w:pPr>
      <w:r>
        <w:rPr>
          <w:rFonts w:ascii="Times New Roman" w:hAnsi="Times New Roman" w:cs="Times New Roman"/>
          <w:color w:val="auto"/>
        </w:rPr>
        <w:t>Soil Reaction (pH) and Acidification Trends</w:t>
      </w:r>
    </w:p>
    <w:p w:rsidR="00DB00E3" w:rsidRDefault="00DB00E3" w:rsidP="00DB00E3">
      <w:pPr>
        <w:pStyle w:val="NormalWeb"/>
      </w:pPr>
      <w:r>
        <w:t xml:space="preserve">The study area is characterized by </w:t>
      </w:r>
      <w:r>
        <w:rPr>
          <w:bCs/>
        </w:rPr>
        <w:t>strongly to moderately acidic</w:t>
      </w:r>
      <w:r>
        <w:t xml:space="preserve"> conditions.</w:t>
      </w:r>
    </w:p>
    <w:p w:rsidR="00DB00E3" w:rsidRDefault="00DB00E3" w:rsidP="00DB00E3">
      <w:pPr>
        <w:pStyle w:val="NormalWeb"/>
        <w:numPr>
          <w:ilvl w:val="0"/>
          <w:numId w:val="10"/>
        </w:numPr>
      </w:pPr>
      <w:r>
        <w:rPr>
          <w:bCs/>
        </w:rPr>
        <w:t>Vertical Gradient:</w:t>
      </w:r>
      <w:r>
        <w:t xml:space="preserve"> Across all </w:t>
      </w:r>
      <w:proofErr w:type="spellStart"/>
      <w:r>
        <w:t>pedons</w:t>
      </w:r>
      <w:proofErr w:type="spellEnd"/>
      <w:r>
        <w:t xml:space="preserve">, pH (H₂O) decreases slightly with depth (e.g., Pedon 001: 5.5 to 5.3; Pedon 004: 5.5 to 5.0). This indicates leaching of basic cations from the surface to the subsoil, a process often accelerated in tropical </w:t>
      </w:r>
      <w:proofErr w:type="spellStart"/>
      <w:r>
        <w:t>agro</w:t>
      </w:r>
      <w:proofErr w:type="spellEnd"/>
      <w:r>
        <w:t xml:space="preserve"> ecosystems (</w:t>
      </w:r>
      <w:proofErr w:type="spellStart"/>
      <w:r>
        <w:t>Jimoh</w:t>
      </w:r>
      <w:proofErr w:type="spellEnd"/>
      <w:r>
        <w:t xml:space="preserve"> </w:t>
      </w:r>
      <w:r>
        <w:rPr>
          <w:i/>
        </w:rPr>
        <w:t>et al.,</w:t>
      </w:r>
      <w:r>
        <w:t xml:space="preserve"> 2022).</w:t>
      </w:r>
    </w:p>
    <w:p w:rsidR="00DB00E3" w:rsidRDefault="00DB00E3" w:rsidP="00DB00E3">
      <w:pPr>
        <w:pStyle w:val="NormalWeb"/>
        <w:numPr>
          <w:ilvl w:val="0"/>
          <w:numId w:val="10"/>
        </w:numPr>
      </w:pPr>
      <w:r>
        <w:rPr>
          <w:bCs/>
        </w:rPr>
        <w:t>Landscape Variation:</w:t>
      </w:r>
      <w:r>
        <w:t xml:space="preserve"> The </w:t>
      </w:r>
      <w:r>
        <w:rPr>
          <w:bCs/>
        </w:rPr>
        <w:t>Lower Slope (Pedon 004)</w:t>
      </w:r>
      <w:r>
        <w:t xml:space="preserve"> reaches the lowest pH (5.0) in the C horizon. This is likely due to the accumulation of organic acids and the leaching of exchangeable bases (Ca²⁺, Mg²⁺) toward the valley bottom, where water residence time is higher.</w:t>
      </w:r>
    </w:p>
    <w:p w:rsidR="00DB00E3" w:rsidRDefault="00DB00E3" w:rsidP="00DB00E3">
      <w:pPr>
        <w:pStyle w:val="NormalWeb"/>
        <w:numPr>
          <w:ilvl w:val="0"/>
          <w:numId w:val="10"/>
        </w:numPr>
      </w:pPr>
      <w:r>
        <w:rPr>
          <w:bCs/>
        </w:rPr>
        <w:t>Reserve Acidity:</w:t>
      </w:r>
      <w:r>
        <w:t xml:space="preserve"> The </w:t>
      </w:r>
      <w:proofErr w:type="spellStart"/>
      <w:r>
        <w:t>ΔpH</w:t>
      </w:r>
      <w:proofErr w:type="spellEnd"/>
      <w:r>
        <w:t xml:space="preserve"> = </w:t>
      </w:r>
      <w:proofErr w:type="gramStart"/>
      <w:r>
        <w:t>pH</w:t>
      </w:r>
      <w:r>
        <w:rPr>
          <w:vertAlign w:val="subscript"/>
        </w:rPr>
        <w:t>(</w:t>
      </w:r>
      <w:proofErr w:type="spellStart"/>
      <w:proofErr w:type="gramEnd"/>
      <w:r>
        <w:rPr>
          <w:vertAlign w:val="subscript"/>
        </w:rPr>
        <w:t>KCl</w:t>
      </w:r>
      <w:proofErr w:type="spellEnd"/>
      <w:r>
        <w:rPr>
          <w:vertAlign w:val="subscript"/>
        </w:rPr>
        <w:t xml:space="preserve">) </w:t>
      </w:r>
      <w:r>
        <w:t>- pH</w:t>
      </w:r>
      <w:r>
        <w:rPr>
          <w:vertAlign w:val="subscript"/>
        </w:rPr>
        <w:t xml:space="preserve">(H2O) </w:t>
      </w:r>
      <w:r>
        <w:t>is negative throughout, confirming the presence of significant reserve acidity and a net negative charge on the soil colloids.</w:t>
      </w:r>
    </w:p>
    <w:p w:rsidR="00DB00E3" w:rsidRDefault="00DB00E3" w:rsidP="00DB00E3">
      <w:pPr>
        <w:pStyle w:val="Heading3"/>
        <w:rPr>
          <w:rFonts w:ascii="Times New Roman" w:hAnsi="Times New Roman" w:cs="Times New Roman"/>
          <w:color w:val="auto"/>
        </w:rPr>
      </w:pPr>
      <w:r>
        <w:rPr>
          <w:rFonts w:ascii="Times New Roman" w:hAnsi="Times New Roman" w:cs="Times New Roman"/>
          <w:color w:val="auto"/>
        </w:rPr>
        <w:t>2. Organic Carbon (OC) and Nitrogen (N) Dynamics</w:t>
      </w:r>
    </w:p>
    <w:p w:rsidR="00DB00E3" w:rsidRDefault="00DB00E3" w:rsidP="00DB00E3">
      <w:pPr>
        <w:pStyle w:val="NormalWeb"/>
      </w:pPr>
      <w:r>
        <w:t>Topography exerts strong control over the "biological engine" of these soils.</w:t>
      </w:r>
    </w:p>
    <w:p w:rsidR="00DB00E3" w:rsidRDefault="00DB00E3" w:rsidP="00DB00E3">
      <w:pPr>
        <w:pStyle w:val="NormalWeb"/>
        <w:numPr>
          <w:ilvl w:val="0"/>
          <w:numId w:val="11"/>
        </w:numPr>
      </w:pPr>
      <w:r>
        <w:rPr>
          <w:bCs/>
        </w:rPr>
        <w:t>Surface Accumulation:</w:t>
      </w:r>
      <w:r>
        <w:t xml:space="preserve"> OC is highest in the A1 horizons across all positions (3.5%–4.0%). The </w:t>
      </w:r>
      <w:r>
        <w:rPr>
          <w:bCs/>
        </w:rPr>
        <w:t>Summit (4.0%)</w:t>
      </w:r>
      <w:r>
        <w:t xml:space="preserve"> and </w:t>
      </w:r>
      <w:r>
        <w:rPr>
          <w:bCs/>
        </w:rPr>
        <w:t>Middle Slope (3.9%)</w:t>
      </w:r>
      <w:r>
        <w:t xml:space="preserve"> show slightly higher surface values than the lower slope.</w:t>
      </w:r>
    </w:p>
    <w:p w:rsidR="00DB00E3" w:rsidRDefault="00DB00E3" w:rsidP="00DB00E3">
      <w:pPr>
        <w:pStyle w:val="NormalWeb"/>
        <w:numPr>
          <w:ilvl w:val="0"/>
          <w:numId w:val="11"/>
        </w:numPr>
      </w:pPr>
      <w:r>
        <w:rPr>
          <w:bCs/>
        </w:rPr>
        <w:t>Decline with Depth:</w:t>
      </w:r>
      <w:r>
        <w:t xml:space="preserve"> There is a sharp drop in OC below the A1 horizon. In Pedon 002 (Upper Slope), OC falls from 3.7% to 0.09% in the BC horizon. This suggests that organic matter stabilization is confined primarily to the surface due to rapid mineralization in the subsoil.</w:t>
      </w:r>
    </w:p>
    <w:p w:rsidR="00DB00E3" w:rsidRDefault="00DB00E3" w:rsidP="00DB00E3">
      <w:pPr>
        <w:pStyle w:val="NormalWeb"/>
        <w:numPr>
          <w:ilvl w:val="0"/>
          <w:numId w:val="11"/>
        </w:numPr>
      </w:pPr>
      <w:r>
        <w:rPr>
          <w:bCs/>
        </w:rPr>
        <w:t>Stoichiometry:</w:t>
      </w:r>
      <w:r>
        <w:t xml:space="preserve"> Total Nitrogen (TN) is consistently low (0.01%–0.04%). The wide C:N ratio suggests that nitrogen is a limiting factor for microbial activity and crop production in this landscape (Obasi </w:t>
      </w:r>
      <w:r>
        <w:rPr>
          <w:i/>
        </w:rPr>
        <w:t>et al.,</w:t>
      </w:r>
      <w:r>
        <w:t xml:space="preserve"> 2022).</w:t>
      </w:r>
    </w:p>
    <w:p w:rsidR="00DB00E3" w:rsidRDefault="00DB00E3" w:rsidP="00DB00E3">
      <w:pPr>
        <w:pStyle w:val="Heading3"/>
        <w:rPr>
          <w:rFonts w:ascii="Times New Roman" w:hAnsi="Times New Roman" w:cs="Times New Roman"/>
          <w:color w:val="auto"/>
        </w:rPr>
      </w:pPr>
      <w:r>
        <w:rPr>
          <w:rFonts w:ascii="Times New Roman" w:hAnsi="Times New Roman" w:cs="Times New Roman"/>
          <w:color w:val="auto"/>
        </w:rPr>
        <w:t>3. Cation Exchange and Nutrient Availability</w:t>
      </w:r>
    </w:p>
    <w:p w:rsidR="00DB00E3" w:rsidRDefault="00DB00E3" w:rsidP="00DB00E3">
      <w:pPr>
        <w:pStyle w:val="NormalWeb"/>
        <w:numPr>
          <w:ilvl w:val="0"/>
          <w:numId w:val="12"/>
        </w:numPr>
      </w:pPr>
      <w:r>
        <w:rPr>
          <w:bCs/>
        </w:rPr>
        <w:t>Effective Cation Exchange Capacity (ECEC):</w:t>
      </w:r>
      <w:r>
        <w:t xml:space="preserve"> The ECEC is generally low (&lt;2.0 </w:t>
      </w:r>
      <w:proofErr w:type="spellStart"/>
      <w:r>
        <w:t>cmol</w:t>
      </w:r>
      <w:proofErr w:type="spellEnd"/>
      <w:r>
        <w:t xml:space="preserve">/kg), which is typical for highly weathered kaolinitic or </w:t>
      </w:r>
      <w:proofErr w:type="spellStart"/>
      <w:r>
        <w:t>sesquioxide</w:t>
      </w:r>
      <w:proofErr w:type="spellEnd"/>
      <w:r>
        <w:t>-rich soils.</w:t>
      </w:r>
    </w:p>
    <w:p w:rsidR="00DB00E3" w:rsidRDefault="00DB00E3" w:rsidP="00DB00E3">
      <w:pPr>
        <w:pStyle w:val="NormalWeb"/>
        <w:numPr>
          <w:ilvl w:val="0"/>
          <w:numId w:val="12"/>
        </w:numPr>
      </w:pPr>
      <w:r>
        <w:rPr>
          <w:bCs/>
        </w:rPr>
        <w:t>Exchangeable Bases:</w:t>
      </w:r>
      <w:r>
        <w:t xml:space="preserve"> Ca²⁺ and Mg²⁺ dominate the exchange site but are present in low absolute amounts. The highest concentrations are in the surface horizons, likely maintained by </w:t>
      </w:r>
      <w:r>
        <w:rPr>
          <w:bCs/>
        </w:rPr>
        <w:t>biomass recycling</w:t>
      </w:r>
      <w:r>
        <w:t xml:space="preserve"> (</w:t>
      </w:r>
      <w:proofErr w:type="spellStart"/>
      <w:r>
        <w:t>Menna</w:t>
      </w:r>
      <w:proofErr w:type="spellEnd"/>
      <w:r>
        <w:t>, 2022).</w:t>
      </w:r>
    </w:p>
    <w:p w:rsidR="00DB00E3" w:rsidRDefault="00DB00E3" w:rsidP="00DB00E3">
      <w:pPr>
        <w:pStyle w:val="NormalWeb"/>
        <w:numPr>
          <w:ilvl w:val="0"/>
          <w:numId w:val="12"/>
        </w:numPr>
      </w:pPr>
      <w:r>
        <w:rPr>
          <w:bCs/>
        </w:rPr>
        <w:t>Available Phosphorus:</w:t>
      </w:r>
      <w:r>
        <w:t xml:space="preserve"> P levels are moderate to high in the surface (up to 26.4 mg/kg at the summit) but decrease drastically with depth. The lower slope shows the most </w:t>
      </w:r>
      <w:r>
        <w:lastRenderedPageBreak/>
        <w:t>significant decrease in P in the subsoil (3.6 mg/kg), possibly due to P-fixation by Fe and Al oxides in more acidic, moisture-saturated conditions.</w:t>
      </w:r>
    </w:p>
    <w:p w:rsidR="00DB00E3" w:rsidRDefault="00DB00E3" w:rsidP="00DB00E3">
      <w:pPr>
        <w:pStyle w:val="Heading3"/>
        <w:rPr>
          <w:rFonts w:ascii="Times New Roman" w:hAnsi="Times New Roman" w:cs="Times New Roman"/>
          <w:color w:val="auto"/>
        </w:rPr>
      </w:pPr>
      <w:r>
        <w:rPr>
          <w:rFonts w:ascii="Times New Roman" w:hAnsi="Times New Roman" w:cs="Times New Roman"/>
          <w:color w:val="auto"/>
        </w:rPr>
        <w:t>4. Micronutrient Distribution (Fe, Mn, Cu, Zn)</w:t>
      </w:r>
    </w:p>
    <w:p w:rsidR="00DB00E3" w:rsidRDefault="00DB00E3" w:rsidP="00DB00E3">
      <w:pPr>
        <w:pStyle w:val="NormalWeb"/>
      </w:pPr>
      <w:r>
        <w:t>The distribution of micronutrients follows both depth and slope gradients:</w:t>
      </w:r>
    </w:p>
    <w:p w:rsidR="00DB00E3" w:rsidRDefault="00DB00E3" w:rsidP="00DB00E3">
      <w:pPr>
        <w:pStyle w:val="NormalWeb"/>
        <w:numPr>
          <w:ilvl w:val="0"/>
          <w:numId w:val="13"/>
        </w:numPr>
      </w:pPr>
      <w:r>
        <w:rPr>
          <w:bCs/>
        </w:rPr>
        <w:t>Iron (Fe) and Manganese (Mn):</w:t>
      </w:r>
      <w:r>
        <w:t xml:space="preserve"> These are exceptionally high in the surface horizons (Fe: 36-39 mg/kg; Mn: 14-16 mg/kg).</w:t>
      </w:r>
    </w:p>
    <w:p w:rsidR="00DB00E3" w:rsidRDefault="00DB00E3" w:rsidP="00DB00E3">
      <w:pPr>
        <w:pStyle w:val="NormalWeb"/>
        <w:numPr>
          <w:ilvl w:val="0"/>
          <w:numId w:val="13"/>
        </w:numPr>
      </w:pPr>
      <w:r>
        <w:rPr>
          <w:bCs/>
        </w:rPr>
        <w:t>Redox Influence:</w:t>
      </w:r>
      <w:r>
        <w:t xml:space="preserve"> In the </w:t>
      </w:r>
      <w:r>
        <w:rPr>
          <w:bCs/>
        </w:rPr>
        <w:t>Lower Slope (Pedon 004)</w:t>
      </w:r>
      <w:r>
        <w:t xml:space="preserve">, Mn decreases from 16.6 mg/kg at the surface to 6.8 mg/kg at depth. This confirms the presence of </w:t>
      </w:r>
      <w:r>
        <w:rPr>
          <w:bCs/>
        </w:rPr>
        <w:t>redoximorphic processes</w:t>
      </w:r>
      <w:r>
        <w:t xml:space="preserve">; under saturated conditions, Mn is reduced and either leached or concentrated into the Fe-Mn concretions previously identified in your morphological description (Obasi </w:t>
      </w:r>
      <w:r>
        <w:rPr>
          <w:i/>
        </w:rPr>
        <w:t>et al.,</w:t>
      </w:r>
      <w:r>
        <w:t xml:space="preserve"> 2022).</w:t>
      </w:r>
    </w:p>
    <w:p w:rsidR="00DB00E3" w:rsidRDefault="00DB00E3" w:rsidP="00DB00E3">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Conclusion and Recommendations</w:t>
      </w:r>
    </w:p>
    <w:p w:rsidR="00DB00E3" w:rsidRDefault="00DB00E3" w:rsidP="00DB00E3"/>
    <w:p w:rsidR="00DB00E3" w:rsidRDefault="00DB00E3" w:rsidP="00DB00E3">
      <w:pPr>
        <w:pStyle w:val="NormalWeb"/>
        <w:spacing w:before="0" w:beforeAutospacing="0"/>
      </w:pPr>
      <w:r>
        <w:t xml:space="preserve">The pedological investigation of the </w:t>
      </w:r>
      <w:proofErr w:type="spellStart"/>
      <w:r>
        <w:t>Iresa-apa</w:t>
      </w:r>
      <w:proofErr w:type="spellEnd"/>
      <w:r>
        <w:t xml:space="preserve"> </w:t>
      </w:r>
      <w:proofErr w:type="spellStart"/>
      <w:r>
        <w:t>toposequence</w:t>
      </w:r>
      <w:proofErr w:type="spellEnd"/>
      <w:r>
        <w:t xml:space="preserve"> demonstrates that soil variability across the landscape is a function of the complex interplay between topography, lithology, and hydro-pedogenesis. The observed morphological differentiation marked by a transition from organic-rich surface horizons to clay-enriched subsurface layers highlights the maturity and moderate-to-strong development of these soil profiles.</w:t>
      </w:r>
    </w:p>
    <w:p w:rsidR="00DB00E3" w:rsidRDefault="00DB00E3" w:rsidP="00DB00E3">
      <w:pPr>
        <w:pStyle w:val="NormalWeb"/>
      </w:pPr>
      <w:r>
        <w:t xml:space="preserve">A critical finding of this study is the pervasive presence of </w:t>
      </w:r>
      <w:r>
        <w:rPr>
          <w:bCs/>
        </w:rPr>
        <w:t>redoximorphic features</w:t>
      </w:r>
      <w:r>
        <w:t xml:space="preserve"> (RMFs), specifically Fe–Mn concretions and prominent mottling in the B and BC horizons. These features indicate that the water regime is the dominant factor governing pedogenesis in the lower landscape positions, where seasonal saturation triggers fluctuating reduction-oxidation cycles (JCEA, 2022). Furthermore, the evidence of </w:t>
      </w:r>
      <w:r>
        <w:rPr>
          <w:bCs/>
        </w:rPr>
        <w:t>clay illuviation</w:t>
      </w:r>
      <w:r>
        <w:t xml:space="preserve"> (argillic horizons) and the subsequent development of blocky to columnar structures suggest restricted vertical hydraulic conductivity. This restricted drainage, coupled with the potential for phosphorus fixation indicated by the high-chroma orange mottles and acidic weathering environment, poses significant challenges for conventional nutrient management (Frontiers, 2025; </w:t>
      </w:r>
      <w:proofErr w:type="spellStart"/>
      <w:r>
        <w:t>Merumba</w:t>
      </w:r>
      <w:proofErr w:type="spellEnd"/>
      <w:r>
        <w:t xml:space="preserve"> </w:t>
      </w:r>
      <w:r>
        <w:rPr>
          <w:i/>
        </w:rPr>
        <w:t>et al.,</w:t>
      </w:r>
      <w:r>
        <w:t xml:space="preserve"> 2024).</w:t>
      </w:r>
    </w:p>
    <w:p w:rsidR="00DB00E3" w:rsidRDefault="00DB00E3" w:rsidP="00DB00E3">
      <w:pPr>
        <w:pStyle w:val="NormalWeb"/>
      </w:pPr>
      <w:r>
        <w:t xml:space="preserve">In summary, the </w:t>
      </w:r>
      <w:proofErr w:type="spellStart"/>
      <w:r>
        <w:t>Iresa-apa</w:t>
      </w:r>
      <w:proofErr w:type="spellEnd"/>
      <w:r>
        <w:t xml:space="preserve"> </w:t>
      </w:r>
      <w:proofErr w:type="spellStart"/>
      <w:r>
        <w:t>toposequence</w:t>
      </w:r>
      <w:proofErr w:type="spellEnd"/>
      <w:r>
        <w:t xml:space="preserve"> represents a classic drainage catena. While the surface horizons possess favorable physical attributes for crop establishment, the subsurface constraints including poor internal drainage, high compaction, and seasonal anaerobiosis define the ultimate land-use potential and fertility status of the area (</w:t>
      </w:r>
      <w:proofErr w:type="spellStart"/>
      <w:r>
        <w:t>Ogbu</w:t>
      </w:r>
      <w:proofErr w:type="spellEnd"/>
      <w:r>
        <w:t xml:space="preserve"> </w:t>
      </w:r>
      <w:r>
        <w:rPr>
          <w:i/>
        </w:rPr>
        <w:t>et al</w:t>
      </w:r>
      <w:r>
        <w:t>., 2023; PubMed, 2024).</w:t>
      </w:r>
    </w:p>
    <w:p w:rsidR="00251356" w:rsidRDefault="00251356" w:rsidP="00251356">
      <w:pPr>
        <w:pStyle w:val="NoSpacing"/>
        <w:rPr>
          <w:rFonts w:ascii="Arial" w:hAnsi="Arial" w:cs="Arial"/>
          <w:highlight w:val="yellow"/>
        </w:rPr>
      </w:pPr>
      <w:bookmarkStart w:id="1" w:name="_Hlk198031404"/>
      <w:r>
        <w:rPr>
          <w:rFonts w:ascii="Arial" w:hAnsi="Arial" w:cs="Arial"/>
          <w:highlight w:val="yellow"/>
        </w:rPr>
        <w:t>Disclaimer (Artificial intelligence)</w:t>
      </w:r>
    </w:p>
    <w:p w:rsidR="00251356" w:rsidRDefault="00251356" w:rsidP="00251356">
      <w:pPr>
        <w:pStyle w:val="NoSpacing"/>
        <w:rPr>
          <w:rFonts w:ascii="Arial" w:hAnsi="Arial" w:cs="Arial"/>
          <w:highlight w:val="yellow"/>
        </w:rPr>
      </w:pPr>
    </w:p>
    <w:p w:rsidR="00251356" w:rsidRDefault="00251356" w:rsidP="00251356">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rsidR="00251356" w:rsidRDefault="00251356" w:rsidP="00251356">
      <w:pPr>
        <w:pStyle w:val="NoSpacing"/>
        <w:rPr>
          <w:rFonts w:ascii="Arial" w:hAnsi="Arial" w:cs="Arial"/>
        </w:rPr>
      </w:pPr>
    </w:p>
    <w:p w:rsidR="00251356" w:rsidRDefault="00251356" w:rsidP="00251356">
      <w:pPr>
        <w:pStyle w:val="NoSpacing"/>
        <w:rPr>
          <w:rFonts w:ascii="Arial" w:hAnsi="Arial" w:cs="Arial"/>
        </w:rPr>
      </w:pPr>
    </w:p>
    <w:p w:rsidR="00251356" w:rsidRDefault="00251356" w:rsidP="00251356">
      <w:pPr>
        <w:pStyle w:val="NoSpacing"/>
        <w:rPr>
          <w:rFonts w:ascii="Arial" w:hAnsi="Arial" w:cs="Arial"/>
        </w:rPr>
      </w:pPr>
    </w:p>
    <w:p w:rsidR="00DB00E3" w:rsidRDefault="00DB00E3" w:rsidP="00DB00E3">
      <w:pPr>
        <w:rPr>
          <w:sz w:val="24"/>
          <w:szCs w:val="24"/>
        </w:rPr>
      </w:pPr>
      <w:bookmarkStart w:id="2" w:name="_GoBack"/>
      <w:bookmarkEnd w:id="2"/>
    </w:p>
    <w:p w:rsidR="00DB00E3" w:rsidRDefault="00DB00E3" w:rsidP="00DB00E3">
      <w:pPr>
        <w:rPr>
          <w:sz w:val="24"/>
          <w:szCs w:val="24"/>
        </w:rPr>
      </w:pPr>
    </w:p>
    <w:p w:rsidR="00DB00E3" w:rsidRDefault="00DB00E3" w:rsidP="00DB00E3">
      <w:pPr>
        <w:rPr>
          <w:sz w:val="24"/>
          <w:szCs w:val="24"/>
        </w:rPr>
      </w:pPr>
    </w:p>
    <w:p w:rsidR="00DB00E3" w:rsidRDefault="00DB00E3" w:rsidP="00DB00E3">
      <w:pPr>
        <w:rPr>
          <w:sz w:val="24"/>
          <w:szCs w:val="24"/>
        </w:rPr>
      </w:pPr>
    </w:p>
    <w:p w:rsidR="00DB00E3" w:rsidRDefault="00DB00E3" w:rsidP="00DB00E3">
      <w:pPr>
        <w:rPr>
          <w:sz w:val="24"/>
          <w:szCs w:val="24"/>
        </w:rPr>
      </w:pPr>
    </w:p>
    <w:p w:rsidR="00DB00E3" w:rsidRDefault="00DB00E3" w:rsidP="00DB00E3">
      <w:pPr>
        <w:rPr>
          <w:sz w:val="24"/>
          <w:szCs w:val="24"/>
        </w:rPr>
      </w:pPr>
    </w:p>
    <w:p w:rsidR="00DB00E3" w:rsidRDefault="00DB00E3" w:rsidP="00DB00E3">
      <w:pPr>
        <w:rPr>
          <w:sz w:val="24"/>
          <w:szCs w:val="24"/>
        </w:rPr>
      </w:pPr>
    </w:p>
    <w:p w:rsidR="00DB00E3" w:rsidRDefault="00DB00E3" w:rsidP="00DB00E3">
      <w:pPr>
        <w:rPr>
          <w:b/>
          <w:sz w:val="24"/>
          <w:szCs w:val="24"/>
        </w:rPr>
      </w:pPr>
      <w:r>
        <w:rPr>
          <w:b/>
          <w:sz w:val="24"/>
          <w:szCs w:val="24"/>
        </w:rPr>
        <w:t>REFERENCES</w:t>
      </w:r>
    </w:p>
    <w:p w:rsidR="00DB00E3" w:rsidRDefault="00DB00E3" w:rsidP="008520CE">
      <w:pPr>
        <w:pStyle w:val="NormalWeb"/>
        <w:numPr>
          <w:ilvl w:val="0"/>
          <w:numId w:val="14"/>
        </w:numPr>
      </w:pPr>
      <w:r>
        <w:t xml:space="preserve">Ayoub, A. T. (1999). </w:t>
      </w:r>
      <w:r>
        <w:rPr>
          <w:rStyle w:val="Emphasis"/>
          <w:rFonts w:eastAsiaTheme="majorEastAsia"/>
        </w:rPr>
        <w:t>Extending the use of soil information for sustainable land management</w:t>
      </w:r>
      <w:r>
        <w:t>. FAO.</w:t>
      </w:r>
    </w:p>
    <w:p w:rsidR="00DB00E3" w:rsidRDefault="00DB00E3" w:rsidP="008520CE">
      <w:pPr>
        <w:pStyle w:val="NormalWeb"/>
        <w:numPr>
          <w:ilvl w:val="0"/>
          <w:numId w:val="14"/>
        </w:numPr>
      </w:pPr>
      <w:r>
        <w:t xml:space="preserve">Blake, G. R., and </w:t>
      </w:r>
      <w:proofErr w:type="spellStart"/>
      <w:r>
        <w:t>Hartge</w:t>
      </w:r>
      <w:proofErr w:type="spellEnd"/>
      <w:r>
        <w:t xml:space="preserve">, K. H. (1986). Bulk density. In A. </w:t>
      </w:r>
      <w:proofErr w:type="spellStart"/>
      <w:r>
        <w:t>Klute</w:t>
      </w:r>
      <w:proofErr w:type="spellEnd"/>
      <w:r>
        <w:t xml:space="preserve"> (Ed.), </w:t>
      </w:r>
      <w:r>
        <w:rPr>
          <w:rStyle w:val="Emphasis"/>
          <w:rFonts w:eastAsiaTheme="majorEastAsia"/>
        </w:rPr>
        <w:t>Methods of soil analysis: Part 1—Physical and mineralogical methods</w:t>
      </w:r>
      <w:r>
        <w:t xml:space="preserve"> (2nd ed., pp. 363–375). ASA and SSSA.</w:t>
      </w:r>
    </w:p>
    <w:p w:rsidR="00DB00E3" w:rsidRDefault="00DB00E3" w:rsidP="008520CE">
      <w:pPr>
        <w:pStyle w:val="NormalWeb"/>
        <w:numPr>
          <w:ilvl w:val="0"/>
          <w:numId w:val="14"/>
        </w:numPr>
      </w:pPr>
      <w:r>
        <w:t xml:space="preserve">Brady, N. C., and Weil, R. R. (2010). </w:t>
      </w:r>
      <w:r>
        <w:rPr>
          <w:rStyle w:val="Emphasis"/>
          <w:rFonts w:eastAsiaTheme="majorEastAsia"/>
        </w:rPr>
        <w:t>Elements of the nature and properties of soils</w:t>
      </w:r>
      <w:r>
        <w:t xml:space="preserve"> (3rd ed.). Pearson.</w:t>
      </w:r>
    </w:p>
    <w:p w:rsidR="00DB00E3" w:rsidRDefault="00DB00E3" w:rsidP="008520CE">
      <w:pPr>
        <w:pStyle w:val="NormalWeb"/>
        <w:numPr>
          <w:ilvl w:val="0"/>
          <w:numId w:val="14"/>
        </w:numPr>
      </w:pPr>
      <w:r>
        <w:t xml:space="preserve">Brady, N. C., and Weil, R. R. (2017). </w:t>
      </w:r>
      <w:r>
        <w:rPr>
          <w:rStyle w:val="Emphasis"/>
          <w:rFonts w:eastAsiaTheme="majorEastAsia"/>
        </w:rPr>
        <w:t>The nature and properties of soils</w:t>
      </w:r>
      <w:r>
        <w:t xml:space="preserve"> (15th ed.). Pearson.</w:t>
      </w:r>
    </w:p>
    <w:p w:rsidR="00DB00E3" w:rsidRDefault="00DB00E3" w:rsidP="008520CE">
      <w:pPr>
        <w:pStyle w:val="NormalWeb"/>
        <w:numPr>
          <w:ilvl w:val="0"/>
          <w:numId w:val="14"/>
        </w:numPr>
      </w:pPr>
      <w:r>
        <w:t xml:space="preserve">Bray, R. H., and Kurtz, L. T. (1945). Determination of total, organic, and available forms of phosphorus in soils. </w:t>
      </w:r>
      <w:r>
        <w:rPr>
          <w:rStyle w:val="Emphasis"/>
          <w:rFonts w:eastAsiaTheme="majorEastAsia"/>
        </w:rPr>
        <w:t>Soil Science, 59</w:t>
      </w:r>
      <w:r>
        <w:t>(1), 39–45.</w:t>
      </w:r>
    </w:p>
    <w:p w:rsidR="00DB00E3" w:rsidRDefault="00DB00E3" w:rsidP="008520CE">
      <w:pPr>
        <w:pStyle w:val="NormalWeb"/>
        <w:numPr>
          <w:ilvl w:val="0"/>
          <w:numId w:val="14"/>
        </w:numPr>
      </w:pPr>
      <w:proofErr w:type="spellStart"/>
      <w:r>
        <w:t>Bremner</w:t>
      </w:r>
      <w:proofErr w:type="spellEnd"/>
      <w:r>
        <w:t xml:space="preserve">, J. M. (1996). Nitrogen—Total. In D. L. Sparks et al. (Eds.), </w:t>
      </w:r>
      <w:r>
        <w:rPr>
          <w:rStyle w:val="Emphasis"/>
          <w:rFonts w:eastAsiaTheme="majorEastAsia"/>
        </w:rPr>
        <w:t>Methods of soil analysis: Part 3—Chemical methods</w:t>
      </w:r>
      <w:r>
        <w:t xml:space="preserve"> (pp. 1085–1121). Soil Science Society of America.</w:t>
      </w:r>
    </w:p>
    <w:p w:rsidR="00DB00E3" w:rsidRDefault="00DB00E3" w:rsidP="008520CE">
      <w:pPr>
        <w:pStyle w:val="NormalWeb"/>
        <w:numPr>
          <w:ilvl w:val="0"/>
          <w:numId w:val="14"/>
        </w:numPr>
      </w:pPr>
      <w:r>
        <w:t xml:space="preserve">Chukwu, L. I., Eswaran, H., and </w:t>
      </w:r>
      <w:proofErr w:type="spellStart"/>
      <w:r>
        <w:t>Asadu</w:t>
      </w:r>
      <w:proofErr w:type="spellEnd"/>
      <w:r>
        <w:t xml:space="preserve">, C. L. A. (2016). Soil resource management for sustainable agriculture in Nigeria. </w:t>
      </w:r>
      <w:r>
        <w:rPr>
          <w:rStyle w:val="Emphasis"/>
          <w:rFonts w:eastAsiaTheme="majorEastAsia"/>
        </w:rPr>
        <w:t>Journal of Agricultural Science, 8</w:t>
      </w:r>
      <w:r>
        <w:t>(3), 1–9.</w:t>
      </w:r>
    </w:p>
    <w:p w:rsidR="00DB00E3" w:rsidRDefault="00DB00E3" w:rsidP="008520CE">
      <w:pPr>
        <w:pStyle w:val="NormalWeb"/>
        <w:numPr>
          <w:ilvl w:val="0"/>
          <w:numId w:val="14"/>
        </w:numPr>
      </w:pPr>
      <w:r>
        <w:t xml:space="preserve">Food and Agriculture Organization (FAO). (2006). </w:t>
      </w:r>
      <w:r>
        <w:rPr>
          <w:rStyle w:val="Emphasis"/>
          <w:rFonts w:eastAsiaTheme="majorEastAsia"/>
        </w:rPr>
        <w:t>World reference base for soil resources 2006</w:t>
      </w:r>
      <w:r>
        <w:t>. FAO.</w:t>
      </w:r>
    </w:p>
    <w:p w:rsidR="00DB00E3" w:rsidRDefault="00DB00E3" w:rsidP="008520CE">
      <w:pPr>
        <w:pStyle w:val="NormalWeb"/>
        <w:numPr>
          <w:ilvl w:val="0"/>
          <w:numId w:val="14"/>
        </w:numPr>
      </w:pPr>
      <w:proofErr w:type="spellStart"/>
      <w:r>
        <w:t>Fageria</w:t>
      </w:r>
      <w:proofErr w:type="spellEnd"/>
      <w:r>
        <w:t xml:space="preserve">, N. K., </w:t>
      </w:r>
      <w:proofErr w:type="spellStart"/>
      <w:r>
        <w:t>Baligar</w:t>
      </w:r>
      <w:proofErr w:type="spellEnd"/>
      <w:r>
        <w:t xml:space="preserve">, V. C., and Jones, C. A. (2011). </w:t>
      </w:r>
      <w:r>
        <w:rPr>
          <w:rStyle w:val="Emphasis"/>
          <w:rFonts w:eastAsiaTheme="majorEastAsia"/>
        </w:rPr>
        <w:t>Growth and mineral nutrition of field crops</w:t>
      </w:r>
      <w:r>
        <w:t xml:space="preserve"> (3rd ed.). CRC Press.</w:t>
      </w:r>
    </w:p>
    <w:p w:rsidR="00DB00E3" w:rsidRDefault="00DB00E3" w:rsidP="008520CE">
      <w:pPr>
        <w:pStyle w:val="NormalWeb"/>
        <w:numPr>
          <w:ilvl w:val="0"/>
          <w:numId w:val="14"/>
        </w:numPr>
      </w:pPr>
      <w:r>
        <w:t xml:space="preserve">Gardner, F. P., Pearce, R. B., and Mitchell, R. L. (1999). </w:t>
      </w:r>
      <w:r>
        <w:rPr>
          <w:rStyle w:val="Emphasis"/>
          <w:rFonts w:eastAsiaTheme="majorEastAsia"/>
        </w:rPr>
        <w:t>Physiology of crop plants</w:t>
      </w:r>
      <w:r>
        <w:t>. Iowa State University Press.</w:t>
      </w:r>
    </w:p>
    <w:p w:rsidR="00DB00E3" w:rsidRDefault="00DB00E3" w:rsidP="008520CE">
      <w:pPr>
        <w:pStyle w:val="NormalWeb"/>
        <w:numPr>
          <w:ilvl w:val="0"/>
          <w:numId w:val="14"/>
        </w:numPr>
      </w:pPr>
      <w:r>
        <w:t xml:space="preserve">Gee, G. W., and Or, D. (2002). Particle-size analysis. In J. H. Dane and G. C. </w:t>
      </w:r>
      <w:proofErr w:type="spellStart"/>
      <w:r>
        <w:t>Topp</w:t>
      </w:r>
      <w:proofErr w:type="spellEnd"/>
      <w:r>
        <w:t xml:space="preserve"> (Eds.), </w:t>
      </w:r>
      <w:r>
        <w:rPr>
          <w:rStyle w:val="Emphasis"/>
          <w:rFonts w:eastAsiaTheme="majorEastAsia"/>
        </w:rPr>
        <w:t>Methods of soil analysis: Part 4—Physical methods</w:t>
      </w:r>
      <w:r>
        <w:t xml:space="preserve"> (pp. 255–293). Soil Science Society of America.</w:t>
      </w:r>
    </w:p>
    <w:p w:rsidR="00DB00E3" w:rsidRDefault="00DB00E3" w:rsidP="008520CE">
      <w:pPr>
        <w:pStyle w:val="NormalWeb"/>
        <w:numPr>
          <w:ilvl w:val="0"/>
          <w:numId w:val="14"/>
        </w:numPr>
      </w:pPr>
      <w:r>
        <w:t xml:space="preserve">Gomez, K. A., and Gomez, A. A. (1984). </w:t>
      </w:r>
      <w:r>
        <w:rPr>
          <w:rStyle w:val="Emphasis"/>
          <w:rFonts w:eastAsiaTheme="majorEastAsia"/>
        </w:rPr>
        <w:t>Statistical procedures for agricultural research</w:t>
      </w:r>
      <w:r>
        <w:t xml:space="preserve"> (2nd ed.). Wiley.</w:t>
      </w:r>
    </w:p>
    <w:p w:rsidR="00DB00E3" w:rsidRDefault="00DB00E3" w:rsidP="008520CE">
      <w:pPr>
        <w:pStyle w:val="NormalWeb"/>
        <w:numPr>
          <w:ilvl w:val="0"/>
          <w:numId w:val="14"/>
        </w:numPr>
      </w:pPr>
      <w:r>
        <w:t xml:space="preserve">Jenny, H. (1941). </w:t>
      </w:r>
      <w:r>
        <w:rPr>
          <w:rStyle w:val="Emphasis"/>
          <w:rFonts w:eastAsiaTheme="majorEastAsia"/>
        </w:rPr>
        <w:t>Factors of soil formation: A system of quantitative pedology</w:t>
      </w:r>
      <w:r>
        <w:t>. McGraw-Hill.</w:t>
      </w:r>
    </w:p>
    <w:p w:rsidR="00DB00E3" w:rsidRDefault="00DB00E3" w:rsidP="008520CE">
      <w:pPr>
        <w:pStyle w:val="NormalWeb"/>
        <w:numPr>
          <w:ilvl w:val="0"/>
          <w:numId w:val="14"/>
        </w:numPr>
      </w:pPr>
      <w:r>
        <w:t xml:space="preserve">Lal, R. (2015). Restoring soil quality to mitigate soil degradation. </w:t>
      </w:r>
      <w:r>
        <w:rPr>
          <w:rStyle w:val="Emphasis"/>
          <w:rFonts w:eastAsiaTheme="majorEastAsia"/>
        </w:rPr>
        <w:t>Sustainability, 7</w:t>
      </w:r>
      <w:r>
        <w:t>(5), 5875–5895.</w:t>
      </w:r>
    </w:p>
    <w:p w:rsidR="00DB00E3" w:rsidRDefault="00DB00E3" w:rsidP="008520CE">
      <w:pPr>
        <w:pStyle w:val="NormalWeb"/>
        <w:numPr>
          <w:ilvl w:val="0"/>
          <w:numId w:val="14"/>
        </w:numPr>
      </w:pPr>
      <w:r>
        <w:t xml:space="preserve">Lindsay, W. L., and Norvell, W. A. (1978). Development of a DTPA soil test for zinc, iron, manganese, and copper. </w:t>
      </w:r>
      <w:r>
        <w:rPr>
          <w:rStyle w:val="Emphasis"/>
          <w:rFonts w:eastAsiaTheme="majorEastAsia"/>
        </w:rPr>
        <w:t>Soil Science Society of America Journal, 42</w:t>
      </w:r>
      <w:r>
        <w:t>(3), 421–428.</w:t>
      </w:r>
    </w:p>
    <w:p w:rsidR="00DB00E3" w:rsidRDefault="00DB00E3" w:rsidP="008520CE">
      <w:pPr>
        <w:pStyle w:val="NormalWeb"/>
        <w:numPr>
          <w:ilvl w:val="0"/>
          <w:numId w:val="14"/>
        </w:numPr>
      </w:pPr>
      <w:r>
        <w:t xml:space="preserve">McLean, E. O. (1982). Soil pH and lime requirement. In A. L. Page et al. (Eds.), </w:t>
      </w:r>
      <w:r>
        <w:rPr>
          <w:rStyle w:val="Emphasis"/>
          <w:rFonts w:eastAsiaTheme="majorEastAsia"/>
        </w:rPr>
        <w:t>Methods of soil analysis: Part 2</w:t>
      </w:r>
      <w:r>
        <w:t xml:space="preserve"> (pp. 199–224). ASA and SSSA.</w:t>
      </w:r>
    </w:p>
    <w:p w:rsidR="00DB00E3" w:rsidRDefault="00DB00E3" w:rsidP="008520CE">
      <w:pPr>
        <w:pStyle w:val="NormalWeb"/>
        <w:numPr>
          <w:ilvl w:val="0"/>
          <w:numId w:val="14"/>
        </w:numPr>
      </w:pPr>
      <w:proofErr w:type="spellStart"/>
      <w:r>
        <w:t>Ponnamperuma</w:t>
      </w:r>
      <w:proofErr w:type="spellEnd"/>
      <w:r>
        <w:t xml:space="preserve">, F. N. (1972). The chemistry of submerged soils. </w:t>
      </w:r>
      <w:r>
        <w:rPr>
          <w:rStyle w:val="Emphasis"/>
          <w:rFonts w:eastAsiaTheme="majorEastAsia"/>
        </w:rPr>
        <w:t>Advances in Agronomy, 24</w:t>
      </w:r>
      <w:r>
        <w:t>, 29–96.</w:t>
      </w:r>
    </w:p>
    <w:p w:rsidR="00DB00E3" w:rsidRDefault="00DB00E3" w:rsidP="008520CE">
      <w:pPr>
        <w:pStyle w:val="NormalWeb"/>
        <w:numPr>
          <w:ilvl w:val="0"/>
          <w:numId w:val="14"/>
        </w:numPr>
      </w:pPr>
      <w:r>
        <w:t xml:space="preserve">Ritter, D. F. (2002). </w:t>
      </w:r>
      <w:r>
        <w:rPr>
          <w:rStyle w:val="Emphasis"/>
          <w:rFonts w:eastAsiaTheme="majorEastAsia"/>
        </w:rPr>
        <w:t>Process geomorphology</w:t>
      </w:r>
      <w:r>
        <w:t xml:space="preserve"> (4th ed.). Waveland Press.</w:t>
      </w:r>
    </w:p>
    <w:p w:rsidR="00DB00E3" w:rsidRDefault="00DB00E3" w:rsidP="008520CE">
      <w:pPr>
        <w:pStyle w:val="NormalWeb"/>
        <w:numPr>
          <w:ilvl w:val="0"/>
          <w:numId w:val="14"/>
        </w:numPr>
      </w:pPr>
      <w:r>
        <w:lastRenderedPageBreak/>
        <w:t xml:space="preserve">SAS Institute. (2009). </w:t>
      </w:r>
      <w:r>
        <w:rPr>
          <w:rStyle w:val="Emphasis"/>
          <w:rFonts w:eastAsiaTheme="majorEastAsia"/>
        </w:rPr>
        <w:t>SAS/STAT user’s guide</w:t>
      </w:r>
      <w:r>
        <w:t xml:space="preserve"> (Version 9.2). SAS Institute Inc.</w:t>
      </w:r>
    </w:p>
    <w:p w:rsidR="00DB00E3" w:rsidRDefault="00DB00E3" w:rsidP="008520CE">
      <w:pPr>
        <w:pStyle w:val="NormalWeb"/>
        <w:numPr>
          <w:ilvl w:val="0"/>
          <w:numId w:val="14"/>
        </w:numPr>
      </w:pPr>
      <w:proofErr w:type="spellStart"/>
      <w:r>
        <w:t>Schaetzl</w:t>
      </w:r>
      <w:proofErr w:type="spellEnd"/>
      <w:r>
        <w:t xml:space="preserve">, R. J., and Thompson, M. L. (2015). </w:t>
      </w:r>
      <w:r>
        <w:rPr>
          <w:rStyle w:val="Emphasis"/>
          <w:rFonts w:eastAsiaTheme="majorEastAsia"/>
        </w:rPr>
        <w:t>Soils: Genesis and geomorphology</w:t>
      </w:r>
      <w:r>
        <w:t xml:space="preserve"> (2nd ed.). Cambridge University Press.</w:t>
      </w:r>
    </w:p>
    <w:p w:rsidR="00DB00E3" w:rsidRDefault="00DB00E3" w:rsidP="008520CE">
      <w:pPr>
        <w:pStyle w:val="NormalWeb"/>
        <w:numPr>
          <w:ilvl w:val="0"/>
          <w:numId w:val="14"/>
        </w:numPr>
      </w:pPr>
      <w:proofErr w:type="spellStart"/>
      <w:r>
        <w:t>Schwertmann</w:t>
      </w:r>
      <w:proofErr w:type="spellEnd"/>
      <w:r>
        <w:t xml:space="preserve">, U., and Taylor, R. M. (1989). Iron oxides. In J. B. Dixon and S. B. Weed (Eds.), </w:t>
      </w:r>
      <w:r>
        <w:rPr>
          <w:rStyle w:val="Emphasis"/>
          <w:rFonts w:eastAsiaTheme="majorEastAsia"/>
        </w:rPr>
        <w:t>Minerals in soil environments</w:t>
      </w:r>
      <w:r>
        <w:t xml:space="preserve"> (pp. 379–438). SSSA.</w:t>
      </w:r>
    </w:p>
    <w:p w:rsidR="00DB00E3" w:rsidRDefault="00DB00E3" w:rsidP="008520CE">
      <w:pPr>
        <w:pStyle w:val="NormalWeb"/>
        <w:numPr>
          <w:ilvl w:val="0"/>
          <w:numId w:val="14"/>
        </w:numPr>
      </w:pPr>
      <w:proofErr w:type="spellStart"/>
      <w:r>
        <w:t>Sheldrick</w:t>
      </w:r>
      <w:proofErr w:type="spellEnd"/>
      <w:r>
        <w:t xml:space="preserve">, B. H., </w:t>
      </w:r>
      <w:proofErr w:type="spellStart"/>
      <w:r>
        <w:t>Syers</w:t>
      </w:r>
      <w:proofErr w:type="spellEnd"/>
      <w:r>
        <w:t xml:space="preserve">, J. K., and Lingard, J. (2002). Soil nutrient audits for China to estimate nutrient balances. </w:t>
      </w:r>
      <w:r>
        <w:rPr>
          <w:rStyle w:val="Emphasis"/>
          <w:rFonts w:eastAsiaTheme="majorEastAsia"/>
        </w:rPr>
        <w:t>Agriculture, Ecosystems and Environment, 94</w:t>
      </w:r>
      <w:r>
        <w:t>(3), 341–354.</w:t>
      </w:r>
    </w:p>
    <w:p w:rsidR="00DB00E3" w:rsidRDefault="00DB00E3" w:rsidP="008520CE">
      <w:pPr>
        <w:pStyle w:val="NormalWeb"/>
        <w:numPr>
          <w:ilvl w:val="0"/>
          <w:numId w:val="14"/>
        </w:numPr>
      </w:pPr>
      <w:r>
        <w:t xml:space="preserve">Six, J., </w:t>
      </w:r>
      <w:proofErr w:type="spellStart"/>
      <w:r>
        <w:t>Bossuyt</w:t>
      </w:r>
      <w:proofErr w:type="spellEnd"/>
      <w:r>
        <w:t xml:space="preserve">, H., </w:t>
      </w:r>
      <w:proofErr w:type="spellStart"/>
      <w:r>
        <w:t>Degryze</w:t>
      </w:r>
      <w:proofErr w:type="spellEnd"/>
      <w:r>
        <w:t xml:space="preserve">, S., and </w:t>
      </w:r>
      <w:proofErr w:type="spellStart"/>
      <w:r>
        <w:t>Denef</w:t>
      </w:r>
      <w:proofErr w:type="spellEnd"/>
      <w:r>
        <w:t xml:space="preserve">, K. (2004). A history of research on the link between aggregation and soil organic matter dynamics. </w:t>
      </w:r>
      <w:r>
        <w:rPr>
          <w:rStyle w:val="Emphasis"/>
          <w:rFonts w:eastAsiaTheme="majorEastAsia"/>
        </w:rPr>
        <w:t>Soil and Tillage Research, 79</w:t>
      </w:r>
      <w:r>
        <w:t>(1), 7–31.</w:t>
      </w:r>
    </w:p>
    <w:p w:rsidR="00DB00E3" w:rsidRDefault="00DB00E3" w:rsidP="008520CE">
      <w:pPr>
        <w:pStyle w:val="NormalWeb"/>
        <w:numPr>
          <w:ilvl w:val="0"/>
          <w:numId w:val="14"/>
        </w:numPr>
      </w:pPr>
      <w:r>
        <w:t xml:space="preserve">Soil Survey Staff. (1975). </w:t>
      </w:r>
      <w:r>
        <w:rPr>
          <w:rStyle w:val="Emphasis"/>
          <w:rFonts w:eastAsiaTheme="majorEastAsia"/>
        </w:rPr>
        <w:t>Soil taxonomy: A basic system of soil classification</w:t>
      </w:r>
      <w:r>
        <w:t>. USDA.</w:t>
      </w:r>
    </w:p>
    <w:p w:rsidR="00DB00E3" w:rsidRDefault="00DB00E3" w:rsidP="008520CE">
      <w:pPr>
        <w:pStyle w:val="NormalWeb"/>
        <w:numPr>
          <w:ilvl w:val="0"/>
          <w:numId w:val="14"/>
        </w:numPr>
      </w:pPr>
      <w:r>
        <w:t xml:space="preserve">Soil Survey Staff. (2003). </w:t>
      </w:r>
      <w:r>
        <w:rPr>
          <w:rStyle w:val="Emphasis"/>
          <w:rFonts w:eastAsiaTheme="majorEastAsia"/>
        </w:rPr>
        <w:t>Keys to soil taxonomy</w:t>
      </w:r>
      <w:r>
        <w:t xml:space="preserve"> (9th ed.). USDA-NRCS.</w:t>
      </w:r>
    </w:p>
    <w:p w:rsidR="00DB00E3" w:rsidRDefault="00DB00E3" w:rsidP="008520CE">
      <w:pPr>
        <w:pStyle w:val="NormalWeb"/>
        <w:numPr>
          <w:ilvl w:val="0"/>
          <w:numId w:val="14"/>
        </w:numPr>
      </w:pPr>
      <w:r>
        <w:t xml:space="preserve">Soil Survey Staff. (2014). </w:t>
      </w:r>
      <w:r>
        <w:rPr>
          <w:rStyle w:val="Emphasis"/>
          <w:rFonts w:eastAsiaTheme="majorEastAsia"/>
        </w:rPr>
        <w:t>Keys to soil taxonomy</w:t>
      </w:r>
      <w:r>
        <w:t xml:space="preserve"> (12th ed.). USDA-NRCS.</w:t>
      </w:r>
    </w:p>
    <w:p w:rsidR="00DB00E3" w:rsidRDefault="00DB00E3" w:rsidP="008520CE">
      <w:pPr>
        <w:pStyle w:val="NormalWeb"/>
        <w:numPr>
          <w:ilvl w:val="0"/>
          <w:numId w:val="14"/>
        </w:numPr>
      </w:pPr>
      <w:r>
        <w:t xml:space="preserve">Soil Survey Staff. (2016). </w:t>
      </w:r>
      <w:r>
        <w:rPr>
          <w:rStyle w:val="Emphasis"/>
          <w:rFonts w:eastAsiaTheme="majorEastAsia"/>
        </w:rPr>
        <w:t>Keys to soil taxonomy</w:t>
      </w:r>
      <w:r>
        <w:t xml:space="preserve"> (12th ed.). USDA-NRCS.</w:t>
      </w:r>
    </w:p>
    <w:p w:rsidR="00DB00E3" w:rsidRDefault="00DB00E3" w:rsidP="008520CE">
      <w:pPr>
        <w:pStyle w:val="NormalWeb"/>
        <w:numPr>
          <w:ilvl w:val="0"/>
          <w:numId w:val="14"/>
        </w:numPr>
      </w:pPr>
      <w:r>
        <w:t xml:space="preserve">Thomas, G. W. (1982). Exchangeable cations. In A. L. Page et al. (Eds.), </w:t>
      </w:r>
      <w:r>
        <w:rPr>
          <w:rStyle w:val="Emphasis"/>
          <w:rFonts w:eastAsiaTheme="majorEastAsia"/>
        </w:rPr>
        <w:t>Methods of soil analysis: Part 2</w:t>
      </w:r>
      <w:r>
        <w:t xml:space="preserve"> (pp. 159–165). ASA and SSSA.</w:t>
      </w:r>
    </w:p>
    <w:p w:rsidR="00DB00E3" w:rsidRDefault="00DB00E3" w:rsidP="008520CE">
      <w:pPr>
        <w:pStyle w:val="NormalWeb"/>
        <w:numPr>
          <w:ilvl w:val="0"/>
          <w:numId w:val="14"/>
        </w:numPr>
      </w:pPr>
      <w:proofErr w:type="spellStart"/>
      <w:r>
        <w:t>Vepraskas</w:t>
      </w:r>
      <w:proofErr w:type="spellEnd"/>
      <w:r>
        <w:t xml:space="preserve">, M. J., and </w:t>
      </w:r>
      <w:proofErr w:type="spellStart"/>
      <w:r>
        <w:t>Lindbo</w:t>
      </w:r>
      <w:proofErr w:type="spellEnd"/>
      <w:r>
        <w:t>, D. L. (2012). Redoximorphic features for identifying aquic conditions. North Carolina State University.</w:t>
      </w:r>
    </w:p>
    <w:p w:rsidR="00DB00E3" w:rsidRDefault="00DB00E3" w:rsidP="008520CE">
      <w:pPr>
        <w:pStyle w:val="NormalWeb"/>
        <w:numPr>
          <w:ilvl w:val="0"/>
          <w:numId w:val="14"/>
        </w:numPr>
      </w:pPr>
      <w:r>
        <w:t xml:space="preserve">Walkley, A., and Black, I. A. (1934). An examination of the </w:t>
      </w:r>
      <w:proofErr w:type="spellStart"/>
      <w:r>
        <w:t>Degtjareff</w:t>
      </w:r>
      <w:proofErr w:type="spellEnd"/>
      <w:r>
        <w:t xml:space="preserve"> method for determining soil organic matter. </w:t>
      </w:r>
      <w:r>
        <w:rPr>
          <w:rStyle w:val="Emphasis"/>
          <w:rFonts w:eastAsiaTheme="majorEastAsia"/>
        </w:rPr>
        <w:t>Soil Science, 37</w:t>
      </w:r>
      <w:r>
        <w:t>(1), 29–38.</w:t>
      </w:r>
    </w:p>
    <w:p w:rsidR="00DB00E3" w:rsidRDefault="00DB00E3" w:rsidP="008520CE">
      <w:pPr>
        <w:pStyle w:val="NormalWeb"/>
        <w:numPr>
          <w:ilvl w:val="0"/>
          <w:numId w:val="14"/>
        </w:numPr>
      </w:pPr>
      <w:r>
        <w:t xml:space="preserve">Wilding, L. P., and Drees, L. R. (1983). Spatial variability and pedology. In L. P. Wilding et al. (Eds.), </w:t>
      </w:r>
      <w:r>
        <w:rPr>
          <w:rStyle w:val="Emphasis"/>
          <w:rFonts w:eastAsiaTheme="majorEastAsia"/>
        </w:rPr>
        <w:t>Pedogenesis and soil taxonomy</w:t>
      </w:r>
      <w:r>
        <w:t xml:space="preserve"> (pp. 83–116). Elsevier.</w:t>
      </w:r>
    </w:p>
    <w:p w:rsidR="00DB00E3" w:rsidRDefault="00DB00E3" w:rsidP="00DB00E3">
      <w:pPr>
        <w:rPr>
          <w:sz w:val="24"/>
          <w:szCs w:val="24"/>
        </w:rPr>
      </w:pPr>
    </w:p>
    <w:p w:rsidR="00DB00E3" w:rsidRPr="00DB00E3" w:rsidRDefault="00DB00E3" w:rsidP="00DB00E3"/>
    <w:p w:rsidR="002447E2" w:rsidRPr="00671611" w:rsidRDefault="002447E2" w:rsidP="00DB00E3">
      <w:pPr>
        <w:rPr>
          <w:sz w:val="24"/>
          <w:szCs w:val="24"/>
        </w:rPr>
      </w:pPr>
    </w:p>
    <w:sectPr w:rsidR="002447E2" w:rsidRPr="00671611" w:rsidSect="00861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6F7" w:rsidRDefault="00AF46F7" w:rsidP="00861D20">
      <w:r>
        <w:separator/>
      </w:r>
    </w:p>
  </w:endnote>
  <w:endnote w:type="continuationSeparator" w:id="0">
    <w:p w:rsidR="00AF46F7" w:rsidRDefault="00AF46F7" w:rsidP="0086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6F7" w:rsidRDefault="00AF46F7" w:rsidP="00861D20">
      <w:r>
        <w:separator/>
      </w:r>
    </w:p>
  </w:footnote>
  <w:footnote w:type="continuationSeparator" w:id="0">
    <w:p w:rsidR="00AF46F7" w:rsidRDefault="00AF46F7" w:rsidP="00861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4A69"/>
    <w:multiLevelType w:val="multilevel"/>
    <w:tmpl w:val="B3FC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D5FC8"/>
    <w:multiLevelType w:val="hybridMultilevel"/>
    <w:tmpl w:val="DF28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A334F"/>
    <w:multiLevelType w:val="hybridMultilevel"/>
    <w:tmpl w:val="3C3081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1F2A43"/>
    <w:multiLevelType w:val="hybridMultilevel"/>
    <w:tmpl w:val="99F85FC8"/>
    <w:lvl w:ilvl="0" w:tplc="C3E6F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50ED1"/>
    <w:multiLevelType w:val="multilevel"/>
    <w:tmpl w:val="3D3C7FF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A1E4E"/>
    <w:multiLevelType w:val="multilevel"/>
    <w:tmpl w:val="67A80A2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D5331"/>
    <w:multiLevelType w:val="multilevel"/>
    <w:tmpl w:val="FE70C0A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41D7E"/>
    <w:multiLevelType w:val="multilevel"/>
    <w:tmpl w:val="E19CAD7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47E4C"/>
    <w:multiLevelType w:val="multilevel"/>
    <w:tmpl w:val="E5C6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6"/>
  </w:num>
  <w:num w:numId="5">
    <w:abstractNumId w:val="5"/>
  </w:num>
  <w:num w:numId="6">
    <w:abstractNumId w:val="7"/>
  </w:num>
  <w:num w:numId="7">
    <w:abstractNumId w:val="4"/>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B8"/>
    <w:rsid w:val="00006051"/>
    <w:rsid w:val="0005433A"/>
    <w:rsid w:val="000935D5"/>
    <w:rsid w:val="00145B0C"/>
    <w:rsid w:val="0015252F"/>
    <w:rsid w:val="002447E2"/>
    <w:rsid w:val="00251356"/>
    <w:rsid w:val="003C5B2F"/>
    <w:rsid w:val="003D310D"/>
    <w:rsid w:val="004708B4"/>
    <w:rsid w:val="00493790"/>
    <w:rsid w:val="00565028"/>
    <w:rsid w:val="0062135D"/>
    <w:rsid w:val="00671611"/>
    <w:rsid w:val="00683940"/>
    <w:rsid w:val="00694B4A"/>
    <w:rsid w:val="00697AAE"/>
    <w:rsid w:val="00723073"/>
    <w:rsid w:val="007A398F"/>
    <w:rsid w:val="007D432A"/>
    <w:rsid w:val="00805A75"/>
    <w:rsid w:val="00820AB9"/>
    <w:rsid w:val="008340B8"/>
    <w:rsid w:val="008520CE"/>
    <w:rsid w:val="00861D20"/>
    <w:rsid w:val="008F0C9C"/>
    <w:rsid w:val="00947042"/>
    <w:rsid w:val="00955747"/>
    <w:rsid w:val="00A57D9A"/>
    <w:rsid w:val="00A9403C"/>
    <w:rsid w:val="00AC7B21"/>
    <w:rsid w:val="00AF46F7"/>
    <w:rsid w:val="00BE1589"/>
    <w:rsid w:val="00C01CE5"/>
    <w:rsid w:val="00C20569"/>
    <w:rsid w:val="00D116F4"/>
    <w:rsid w:val="00DA5721"/>
    <w:rsid w:val="00DB00E3"/>
    <w:rsid w:val="00E33C7A"/>
    <w:rsid w:val="00EA4D88"/>
    <w:rsid w:val="00EE1C3B"/>
    <w:rsid w:val="00EF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36720-A09B-444B-93D8-EAD0115E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0B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01CE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C7B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205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B8"/>
  </w:style>
  <w:style w:type="paragraph" w:customStyle="1" w:styleId="TableParagraph">
    <w:name w:val="Table Paragraph"/>
    <w:basedOn w:val="Normal"/>
    <w:uiPriority w:val="1"/>
    <w:qFormat/>
    <w:rsid w:val="008340B8"/>
    <w:pPr>
      <w:spacing w:line="227" w:lineRule="exact"/>
      <w:ind w:left="107"/>
    </w:pPr>
  </w:style>
  <w:style w:type="paragraph" w:styleId="NormalWeb">
    <w:name w:val="Normal (Web)"/>
    <w:basedOn w:val="Normal"/>
    <w:uiPriority w:val="99"/>
    <w:unhideWhenUsed/>
    <w:rsid w:val="008340B8"/>
    <w:pPr>
      <w:widowControl/>
      <w:autoSpaceDE/>
      <w:autoSpaceDN/>
      <w:spacing w:before="100" w:beforeAutospacing="1" w:after="100" w:afterAutospacing="1"/>
    </w:pPr>
    <w:rPr>
      <w:sz w:val="24"/>
      <w:szCs w:val="24"/>
    </w:rPr>
  </w:style>
  <w:style w:type="paragraph" w:customStyle="1" w:styleId="Default">
    <w:name w:val="Default"/>
    <w:uiPriority w:val="99"/>
    <w:rsid w:val="008340B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01CE5"/>
    <w:rPr>
      <w:b/>
      <w:bCs/>
    </w:rPr>
  </w:style>
  <w:style w:type="paragraph" w:customStyle="1" w:styleId="para">
    <w:name w:val="para"/>
    <w:basedOn w:val="Normal"/>
    <w:uiPriority w:val="99"/>
    <w:rsid w:val="00C01CE5"/>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C01CE5"/>
    <w:rPr>
      <w:rFonts w:asciiTheme="majorHAnsi" w:eastAsiaTheme="majorEastAsia" w:hAnsiTheme="majorHAnsi" w:cstheme="majorBidi"/>
      <w:b/>
      <w:bCs/>
      <w:color w:val="2E74B5" w:themeColor="accent1" w:themeShade="BF"/>
      <w:sz w:val="28"/>
      <w:szCs w:val="28"/>
    </w:rPr>
  </w:style>
  <w:style w:type="paragraph" w:styleId="NoSpacing">
    <w:name w:val="No Spacing"/>
    <w:link w:val="NoSpacingChar"/>
    <w:uiPriority w:val="1"/>
    <w:qFormat/>
    <w:rsid w:val="0015252F"/>
    <w:pPr>
      <w:spacing w:after="0" w:line="240" w:lineRule="auto"/>
    </w:pPr>
  </w:style>
  <w:style w:type="character" w:customStyle="1" w:styleId="NoSpacingChar">
    <w:name w:val="No Spacing Char"/>
    <w:link w:val="NoSpacing"/>
    <w:uiPriority w:val="1"/>
    <w:rsid w:val="0015252F"/>
  </w:style>
  <w:style w:type="character" w:customStyle="1" w:styleId="Heading3Char">
    <w:name w:val="Heading 3 Char"/>
    <w:basedOn w:val="DefaultParagraphFont"/>
    <w:link w:val="Heading3"/>
    <w:uiPriority w:val="9"/>
    <w:rsid w:val="00C2056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61D20"/>
    <w:pPr>
      <w:tabs>
        <w:tab w:val="center" w:pos="4680"/>
        <w:tab w:val="right" w:pos="9360"/>
      </w:tabs>
    </w:pPr>
  </w:style>
  <w:style w:type="character" w:customStyle="1" w:styleId="HeaderChar">
    <w:name w:val="Header Char"/>
    <w:basedOn w:val="DefaultParagraphFont"/>
    <w:link w:val="Header"/>
    <w:uiPriority w:val="99"/>
    <w:rsid w:val="00861D20"/>
    <w:rPr>
      <w:rFonts w:ascii="Times New Roman" w:eastAsia="Times New Roman" w:hAnsi="Times New Roman" w:cs="Times New Roman"/>
    </w:rPr>
  </w:style>
  <w:style w:type="paragraph" w:styleId="Footer">
    <w:name w:val="footer"/>
    <w:basedOn w:val="Normal"/>
    <w:link w:val="FooterChar"/>
    <w:uiPriority w:val="99"/>
    <w:unhideWhenUsed/>
    <w:rsid w:val="00861D20"/>
    <w:pPr>
      <w:tabs>
        <w:tab w:val="center" w:pos="4680"/>
        <w:tab w:val="right" w:pos="9360"/>
      </w:tabs>
    </w:pPr>
  </w:style>
  <w:style w:type="character" w:customStyle="1" w:styleId="FooterChar">
    <w:name w:val="Footer Char"/>
    <w:basedOn w:val="DefaultParagraphFont"/>
    <w:link w:val="Footer"/>
    <w:uiPriority w:val="99"/>
    <w:rsid w:val="00861D20"/>
    <w:rPr>
      <w:rFonts w:ascii="Times New Roman" w:eastAsia="Times New Roman" w:hAnsi="Times New Roman" w:cs="Times New Roman"/>
    </w:rPr>
  </w:style>
  <w:style w:type="table" w:styleId="LightShading">
    <w:name w:val="Light Shading"/>
    <w:basedOn w:val="TableNormal"/>
    <w:uiPriority w:val="60"/>
    <w:rsid w:val="00861D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th-inline">
    <w:name w:val="math-inline"/>
    <w:basedOn w:val="DefaultParagraphFont"/>
    <w:rsid w:val="003D310D"/>
  </w:style>
  <w:style w:type="character" w:customStyle="1" w:styleId="Heading2Char">
    <w:name w:val="Heading 2 Char"/>
    <w:basedOn w:val="DefaultParagraphFont"/>
    <w:link w:val="Heading2"/>
    <w:uiPriority w:val="9"/>
    <w:semiHidden/>
    <w:rsid w:val="00AC7B2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2447E2"/>
    <w:rPr>
      <w:color w:val="0000FF"/>
      <w:u w:val="single"/>
    </w:rPr>
  </w:style>
  <w:style w:type="character" w:customStyle="1" w:styleId="citation-144">
    <w:name w:val="citation-144"/>
    <w:basedOn w:val="DefaultParagraphFont"/>
    <w:rsid w:val="002447E2"/>
  </w:style>
  <w:style w:type="character" w:customStyle="1" w:styleId="whitespace-normal">
    <w:name w:val="whitespace-normal"/>
    <w:basedOn w:val="DefaultParagraphFont"/>
    <w:rsid w:val="00DB00E3"/>
  </w:style>
  <w:style w:type="character" w:styleId="Emphasis">
    <w:name w:val="Emphasis"/>
    <w:basedOn w:val="DefaultParagraphFont"/>
    <w:uiPriority w:val="20"/>
    <w:qFormat/>
    <w:rsid w:val="00DB00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2881">
      <w:bodyDiv w:val="1"/>
      <w:marLeft w:val="0"/>
      <w:marRight w:val="0"/>
      <w:marTop w:val="0"/>
      <w:marBottom w:val="0"/>
      <w:divBdr>
        <w:top w:val="none" w:sz="0" w:space="0" w:color="auto"/>
        <w:left w:val="none" w:sz="0" w:space="0" w:color="auto"/>
        <w:bottom w:val="none" w:sz="0" w:space="0" w:color="auto"/>
        <w:right w:val="none" w:sz="0" w:space="0" w:color="auto"/>
      </w:divBdr>
    </w:div>
    <w:div w:id="155802459">
      <w:bodyDiv w:val="1"/>
      <w:marLeft w:val="0"/>
      <w:marRight w:val="0"/>
      <w:marTop w:val="0"/>
      <w:marBottom w:val="0"/>
      <w:divBdr>
        <w:top w:val="none" w:sz="0" w:space="0" w:color="auto"/>
        <w:left w:val="none" w:sz="0" w:space="0" w:color="auto"/>
        <w:bottom w:val="none" w:sz="0" w:space="0" w:color="auto"/>
        <w:right w:val="none" w:sz="0" w:space="0" w:color="auto"/>
      </w:divBdr>
    </w:div>
    <w:div w:id="187064258">
      <w:bodyDiv w:val="1"/>
      <w:marLeft w:val="0"/>
      <w:marRight w:val="0"/>
      <w:marTop w:val="0"/>
      <w:marBottom w:val="0"/>
      <w:divBdr>
        <w:top w:val="none" w:sz="0" w:space="0" w:color="auto"/>
        <w:left w:val="none" w:sz="0" w:space="0" w:color="auto"/>
        <w:bottom w:val="none" w:sz="0" w:space="0" w:color="auto"/>
        <w:right w:val="none" w:sz="0" w:space="0" w:color="auto"/>
      </w:divBdr>
    </w:div>
    <w:div w:id="256063767">
      <w:bodyDiv w:val="1"/>
      <w:marLeft w:val="0"/>
      <w:marRight w:val="0"/>
      <w:marTop w:val="0"/>
      <w:marBottom w:val="0"/>
      <w:divBdr>
        <w:top w:val="none" w:sz="0" w:space="0" w:color="auto"/>
        <w:left w:val="none" w:sz="0" w:space="0" w:color="auto"/>
        <w:bottom w:val="none" w:sz="0" w:space="0" w:color="auto"/>
        <w:right w:val="none" w:sz="0" w:space="0" w:color="auto"/>
      </w:divBdr>
    </w:div>
    <w:div w:id="623581126">
      <w:bodyDiv w:val="1"/>
      <w:marLeft w:val="0"/>
      <w:marRight w:val="0"/>
      <w:marTop w:val="0"/>
      <w:marBottom w:val="0"/>
      <w:divBdr>
        <w:top w:val="none" w:sz="0" w:space="0" w:color="auto"/>
        <w:left w:val="none" w:sz="0" w:space="0" w:color="auto"/>
        <w:bottom w:val="none" w:sz="0" w:space="0" w:color="auto"/>
        <w:right w:val="none" w:sz="0" w:space="0" w:color="auto"/>
      </w:divBdr>
    </w:div>
    <w:div w:id="698819513">
      <w:bodyDiv w:val="1"/>
      <w:marLeft w:val="0"/>
      <w:marRight w:val="0"/>
      <w:marTop w:val="0"/>
      <w:marBottom w:val="0"/>
      <w:divBdr>
        <w:top w:val="none" w:sz="0" w:space="0" w:color="auto"/>
        <w:left w:val="none" w:sz="0" w:space="0" w:color="auto"/>
        <w:bottom w:val="none" w:sz="0" w:space="0" w:color="auto"/>
        <w:right w:val="none" w:sz="0" w:space="0" w:color="auto"/>
      </w:divBdr>
    </w:div>
    <w:div w:id="920024877">
      <w:bodyDiv w:val="1"/>
      <w:marLeft w:val="0"/>
      <w:marRight w:val="0"/>
      <w:marTop w:val="0"/>
      <w:marBottom w:val="0"/>
      <w:divBdr>
        <w:top w:val="none" w:sz="0" w:space="0" w:color="auto"/>
        <w:left w:val="none" w:sz="0" w:space="0" w:color="auto"/>
        <w:bottom w:val="none" w:sz="0" w:space="0" w:color="auto"/>
        <w:right w:val="none" w:sz="0" w:space="0" w:color="auto"/>
      </w:divBdr>
      <w:divsChild>
        <w:div w:id="700939641">
          <w:marLeft w:val="0"/>
          <w:marRight w:val="0"/>
          <w:marTop w:val="0"/>
          <w:marBottom w:val="0"/>
          <w:divBdr>
            <w:top w:val="none" w:sz="0" w:space="0" w:color="auto"/>
            <w:left w:val="none" w:sz="0" w:space="0" w:color="auto"/>
            <w:bottom w:val="none" w:sz="0" w:space="0" w:color="auto"/>
            <w:right w:val="none" w:sz="0" w:space="0" w:color="auto"/>
          </w:divBdr>
        </w:div>
      </w:divsChild>
    </w:div>
    <w:div w:id="943878713">
      <w:bodyDiv w:val="1"/>
      <w:marLeft w:val="0"/>
      <w:marRight w:val="0"/>
      <w:marTop w:val="0"/>
      <w:marBottom w:val="0"/>
      <w:divBdr>
        <w:top w:val="none" w:sz="0" w:space="0" w:color="auto"/>
        <w:left w:val="none" w:sz="0" w:space="0" w:color="auto"/>
        <w:bottom w:val="none" w:sz="0" w:space="0" w:color="auto"/>
        <w:right w:val="none" w:sz="0" w:space="0" w:color="auto"/>
      </w:divBdr>
    </w:div>
    <w:div w:id="974339084">
      <w:bodyDiv w:val="1"/>
      <w:marLeft w:val="0"/>
      <w:marRight w:val="0"/>
      <w:marTop w:val="0"/>
      <w:marBottom w:val="0"/>
      <w:divBdr>
        <w:top w:val="none" w:sz="0" w:space="0" w:color="auto"/>
        <w:left w:val="none" w:sz="0" w:space="0" w:color="auto"/>
        <w:bottom w:val="none" w:sz="0" w:space="0" w:color="auto"/>
        <w:right w:val="none" w:sz="0" w:space="0" w:color="auto"/>
      </w:divBdr>
    </w:div>
    <w:div w:id="1192034606">
      <w:bodyDiv w:val="1"/>
      <w:marLeft w:val="0"/>
      <w:marRight w:val="0"/>
      <w:marTop w:val="0"/>
      <w:marBottom w:val="0"/>
      <w:divBdr>
        <w:top w:val="none" w:sz="0" w:space="0" w:color="auto"/>
        <w:left w:val="none" w:sz="0" w:space="0" w:color="auto"/>
        <w:bottom w:val="none" w:sz="0" w:space="0" w:color="auto"/>
        <w:right w:val="none" w:sz="0" w:space="0" w:color="auto"/>
      </w:divBdr>
    </w:div>
    <w:div w:id="1271232592">
      <w:bodyDiv w:val="1"/>
      <w:marLeft w:val="0"/>
      <w:marRight w:val="0"/>
      <w:marTop w:val="0"/>
      <w:marBottom w:val="0"/>
      <w:divBdr>
        <w:top w:val="none" w:sz="0" w:space="0" w:color="auto"/>
        <w:left w:val="none" w:sz="0" w:space="0" w:color="auto"/>
        <w:bottom w:val="none" w:sz="0" w:space="0" w:color="auto"/>
        <w:right w:val="none" w:sz="0" w:space="0" w:color="auto"/>
      </w:divBdr>
    </w:div>
    <w:div w:id="1400862234">
      <w:bodyDiv w:val="1"/>
      <w:marLeft w:val="0"/>
      <w:marRight w:val="0"/>
      <w:marTop w:val="0"/>
      <w:marBottom w:val="0"/>
      <w:divBdr>
        <w:top w:val="none" w:sz="0" w:space="0" w:color="auto"/>
        <w:left w:val="none" w:sz="0" w:space="0" w:color="auto"/>
        <w:bottom w:val="none" w:sz="0" w:space="0" w:color="auto"/>
        <w:right w:val="none" w:sz="0" w:space="0" w:color="auto"/>
      </w:divBdr>
    </w:div>
    <w:div w:id="1511677643">
      <w:bodyDiv w:val="1"/>
      <w:marLeft w:val="0"/>
      <w:marRight w:val="0"/>
      <w:marTop w:val="0"/>
      <w:marBottom w:val="0"/>
      <w:divBdr>
        <w:top w:val="none" w:sz="0" w:space="0" w:color="auto"/>
        <w:left w:val="none" w:sz="0" w:space="0" w:color="auto"/>
        <w:bottom w:val="none" w:sz="0" w:space="0" w:color="auto"/>
        <w:right w:val="none" w:sz="0" w:space="0" w:color="auto"/>
      </w:divBdr>
    </w:div>
    <w:div w:id="1588688847">
      <w:bodyDiv w:val="1"/>
      <w:marLeft w:val="0"/>
      <w:marRight w:val="0"/>
      <w:marTop w:val="0"/>
      <w:marBottom w:val="0"/>
      <w:divBdr>
        <w:top w:val="none" w:sz="0" w:space="0" w:color="auto"/>
        <w:left w:val="none" w:sz="0" w:space="0" w:color="auto"/>
        <w:bottom w:val="none" w:sz="0" w:space="0" w:color="auto"/>
        <w:right w:val="none" w:sz="0" w:space="0" w:color="auto"/>
      </w:divBdr>
    </w:div>
    <w:div w:id="1702317876">
      <w:bodyDiv w:val="1"/>
      <w:marLeft w:val="0"/>
      <w:marRight w:val="0"/>
      <w:marTop w:val="0"/>
      <w:marBottom w:val="0"/>
      <w:divBdr>
        <w:top w:val="none" w:sz="0" w:space="0" w:color="auto"/>
        <w:left w:val="none" w:sz="0" w:space="0" w:color="auto"/>
        <w:bottom w:val="none" w:sz="0" w:space="0" w:color="auto"/>
        <w:right w:val="none" w:sz="0" w:space="0" w:color="auto"/>
      </w:divBdr>
      <w:divsChild>
        <w:div w:id="1462067856">
          <w:marLeft w:val="0"/>
          <w:marRight w:val="0"/>
          <w:marTop w:val="0"/>
          <w:marBottom w:val="0"/>
          <w:divBdr>
            <w:top w:val="none" w:sz="0" w:space="0" w:color="auto"/>
            <w:left w:val="none" w:sz="0" w:space="0" w:color="auto"/>
            <w:bottom w:val="none" w:sz="0" w:space="0" w:color="auto"/>
            <w:right w:val="none" w:sz="0" w:space="0" w:color="auto"/>
          </w:divBdr>
          <w:divsChild>
            <w:div w:id="1786315898">
              <w:marLeft w:val="0"/>
              <w:marRight w:val="0"/>
              <w:marTop w:val="0"/>
              <w:marBottom w:val="0"/>
              <w:divBdr>
                <w:top w:val="none" w:sz="0" w:space="0" w:color="auto"/>
                <w:left w:val="none" w:sz="0" w:space="0" w:color="auto"/>
                <w:bottom w:val="none" w:sz="0" w:space="0" w:color="auto"/>
                <w:right w:val="none" w:sz="0" w:space="0" w:color="auto"/>
              </w:divBdr>
              <w:divsChild>
                <w:div w:id="381682421">
                  <w:marLeft w:val="0"/>
                  <w:marRight w:val="0"/>
                  <w:marTop w:val="0"/>
                  <w:marBottom w:val="0"/>
                  <w:divBdr>
                    <w:top w:val="none" w:sz="0" w:space="0" w:color="auto"/>
                    <w:left w:val="none" w:sz="0" w:space="0" w:color="auto"/>
                    <w:bottom w:val="none" w:sz="0" w:space="0" w:color="auto"/>
                    <w:right w:val="none" w:sz="0" w:space="0" w:color="auto"/>
                  </w:divBdr>
                  <w:divsChild>
                    <w:div w:id="44916086">
                      <w:marLeft w:val="0"/>
                      <w:marRight w:val="0"/>
                      <w:marTop w:val="0"/>
                      <w:marBottom w:val="0"/>
                      <w:divBdr>
                        <w:top w:val="none" w:sz="0" w:space="0" w:color="auto"/>
                        <w:left w:val="none" w:sz="0" w:space="0" w:color="auto"/>
                        <w:bottom w:val="none" w:sz="0" w:space="0" w:color="auto"/>
                        <w:right w:val="none" w:sz="0" w:space="0" w:color="auto"/>
                      </w:divBdr>
                      <w:divsChild>
                        <w:div w:id="1552376642">
                          <w:marLeft w:val="0"/>
                          <w:marRight w:val="0"/>
                          <w:marTop w:val="0"/>
                          <w:marBottom w:val="0"/>
                          <w:divBdr>
                            <w:top w:val="none" w:sz="0" w:space="0" w:color="auto"/>
                            <w:left w:val="none" w:sz="0" w:space="0" w:color="auto"/>
                            <w:bottom w:val="none" w:sz="0" w:space="0" w:color="auto"/>
                            <w:right w:val="none" w:sz="0" w:space="0" w:color="auto"/>
                          </w:divBdr>
                          <w:divsChild>
                            <w:div w:id="1093167047">
                              <w:marLeft w:val="0"/>
                              <w:marRight w:val="0"/>
                              <w:marTop w:val="0"/>
                              <w:marBottom w:val="0"/>
                              <w:divBdr>
                                <w:top w:val="none" w:sz="0" w:space="0" w:color="auto"/>
                                <w:left w:val="none" w:sz="0" w:space="0" w:color="auto"/>
                                <w:bottom w:val="none" w:sz="0" w:space="0" w:color="auto"/>
                                <w:right w:val="none" w:sz="0" w:space="0" w:color="auto"/>
                              </w:divBdr>
                              <w:divsChild>
                                <w:div w:id="5969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786657">
      <w:bodyDiv w:val="1"/>
      <w:marLeft w:val="0"/>
      <w:marRight w:val="0"/>
      <w:marTop w:val="0"/>
      <w:marBottom w:val="0"/>
      <w:divBdr>
        <w:top w:val="none" w:sz="0" w:space="0" w:color="auto"/>
        <w:left w:val="none" w:sz="0" w:space="0" w:color="auto"/>
        <w:bottom w:val="none" w:sz="0" w:space="0" w:color="auto"/>
        <w:right w:val="none" w:sz="0" w:space="0" w:color="auto"/>
      </w:divBdr>
    </w:div>
    <w:div w:id="1800538078">
      <w:bodyDiv w:val="1"/>
      <w:marLeft w:val="0"/>
      <w:marRight w:val="0"/>
      <w:marTop w:val="0"/>
      <w:marBottom w:val="0"/>
      <w:divBdr>
        <w:top w:val="none" w:sz="0" w:space="0" w:color="auto"/>
        <w:left w:val="none" w:sz="0" w:space="0" w:color="auto"/>
        <w:bottom w:val="none" w:sz="0" w:space="0" w:color="auto"/>
        <w:right w:val="none" w:sz="0" w:space="0" w:color="auto"/>
      </w:divBdr>
    </w:div>
    <w:div w:id="1812863809">
      <w:bodyDiv w:val="1"/>
      <w:marLeft w:val="0"/>
      <w:marRight w:val="0"/>
      <w:marTop w:val="0"/>
      <w:marBottom w:val="0"/>
      <w:divBdr>
        <w:top w:val="none" w:sz="0" w:space="0" w:color="auto"/>
        <w:left w:val="none" w:sz="0" w:space="0" w:color="auto"/>
        <w:bottom w:val="none" w:sz="0" w:space="0" w:color="auto"/>
        <w:right w:val="none" w:sz="0" w:space="0" w:color="auto"/>
      </w:divBdr>
    </w:div>
    <w:div w:id="1820338864">
      <w:bodyDiv w:val="1"/>
      <w:marLeft w:val="0"/>
      <w:marRight w:val="0"/>
      <w:marTop w:val="0"/>
      <w:marBottom w:val="0"/>
      <w:divBdr>
        <w:top w:val="none" w:sz="0" w:space="0" w:color="auto"/>
        <w:left w:val="none" w:sz="0" w:space="0" w:color="auto"/>
        <w:bottom w:val="none" w:sz="0" w:space="0" w:color="auto"/>
        <w:right w:val="none" w:sz="0" w:space="0" w:color="auto"/>
      </w:divBdr>
    </w:div>
    <w:div w:id="2035961046">
      <w:bodyDiv w:val="1"/>
      <w:marLeft w:val="0"/>
      <w:marRight w:val="0"/>
      <w:marTop w:val="0"/>
      <w:marBottom w:val="0"/>
      <w:divBdr>
        <w:top w:val="none" w:sz="0" w:space="0" w:color="auto"/>
        <w:left w:val="none" w:sz="0" w:space="0" w:color="auto"/>
        <w:bottom w:val="none" w:sz="0" w:space="0" w:color="auto"/>
        <w:right w:val="none" w:sz="0" w:space="0" w:color="auto"/>
      </w:divBdr>
    </w:div>
    <w:div w:id="21273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14</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SDI 1186</cp:lastModifiedBy>
  <cp:revision>18</cp:revision>
  <dcterms:created xsi:type="dcterms:W3CDTF">2026-01-05T20:24:00Z</dcterms:created>
  <dcterms:modified xsi:type="dcterms:W3CDTF">2026-03-28T09:28:00Z</dcterms:modified>
</cp:coreProperties>
</file>