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14DF" w14:textId="77777777" w:rsidR="00873A5C" w:rsidRPr="000D0543" w:rsidRDefault="00CD2593" w:rsidP="000042C0">
      <w:pPr>
        <w:pStyle w:val="Heading3"/>
        <w:rPr>
          <w:rFonts w:ascii="Times New Roman" w:eastAsia="Times New Roman" w:hAnsi="Times New Roman" w:cs="Times New Roman"/>
          <w:noProof/>
          <w:sz w:val="8"/>
        </w:rPr>
      </w:pPr>
      <w:r w:rsidRPr="000D0543">
        <w:rPr>
          <w:rFonts w:ascii="Times New Roman" w:eastAsia="Times New Roman" w:hAnsi="Times New Roman" w:cs="Times New Roman"/>
          <w:noProof/>
        </w:rPr>
        <w:drawing>
          <wp:anchor distT="0" distB="0" distL="114300" distR="114300" simplePos="0" relativeHeight="251657216" behindDoc="1" locked="0" layoutInCell="1" allowOverlap="1" wp14:anchorId="4612C795" wp14:editId="3D55A3E9">
            <wp:simplePos x="0" y="0"/>
            <wp:positionH relativeFrom="column">
              <wp:posOffset>6350</wp:posOffset>
            </wp:positionH>
            <wp:positionV relativeFrom="paragraph">
              <wp:posOffset>-269240</wp:posOffset>
            </wp:positionV>
            <wp:extent cx="770255" cy="1090930"/>
            <wp:effectExtent l="0" t="0" r="0" b="0"/>
            <wp:wrapTight wrapText="bothSides">
              <wp:wrapPolygon edited="0">
                <wp:start x="0" y="0"/>
                <wp:lineTo x="0" y="21122"/>
                <wp:lineTo x="20834" y="21122"/>
                <wp:lineTo x="208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0255" cy="1090930"/>
                    </a:xfrm>
                    <a:prstGeom prst="rect">
                      <a:avLst/>
                    </a:prstGeom>
                    <a:noFill/>
                    <a:ln w="9525">
                      <a:noFill/>
                      <a:miter lim="800000"/>
                      <a:headEnd/>
                      <a:tailEnd/>
                    </a:ln>
                  </pic:spPr>
                </pic:pic>
              </a:graphicData>
            </a:graphic>
          </wp:anchor>
        </w:drawing>
      </w:r>
      <w:r w:rsidR="005E7990" w:rsidRPr="000D0543">
        <w:rPr>
          <w:rFonts w:ascii="Times New Roman" w:eastAsia="Times New Roman" w:hAnsi="Times New Roman" w:cs="Times New Roman"/>
          <w:noProof/>
          <w:lang w:eastAsia="zh-TW"/>
        </w:rPr>
        <w:t>Asian Journal of Pediatric Research</w:t>
      </w:r>
    </w:p>
    <w:p w14:paraId="031590DF" w14:textId="77777777" w:rsidR="001A4A55" w:rsidRPr="000D0543" w:rsidRDefault="001A4A55" w:rsidP="000042C0">
      <w:pPr>
        <w:spacing w:after="0" w:line="240" w:lineRule="auto"/>
        <w:ind w:left="2160"/>
        <w:rPr>
          <w:rFonts w:ascii="Times New Roman" w:eastAsia="Times New Roman" w:hAnsi="Times New Roman" w:cs="Times New Roman"/>
          <w:b/>
          <w:i/>
          <w:noProof/>
          <w:sz w:val="24"/>
          <w:szCs w:val="16"/>
          <w:lang w:eastAsia="zh-TW"/>
        </w:rPr>
      </w:pPr>
    </w:p>
    <w:p w14:paraId="6D637707" w14:textId="5AF803A0" w:rsidR="00873A5C" w:rsidRPr="000D0543" w:rsidRDefault="008D783F" w:rsidP="000042C0">
      <w:pPr>
        <w:pStyle w:val="Heading4"/>
        <w:rPr>
          <w:rFonts w:ascii="Times New Roman" w:eastAsia="Times New Roman" w:hAnsi="Times New Roman" w:cs="Times New Roman"/>
        </w:rPr>
      </w:pPr>
      <w:r w:rsidRPr="000D0543">
        <w:rPr>
          <w:rFonts w:ascii="Times New Roman" w:eastAsia="Times New Roman" w:hAnsi="Times New Roman" w:cs="Times New Roman"/>
        </w:rPr>
        <w:t>Volume XXX, Issue XX, Page XX-XX, 20</w:t>
      </w:r>
      <w:r w:rsidR="00F018B4" w:rsidRPr="000D0543">
        <w:rPr>
          <w:rFonts w:ascii="Times New Roman" w:eastAsia="Times New Roman" w:hAnsi="Times New Roman" w:cs="Times New Roman"/>
        </w:rPr>
        <w:t>YY</w:t>
      </w:r>
      <w:r w:rsidR="004E094F" w:rsidRPr="000D0543">
        <w:rPr>
          <w:rFonts w:ascii="Times New Roman" w:eastAsia="Times New Roman" w:hAnsi="Times New Roman" w:cs="Times New Roman"/>
        </w:rPr>
        <w:t>;</w:t>
      </w:r>
      <w:r w:rsidR="00873A5C" w:rsidRPr="000D0543">
        <w:rPr>
          <w:rFonts w:ascii="Times New Roman" w:eastAsia="Times New Roman" w:hAnsi="Times New Roman" w:cs="Times New Roman"/>
        </w:rPr>
        <w:t xml:space="preserve"> Article </w:t>
      </w:r>
      <w:proofErr w:type="gramStart"/>
      <w:r w:rsidR="00873A5C" w:rsidRPr="000D0543">
        <w:rPr>
          <w:rFonts w:ascii="Times New Roman" w:eastAsia="Times New Roman" w:hAnsi="Times New Roman" w:cs="Times New Roman"/>
        </w:rPr>
        <w:t>no.</w:t>
      </w:r>
      <w:r w:rsidR="008F370F" w:rsidRPr="000D0543">
        <w:rPr>
          <w:rFonts w:ascii="Times New Roman" w:eastAsia="Times New Roman" w:hAnsi="Times New Roman" w:cs="Times New Roman"/>
        </w:rPr>
        <w:t>AJPR</w:t>
      </w:r>
      <w:proofErr w:type="gramEnd"/>
      <w:r w:rsidR="000042C0" w:rsidRPr="000D0543">
        <w:t>.</w:t>
      </w:r>
      <w:r w:rsidR="000042C0" w:rsidRPr="000D0543">
        <w:rPr>
          <w:rFonts w:ascii="Times New Roman" w:eastAsia="Times New Roman" w:hAnsi="Times New Roman" w:cs="Times New Roman"/>
        </w:rPr>
        <w:t>153409</w:t>
      </w:r>
    </w:p>
    <w:p w14:paraId="1BDA3458" w14:textId="77777777" w:rsidR="00873A5C" w:rsidRPr="000D0543" w:rsidRDefault="002B0554" w:rsidP="000042C0">
      <w:pPr>
        <w:spacing w:after="0" w:line="240" w:lineRule="auto"/>
        <w:ind w:left="2160"/>
        <w:rPr>
          <w:rFonts w:ascii="Times New Roman" w:eastAsia="Times New Roman" w:hAnsi="Times New Roman" w:cs="Times New Roman"/>
          <w:b/>
          <w:i/>
          <w:sz w:val="18"/>
          <w:szCs w:val="20"/>
        </w:rPr>
      </w:pPr>
      <w:r w:rsidRPr="000D0543">
        <w:rPr>
          <w:rFonts w:ascii="Times New Roman" w:eastAsia="Times New Roman" w:hAnsi="Times New Roman" w:cs="Times New Roman"/>
          <w:b/>
          <w:i/>
          <w:sz w:val="18"/>
          <w:szCs w:val="20"/>
        </w:rPr>
        <w:t>ISSN: 2582-2950</w:t>
      </w:r>
    </w:p>
    <w:p w14:paraId="1D16D4A2" w14:textId="77777777" w:rsidR="00AA0D41" w:rsidRPr="000D0543" w:rsidRDefault="00AA0D41" w:rsidP="000042C0">
      <w:pPr>
        <w:spacing w:after="0" w:line="240" w:lineRule="auto"/>
        <w:jc w:val="center"/>
        <w:rPr>
          <w:rFonts w:ascii="Times New Roman" w:eastAsia="Times New Roman" w:hAnsi="Times New Roman" w:cs="Times New Roman"/>
          <w:b/>
          <w:i/>
          <w:sz w:val="14"/>
          <w:szCs w:val="20"/>
        </w:rPr>
      </w:pPr>
    </w:p>
    <w:p w14:paraId="0FE81B54" w14:textId="77777777" w:rsidR="001A4A55" w:rsidRPr="000D0543" w:rsidRDefault="001A4A55" w:rsidP="000042C0">
      <w:pPr>
        <w:spacing w:after="0" w:line="240" w:lineRule="auto"/>
        <w:jc w:val="center"/>
        <w:rPr>
          <w:rFonts w:ascii="Times New Roman" w:eastAsia="Times New Roman" w:hAnsi="Times New Roman" w:cs="Times New Roman"/>
          <w:b/>
          <w:i/>
          <w:sz w:val="14"/>
          <w:szCs w:val="20"/>
        </w:rPr>
      </w:pPr>
    </w:p>
    <w:p w14:paraId="566D1C23" w14:textId="77777777" w:rsidR="00873A5C" w:rsidRPr="000D0543" w:rsidRDefault="00AD345B" w:rsidP="000042C0">
      <w:pPr>
        <w:spacing w:after="0" w:line="240" w:lineRule="auto"/>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34CA23D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32DD5484" w14:textId="77777777" w:rsidR="00E531CD" w:rsidRPr="000D0543" w:rsidRDefault="00E531CD" w:rsidP="000042C0">
      <w:pPr>
        <w:spacing w:after="0" w:line="240" w:lineRule="auto"/>
        <w:jc w:val="right"/>
        <w:rPr>
          <w:rFonts w:ascii="Times New Roman" w:eastAsia="Times New Roman" w:hAnsi="Times New Roman" w:cs="Times New Roman"/>
          <w:b/>
          <w:bCs/>
          <w:iCs/>
          <w:kern w:val="28"/>
          <w:sz w:val="20"/>
          <w:szCs w:val="20"/>
        </w:rPr>
      </w:pPr>
    </w:p>
    <w:p w14:paraId="110A2094" w14:textId="5BE18E2E" w:rsidR="000042C0" w:rsidRPr="000042C0" w:rsidRDefault="000042C0" w:rsidP="000042C0">
      <w:pPr>
        <w:pStyle w:val="Heading1"/>
        <w:rPr>
          <w:rFonts w:ascii="Times New Roman" w:eastAsia="Times New Roman" w:hAnsi="Times New Roman" w:cs="Times New Roman"/>
          <w:kern w:val="28"/>
          <w:sz w:val="48"/>
          <w:szCs w:val="48"/>
        </w:rPr>
      </w:pPr>
      <w:r w:rsidRPr="000042C0">
        <w:rPr>
          <w:rFonts w:ascii="Times New Roman" w:eastAsia="Times New Roman" w:hAnsi="Times New Roman" w:cs="Times New Roman"/>
          <w:kern w:val="28"/>
          <w:sz w:val="48"/>
          <w:szCs w:val="48"/>
        </w:rPr>
        <w:t xml:space="preserve">Acute Cerebellar </w:t>
      </w:r>
      <w:r w:rsidRPr="000D0543">
        <w:rPr>
          <w:rFonts w:ascii="Times New Roman" w:eastAsia="Times New Roman" w:hAnsi="Times New Roman" w:cs="Times New Roman"/>
          <w:kern w:val="28"/>
          <w:sz w:val="48"/>
          <w:szCs w:val="48"/>
        </w:rPr>
        <w:t>Ataxia</w:t>
      </w:r>
      <w:r w:rsidRPr="000042C0">
        <w:rPr>
          <w:rFonts w:ascii="Times New Roman" w:eastAsia="Times New Roman" w:hAnsi="Times New Roman" w:cs="Times New Roman"/>
          <w:kern w:val="28"/>
          <w:sz w:val="48"/>
          <w:szCs w:val="48"/>
        </w:rPr>
        <w:t>-</w:t>
      </w:r>
      <w:r w:rsidRPr="000D0543">
        <w:rPr>
          <w:rFonts w:ascii="Times New Roman" w:eastAsia="Times New Roman" w:hAnsi="Times New Roman" w:cs="Times New Roman"/>
          <w:kern w:val="28"/>
          <w:sz w:val="48"/>
          <w:szCs w:val="48"/>
        </w:rPr>
        <w:t xml:space="preserve">uncommon Neurologic Manifestation </w:t>
      </w:r>
      <w:r w:rsidRPr="000042C0">
        <w:rPr>
          <w:rFonts w:ascii="Times New Roman" w:eastAsia="Times New Roman" w:hAnsi="Times New Roman" w:cs="Times New Roman"/>
          <w:kern w:val="28"/>
          <w:sz w:val="48"/>
          <w:szCs w:val="48"/>
        </w:rPr>
        <w:t xml:space="preserve">of </w:t>
      </w:r>
      <w:r w:rsidRPr="000D0543">
        <w:rPr>
          <w:rFonts w:ascii="Times New Roman" w:eastAsia="Times New Roman" w:hAnsi="Times New Roman" w:cs="Times New Roman"/>
          <w:kern w:val="28"/>
          <w:sz w:val="48"/>
          <w:szCs w:val="48"/>
        </w:rPr>
        <w:t xml:space="preserve">Enteric Fever </w:t>
      </w:r>
    </w:p>
    <w:p w14:paraId="4DB45114" w14:textId="77777777" w:rsidR="003F47A0" w:rsidRPr="000D0543" w:rsidRDefault="003F47A0" w:rsidP="000042C0">
      <w:pPr>
        <w:spacing w:after="0" w:line="240" w:lineRule="auto"/>
        <w:jc w:val="right"/>
        <w:rPr>
          <w:rFonts w:ascii="Times New Roman" w:eastAsia="Times New Roman" w:hAnsi="Times New Roman" w:cs="Times New Roman"/>
          <w:b/>
          <w:bCs/>
          <w:sz w:val="36"/>
          <w:szCs w:val="20"/>
        </w:rPr>
      </w:pPr>
    </w:p>
    <w:p w14:paraId="19973DB7" w14:textId="77777777" w:rsidR="003F47A0" w:rsidRPr="000D0543" w:rsidRDefault="003F47A0" w:rsidP="000042C0">
      <w:pPr>
        <w:spacing w:after="0" w:line="240" w:lineRule="auto"/>
        <w:jc w:val="right"/>
        <w:rPr>
          <w:rFonts w:ascii="Times New Roman" w:eastAsia="Times New Roman" w:hAnsi="Times New Roman" w:cs="Times New Roman"/>
          <w:b/>
          <w:bCs/>
          <w:sz w:val="32"/>
          <w:szCs w:val="32"/>
        </w:rPr>
      </w:pPr>
      <w:r w:rsidRPr="000D0543">
        <w:rPr>
          <w:rFonts w:ascii="Times New Roman" w:eastAsia="Times New Roman" w:hAnsi="Times New Roman" w:cs="Times New Roman"/>
          <w:b/>
          <w:bCs/>
          <w:sz w:val="32"/>
          <w:szCs w:val="32"/>
        </w:rPr>
        <w:t>Authors’ Name……………………………………………………</w:t>
      </w:r>
    </w:p>
    <w:p w14:paraId="5A2759F7" w14:textId="77777777" w:rsidR="003F47A0" w:rsidRPr="000D0543" w:rsidRDefault="003F47A0" w:rsidP="000042C0">
      <w:pPr>
        <w:spacing w:after="0" w:line="240" w:lineRule="auto"/>
        <w:jc w:val="right"/>
        <w:rPr>
          <w:rFonts w:ascii="Times New Roman" w:eastAsia="Times New Roman" w:hAnsi="Times New Roman" w:cs="Times New Roman"/>
          <w:b/>
          <w:bCs/>
          <w:sz w:val="24"/>
          <w:szCs w:val="20"/>
        </w:rPr>
      </w:pPr>
    </w:p>
    <w:p w14:paraId="32B33352" w14:textId="77777777" w:rsidR="003F47A0" w:rsidRPr="000D0543" w:rsidRDefault="003F47A0" w:rsidP="000042C0">
      <w:pPr>
        <w:spacing w:after="0" w:line="240" w:lineRule="auto"/>
        <w:jc w:val="right"/>
        <w:rPr>
          <w:rFonts w:ascii="Times New Roman" w:eastAsia="Times New Roman" w:hAnsi="Times New Roman" w:cs="Times New Roman"/>
          <w:bCs/>
          <w:i/>
          <w:sz w:val="20"/>
          <w:szCs w:val="20"/>
        </w:rPr>
      </w:pPr>
      <w:r w:rsidRPr="000D0543">
        <w:rPr>
          <w:rFonts w:ascii="Times New Roman" w:eastAsia="Times New Roman" w:hAnsi="Times New Roman" w:cs="Times New Roman"/>
          <w:bCs/>
          <w:i/>
          <w:sz w:val="20"/>
          <w:szCs w:val="20"/>
        </w:rPr>
        <w:t>Affiliations……………………………………………………….………………</w:t>
      </w:r>
    </w:p>
    <w:p w14:paraId="1FC49B6C" w14:textId="77777777" w:rsidR="00D851AD" w:rsidRPr="000D0543" w:rsidRDefault="00D851AD" w:rsidP="000042C0">
      <w:pPr>
        <w:spacing w:after="0" w:line="240" w:lineRule="auto"/>
        <w:jc w:val="right"/>
        <w:rPr>
          <w:rFonts w:ascii="Times New Roman" w:eastAsia="Times New Roman" w:hAnsi="Times New Roman" w:cs="Times New Roman"/>
          <w:i/>
          <w:sz w:val="20"/>
          <w:szCs w:val="20"/>
        </w:rPr>
      </w:pPr>
    </w:p>
    <w:p w14:paraId="548B2E6A" w14:textId="1FC8782E" w:rsidR="00A324F0" w:rsidRPr="000D0543" w:rsidRDefault="00A324F0" w:rsidP="000042C0">
      <w:pPr>
        <w:spacing w:after="0" w:line="240" w:lineRule="auto"/>
        <w:jc w:val="right"/>
        <w:rPr>
          <w:rFonts w:ascii="Times New Roman" w:eastAsia="Times New Roman" w:hAnsi="Times New Roman" w:cs="Times New Roman"/>
          <w:b/>
          <w:i/>
          <w:color w:val="FF0000"/>
          <w:sz w:val="20"/>
          <w:szCs w:val="20"/>
        </w:rPr>
      </w:pPr>
      <w:r w:rsidRPr="000D0543">
        <w:rPr>
          <w:rFonts w:ascii="Times New Roman" w:eastAsia="Times New Roman" w:hAnsi="Times New Roman" w:cs="Times New Roman"/>
          <w:b/>
          <w:i/>
          <w:sz w:val="20"/>
          <w:szCs w:val="20"/>
        </w:rPr>
        <w:t>Authors’ contributions</w:t>
      </w:r>
    </w:p>
    <w:p w14:paraId="7A806A7A" w14:textId="77777777" w:rsidR="00D851AD" w:rsidRPr="000D0543" w:rsidRDefault="00D851AD" w:rsidP="000042C0">
      <w:pPr>
        <w:spacing w:after="0" w:line="240" w:lineRule="auto"/>
        <w:jc w:val="right"/>
        <w:rPr>
          <w:rFonts w:ascii="Times New Roman" w:eastAsia="Times New Roman" w:hAnsi="Times New Roman" w:cs="Times New Roman"/>
          <w:b/>
          <w:i/>
          <w:sz w:val="20"/>
          <w:szCs w:val="20"/>
        </w:rPr>
      </w:pPr>
    </w:p>
    <w:p w14:paraId="2B81BF96" w14:textId="77185FDC" w:rsidR="002F4EB4" w:rsidRPr="000D0543" w:rsidRDefault="002F4EB4" w:rsidP="000042C0">
      <w:pPr>
        <w:spacing w:after="0" w:line="240" w:lineRule="auto"/>
        <w:jc w:val="right"/>
        <w:rPr>
          <w:rFonts w:ascii="Times New Roman" w:eastAsia="Times New Roman" w:hAnsi="Times New Roman" w:cs="Times New Roman"/>
          <w:i/>
          <w:sz w:val="20"/>
          <w:szCs w:val="20"/>
        </w:rPr>
      </w:pPr>
      <w:r w:rsidRPr="000D0543">
        <w:rPr>
          <w:rFonts w:ascii="Times New Roman" w:hAnsi="Times New Roman" w:cs="Times New Roman"/>
          <w:i/>
          <w:sz w:val="20"/>
        </w:rPr>
        <w:t>This work was carried out in collaboration among all authors. All authors read and approved the final manuscript.</w:t>
      </w:r>
    </w:p>
    <w:p w14:paraId="2B9F9B4F" w14:textId="77777777" w:rsidR="00D851AD" w:rsidRPr="000D0543" w:rsidRDefault="00D851AD" w:rsidP="000042C0">
      <w:pPr>
        <w:spacing w:after="0" w:line="240" w:lineRule="auto"/>
        <w:jc w:val="right"/>
        <w:rPr>
          <w:rFonts w:ascii="Times New Roman" w:eastAsia="Times New Roman" w:hAnsi="Times New Roman" w:cs="Times New Roman"/>
          <w:i/>
          <w:sz w:val="20"/>
          <w:szCs w:val="20"/>
        </w:rPr>
      </w:pPr>
    </w:p>
    <w:p w14:paraId="2515F9EC" w14:textId="77777777" w:rsidR="00D851AD" w:rsidRPr="000D0543" w:rsidRDefault="00D851AD" w:rsidP="000042C0">
      <w:pPr>
        <w:spacing w:after="0" w:line="240" w:lineRule="auto"/>
        <w:jc w:val="right"/>
        <w:rPr>
          <w:rFonts w:ascii="Times New Roman" w:eastAsia="Times New Roman" w:hAnsi="Times New Roman" w:cs="Times New Roman"/>
          <w:b/>
          <w:i/>
          <w:sz w:val="20"/>
          <w:szCs w:val="20"/>
        </w:rPr>
      </w:pPr>
      <w:r w:rsidRPr="000D0543">
        <w:rPr>
          <w:rFonts w:ascii="Times New Roman" w:eastAsia="Times New Roman" w:hAnsi="Times New Roman" w:cs="Times New Roman"/>
          <w:b/>
          <w:i/>
          <w:sz w:val="20"/>
          <w:szCs w:val="20"/>
        </w:rPr>
        <w:t>Article Information</w:t>
      </w:r>
    </w:p>
    <w:p w14:paraId="57218C81" w14:textId="77777777" w:rsidR="00AE278A" w:rsidRPr="000D0543" w:rsidRDefault="00AE278A" w:rsidP="000042C0">
      <w:pPr>
        <w:spacing w:after="0" w:line="240" w:lineRule="auto"/>
        <w:jc w:val="right"/>
        <w:rPr>
          <w:rFonts w:ascii="Times New Roman" w:eastAsia="Times New Roman" w:hAnsi="Times New Roman" w:cs="Times New Roman"/>
          <w:b/>
          <w:i/>
          <w:sz w:val="16"/>
          <w:szCs w:val="20"/>
        </w:rPr>
      </w:pPr>
    </w:p>
    <w:p w14:paraId="3D180C6D" w14:textId="6E9131AC" w:rsidR="00AE278A" w:rsidRPr="000D0543" w:rsidRDefault="00AE278A" w:rsidP="000042C0">
      <w:pPr>
        <w:spacing w:after="0" w:line="240" w:lineRule="auto"/>
        <w:jc w:val="right"/>
        <w:rPr>
          <w:rFonts w:ascii="Times New Roman" w:eastAsia="Times New Roman" w:hAnsi="Times New Roman" w:cs="Times New Roman"/>
          <w:sz w:val="16"/>
          <w:szCs w:val="16"/>
        </w:rPr>
      </w:pPr>
      <w:r w:rsidRPr="000D0543">
        <w:rPr>
          <w:rFonts w:ascii="Times New Roman" w:eastAsia="Times New Roman" w:hAnsi="Times New Roman" w:cs="Times New Roman"/>
          <w:sz w:val="16"/>
          <w:szCs w:val="16"/>
        </w:rPr>
        <w:t>DOI: 10.9734/AJPR/20</w:t>
      </w:r>
      <w:r w:rsidR="00187B03" w:rsidRPr="000D0543">
        <w:rPr>
          <w:rFonts w:ascii="Times New Roman" w:eastAsia="Times New Roman" w:hAnsi="Times New Roman" w:cs="Times New Roman"/>
          <w:sz w:val="16"/>
          <w:szCs w:val="16"/>
        </w:rPr>
        <w:t>2</w:t>
      </w:r>
      <w:r w:rsidR="00892474" w:rsidRPr="000D0543">
        <w:rPr>
          <w:rFonts w:ascii="Times New Roman" w:eastAsia="Times New Roman" w:hAnsi="Times New Roman" w:cs="Times New Roman"/>
          <w:sz w:val="16"/>
          <w:szCs w:val="16"/>
        </w:rPr>
        <w:t>6</w:t>
      </w:r>
      <w:r w:rsidRPr="000D0543">
        <w:rPr>
          <w:rFonts w:ascii="Times New Roman" w:eastAsia="Times New Roman" w:hAnsi="Times New Roman" w:cs="Times New Roman"/>
          <w:sz w:val="16"/>
          <w:szCs w:val="16"/>
        </w:rPr>
        <w:t>/XXXXX</w:t>
      </w:r>
    </w:p>
    <w:p w14:paraId="5EA18A16" w14:textId="77777777" w:rsidR="002F3708" w:rsidRPr="000D0543" w:rsidRDefault="002F3708" w:rsidP="000042C0">
      <w:pPr>
        <w:spacing w:after="0" w:line="240" w:lineRule="auto"/>
        <w:jc w:val="right"/>
        <w:rPr>
          <w:rFonts w:ascii="Times New Roman" w:eastAsia="Times New Roman" w:hAnsi="Times New Roman" w:cs="Times New Roman"/>
          <w:sz w:val="16"/>
          <w:szCs w:val="16"/>
        </w:rPr>
      </w:pPr>
    </w:p>
    <w:p w14:paraId="763B5BAF" w14:textId="77777777" w:rsidR="002F3708" w:rsidRPr="000D0543" w:rsidRDefault="002F3708" w:rsidP="000042C0">
      <w:pPr>
        <w:spacing w:after="0" w:line="240" w:lineRule="auto"/>
        <w:jc w:val="right"/>
        <w:rPr>
          <w:rFonts w:ascii="Times New Roman" w:eastAsia="Times New Roman" w:hAnsi="Times New Roman" w:cs="Times New Roman"/>
          <w:b/>
          <w:sz w:val="16"/>
          <w:szCs w:val="16"/>
        </w:rPr>
      </w:pPr>
      <w:r w:rsidRPr="000D0543">
        <w:rPr>
          <w:rFonts w:ascii="Times New Roman" w:eastAsia="Times New Roman" w:hAnsi="Times New Roman" w:cs="Times New Roman"/>
          <w:b/>
          <w:sz w:val="16"/>
          <w:szCs w:val="16"/>
        </w:rPr>
        <w:t>Open Peer Review History:</w:t>
      </w:r>
    </w:p>
    <w:p w14:paraId="5E3945C7" w14:textId="77777777" w:rsidR="002F3708" w:rsidRPr="000D0543" w:rsidRDefault="002F3708" w:rsidP="000042C0">
      <w:pPr>
        <w:spacing w:after="0" w:line="240" w:lineRule="auto"/>
        <w:jc w:val="right"/>
        <w:rPr>
          <w:rFonts w:ascii="Times New Roman" w:eastAsia="Times New Roman" w:hAnsi="Times New Roman" w:cs="Times New Roman"/>
          <w:sz w:val="16"/>
          <w:szCs w:val="16"/>
        </w:rPr>
      </w:pPr>
      <w:r w:rsidRPr="000D0543">
        <w:rPr>
          <w:rFonts w:ascii="Times New Roman" w:eastAsia="Times New Roman" w:hAnsi="Times New Roman" w:cs="Times New Roman"/>
          <w:sz w:val="16"/>
          <w:szCs w:val="16"/>
        </w:rPr>
        <w:t xml:space="preserve">This journal follows the Advanced Open Peer Review policy. Identity of the Reviewers, Editor(s) and additional </w:t>
      </w:r>
      <w:proofErr w:type="gramStart"/>
      <w:r w:rsidRPr="000D0543">
        <w:rPr>
          <w:rFonts w:ascii="Times New Roman" w:eastAsia="Times New Roman" w:hAnsi="Times New Roman" w:cs="Times New Roman"/>
          <w:sz w:val="16"/>
          <w:szCs w:val="16"/>
        </w:rPr>
        <w:t>Reviewers,  peer</w:t>
      </w:r>
      <w:proofErr w:type="gramEnd"/>
      <w:r w:rsidRPr="000D0543">
        <w:rPr>
          <w:rFonts w:ascii="Times New Roman" w:eastAsia="Times New Roman" w:hAnsi="Times New Roman" w:cs="Times New Roman"/>
          <w:sz w:val="16"/>
          <w:szCs w:val="16"/>
        </w:rPr>
        <w:t xml:space="preserve"> review comments, different versions of the manuscript, comments of the editors, </w:t>
      </w:r>
      <w:proofErr w:type="spellStart"/>
      <w:r w:rsidRPr="000D0543">
        <w:rPr>
          <w:rFonts w:ascii="Times New Roman" w:eastAsia="Times New Roman" w:hAnsi="Times New Roman" w:cs="Times New Roman"/>
          <w:sz w:val="16"/>
          <w:szCs w:val="16"/>
        </w:rPr>
        <w:t>etc</w:t>
      </w:r>
      <w:proofErr w:type="spellEnd"/>
      <w:r w:rsidRPr="000D0543">
        <w:rPr>
          <w:rFonts w:ascii="Times New Roman" w:eastAsia="Times New Roman" w:hAnsi="Times New Roman" w:cs="Times New Roman"/>
          <w:sz w:val="16"/>
          <w:szCs w:val="16"/>
        </w:rPr>
        <w:t xml:space="preserve"> are available here:</w:t>
      </w:r>
    </w:p>
    <w:p w14:paraId="5636D136" w14:textId="77777777" w:rsidR="00BD060A" w:rsidRPr="000D0543" w:rsidRDefault="00BD060A" w:rsidP="000042C0">
      <w:pPr>
        <w:keepNext/>
        <w:spacing w:after="0" w:line="240" w:lineRule="auto"/>
        <w:jc w:val="right"/>
        <w:rPr>
          <w:rFonts w:ascii="Times New Roman" w:eastAsia="Times New Roman" w:hAnsi="Times New Roman" w:cs="Times New Roman"/>
          <w:sz w:val="16"/>
          <w:szCs w:val="20"/>
        </w:rPr>
      </w:pPr>
    </w:p>
    <w:p w14:paraId="1004F05E" w14:textId="77777777" w:rsidR="00D851AD" w:rsidRPr="000D0543" w:rsidRDefault="00D851AD" w:rsidP="000042C0">
      <w:pPr>
        <w:keepNext/>
        <w:spacing w:after="0" w:line="240" w:lineRule="auto"/>
        <w:jc w:val="right"/>
        <w:rPr>
          <w:rFonts w:ascii="Times New Roman" w:eastAsia="Times New Roman" w:hAnsi="Times New Roman" w:cs="Times New Roman"/>
          <w:sz w:val="20"/>
          <w:szCs w:val="20"/>
        </w:rPr>
      </w:pPr>
    </w:p>
    <w:p w14:paraId="28860145" w14:textId="77777777" w:rsidR="00BD060A" w:rsidRPr="000D0543" w:rsidRDefault="00BD060A" w:rsidP="000042C0">
      <w:pPr>
        <w:spacing w:after="0" w:line="240" w:lineRule="auto"/>
        <w:jc w:val="right"/>
        <w:rPr>
          <w:rFonts w:ascii="Times New Roman" w:eastAsia="Times New Roman" w:hAnsi="Times New Roman" w:cs="Times New Roman"/>
          <w:bCs/>
          <w:iCs/>
          <w:sz w:val="20"/>
          <w:szCs w:val="20"/>
        </w:rPr>
      </w:pPr>
    </w:p>
    <w:p w14:paraId="5EBEDC58" w14:textId="72493E21" w:rsidR="00BD060A" w:rsidRPr="000D0543" w:rsidRDefault="00BD060A" w:rsidP="000042C0">
      <w:pPr>
        <w:autoSpaceDE w:val="0"/>
        <w:autoSpaceDN w:val="0"/>
        <w:adjustRightInd w:val="0"/>
        <w:spacing w:after="0" w:line="240" w:lineRule="auto"/>
        <w:jc w:val="right"/>
        <w:rPr>
          <w:rFonts w:ascii="Times New Roman" w:eastAsia="Times New Roman" w:hAnsi="Times New Roman" w:cs="Times New Roman"/>
          <w:b/>
          <w:i/>
          <w:sz w:val="20"/>
          <w:szCs w:val="16"/>
        </w:rPr>
      </w:pPr>
      <w:r w:rsidRPr="000D0543">
        <w:rPr>
          <w:rFonts w:ascii="Times New Roman" w:eastAsia="Times New Roman" w:hAnsi="Times New Roman" w:cs="Times New Roman"/>
          <w:b/>
          <w:i/>
          <w:sz w:val="20"/>
          <w:szCs w:val="16"/>
        </w:rPr>
        <w:t>Received</w:t>
      </w:r>
      <w:r w:rsidR="008D783F" w:rsidRPr="000D0543">
        <w:rPr>
          <w:rFonts w:ascii="Times New Roman" w:eastAsia="Times New Roman" w:hAnsi="Times New Roman" w:cs="Times New Roman"/>
          <w:b/>
          <w:i/>
          <w:sz w:val="20"/>
          <w:szCs w:val="16"/>
        </w:rPr>
        <w:t>:</w:t>
      </w:r>
      <w:r w:rsidRPr="000D0543">
        <w:rPr>
          <w:rFonts w:ascii="Times New Roman" w:eastAsia="Times New Roman" w:hAnsi="Times New Roman" w:cs="Times New Roman"/>
          <w:b/>
          <w:i/>
          <w:sz w:val="20"/>
          <w:szCs w:val="16"/>
        </w:rPr>
        <w:t xml:space="preserve"> </w:t>
      </w:r>
      <w:r w:rsidR="008D783F" w:rsidRPr="000D0543">
        <w:rPr>
          <w:rFonts w:ascii="Times New Roman" w:eastAsia="Times New Roman" w:hAnsi="Times New Roman" w:cs="Times New Roman"/>
          <w:b/>
          <w:i/>
          <w:sz w:val="20"/>
          <w:szCs w:val="16"/>
        </w:rPr>
        <w:t>DD/MM/20YY</w:t>
      </w:r>
      <w:r w:rsidR="00AD345B">
        <w:rPr>
          <w:rFonts w:ascii="Times New Roman" w:eastAsia="Times New Roman" w:hAnsi="Times New Roman" w:cs="Times New Roman"/>
          <w:b/>
          <w:i/>
          <w:noProof/>
          <w:sz w:val="20"/>
          <w:szCs w:val="20"/>
        </w:rPr>
        <w:pict w14:anchorId="49CDDC93">
          <v:rect id="_x0000_s1053" style="position:absolute;left:0;text-align:left;margin-left:.7pt;margin-top:2.8pt;width:137.6pt;height:18.65pt;z-index:251666432;mso-position-horizontal-relative:text;mso-position-vertical-relative:text">
            <v:textbox style="mso-next-textbox:#_x0000_s1053" inset=",2.16pt,,2.16pt">
              <w:txbxContent>
                <w:p w14:paraId="5CA1FFF8" w14:textId="77777777" w:rsidR="00682F1A" w:rsidRPr="001D4232" w:rsidRDefault="00682F1A" w:rsidP="00682F1A">
                  <w:pPr>
                    <w:jc w:val="center"/>
                    <w:rPr>
                      <w:rFonts w:ascii="Times New Roman" w:hAnsi="Times New Roman" w:cs="Times New Roman"/>
                      <w:b/>
                      <w:i/>
                      <w:sz w:val="20"/>
                    </w:rPr>
                  </w:pPr>
                  <w:r w:rsidRPr="001D4232">
                    <w:rPr>
                      <w:rFonts w:ascii="Times New Roman" w:hAnsi="Times New Roman" w:cs="Times New Roman"/>
                      <w:b/>
                      <w:i/>
                      <w:sz w:val="20"/>
                    </w:rPr>
                    <w:t>………… Article</w:t>
                  </w:r>
                </w:p>
              </w:txbxContent>
            </v:textbox>
          </v:rect>
        </w:pict>
      </w:r>
    </w:p>
    <w:p w14:paraId="5B181068" w14:textId="77777777" w:rsidR="00BD060A" w:rsidRPr="000D0543" w:rsidRDefault="00BD060A" w:rsidP="000042C0">
      <w:pPr>
        <w:autoSpaceDE w:val="0"/>
        <w:autoSpaceDN w:val="0"/>
        <w:adjustRightInd w:val="0"/>
        <w:spacing w:after="0" w:line="240" w:lineRule="auto"/>
        <w:jc w:val="right"/>
        <w:rPr>
          <w:rFonts w:ascii="Times New Roman" w:eastAsia="Times New Roman" w:hAnsi="Times New Roman" w:cs="Times New Roman"/>
          <w:sz w:val="20"/>
          <w:szCs w:val="20"/>
        </w:rPr>
      </w:pPr>
      <w:r w:rsidRPr="000D0543">
        <w:rPr>
          <w:rFonts w:ascii="Times New Roman" w:eastAsia="Times New Roman" w:hAnsi="Times New Roman" w:cs="Times New Roman"/>
          <w:b/>
          <w:i/>
          <w:sz w:val="20"/>
          <w:szCs w:val="16"/>
        </w:rPr>
        <w:t>Published</w:t>
      </w:r>
      <w:r w:rsidR="008D783F" w:rsidRPr="000D0543">
        <w:rPr>
          <w:rFonts w:ascii="Times New Roman" w:eastAsia="Times New Roman" w:hAnsi="Times New Roman" w:cs="Times New Roman"/>
          <w:b/>
          <w:i/>
          <w:sz w:val="20"/>
          <w:szCs w:val="16"/>
        </w:rPr>
        <w:t>:</w:t>
      </w:r>
      <w:r w:rsidRPr="000D0543">
        <w:rPr>
          <w:rFonts w:ascii="Times New Roman" w:eastAsia="Times New Roman" w:hAnsi="Times New Roman" w:cs="Times New Roman"/>
          <w:b/>
          <w:i/>
          <w:sz w:val="20"/>
          <w:szCs w:val="16"/>
        </w:rPr>
        <w:t xml:space="preserve"> </w:t>
      </w:r>
      <w:r w:rsidR="008D783F" w:rsidRPr="000D0543">
        <w:rPr>
          <w:rFonts w:ascii="Times New Roman" w:eastAsia="Times New Roman" w:hAnsi="Times New Roman" w:cs="Times New Roman"/>
          <w:b/>
          <w:i/>
          <w:sz w:val="20"/>
          <w:szCs w:val="16"/>
        </w:rPr>
        <w:t>DD/MM/20YY</w:t>
      </w:r>
    </w:p>
    <w:p w14:paraId="453A49F6" w14:textId="77777777" w:rsidR="00BD060A" w:rsidRPr="000D0543" w:rsidRDefault="00AD345B" w:rsidP="000042C0">
      <w:pPr>
        <w:keepNext/>
        <w:spacing w:after="0" w:line="240" w:lineRule="auto"/>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38605C3C">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8343696" w14:textId="77777777" w:rsidR="00BD060A" w:rsidRPr="000D0543" w:rsidRDefault="00BD060A" w:rsidP="000042C0">
      <w:pPr>
        <w:keepNext/>
        <w:tabs>
          <w:tab w:val="left" w:pos="3870"/>
        </w:tabs>
        <w:spacing w:after="0" w:line="240" w:lineRule="auto"/>
        <w:rPr>
          <w:rFonts w:ascii="Times New Roman" w:eastAsia="Times New Roman" w:hAnsi="Times New Roman" w:cs="Times New Roman"/>
          <w:b/>
          <w:caps/>
          <w:sz w:val="20"/>
          <w:szCs w:val="20"/>
        </w:rPr>
      </w:pPr>
    </w:p>
    <w:p w14:paraId="361EF8A0" w14:textId="5DB4A6CE" w:rsidR="00BD060A" w:rsidRPr="000D0543" w:rsidRDefault="00892474" w:rsidP="000042C0">
      <w:pPr>
        <w:pStyle w:val="Heading2"/>
        <w:rPr>
          <w:rFonts w:ascii="Times New Roman" w:eastAsia="Times New Roman" w:hAnsi="Times New Roman" w:cs="Times New Roman"/>
        </w:rPr>
      </w:pPr>
      <w:r w:rsidRPr="000D0543">
        <w:rPr>
          <w:rFonts w:ascii="Times New Roman" w:eastAsia="Times New Roman" w:hAnsi="Times New Roman" w:cs="Times New Roman"/>
        </w:rPr>
        <w:t>Abstract</w:t>
      </w:r>
    </w:p>
    <w:p w14:paraId="5D34EDB0" w14:textId="77777777" w:rsidR="00BD060A" w:rsidRPr="000D0543" w:rsidRDefault="00BD060A" w:rsidP="000042C0">
      <w:pPr>
        <w:keepNext/>
        <w:spacing w:after="0" w:line="240" w:lineRule="auto"/>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0D0543" w14:paraId="0498874A" w14:textId="77777777" w:rsidTr="008D783F">
        <w:trPr>
          <w:jc w:val="center"/>
        </w:trPr>
        <w:tc>
          <w:tcPr>
            <w:tcW w:w="9040" w:type="dxa"/>
          </w:tcPr>
          <w:p w14:paraId="7ED5FA79" w14:textId="77777777" w:rsidR="003F47A0" w:rsidRPr="000D0543" w:rsidRDefault="000042C0" w:rsidP="000042C0">
            <w:pPr>
              <w:spacing w:after="0" w:line="240" w:lineRule="auto"/>
              <w:jc w:val="both"/>
              <w:rPr>
                <w:rFonts w:ascii="Times New Roman" w:eastAsia="Calibri" w:hAnsi="Times New Roman" w:cs="Times New Roman"/>
                <w:sz w:val="20"/>
              </w:rPr>
            </w:pPr>
            <w:r w:rsidRPr="000042C0">
              <w:rPr>
                <w:rFonts w:ascii="Times New Roman" w:eastAsia="Calibri" w:hAnsi="Times New Roman" w:cs="Times New Roman"/>
                <w:sz w:val="20"/>
              </w:rPr>
              <w:t xml:space="preserve">Typhoid fever is a common cause of febrile illness, caused by </w:t>
            </w:r>
            <w:r w:rsidRPr="000042C0">
              <w:rPr>
                <w:rFonts w:ascii="Times New Roman" w:eastAsia="Calibri" w:hAnsi="Times New Roman" w:cs="Times New Roman"/>
                <w:i/>
                <w:iCs/>
                <w:sz w:val="20"/>
              </w:rPr>
              <w:t>Salmonella enterica</w:t>
            </w:r>
            <w:r w:rsidRPr="000042C0">
              <w:rPr>
                <w:rFonts w:ascii="Times New Roman" w:eastAsia="Calibri" w:hAnsi="Times New Roman" w:cs="Times New Roman"/>
                <w:sz w:val="20"/>
              </w:rPr>
              <w:t xml:space="preserve"> serovar Typhi (</w:t>
            </w:r>
            <w:r w:rsidRPr="000042C0">
              <w:rPr>
                <w:rFonts w:ascii="Times New Roman" w:eastAsia="Calibri" w:hAnsi="Times New Roman" w:cs="Times New Roman"/>
                <w:i/>
                <w:iCs/>
                <w:sz w:val="20"/>
              </w:rPr>
              <w:t>S. Typhi</w:t>
            </w:r>
            <w:r w:rsidRPr="000042C0">
              <w:rPr>
                <w:rFonts w:ascii="Times New Roman" w:eastAsia="Calibri" w:hAnsi="Times New Roman" w:cs="Times New Roman"/>
                <w:sz w:val="20"/>
              </w:rPr>
              <w:t xml:space="preserve">), which employs specialized mechanisms to invade the intestinal mucosa and subsequently disseminates to the reticuloendothelial system. Neurological complications are uncommon and typically manifest during the second week of illness. Acute cerebellar ataxia, occurring as an isolated neurological manifestation of enteric fever, is particularly rare and is usually </w:t>
            </w:r>
            <w:proofErr w:type="spellStart"/>
            <w:r w:rsidRPr="000042C0">
              <w:rPr>
                <w:rFonts w:ascii="Times New Roman" w:eastAsia="Calibri" w:hAnsi="Times New Roman" w:cs="Times New Roman"/>
                <w:sz w:val="20"/>
              </w:rPr>
              <w:t>characterised</w:t>
            </w:r>
            <w:proofErr w:type="spellEnd"/>
            <w:r w:rsidRPr="000042C0">
              <w:rPr>
                <w:rFonts w:ascii="Times New Roman" w:eastAsia="Calibri" w:hAnsi="Times New Roman" w:cs="Times New Roman"/>
                <w:sz w:val="20"/>
              </w:rPr>
              <w:t xml:space="preserve"> by abnormalities in gait and speech. In the reported case, the diagnosis of enteric fever was confirmed through a positive blood culture. The primary clinical features included rapid onset of gait ataxia, limb ataxia, and dysarthria. Cerebellar involvement was observed during the second week of illness, with progression over one to two days. The symptoms remained stable for approximately one week, followed by gradual recovery under appropriate antibiotic treatment. These findings indicate that timely diagnosis and administration of suitable antibiotics are associated with </w:t>
            </w:r>
            <w:proofErr w:type="spellStart"/>
            <w:r w:rsidRPr="000042C0">
              <w:rPr>
                <w:rFonts w:ascii="Times New Roman" w:eastAsia="Calibri" w:hAnsi="Times New Roman" w:cs="Times New Roman"/>
                <w:sz w:val="20"/>
              </w:rPr>
              <w:t>favourable</w:t>
            </w:r>
            <w:proofErr w:type="spellEnd"/>
            <w:r w:rsidRPr="000042C0">
              <w:rPr>
                <w:rFonts w:ascii="Times New Roman" w:eastAsia="Calibri" w:hAnsi="Times New Roman" w:cs="Times New Roman"/>
                <w:sz w:val="20"/>
              </w:rPr>
              <w:t xml:space="preserve"> neurological recovery in patients with cerebellar complications of enteric fever.</w:t>
            </w:r>
          </w:p>
          <w:p w14:paraId="71AC9337" w14:textId="5ECCE20F" w:rsidR="000042C0" w:rsidRPr="000D0543" w:rsidRDefault="000042C0" w:rsidP="000042C0">
            <w:pPr>
              <w:spacing w:after="0" w:line="240" w:lineRule="auto"/>
              <w:jc w:val="both"/>
              <w:rPr>
                <w:rFonts w:ascii="Times New Roman" w:eastAsia="Calibri" w:hAnsi="Times New Roman" w:cs="Times New Roman"/>
                <w:sz w:val="20"/>
              </w:rPr>
            </w:pPr>
          </w:p>
        </w:tc>
      </w:tr>
    </w:tbl>
    <w:p w14:paraId="6A8AE158" w14:textId="77777777" w:rsidR="00D851AD" w:rsidRPr="000D0543" w:rsidRDefault="00D851AD" w:rsidP="000042C0">
      <w:pPr>
        <w:spacing w:after="0" w:line="240" w:lineRule="auto"/>
        <w:ind w:left="1080" w:hanging="1080"/>
        <w:jc w:val="both"/>
        <w:rPr>
          <w:rFonts w:ascii="Times New Roman" w:eastAsia="Times New Roman" w:hAnsi="Times New Roman" w:cs="Times New Roman"/>
          <w:i/>
          <w:sz w:val="20"/>
          <w:szCs w:val="20"/>
        </w:rPr>
      </w:pPr>
    </w:p>
    <w:p w14:paraId="6CF3E766" w14:textId="4460BF5D" w:rsidR="00BD060A" w:rsidRPr="000D0543" w:rsidRDefault="00BD060A" w:rsidP="000042C0">
      <w:pPr>
        <w:spacing w:after="0" w:line="240" w:lineRule="auto"/>
        <w:ind w:left="1080" w:hanging="1080"/>
        <w:jc w:val="both"/>
        <w:rPr>
          <w:rFonts w:ascii="Times New Roman" w:eastAsia="Times New Roman" w:hAnsi="Times New Roman" w:cs="Times New Roman"/>
          <w:bCs/>
          <w:i/>
          <w:iCs/>
          <w:sz w:val="20"/>
          <w:szCs w:val="20"/>
        </w:rPr>
      </w:pPr>
      <w:r w:rsidRPr="000D0543">
        <w:rPr>
          <w:rFonts w:ascii="Times New Roman" w:eastAsia="Times New Roman" w:hAnsi="Times New Roman" w:cs="Times New Roman"/>
          <w:i/>
          <w:sz w:val="20"/>
          <w:szCs w:val="20"/>
        </w:rPr>
        <w:t xml:space="preserve">Keywords: </w:t>
      </w:r>
      <w:r w:rsidR="000042C0" w:rsidRPr="000D0543">
        <w:rPr>
          <w:rFonts w:ascii="Times New Roman" w:eastAsia="Times New Roman" w:hAnsi="Times New Roman" w:cs="Times New Roman"/>
          <w:bCs/>
          <w:i/>
          <w:iCs/>
          <w:sz w:val="20"/>
          <w:szCs w:val="20"/>
        </w:rPr>
        <w:t xml:space="preserve">Acute Cerebellar ataxia; </w:t>
      </w:r>
      <w:proofErr w:type="spellStart"/>
      <w:r w:rsidR="000042C0" w:rsidRPr="000D0543">
        <w:rPr>
          <w:rFonts w:ascii="Times New Roman" w:eastAsia="Times New Roman" w:hAnsi="Times New Roman" w:cs="Times New Roman"/>
          <w:bCs/>
          <w:i/>
          <w:iCs/>
          <w:sz w:val="20"/>
          <w:szCs w:val="20"/>
        </w:rPr>
        <w:t>reticulo</w:t>
      </w:r>
      <w:proofErr w:type="spellEnd"/>
      <w:r w:rsidR="000042C0" w:rsidRPr="000D0543">
        <w:rPr>
          <w:rFonts w:ascii="Times New Roman" w:eastAsia="Times New Roman" w:hAnsi="Times New Roman" w:cs="Times New Roman"/>
          <w:bCs/>
          <w:i/>
          <w:iCs/>
          <w:sz w:val="20"/>
          <w:szCs w:val="20"/>
        </w:rPr>
        <w:t>-endothelial system; neurological manifestation; bacteremia</w:t>
      </w:r>
      <w:r w:rsidRPr="000D0543">
        <w:rPr>
          <w:rFonts w:ascii="Times New Roman" w:eastAsia="Times New Roman" w:hAnsi="Times New Roman" w:cs="Times New Roman"/>
          <w:bCs/>
          <w:i/>
          <w:iCs/>
          <w:sz w:val="20"/>
          <w:szCs w:val="20"/>
        </w:rPr>
        <w:t>.</w:t>
      </w:r>
    </w:p>
    <w:p w14:paraId="31620FEA" w14:textId="77777777" w:rsidR="000042C0" w:rsidRPr="000D0543" w:rsidRDefault="000042C0" w:rsidP="000042C0">
      <w:pPr>
        <w:spacing w:after="0" w:line="240" w:lineRule="auto"/>
        <w:ind w:left="1080" w:hanging="1080"/>
        <w:jc w:val="both"/>
        <w:rPr>
          <w:rFonts w:ascii="Times New Roman" w:eastAsia="Times New Roman" w:hAnsi="Times New Roman" w:cs="Times New Roman"/>
          <w:bCs/>
          <w:i/>
          <w:iCs/>
          <w:sz w:val="20"/>
          <w:szCs w:val="20"/>
        </w:rPr>
      </w:pPr>
    </w:p>
    <w:p w14:paraId="7EA91F48" w14:textId="6527FB6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u w:color="000000"/>
          <w:bdr w:val="nil"/>
        </w:rPr>
      </w:pPr>
      <w:r w:rsidRPr="000D0543">
        <w:rPr>
          <w:rFonts w:ascii="Times New Roman" w:eastAsia="Arial Unicode MS" w:hAnsi="Times New Roman" w:cs="Times New Roman"/>
          <w:b/>
          <w:u w:color="000000"/>
          <w:bdr w:val="nil"/>
        </w:rPr>
        <w:lastRenderedPageBreak/>
        <w:t xml:space="preserve">1. </w:t>
      </w:r>
      <w:r w:rsidRPr="000042C0">
        <w:rPr>
          <w:rFonts w:ascii="Times New Roman" w:eastAsia="Arial Unicode MS" w:hAnsi="Times New Roman" w:cs="Times New Roman"/>
          <w:b/>
          <w:u w:color="000000"/>
          <w:bdr w:val="nil"/>
        </w:rPr>
        <w:t>Introduction</w:t>
      </w:r>
    </w:p>
    <w:p w14:paraId="39220305"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68DAA603" w14:textId="746E745A" w:rsidR="000042C0" w:rsidRPr="000042C0" w:rsidRDefault="000042C0" w:rsidP="00B0024F">
      <w:pPr>
        <w:pStyle w:val="NormalWeb"/>
        <w:jc w:val="both"/>
        <w:rPr>
          <w:rFonts w:eastAsia="Arial Unicode MS"/>
          <w:spacing w:val="4"/>
          <w:sz w:val="20"/>
          <w:szCs w:val="20"/>
          <w:u w:color="000000"/>
          <w:bdr w:val="nil"/>
        </w:rPr>
      </w:pPr>
      <w:r w:rsidRPr="000042C0">
        <w:rPr>
          <w:sz w:val="20"/>
          <w:szCs w:val="20"/>
        </w:rPr>
        <w:t xml:space="preserve">Enteric fever is a significant infectious disease, with approximately 80% of cases reported in Asian countries </w:t>
      </w:r>
      <w:r w:rsidR="008032D9" w:rsidRPr="000D0543">
        <w:rPr>
          <w:sz w:val="20"/>
          <w:szCs w:val="20"/>
        </w:rPr>
        <w:t>(Kumar and Kumar, 2017)</w:t>
      </w:r>
      <w:r w:rsidRPr="000042C0">
        <w:rPr>
          <w:sz w:val="20"/>
          <w:szCs w:val="20"/>
        </w:rPr>
        <w:t xml:space="preserve">. The condition is primarily caused by </w:t>
      </w:r>
      <w:r w:rsidRPr="000042C0">
        <w:rPr>
          <w:i/>
          <w:iCs/>
          <w:sz w:val="20"/>
          <w:szCs w:val="20"/>
        </w:rPr>
        <w:t>Salmonella enterica</w:t>
      </w:r>
      <w:r w:rsidRPr="000042C0">
        <w:rPr>
          <w:sz w:val="20"/>
          <w:szCs w:val="20"/>
        </w:rPr>
        <w:t xml:space="preserve"> serovar Typhi (</w:t>
      </w:r>
      <w:r w:rsidRPr="000042C0">
        <w:rPr>
          <w:i/>
          <w:iCs/>
          <w:sz w:val="20"/>
          <w:szCs w:val="20"/>
        </w:rPr>
        <w:t>S. Typhi</w:t>
      </w:r>
      <w:r w:rsidRPr="000042C0">
        <w:rPr>
          <w:sz w:val="20"/>
          <w:szCs w:val="20"/>
        </w:rPr>
        <w:t xml:space="preserve">) and, less frequently, by </w:t>
      </w:r>
      <w:r w:rsidRPr="000042C0">
        <w:rPr>
          <w:i/>
          <w:iCs/>
          <w:sz w:val="20"/>
          <w:szCs w:val="20"/>
        </w:rPr>
        <w:t>Salmonella paratyphi</w:t>
      </w:r>
      <w:r w:rsidRPr="000042C0">
        <w:rPr>
          <w:sz w:val="20"/>
          <w:szCs w:val="20"/>
        </w:rPr>
        <w:t xml:space="preserve"> serovars A, B, and C. Clinical manifestations of typhoid fever can vary considerably depending on the age of the patient, with children under five years of age often experiencing more severe disease. The incubation period of enteric fever is typically 7–14 days, although it can range from 3 to 30 days, depending on the infective dose. </w:t>
      </w:r>
      <w:r w:rsidR="00B0024F" w:rsidRPr="00B0024F">
        <w:rPr>
          <w:sz w:val="20"/>
        </w:rPr>
        <w:t xml:space="preserve">The clinical presentation is highly heterogeneous, ranging from mild illness </w:t>
      </w:r>
      <w:proofErr w:type="spellStart"/>
      <w:r w:rsidR="00B0024F" w:rsidRPr="00B0024F">
        <w:rPr>
          <w:sz w:val="20"/>
        </w:rPr>
        <w:t>characterised</w:t>
      </w:r>
      <w:proofErr w:type="spellEnd"/>
      <w:r w:rsidR="00B0024F" w:rsidRPr="00B0024F">
        <w:rPr>
          <w:sz w:val="20"/>
        </w:rPr>
        <w:t xml:space="preserve"> by low-grade fever and general malaise to severe disease marked by pronounced abdominal discomfort, systemic involvement, and the occurrence of multiple complications. This broad clinical spectrum highlights the critical importance of early diagnosis and timely management in order to </w:t>
      </w:r>
      <w:proofErr w:type="spellStart"/>
      <w:r w:rsidR="00B0024F" w:rsidRPr="00B0024F">
        <w:rPr>
          <w:sz w:val="20"/>
        </w:rPr>
        <w:t>minimise</w:t>
      </w:r>
      <w:proofErr w:type="spellEnd"/>
      <w:r w:rsidR="00B0024F" w:rsidRPr="00B0024F">
        <w:rPr>
          <w:sz w:val="20"/>
        </w:rPr>
        <w:t xml:space="preserve"> morbidity and avert potentially life-threatening outcomes.</w:t>
      </w:r>
      <w:r w:rsidR="00B0024F" w:rsidRPr="00B0024F">
        <w:rPr>
          <w:sz w:val="20"/>
        </w:rPr>
        <w:t xml:space="preserve"> </w:t>
      </w:r>
      <w:r w:rsidR="00B0024F" w:rsidRPr="00B0024F">
        <w:rPr>
          <w:sz w:val="20"/>
        </w:rPr>
        <w:t xml:space="preserve">Although advances in antibiotic therapy have markedly reduced the incidence of complications, such complications continue to contribute significantly to disease-related morbidity and mortality. Neurological complications in enteric fever are relatively uncommon but well documented, encompassing manifestations from mild confusion and delirium to severe encephalopathy. Additional neurological sequelae include meningitis and myelitis, while cerebellar ataxia remains a rare but </w:t>
      </w:r>
      <w:proofErr w:type="spellStart"/>
      <w:r w:rsidR="00B0024F" w:rsidRPr="00B0024F">
        <w:rPr>
          <w:sz w:val="20"/>
        </w:rPr>
        <w:t>recognised</w:t>
      </w:r>
      <w:proofErr w:type="spellEnd"/>
      <w:r w:rsidR="00B0024F" w:rsidRPr="00B0024F">
        <w:rPr>
          <w:sz w:val="20"/>
        </w:rPr>
        <w:t xml:space="preserve"> presentation</w:t>
      </w:r>
      <w:r w:rsidR="00B0024F" w:rsidRPr="000042C0">
        <w:rPr>
          <w:rFonts w:eastAsia="Arial Unicode MS"/>
          <w:spacing w:val="4"/>
          <w:sz w:val="20"/>
          <w:szCs w:val="20"/>
          <w:u w:color="000000"/>
          <w:bdr w:val="nil"/>
        </w:rPr>
        <w:t xml:space="preserve"> </w:t>
      </w:r>
      <w:r w:rsidRPr="000042C0">
        <w:rPr>
          <w:rFonts w:eastAsia="Arial Unicode MS"/>
          <w:spacing w:val="4"/>
          <w:sz w:val="20"/>
          <w:szCs w:val="20"/>
          <w:u w:color="000000"/>
          <w:bdr w:val="nil"/>
        </w:rPr>
        <w:t>(</w:t>
      </w:r>
      <w:proofErr w:type="spellStart"/>
      <w:r w:rsidRPr="000042C0">
        <w:rPr>
          <w:rFonts w:eastAsia="Arial Unicode MS"/>
          <w:sz w:val="20"/>
          <w:szCs w:val="20"/>
          <w:u w:color="000000"/>
          <w:bdr w:val="nil"/>
          <w:shd w:val="clear" w:color="auto" w:fill="FFFFFF"/>
        </w:rPr>
        <w:t>Soni</w:t>
      </w:r>
      <w:proofErr w:type="spellEnd"/>
      <w:r w:rsidRPr="000042C0">
        <w:rPr>
          <w:rFonts w:eastAsia="Arial Unicode MS"/>
          <w:sz w:val="20"/>
          <w:szCs w:val="20"/>
          <w:u w:color="000000"/>
          <w:bdr w:val="nil"/>
          <w:shd w:val="clear" w:color="auto" w:fill="FFFFFF"/>
        </w:rPr>
        <w:t xml:space="preserve"> et al., 2025</w:t>
      </w:r>
      <w:r w:rsidRPr="000042C0">
        <w:rPr>
          <w:rFonts w:eastAsia="Arial Unicode MS"/>
          <w:spacing w:val="4"/>
          <w:sz w:val="20"/>
          <w:szCs w:val="20"/>
          <w:u w:color="000000"/>
          <w:bdr w:val="nil"/>
        </w:rPr>
        <w:t>).</w:t>
      </w:r>
    </w:p>
    <w:p w14:paraId="7ECD0A71" w14:textId="77777777" w:rsidR="000D0543" w:rsidRPr="000D0543" w:rsidRDefault="000D0543" w:rsidP="000042C0">
      <w:pPr>
        <w:shd w:val="clear" w:color="auto" w:fill="FFFFFF"/>
        <w:spacing w:after="0" w:line="240" w:lineRule="auto"/>
        <w:jc w:val="center"/>
        <w:rPr>
          <w:rFonts w:ascii="Times New Roman" w:eastAsia="Times New Roman" w:hAnsi="Times New Roman" w:cs="Times New Roman"/>
          <w:noProof/>
          <w:sz w:val="20"/>
          <w:szCs w:val="20"/>
        </w:rPr>
      </w:pPr>
    </w:p>
    <w:p w14:paraId="083E8C4F" w14:textId="3E02719B" w:rsidR="000042C0" w:rsidRPr="000042C0" w:rsidRDefault="000042C0" w:rsidP="000042C0">
      <w:pPr>
        <w:shd w:val="clear" w:color="auto" w:fill="FFFFFF"/>
        <w:spacing w:after="0" w:line="240" w:lineRule="auto"/>
        <w:jc w:val="center"/>
        <w:rPr>
          <w:rFonts w:ascii="Times New Roman" w:eastAsia="Times New Roman" w:hAnsi="Times New Roman" w:cs="Times New Roman"/>
          <w:sz w:val="20"/>
          <w:szCs w:val="20"/>
        </w:rPr>
      </w:pPr>
      <w:r w:rsidRPr="000D0543">
        <w:rPr>
          <w:rFonts w:ascii="Times New Roman" w:eastAsia="Times New Roman" w:hAnsi="Times New Roman" w:cs="Times New Roman"/>
          <w:noProof/>
          <w:sz w:val="20"/>
          <w:szCs w:val="20"/>
        </w:rPr>
        <w:drawing>
          <wp:inline distT="0" distB="0" distL="0" distR="0" wp14:anchorId="78DDC155" wp14:editId="3DD60624">
            <wp:extent cx="5003597" cy="3444875"/>
            <wp:effectExtent l="0" t="0" r="0" b="0"/>
            <wp:docPr id="6034135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0142" t="29639" r="39983" b="46026"/>
                    <a:stretch>
                      <a:fillRect/>
                    </a:stretch>
                  </pic:blipFill>
                  <pic:spPr bwMode="auto">
                    <a:xfrm>
                      <a:off x="0" y="0"/>
                      <a:ext cx="5037689" cy="3468347"/>
                    </a:xfrm>
                    <a:prstGeom prst="rect">
                      <a:avLst/>
                    </a:prstGeom>
                    <a:noFill/>
                    <a:ln>
                      <a:noFill/>
                    </a:ln>
                    <a:extLst>
                      <a:ext uri="{53640926-AAD7-44D8-BBD7-CCE9431645EC}">
                        <a14:shadowObscured xmlns:a14="http://schemas.microsoft.com/office/drawing/2010/main"/>
                      </a:ext>
                    </a:extLst>
                  </pic:spPr>
                </pic:pic>
              </a:graphicData>
            </a:graphic>
          </wp:inline>
        </w:drawing>
      </w:r>
    </w:p>
    <w:p w14:paraId="62997216" w14:textId="3D2C695A" w:rsidR="000042C0" w:rsidRPr="000042C0" w:rsidRDefault="000579D2" w:rsidP="000042C0">
      <w:pPr>
        <w:shd w:val="clear" w:color="auto" w:fill="FFFFFF"/>
        <w:spacing w:after="0" w:line="240" w:lineRule="auto"/>
        <w:jc w:val="center"/>
        <w:rPr>
          <w:rFonts w:ascii="Times New Roman" w:eastAsia="Times New Roman" w:hAnsi="Times New Roman" w:cs="Times New Roman"/>
          <w:b/>
          <w:bCs/>
          <w:color w:val="EE0000"/>
          <w:sz w:val="20"/>
          <w:szCs w:val="20"/>
        </w:rPr>
      </w:pPr>
      <w:r w:rsidRPr="000579D2">
        <w:rPr>
          <w:rFonts w:ascii="Times New Roman" w:eastAsia="Times New Roman" w:hAnsi="Times New Roman" w:cs="Times New Roman"/>
          <w:b/>
          <w:bCs/>
          <w:color w:val="EE0000"/>
          <w:sz w:val="20"/>
          <w:szCs w:val="20"/>
          <w:highlight w:val="yellow"/>
        </w:rPr>
        <w:t>Please replace this Fig. with clear view picture</w:t>
      </w:r>
    </w:p>
    <w:p w14:paraId="33BAA975" w14:textId="20F5086F" w:rsidR="000042C0" w:rsidRPr="000042C0" w:rsidRDefault="000042C0" w:rsidP="000042C0">
      <w:pPr>
        <w:pBdr>
          <w:top w:val="nil"/>
          <w:left w:val="nil"/>
          <w:bottom w:val="nil"/>
          <w:right w:val="nil"/>
          <w:between w:val="nil"/>
          <w:bar w:val="nil"/>
        </w:pBdr>
        <w:shd w:val="clear" w:color="auto" w:fill="FFFFFF"/>
        <w:spacing w:after="0" w:line="240" w:lineRule="auto"/>
        <w:jc w:val="center"/>
        <w:rPr>
          <w:rFonts w:ascii="Times New Roman" w:eastAsia="Times New Roman" w:hAnsi="Times New Roman" w:cs="Times New Roman"/>
          <w:b/>
          <w:sz w:val="20"/>
          <w:szCs w:val="20"/>
          <w:u w:color="000000"/>
          <w:bdr w:val="nil"/>
        </w:rPr>
      </w:pPr>
      <w:r w:rsidRPr="000042C0">
        <w:rPr>
          <w:rFonts w:ascii="Times New Roman" w:eastAsia="Arial Unicode MS" w:hAnsi="Times New Roman" w:cs="Times New Roman"/>
          <w:b/>
          <w:sz w:val="20"/>
          <w:szCs w:val="20"/>
          <w:u w:color="000000"/>
          <w:bdr w:val="nil"/>
        </w:rPr>
        <w:t>Fig</w:t>
      </w:r>
      <w:r w:rsidRPr="000D0543">
        <w:rPr>
          <w:rFonts w:ascii="Times New Roman" w:eastAsia="Arial Unicode MS" w:hAnsi="Times New Roman" w:cs="Times New Roman"/>
          <w:b/>
          <w:sz w:val="20"/>
          <w:szCs w:val="20"/>
          <w:u w:color="000000"/>
          <w:bdr w:val="nil"/>
        </w:rPr>
        <w:t>.</w:t>
      </w:r>
      <w:r w:rsidRPr="000042C0">
        <w:rPr>
          <w:rFonts w:ascii="Times New Roman" w:eastAsia="Arial Unicode MS" w:hAnsi="Times New Roman" w:cs="Times New Roman"/>
          <w:b/>
          <w:sz w:val="20"/>
          <w:szCs w:val="20"/>
          <w:u w:color="000000"/>
          <w:bdr w:val="nil"/>
        </w:rPr>
        <w:t xml:space="preserve"> 1</w:t>
      </w:r>
      <w:r w:rsidRPr="000D0543">
        <w:rPr>
          <w:rFonts w:ascii="Times New Roman" w:eastAsia="Arial Unicode MS" w:hAnsi="Times New Roman" w:cs="Times New Roman"/>
          <w:b/>
          <w:sz w:val="20"/>
          <w:szCs w:val="20"/>
          <w:u w:color="000000"/>
          <w:bdr w:val="nil"/>
        </w:rPr>
        <w:t xml:space="preserve">. </w:t>
      </w:r>
      <w:r w:rsidRPr="000042C0">
        <w:rPr>
          <w:rFonts w:ascii="Times New Roman" w:eastAsia="Arial Unicode MS" w:hAnsi="Times New Roman" w:cs="Times New Roman"/>
          <w:b/>
          <w:sz w:val="20"/>
          <w:szCs w:val="20"/>
          <w:u w:color="000000"/>
          <w:bdr w:val="nil"/>
        </w:rPr>
        <w:t>Pathogenesis of enteric fever</w:t>
      </w:r>
    </w:p>
    <w:p w14:paraId="1B03C3D3"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09B2981C" w14:textId="450AAAAC"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u w:color="000000"/>
          <w:bdr w:val="nil"/>
        </w:rPr>
      </w:pPr>
      <w:r w:rsidRPr="000D0543">
        <w:rPr>
          <w:rFonts w:ascii="Times New Roman" w:eastAsia="Arial Unicode MS" w:hAnsi="Times New Roman" w:cs="Times New Roman"/>
          <w:b/>
          <w:u w:color="000000"/>
          <w:bdr w:val="nil"/>
        </w:rPr>
        <w:t xml:space="preserve">2. </w:t>
      </w:r>
      <w:r w:rsidRPr="000042C0">
        <w:rPr>
          <w:rFonts w:ascii="Times New Roman" w:eastAsia="Arial Unicode MS" w:hAnsi="Times New Roman" w:cs="Times New Roman"/>
          <w:b/>
          <w:u w:color="000000"/>
          <w:bdr w:val="nil"/>
        </w:rPr>
        <w:t>Pathogenesis</w:t>
      </w:r>
    </w:p>
    <w:p w14:paraId="238226F1"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1075D9AE" w14:textId="77777777" w:rsidR="00B0024F" w:rsidRPr="00B0024F" w:rsidRDefault="00B0024F" w:rsidP="00B0024F">
      <w:pPr>
        <w:pStyle w:val="NormalWeb"/>
        <w:jc w:val="both"/>
        <w:rPr>
          <w:sz w:val="20"/>
        </w:rPr>
      </w:pPr>
      <w:r w:rsidRPr="00B0024F">
        <w:rPr>
          <w:sz w:val="20"/>
        </w:rPr>
        <w:t xml:space="preserve">Following ingestion, </w:t>
      </w:r>
      <w:r w:rsidRPr="00B0024F">
        <w:rPr>
          <w:rStyle w:val="Emphasis"/>
          <w:sz w:val="20"/>
        </w:rPr>
        <w:t>Salmonella enterica</w:t>
      </w:r>
      <w:r w:rsidRPr="00B0024F">
        <w:rPr>
          <w:sz w:val="20"/>
        </w:rPr>
        <w:t xml:space="preserve"> serovar Typhi (</w:t>
      </w:r>
      <w:r w:rsidRPr="00B0024F">
        <w:rPr>
          <w:rStyle w:val="Emphasis"/>
          <w:sz w:val="20"/>
        </w:rPr>
        <w:t>S. Typhi</w:t>
      </w:r>
      <w:r w:rsidRPr="00B0024F">
        <w:rPr>
          <w:sz w:val="20"/>
        </w:rPr>
        <w:t xml:space="preserve">) invades the intestinal mucosa of the terminal ileum, primarily via microfold (M) cells overlying gut-associated lymphoid tissue. Invasion may also occur through direct translocation across enterocytes or via paracellular pathways. The pathogen </w:t>
      </w:r>
      <w:proofErr w:type="spellStart"/>
      <w:r w:rsidRPr="00B0024F">
        <w:rPr>
          <w:sz w:val="20"/>
        </w:rPr>
        <w:t>utilises</w:t>
      </w:r>
      <w:proofErr w:type="spellEnd"/>
      <w:r w:rsidRPr="00B0024F">
        <w:rPr>
          <w:sz w:val="20"/>
        </w:rPr>
        <w:t xml:space="preserve"> type III secretion systems to deliver effector proteins into host cells, thereby inducing complex alterations in host cellular processes. These include rearrangement of the actin cytoskeleton, enhanced bacterial </w:t>
      </w:r>
      <w:proofErr w:type="spellStart"/>
      <w:r w:rsidRPr="00B0024F">
        <w:rPr>
          <w:sz w:val="20"/>
        </w:rPr>
        <w:t>internalisation</w:t>
      </w:r>
      <w:proofErr w:type="spellEnd"/>
      <w:r w:rsidRPr="00B0024F">
        <w:rPr>
          <w:sz w:val="20"/>
        </w:rPr>
        <w:t>, and membrane ruffling leading to phagosome formation that facilitates intracellular survival.</w:t>
      </w:r>
    </w:p>
    <w:p w14:paraId="0EDBFAEC" w14:textId="37DB8EF6" w:rsidR="00B0024F" w:rsidRPr="00B0024F" w:rsidRDefault="00B0024F" w:rsidP="00B0024F">
      <w:pPr>
        <w:pStyle w:val="NormalWeb"/>
        <w:jc w:val="both"/>
        <w:rPr>
          <w:sz w:val="20"/>
        </w:rPr>
      </w:pPr>
      <w:r w:rsidRPr="00B0024F">
        <w:rPr>
          <w:sz w:val="20"/>
        </w:rPr>
        <w:lastRenderedPageBreak/>
        <w:t xml:space="preserve">After traversing the intestinal epithelium, </w:t>
      </w:r>
      <w:r w:rsidRPr="00B0024F">
        <w:rPr>
          <w:rStyle w:val="Emphasis"/>
          <w:sz w:val="20"/>
        </w:rPr>
        <w:t>S. Typhi</w:t>
      </w:r>
      <w:r w:rsidRPr="00B0024F">
        <w:rPr>
          <w:sz w:val="20"/>
        </w:rPr>
        <w:t xml:space="preserve"> enters the mesenteric lymphatic system and subsequently disseminates into the bloodstream via lymphatic drainage. This initial (primary) </w:t>
      </w:r>
      <w:proofErr w:type="spellStart"/>
      <w:r w:rsidRPr="00B0024F">
        <w:rPr>
          <w:sz w:val="20"/>
        </w:rPr>
        <w:t>bacteraemia</w:t>
      </w:r>
      <w:proofErr w:type="spellEnd"/>
      <w:r w:rsidRPr="00B0024F">
        <w:rPr>
          <w:sz w:val="20"/>
        </w:rPr>
        <w:t xml:space="preserve"> is typically asymptomatic, and blood cultures obtained during this phase are often negative. The organism then disseminates systemically, with a predilection for reticuloendothelial tissues, where it replicates intracellularly within macrophages. Following this replication phase, bacteria are released back into the circulation, resulting in secondary </w:t>
      </w:r>
      <w:proofErr w:type="spellStart"/>
      <w:r w:rsidRPr="00B0024F">
        <w:rPr>
          <w:sz w:val="20"/>
        </w:rPr>
        <w:t>bacteraemia</w:t>
      </w:r>
      <w:proofErr w:type="spellEnd"/>
      <w:r w:rsidRPr="00B0024F">
        <w:rPr>
          <w:sz w:val="20"/>
        </w:rPr>
        <w:t>, which coincides with the onset of clinical manifestations and marks the end of the incubation period.</w:t>
      </w:r>
      <w:r>
        <w:rPr>
          <w:sz w:val="20"/>
        </w:rPr>
        <w:t xml:space="preserve"> </w:t>
      </w:r>
      <w:r w:rsidRPr="00B0024F">
        <w:rPr>
          <w:sz w:val="20"/>
        </w:rPr>
        <w:t xml:space="preserve">A distinguishing feature of </w:t>
      </w:r>
      <w:r w:rsidRPr="00B0024F">
        <w:rPr>
          <w:rStyle w:val="Emphasis"/>
          <w:sz w:val="20"/>
        </w:rPr>
        <w:t>S. Typhi</w:t>
      </w:r>
      <w:r w:rsidRPr="00B0024F">
        <w:rPr>
          <w:sz w:val="20"/>
        </w:rPr>
        <w:t xml:space="preserve"> infection is its ability to </w:t>
      </w:r>
      <w:proofErr w:type="spellStart"/>
      <w:r w:rsidRPr="00B0024F">
        <w:rPr>
          <w:sz w:val="20"/>
        </w:rPr>
        <w:t>colonise</w:t>
      </w:r>
      <w:proofErr w:type="spellEnd"/>
      <w:r w:rsidRPr="00B0024F">
        <w:rPr>
          <w:sz w:val="20"/>
        </w:rPr>
        <w:t xml:space="preserve"> the gallbladder, potentially leading to chronic carriage and sustained bacterial shedding, thereby posing a significant public health risk. In addition to bacterial virulence determinants, host-related factors—including immune status, genetic predisposition, and the composition of the gut microbiota—play a critical role in influencing susceptibility to infection and determining disease severity.</w:t>
      </w:r>
    </w:p>
    <w:p w14:paraId="0DD6ACA8"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7FAA58FB" w14:textId="7D94F24B"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u w:color="000000"/>
          <w:bdr w:val="nil"/>
        </w:rPr>
      </w:pPr>
      <w:r w:rsidRPr="000D0543">
        <w:rPr>
          <w:rFonts w:ascii="Times New Roman" w:eastAsia="Arial Unicode MS" w:hAnsi="Times New Roman" w:cs="Times New Roman"/>
          <w:b/>
          <w:u w:color="000000"/>
          <w:bdr w:val="nil"/>
        </w:rPr>
        <w:t xml:space="preserve">3. </w:t>
      </w:r>
      <w:r w:rsidRPr="000042C0">
        <w:rPr>
          <w:rFonts w:ascii="Times New Roman" w:eastAsia="Arial Unicode MS" w:hAnsi="Times New Roman" w:cs="Times New Roman"/>
          <w:b/>
          <w:u w:color="000000"/>
          <w:bdr w:val="nil"/>
        </w:rPr>
        <w:t xml:space="preserve">Clinical </w:t>
      </w:r>
      <w:r w:rsidRPr="000D0543">
        <w:rPr>
          <w:rFonts w:ascii="Times New Roman" w:eastAsia="Arial Unicode MS" w:hAnsi="Times New Roman" w:cs="Times New Roman"/>
          <w:b/>
          <w:u w:color="000000"/>
          <w:bdr w:val="nil"/>
        </w:rPr>
        <w:t>Features</w:t>
      </w:r>
    </w:p>
    <w:p w14:paraId="45249EFA"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28F3B829"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rPr>
      </w:pPr>
      <w:r w:rsidRPr="000042C0">
        <w:rPr>
          <w:rFonts w:ascii="Times New Roman" w:eastAsia="Times New Roman" w:hAnsi="Times New Roman" w:cs="Times New Roman"/>
          <w:sz w:val="20"/>
          <w:szCs w:val="20"/>
        </w:rPr>
        <w:t xml:space="preserve">The incubation period of typhoid fever typically ranges from 7 to 14 days, although it is influenced by the infecting dose and can vary between 3 and 30 days. Clinical presentation is highly variable, ranging from mild illness with low-grade fever and general malaise to severe disease </w:t>
      </w:r>
      <w:proofErr w:type="spellStart"/>
      <w:r w:rsidRPr="000042C0">
        <w:rPr>
          <w:rFonts w:ascii="Times New Roman" w:eastAsia="Times New Roman" w:hAnsi="Times New Roman" w:cs="Times New Roman"/>
          <w:sz w:val="20"/>
          <w:szCs w:val="20"/>
        </w:rPr>
        <w:t>characterised</w:t>
      </w:r>
      <w:proofErr w:type="spellEnd"/>
      <w:r w:rsidRPr="000042C0">
        <w:rPr>
          <w:rFonts w:ascii="Times New Roman" w:eastAsia="Times New Roman" w:hAnsi="Times New Roman" w:cs="Times New Roman"/>
          <w:sz w:val="20"/>
          <w:szCs w:val="20"/>
        </w:rPr>
        <w:t xml:space="preserve"> by profound abdominal discomfort and multiple systemic complications. Characteristic features of enteric fever include sustained fever, anorexia, vomiting, hepatomegaly, splenomegaly, abdominal pain, and headache. In some patients, the pathognomonic “rose spots” may appear on the trunk around the 7th to 10th day of illness. Unlike the </w:t>
      </w:r>
      <w:proofErr w:type="spellStart"/>
      <w:r w:rsidRPr="000042C0">
        <w:rPr>
          <w:rFonts w:ascii="Times New Roman" w:eastAsia="Times New Roman" w:hAnsi="Times New Roman" w:cs="Times New Roman"/>
          <w:sz w:val="20"/>
          <w:szCs w:val="20"/>
        </w:rPr>
        <w:t>diarrhoeal</w:t>
      </w:r>
      <w:proofErr w:type="spellEnd"/>
      <w:r w:rsidRPr="000042C0">
        <w:rPr>
          <w:rFonts w:ascii="Times New Roman" w:eastAsia="Times New Roman" w:hAnsi="Times New Roman" w:cs="Times New Roman"/>
          <w:sz w:val="20"/>
          <w:szCs w:val="20"/>
        </w:rPr>
        <w:t xml:space="preserve"> symptoms commonly associated with gastroenteritis caused by non-typhoidal </w:t>
      </w:r>
      <w:r w:rsidRPr="000042C0">
        <w:rPr>
          <w:rFonts w:ascii="Times New Roman" w:eastAsia="Times New Roman" w:hAnsi="Times New Roman" w:cs="Times New Roman"/>
          <w:i/>
          <w:iCs/>
          <w:sz w:val="20"/>
          <w:szCs w:val="20"/>
        </w:rPr>
        <w:t>Salmonella</w:t>
      </w:r>
      <w:r w:rsidRPr="000042C0">
        <w:rPr>
          <w:rFonts w:ascii="Times New Roman" w:eastAsia="Times New Roman" w:hAnsi="Times New Roman" w:cs="Times New Roman"/>
          <w:sz w:val="20"/>
          <w:szCs w:val="20"/>
        </w:rPr>
        <w:t xml:space="preserve">, typhoid and paratyphoid infections may present with abdominal pain without </w:t>
      </w:r>
      <w:proofErr w:type="spellStart"/>
      <w:r w:rsidRPr="000042C0">
        <w:rPr>
          <w:rFonts w:ascii="Times New Roman" w:eastAsia="Times New Roman" w:hAnsi="Times New Roman" w:cs="Times New Roman"/>
          <w:sz w:val="20"/>
          <w:szCs w:val="20"/>
        </w:rPr>
        <w:t>diarrhoea</w:t>
      </w:r>
      <w:proofErr w:type="spellEnd"/>
      <w:r w:rsidRPr="000042C0">
        <w:rPr>
          <w:rFonts w:ascii="Times New Roman" w:eastAsia="Times New Roman" w:hAnsi="Times New Roman" w:cs="Times New Roman"/>
          <w:sz w:val="20"/>
          <w:szCs w:val="20"/>
        </w:rPr>
        <w:t xml:space="preserve">, fever without an obvious focus, and/or extraintestinal foci of infection. Complications of enteric fever are generally uncommon but may include hepatitis, jaundice, and cholecystitis. Rare cardiovascular complications include toxic myocarditis, which can manifest as arrhythmias, sinoatrial block, or cardiogenic shock. In infants, disseminated intravascular coagulation (DIC) appears to occur more frequently, whereas neurological complications, intestinal bleeding, and other systemic manifestations are less common in children. Neurological complications, although uncommon in </w:t>
      </w:r>
      <w:proofErr w:type="spellStart"/>
      <w:r w:rsidRPr="000042C0">
        <w:rPr>
          <w:rFonts w:ascii="Times New Roman" w:eastAsia="Times New Roman" w:hAnsi="Times New Roman" w:cs="Times New Roman"/>
          <w:sz w:val="20"/>
          <w:szCs w:val="20"/>
        </w:rPr>
        <w:t>paediatric</w:t>
      </w:r>
      <w:proofErr w:type="spellEnd"/>
      <w:r w:rsidRPr="000042C0">
        <w:rPr>
          <w:rFonts w:ascii="Times New Roman" w:eastAsia="Times New Roman" w:hAnsi="Times New Roman" w:cs="Times New Roman"/>
          <w:sz w:val="20"/>
          <w:szCs w:val="20"/>
        </w:rPr>
        <w:t xml:space="preserve"> patients, may include delirium, psychosis, raised intracranial pressure, acute cerebellar ataxia, chorea, deafness, and Guillain–Barré syndrome. Other infrequent complications reported in typhoid fever include fatal bone marrow necrosis, </w:t>
      </w:r>
      <w:proofErr w:type="spellStart"/>
      <w:r w:rsidRPr="000042C0">
        <w:rPr>
          <w:rFonts w:ascii="Times New Roman" w:eastAsia="Times New Roman" w:hAnsi="Times New Roman" w:cs="Times New Roman"/>
          <w:sz w:val="20"/>
          <w:szCs w:val="20"/>
        </w:rPr>
        <w:t>haemolytic</w:t>
      </w:r>
      <w:proofErr w:type="spellEnd"/>
      <w:r w:rsidRPr="000042C0">
        <w:rPr>
          <w:rFonts w:ascii="Times New Roman" w:eastAsia="Times New Roman" w:hAnsi="Times New Roman" w:cs="Times New Roman"/>
          <w:sz w:val="20"/>
          <w:szCs w:val="20"/>
        </w:rPr>
        <w:t>–</w:t>
      </w:r>
      <w:proofErr w:type="spellStart"/>
      <w:r w:rsidRPr="000042C0">
        <w:rPr>
          <w:rFonts w:ascii="Times New Roman" w:eastAsia="Times New Roman" w:hAnsi="Times New Roman" w:cs="Times New Roman"/>
          <w:sz w:val="20"/>
          <w:szCs w:val="20"/>
        </w:rPr>
        <w:t>uraemic</w:t>
      </w:r>
      <w:proofErr w:type="spellEnd"/>
      <w:r w:rsidRPr="000042C0">
        <w:rPr>
          <w:rFonts w:ascii="Times New Roman" w:eastAsia="Times New Roman" w:hAnsi="Times New Roman" w:cs="Times New Roman"/>
          <w:sz w:val="20"/>
          <w:szCs w:val="20"/>
        </w:rPr>
        <w:t xml:space="preserve"> syndrome, pyelonephritis, endocarditis, parotitis, orchitis, and suppurative lymphadenitis. Ocular complications may involve eyelid abscesses, corneal ulcers, uveitis, and vitreous or retinal </w:t>
      </w:r>
      <w:proofErr w:type="spellStart"/>
      <w:r w:rsidRPr="000042C0">
        <w:rPr>
          <w:rFonts w:ascii="Times New Roman" w:eastAsia="Times New Roman" w:hAnsi="Times New Roman" w:cs="Times New Roman"/>
          <w:sz w:val="20"/>
          <w:szCs w:val="20"/>
        </w:rPr>
        <w:t>haemorrhages</w:t>
      </w:r>
      <w:proofErr w:type="spellEnd"/>
      <w:r w:rsidRPr="000042C0">
        <w:rPr>
          <w:rFonts w:ascii="Times New Roman" w:eastAsia="Times New Roman" w:hAnsi="Times New Roman" w:cs="Times New Roman"/>
          <w:sz w:val="20"/>
          <w:szCs w:val="20"/>
        </w:rPr>
        <w:t xml:space="preserve">. Overall, mortality in </w:t>
      </w:r>
      <w:proofErr w:type="spellStart"/>
      <w:r w:rsidRPr="000042C0">
        <w:rPr>
          <w:rFonts w:ascii="Times New Roman" w:eastAsia="Times New Roman" w:hAnsi="Times New Roman" w:cs="Times New Roman"/>
          <w:sz w:val="20"/>
          <w:szCs w:val="20"/>
        </w:rPr>
        <w:t>paediatric</w:t>
      </w:r>
      <w:proofErr w:type="spellEnd"/>
      <w:r w:rsidRPr="000042C0">
        <w:rPr>
          <w:rFonts w:ascii="Times New Roman" w:eastAsia="Times New Roman" w:hAnsi="Times New Roman" w:cs="Times New Roman"/>
          <w:sz w:val="20"/>
          <w:szCs w:val="20"/>
        </w:rPr>
        <w:t xml:space="preserve"> populations is generally less than 1%, although higher rates are observed in infants due to increased vulnerability to severe complications.</w:t>
      </w:r>
    </w:p>
    <w:p w14:paraId="1DA10262"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44E518F5" w14:textId="779FD26E" w:rsidR="000042C0" w:rsidRPr="000D0543" w:rsidRDefault="000042C0" w:rsidP="000042C0">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b/>
          <w:u w:color="000000"/>
          <w:bdr w:val="nil"/>
        </w:rPr>
      </w:pPr>
      <w:r w:rsidRPr="000D0543">
        <w:rPr>
          <w:rFonts w:ascii="Times New Roman" w:eastAsia="Arial Unicode MS" w:hAnsi="Times New Roman" w:cs="Times New Roman"/>
          <w:b/>
          <w:u w:color="000000"/>
          <w:bdr w:val="nil"/>
        </w:rPr>
        <w:t xml:space="preserve">4. </w:t>
      </w:r>
      <w:r w:rsidRPr="000042C0">
        <w:rPr>
          <w:rFonts w:ascii="Times New Roman" w:eastAsia="Arial Unicode MS" w:hAnsi="Times New Roman" w:cs="Times New Roman"/>
          <w:b/>
          <w:u w:color="000000"/>
          <w:bdr w:val="nil"/>
        </w:rPr>
        <w:t>Diagnosis</w:t>
      </w:r>
    </w:p>
    <w:p w14:paraId="29FDDF74"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b/>
          <w:sz w:val="20"/>
          <w:szCs w:val="20"/>
          <w:u w:color="000000"/>
          <w:bdr w:val="nil"/>
        </w:rPr>
      </w:pPr>
    </w:p>
    <w:p w14:paraId="6ECE77FF" w14:textId="100EB69E" w:rsidR="00AD345B" w:rsidRPr="00AD345B" w:rsidRDefault="00AD345B" w:rsidP="00AD345B">
      <w:pPr>
        <w:spacing w:before="100" w:beforeAutospacing="1" w:after="100" w:afterAutospacing="1" w:line="240" w:lineRule="auto"/>
        <w:jc w:val="both"/>
        <w:rPr>
          <w:rFonts w:ascii="Times New Roman" w:eastAsia="Times New Roman" w:hAnsi="Times New Roman" w:cs="Times New Roman"/>
          <w:sz w:val="20"/>
          <w:szCs w:val="24"/>
        </w:rPr>
      </w:pPr>
      <w:r w:rsidRPr="00AD345B">
        <w:rPr>
          <w:rFonts w:ascii="Times New Roman" w:eastAsia="Times New Roman" w:hAnsi="Times New Roman" w:cs="Times New Roman"/>
          <w:sz w:val="20"/>
          <w:szCs w:val="24"/>
        </w:rPr>
        <w:t xml:space="preserve">The definitive diagnosis of typhoid fever is primarily established through the isolation of </w:t>
      </w:r>
      <w:r w:rsidRPr="00AD345B">
        <w:rPr>
          <w:rFonts w:ascii="Times New Roman" w:eastAsia="Times New Roman" w:hAnsi="Times New Roman" w:cs="Times New Roman"/>
          <w:i/>
          <w:iCs/>
          <w:sz w:val="20"/>
          <w:szCs w:val="24"/>
        </w:rPr>
        <w:t>Salmonella Typhi</w:t>
      </w:r>
      <w:r w:rsidRPr="00AD345B">
        <w:rPr>
          <w:rFonts w:ascii="Times New Roman" w:eastAsia="Times New Roman" w:hAnsi="Times New Roman" w:cs="Times New Roman"/>
          <w:sz w:val="20"/>
          <w:szCs w:val="24"/>
        </w:rPr>
        <w:t xml:space="preserve"> or </w:t>
      </w:r>
      <w:r w:rsidRPr="00AD345B">
        <w:rPr>
          <w:rFonts w:ascii="Times New Roman" w:eastAsia="Times New Roman" w:hAnsi="Times New Roman" w:cs="Times New Roman"/>
          <w:i/>
          <w:iCs/>
          <w:sz w:val="20"/>
          <w:szCs w:val="24"/>
        </w:rPr>
        <w:t xml:space="preserve">Salmonella </w:t>
      </w:r>
      <w:proofErr w:type="spellStart"/>
      <w:r w:rsidRPr="00AD345B">
        <w:rPr>
          <w:rFonts w:ascii="Times New Roman" w:eastAsia="Times New Roman" w:hAnsi="Times New Roman" w:cs="Times New Roman"/>
          <w:i/>
          <w:iCs/>
          <w:sz w:val="20"/>
          <w:szCs w:val="24"/>
        </w:rPr>
        <w:t>Paratyphi</w:t>
      </w:r>
      <w:proofErr w:type="spellEnd"/>
      <w:r w:rsidRPr="00AD345B">
        <w:rPr>
          <w:rFonts w:ascii="Times New Roman" w:eastAsia="Times New Roman" w:hAnsi="Times New Roman" w:cs="Times New Roman"/>
          <w:sz w:val="20"/>
          <w:szCs w:val="24"/>
        </w:rPr>
        <w:t xml:space="preserve"> from blood or other clinical specimens. Blood cultures yield positive results in approximately 40–60% of patients during the early phase of illness; however, repeated high-volume sampling may be required to enhance the detection of </w:t>
      </w:r>
      <w:proofErr w:type="spellStart"/>
      <w:r w:rsidRPr="00AD345B">
        <w:rPr>
          <w:rFonts w:ascii="Times New Roman" w:eastAsia="Times New Roman" w:hAnsi="Times New Roman" w:cs="Times New Roman"/>
          <w:sz w:val="20"/>
          <w:szCs w:val="24"/>
        </w:rPr>
        <w:t>bacteraemia</w:t>
      </w:r>
      <w:proofErr w:type="spellEnd"/>
      <w:r w:rsidRPr="00AD345B">
        <w:rPr>
          <w:rFonts w:ascii="Times New Roman" w:eastAsia="Times New Roman" w:hAnsi="Times New Roman" w:cs="Times New Roman"/>
          <w:sz w:val="20"/>
          <w:szCs w:val="24"/>
        </w:rPr>
        <w:t>. Stool and urine cultures typically become positive after the first week of infection.</w:t>
      </w:r>
      <w:r>
        <w:rPr>
          <w:rFonts w:ascii="Times New Roman" w:eastAsia="Times New Roman" w:hAnsi="Times New Roman" w:cs="Times New Roman"/>
          <w:sz w:val="20"/>
          <w:szCs w:val="24"/>
        </w:rPr>
        <w:t xml:space="preserve"> </w:t>
      </w:r>
      <w:r w:rsidRPr="00AD345B">
        <w:rPr>
          <w:rFonts w:ascii="Times New Roman" w:eastAsia="Times New Roman" w:hAnsi="Times New Roman" w:cs="Times New Roman"/>
          <w:sz w:val="20"/>
          <w:szCs w:val="24"/>
        </w:rPr>
        <w:t>Bone marrow culture remains the most sensitive diagnostic modality, with a positivity rate of approximately 90%, and may remain positive in more than 50% of cases even following several days of antibiotic therapy. Other laboratory investigations generally produce non-specific findings and thus have limited diagnostic utility.</w:t>
      </w:r>
      <w:r>
        <w:rPr>
          <w:rFonts w:ascii="Times New Roman" w:eastAsia="Times New Roman" w:hAnsi="Times New Roman" w:cs="Times New Roman"/>
          <w:sz w:val="20"/>
          <w:szCs w:val="24"/>
        </w:rPr>
        <w:t xml:space="preserve"> </w:t>
      </w:r>
      <w:r w:rsidRPr="00AD345B">
        <w:rPr>
          <w:rFonts w:ascii="Times New Roman" w:eastAsia="Times New Roman" w:hAnsi="Times New Roman" w:cs="Times New Roman"/>
          <w:sz w:val="20"/>
          <w:szCs w:val="24"/>
        </w:rPr>
        <w:t>In this context, the present study reports the case of a 12-year-old child diagnosed with enteric fever complicated by acute cerebellar ataxia, thereby highlighting a rare neurological manifestation of this systemic infection.</w:t>
      </w:r>
    </w:p>
    <w:p w14:paraId="78FB6596"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5F7531D6" w14:textId="76135F8E"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u w:color="000000"/>
          <w:bdr w:val="nil"/>
        </w:rPr>
      </w:pPr>
      <w:r w:rsidRPr="000D0543">
        <w:rPr>
          <w:rFonts w:ascii="Times New Roman" w:eastAsia="Arial Unicode MS" w:hAnsi="Times New Roman" w:cs="Times New Roman"/>
          <w:b/>
          <w:u w:color="000000"/>
          <w:bdr w:val="nil"/>
        </w:rPr>
        <w:t xml:space="preserve">5. </w:t>
      </w:r>
      <w:r w:rsidRPr="000042C0">
        <w:rPr>
          <w:rFonts w:ascii="Times New Roman" w:eastAsia="Arial Unicode MS" w:hAnsi="Times New Roman" w:cs="Times New Roman"/>
          <w:b/>
          <w:u w:color="000000"/>
          <w:bdr w:val="nil"/>
        </w:rPr>
        <w:t xml:space="preserve">Case </w:t>
      </w:r>
      <w:r w:rsidRPr="000D0543">
        <w:rPr>
          <w:rFonts w:ascii="Times New Roman" w:eastAsia="Arial Unicode MS" w:hAnsi="Times New Roman" w:cs="Times New Roman"/>
          <w:b/>
          <w:u w:color="000000"/>
          <w:bdr w:val="nil"/>
        </w:rPr>
        <w:t xml:space="preserve">Presentation </w:t>
      </w:r>
    </w:p>
    <w:p w14:paraId="2E05D2CF"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3075108A" w14:textId="6045AEB0"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A </w:t>
      </w:r>
      <w:proofErr w:type="gramStart"/>
      <w:r w:rsidRPr="000042C0">
        <w:rPr>
          <w:rFonts w:ascii="Times New Roman" w:eastAsia="Arial Unicode MS" w:hAnsi="Times New Roman" w:cs="Times New Roman"/>
          <w:sz w:val="20"/>
          <w:szCs w:val="20"/>
          <w:u w:color="000000"/>
          <w:bdr w:val="nil"/>
        </w:rPr>
        <w:t>12 year old</w:t>
      </w:r>
      <w:proofErr w:type="gramEnd"/>
      <w:r w:rsidRPr="000042C0">
        <w:rPr>
          <w:rFonts w:ascii="Times New Roman" w:eastAsia="Arial Unicode MS" w:hAnsi="Times New Roman" w:cs="Times New Roman"/>
          <w:sz w:val="20"/>
          <w:szCs w:val="20"/>
          <w:u w:color="000000"/>
          <w:bdr w:val="nil"/>
        </w:rPr>
        <w:t xml:space="preserve"> boy presented with C/O fever with loose stools and loss of appetite since 7 days with h/o slurring of speech and imbalance while walking since 1 day. There was no history of loss of consciousness, seizures, headache, vomiting, and deviation of eyes or angle of the mouth, diplopia, diminished vision, nasal </w:t>
      </w:r>
      <w:r w:rsidRPr="000042C0">
        <w:rPr>
          <w:rFonts w:ascii="Times New Roman" w:eastAsia="Arial Unicode MS" w:hAnsi="Times New Roman" w:cs="Times New Roman"/>
          <w:sz w:val="20"/>
          <w:szCs w:val="20"/>
          <w:u w:color="000000"/>
          <w:bdr w:val="nil"/>
        </w:rPr>
        <w:lastRenderedPageBreak/>
        <w:t xml:space="preserve">regurgitation, ear discharge, or rash. No history of any trauma, drug intake or similar episode in the past. H/O similar complaints in father associated with hyponatremia </w:t>
      </w:r>
    </w:p>
    <w:p w14:paraId="55A2E57A"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654A667D" w14:textId="2CF1DBE1" w:rsidR="000042C0" w:rsidRPr="000D0543" w:rsidRDefault="000042C0" w:rsidP="000042C0">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b/>
          <w:u w:color="000000"/>
          <w:bdr w:val="nil"/>
        </w:rPr>
      </w:pPr>
      <w:r w:rsidRPr="000D0543">
        <w:rPr>
          <w:rFonts w:ascii="Times New Roman" w:eastAsia="Arial Unicode MS" w:hAnsi="Times New Roman" w:cs="Times New Roman"/>
          <w:b/>
          <w:u w:color="000000"/>
          <w:bdr w:val="nil"/>
        </w:rPr>
        <w:t xml:space="preserve">6. </w:t>
      </w:r>
      <w:r w:rsidRPr="000042C0">
        <w:rPr>
          <w:rFonts w:ascii="Times New Roman" w:eastAsia="Arial Unicode MS" w:hAnsi="Times New Roman" w:cs="Times New Roman"/>
          <w:b/>
          <w:u w:color="000000"/>
          <w:bdr w:val="nil"/>
        </w:rPr>
        <w:t>Clinical Findings</w:t>
      </w:r>
    </w:p>
    <w:p w14:paraId="28E8CA7A"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sz w:val="20"/>
          <w:szCs w:val="20"/>
          <w:u w:color="000000"/>
          <w:bdr w:val="nil"/>
        </w:rPr>
      </w:pPr>
    </w:p>
    <w:p w14:paraId="724ABC33" w14:textId="77777777" w:rsidR="000042C0" w:rsidRPr="000D0543" w:rsidRDefault="000042C0" w:rsidP="000042C0">
      <w:pPr>
        <w:shd w:val="clear" w:color="auto" w:fill="FFFFFF"/>
        <w:spacing w:after="0" w:line="240" w:lineRule="auto"/>
        <w:jc w:val="both"/>
        <w:rPr>
          <w:rFonts w:ascii="Times New Roman" w:eastAsia="Times New Roman" w:hAnsi="Times New Roman" w:cs="Times New Roman"/>
          <w:sz w:val="20"/>
          <w:szCs w:val="20"/>
        </w:rPr>
      </w:pPr>
      <w:r w:rsidRPr="000042C0">
        <w:rPr>
          <w:rFonts w:ascii="Times New Roman" w:eastAsia="Times New Roman" w:hAnsi="Times New Roman" w:cs="Times New Roman"/>
          <w:sz w:val="20"/>
          <w:szCs w:val="20"/>
        </w:rPr>
        <w:t xml:space="preserve">On clinical examination, the child was conscious, alert, and oriented, with a recorded temperature of 100.7 °F and a pulse rate of 98 bpm; all other vital signs were within normal limits. There was no evidence of pallor, jaundice, lymphadenopathy, cyanosis, or rash. Examination of the abdominal, respiratory, and cardiovascular systems revealed no abnormalities. Neurological assessment showed that all cranial nerves were intact, and there were no signs of meningeal irritation. Muscle bulk and tone were normal in all four limbs, with power graded 5/5 bilaterally. Plantar reflexes were flexor on both sides, and sensory examination was unremarkable. Cerebellar dysfunction was evident, </w:t>
      </w:r>
      <w:proofErr w:type="spellStart"/>
      <w:r w:rsidRPr="000042C0">
        <w:rPr>
          <w:rFonts w:ascii="Times New Roman" w:eastAsia="Times New Roman" w:hAnsi="Times New Roman" w:cs="Times New Roman"/>
          <w:sz w:val="20"/>
          <w:szCs w:val="20"/>
        </w:rPr>
        <w:t>characterised</w:t>
      </w:r>
      <w:proofErr w:type="spellEnd"/>
      <w:r w:rsidRPr="000042C0">
        <w:rPr>
          <w:rFonts w:ascii="Times New Roman" w:eastAsia="Times New Roman" w:hAnsi="Times New Roman" w:cs="Times New Roman"/>
          <w:sz w:val="20"/>
          <w:szCs w:val="20"/>
        </w:rPr>
        <w:t xml:space="preserve"> by a broad-based gait, slurred speech, limb ataxia, impaired tandem walking, dysdiadochokinesia, and positive finger-to-nose tests in both upper limbs. Evaluation of vestibular function was normal, indicating that the ataxia was of cerebellar origin rather than vestibular in nature.</w:t>
      </w:r>
    </w:p>
    <w:p w14:paraId="2C07ECE0" w14:textId="77777777" w:rsidR="000D0543" w:rsidRPr="000042C0" w:rsidRDefault="000D0543" w:rsidP="000042C0">
      <w:pPr>
        <w:shd w:val="clear" w:color="auto" w:fill="FFFFFF"/>
        <w:spacing w:after="0" w:line="240" w:lineRule="auto"/>
        <w:jc w:val="both"/>
        <w:rPr>
          <w:rFonts w:ascii="Times New Roman" w:eastAsia="Times New Roman" w:hAnsi="Times New Roman" w:cs="Times New Roman"/>
          <w:sz w:val="20"/>
          <w:szCs w:val="20"/>
        </w:rPr>
      </w:pPr>
    </w:p>
    <w:p w14:paraId="0C70E5B8" w14:textId="10992E3C"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u w:color="000000"/>
          <w:bdr w:val="nil"/>
        </w:rPr>
      </w:pPr>
      <w:r w:rsidRPr="000D0543">
        <w:rPr>
          <w:rFonts w:ascii="Times New Roman" w:eastAsia="Arial Unicode MS" w:hAnsi="Times New Roman" w:cs="Times New Roman"/>
          <w:b/>
          <w:u w:color="000000"/>
          <w:bdr w:val="nil"/>
        </w:rPr>
        <w:t xml:space="preserve">7. </w:t>
      </w:r>
      <w:r w:rsidRPr="000042C0">
        <w:rPr>
          <w:rFonts w:ascii="Times New Roman" w:eastAsia="Arial Unicode MS" w:hAnsi="Times New Roman" w:cs="Times New Roman"/>
          <w:b/>
          <w:u w:color="000000"/>
          <w:bdr w:val="nil"/>
        </w:rPr>
        <w:t xml:space="preserve">Diagnostic </w:t>
      </w:r>
      <w:r w:rsidRPr="000D0543">
        <w:rPr>
          <w:rFonts w:ascii="Times New Roman" w:eastAsia="Arial Unicode MS" w:hAnsi="Times New Roman" w:cs="Times New Roman"/>
          <w:b/>
          <w:u w:color="000000"/>
          <w:bdr w:val="nil"/>
        </w:rPr>
        <w:t xml:space="preserve">Assessment </w:t>
      </w:r>
    </w:p>
    <w:p w14:paraId="62296F4D"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6A9FC44C" w14:textId="47172A10" w:rsidR="000042C0" w:rsidRPr="000042C0" w:rsidRDefault="000042C0" w:rsidP="000042C0">
      <w:pPr>
        <w:shd w:val="clear" w:color="auto" w:fill="FFFFFF"/>
        <w:spacing w:after="0" w:line="240" w:lineRule="auto"/>
        <w:jc w:val="both"/>
        <w:rPr>
          <w:rFonts w:ascii="Times New Roman" w:eastAsia="Times New Roman" w:hAnsi="Times New Roman" w:cs="Times New Roman"/>
          <w:sz w:val="20"/>
          <w:szCs w:val="20"/>
          <w:u w:color="000000"/>
          <w:bdr w:val="nil"/>
        </w:rPr>
      </w:pPr>
      <w:proofErr w:type="spellStart"/>
      <w:r w:rsidRPr="000042C0">
        <w:rPr>
          <w:rFonts w:ascii="Times New Roman" w:eastAsia="Times New Roman" w:hAnsi="Times New Roman" w:cs="Times New Roman"/>
          <w:sz w:val="20"/>
          <w:szCs w:val="20"/>
        </w:rPr>
        <w:t>Haematological</w:t>
      </w:r>
      <w:proofErr w:type="spellEnd"/>
      <w:r w:rsidRPr="000042C0">
        <w:rPr>
          <w:rFonts w:ascii="Times New Roman" w:eastAsia="Times New Roman" w:hAnsi="Times New Roman" w:cs="Times New Roman"/>
          <w:sz w:val="20"/>
          <w:szCs w:val="20"/>
        </w:rPr>
        <w:t xml:space="preserve"> investigations revealed a </w:t>
      </w:r>
      <w:proofErr w:type="spellStart"/>
      <w:r w:rsidRPr="000042C0">
        <w:rPr>
          <w:rFonts w:ascii="Times New Roman" w:eastAsia="Times New Roman" w:hAnsi="Times New Roman" w:cs="Times New Roman"/>
          <w:sz w:val="20"/>
          <w:szCs w:val="20"/>
        </w:rPr>
        <w:t>haemoglobin</w:t>
      </w:r>
      <w:proofErr w:type="spellEnd"/>
      <w:r w:rsidRPr="000042C0">
        <w:rPr>
          <w:rFonts w:ascii="Times New Roman" w:eastAsia="Times New Roman" w:hAnsi="Times New Roman" w:cs="Times New Roman"/>
          <w:sz w:val="20"/>
          <w:szCs w:val="20"/>
        </w:rPr>
        <w:t xml:space="preserve"> level of 14.22 g/dL and a total leucocyte count of 6,600/mm³, with a differential count showing 36% neutrophils, 57% lymphocytes, and 5.2% monocytes. Platelet count was reduced at 80,000/mm³ (Table 1). Liver function tests indicated mildly elevated transaminases, with an SGPT of 51 U/L. Serum electrolyte analysis demonstrated </w:t>
      </w:r>
      <w:proofErr w:type="spellStart"/>
      <w:r w:rsidRPr="000042C0">
        <w:rPr>
          <w:rFonts w:ascii="Times New Roman" w:eastAsia="Times New Roman" w:hAnsi="Times New Roman" w:cs="Times New Roman"/>
          <w:sz w:val="20"/>
          <w:szCs w:val="20"/>
        </w:rPr>
        <w:t>hyponatraemia</w:t>
      </w:r>
      <w:proofErr w:type="spellEnd"/>
      <w:r w:rsidRPr="000042C0">
        <w:rPr>
          <w:rFonts w:ascii="Times New Roman" w:eastAsia="Times New Roman" w:hAnsi="Times New Roman" w:cs="Times New Roman"/>
          <w:sz w:val="20"/>
          <w:szCs w:val="20"/>
        </w:rPr>
        <w:t>, with a sodium level of 124 mmol/L. Neuroimaging with plain magnetic resonance imaging (MRI) was unremarkable (Fig</w:t>
      </w:r>
      <w:r w:rsidR="000D0543" w:rsidRPr="000D0543">
        <w:rPr>
          <w:rFonts w:ascii="Times New Roman" w:eastAsia="Times New Roman" w:hAnsi="Times New Roman" w:cs="Times New Roman"/>
          <w:sz w:val="20"/>
          <w:szCs w:val="20"/>
        </w:rPr>
        <w:t>s</w:t>
      </w:r>
      <w:r w:rsidRPr="000042C0">
        <w:rPr>
          <w:rFonts w:ascii="Times New Roman" w:eastAsia="Times New Roman" w:hAnsi="Times New Roman" w:cs="Times New Roman"/>
          <w:sz w:val="20"/>
          <w:szCs w:val="20"/>
        </w:rPr>
        <w:t xml:space="preserve">. 1, 2, 3). Blood culture yielded growth of </w:t>
      </w:r>
      <w:r w:rsidRPr="000042C0">
        <w:rPr>
          <w:rFonts w:ascii="Times New Roman" w:eastAsia="Times New Roman" w:hAnsi="Times New Roman" w:cs="Times New Roman"/>
          <w:i/>
          <w:iCs/>
          <w:sz w:val="20"/>
          <w:szCs w:val="20"/>
        </w:rPr>
        <w:t>Salmonella Typhi</w:t>
      </w:r>
      <w:r w:rsidRPr="000042C0">
        <w:rPr>
          <w:rFonts w:ascii="Times New Roman" w:eastAsia="Times New Roman" w:hAnsi="Times New Roman" w:cs="Times New Roman"/>
          <w:sz w:val="20"/>
          <w:szCs w:val="20"/>
        </w:rPr>
        <w:t>, which was sensitive to all tested antibiotics (pan-sensitive). Follow-up investigations showed improving trends in both platelet count and serum electrolyte levels, indicating a positive response to ongoing management.</w:t>
      </w:r>
    </w:p>
    <w:p w14:paraId="75E51A81"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7136B228" w14:textId="29165CDA" w:rsidR="000042C0" w:rsidRPr="000D0543" w:rsidRDefault="000042C0" w:rsidP="000042C0">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sz w:val="20"/>
          <w:szCs w:val="20"/>
          <w:u w:color="000000"/>
          <w:bdr w:val="nil"/>
        </w:rPr>
      </w:pPr>
      <w:r w:rsidRPr="000042C0">
        <w:rPr>
          <w:rFonts w:ascii="Times New Roman" w:eastAsia="Arial Unicode MS" w:hAnsi="Times New Roman" w:cs="Times New Roman"/>
          <w:b/>
          <w:sz w:val="20"/>
          <w:szCs w:val="20"/>
          <w:u w:color="000000"/>
          <w:bdr w:val="nil"/>
        </w:rPr>
        <w:t>Table 1</w:t>
      </w:r>
      <w:r w:rsidRPr="000D0543">
        <w:rPr>
          <w:rFonts w:ascii="Times New Roman" w:eastAsia="Arial Unicode MS" w:hAnsi="Times New Roman" w:cs="Times New Roman"/>
          <w:b/>
          <w:sz w:val="20"/>
          <w:szCs w:val="20"/>
          <w:u w:color="000000"/>
          <w:bdr w:val="nil"/>
        </w:rPr>
        <w:t xml:space="preserve">. Pathological </w:t>
      </w:r>
      <w:r w:rsidRPr="000042C0">
        <w:rPr>
          <w:rFonts w:ascii="Times New Roman" w:eastAsia="Arial Unicode MS" w:hAnsi="Times New Roman" w:cs="Times New Roman"/>
          <w:b/>
          <w:sz w:val="20"/>
          <w:szCs w:val="20"/>
          <w:u w:color="000000"/>
          <w:bdr w:val="nil"/>
        </w:rPr>
        <w:t>result of Complete blood count</w:t>
      </w:r>
    </w:p>
    <w:p w14:paraId="5A5DACEE"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0"/>
      </w:tblGrid>
      <w:tr w:rsidR="000042C0" w:rsidRPr="000D0543" w14:paraId="4FC05C84" w14:textId="77777777" w:rsidTr="000D0543">
        <w:trPr>
          <w:trHeight w:val="20"/>
          <w:jc w:val="center"/>
        </w:trPr>
        <w:tc>
          <w:tcPr>
            <w:tcW w:w="2226" w:type="dxa"/>
            <w:tcBorders>
              <w:bottom w:val="single" w:sz="4" w:space="0" w:color="auto"/>
            </w:tcBorders>
          </w:tcPr>
          <w:p w14:paraId="56BFFECD" w14:textId="6410C3EC"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D0543">
              <w:rPr>
                <w:rFonts w:ascii="Times New Roman" w:eastAsia="Arial Unicode MS" w:hAnsi="Times New Roman" w:cs="Times New Roman"/>
                <w:b/>
                <w:bCs/>
                <w:sz w:val="20"/>
                <w:szCs w:val="20"/>
                <w:u w:color="FFFFFF"/>
                <w:bdr w:val="nil"/>
              </w:rPr>
              <w:t>S</w:t>
            </w:r>
            <w:r w:rsidRPr="000042C0">
              <w:rPr>
                <w:rFonts w:ascii="Times New Roman" w:eastAsia="Arial Unicode MS" w:hAnsi="Times New Roman" w:cs="Times New Roman"/>
                <w:b/>
                <w:bCs/>
                <w:sz w:val="20"/>
                <w:szCs w:val="20"/>
                <w:u w:color="FFFFFF"/>
                <w:bdr w:val="nil"/>
              </w:rPr>
              <w:t>.</w:t>
            </w:r>
            <w:r w:rsidRPr="000D0543">
              <w:rPr>
                <w:rFonts w:ascii="Times New Roman" w:eastAsia="Arial Unicode MS" w:hAnsi="Times New Roman" w:cs="Times New Roman"/>
                <w:b/>
                <w:bCs/>
                <w:sz w:val="20"/>
                <w:szCs w:val="20"/>
                <w:u w:color="FFFFFF"/>
                <w:bdr w:val="nil"/>
              </w:rPr>
              <w:t xml:space="preserve">NO </w:t>
            </w:r>
          </w:p>
        </w:tc>
        <w:tc>
          <w:tcPr>
            <w:tcW w:w="2226" w:type="dxa"/>
            <w:tcBorders>
              <w:bottom w:val="single" w:sz="4" w:space="0" w:color="auto"/>
            </w:tcBorders>
          </w:tcPr>
          <w:p w14:paraId="1E9EDE3C"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b/>
                <w:bCs/>
                <w:sz w:val="20"/>
                <w:szCs w:val="20"/>
                <w:u w:color="FFFFFF"/>
                <w:bdr w:val="nil"/>
              </w:rPr>
              <w:t xml:space="preserve">Observed value </w:t>
            </w:r>
          </w:p>
        </w:tc>
      </w:tr>
      <w:tr w:rsidR="000042C0" w:rsidRPr="000D0543" w14:paraId="46AD8E29" w14:textId="77777777" w:rsidTr="000D0543">
        <w:trPr>
          <w:trHeight w:val="20"/>
          <w:jc w:val="center"/>
        </w:trPr>
        <w:tc>
          <w:tcPr>
            <w:tcW w:w="2226" w:type="dxa"/>
            <w:tcBorders>
              <w:top w:val="single" w:sz="4" w:space="0" w:color="auto"/>
              <w:bottom w:val="nil"/>
            </w:tcBorders>
          </w:tcPr>
          <w:p w14:paraId="21AA210D"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Hemoglobin (Hb) </w:t>
            </w:r>
          </w:p>
        </w:tc>
        <w:tc>
          <w:tcPr>
            <w:tcW w:w="2226" w:type="dxa"/>
            <w:tcBorders>
              <w:top w:val="single" w:sz="4" w:space="0" w:color="auto"/>
              <w:bottom w:val="nil"/>
            </w:tcBorders>
          </w:tcPr>
          <w:p w14:paraId="16C2B52F"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14.22g/dL </w:t>
            </w:r>
          </w:p>
        </w:tc>
      </w:tr>
      <w:tr w:rsidR="000042C0" w:rsidRPr="000D0543" w14:paraId="038EF8E6" w14:textId="77777777" w:rsidTr="000D0543">
        <w:trPr>
          <w:trHeight w:val="20"/>
          <w:jc w:val="center"/>
        </w:trPr>
        <w:tc>
          <w:tcPr>
            <w:tcW w:w="2226" w:type="dxa"/>
            <w:tcBorders>
              <w:top w:val="nil"/>
            </w:tcBorders>
          </w:tcPr>
          <w:p w14:paraId="0B339CAE"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Total leucocyte counts (TLC) </w:t>
            </w:r>
          </w:p>
        </w:tc>
        <w:tc>
          <w:tcPr>
            <w:tcW w:w="2226" w:type="dxa"/>
            <w:tcBorders>
              <w:top w:val="nil"/>
            </w:tcBorders>
          </w:tcPr>
          <w:p w14:paraId="560E7442"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6600/mm3 </w:t>
            </w:r>
          </w:p>
        </w:tc>
      </w:tr>
      <w:tr w:rsidR="000042C0" w:rsidRPr="000D0543" w14:paraId="6B766B22" w14:textId="77777777" w:rsidTr="000D0543">
        <w:trPr>
          <w:trHeight w:val="20"/>
          <w:jc w:val="center"/>
        </w:trPr>
        <w:tc>
          <w:tcPr>
            <w:tcW w:w="2226" w:type="dxa"/>
          </w:tcPr>
          <w:p w14:paraId="1EEF38C5"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Differential leucocyte counts (DLC) </w:t>
            </w:r>
          </w:p>
        </w:tc>
        <w:tc>
          <w:tcPr>
            <w:tcW w:w="2226" w:type="dxa"/>
          </w:tcPr>
          <w:p w14:paraId="5A618D4B"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N-36%, L-57%, M-5.2% </w:t>
            </w:r>
          </w:p>
        </w:tc>
      </w:tr>
      <w:tr w:rsidR="000042C0" w:rsidRPr="000D0543" w14:paraId="0ECFF51A" w14:textId="77777777" w:rsidTr="000D0543">
        <w:trPr>
          <w:trHeight w:val="20"/>
          <w:jc w:val="center"/>
        </w:trPr>
        <w:tc>
          <w:tcPr>
            <w:tcW w:w="2226" w:type="dxa"/>
          </w:tcPr>
          <w:p w14:paraId="38F8DEFA"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 xml:space="preserve">Platelet counts </w:t>
            </w:r>
          </w:p>
        </w:tc>
        <w:tc>
          <w:tcPr>
            <w:tcW w:w="2226" w:type="dxa"/>
          </w:tcPr>
          <w:p w14:paraId="3E8EFEC1" w14:textId="77777777" w:rsidR="000042C0" w:rsidRPr="000042C0" w:rsidRDefault="000042C0" w:rsidP="000042C0">
            <w:pPr>
              <w:pBdr>
                <w:top w:val="nil"/>
                <w:left w:val="nil"/>
                <w:bottom w:val="nil"/>
                <w:right w:val="nil"/>
                <w:between w:val="nil"/>
                <w:bar w:val="nil"/>
              </w:pBdr>
              <w:shd w:val="clear" w:color="auto" w:fill="FFFFFF"/>
              <w:jc w:val="both"/>
              <w:rPr>
                <w:rFonts w:ascii="Times New Roman" w:eastAsia="Arial Unicode MS" w:hAnsi="Times New Roman" w:cs="Times New Roman"/>
                <w:sz w:val="20"/>
                <w:szCs w:val="20"/>
                <w:u w:color="000000"/>
                <w:bdr w:val="nil"/>
              </w:rPr>
            </w:pPr>
            <w:r w:rsidRPr="000042C0">
              <w:rPr>
                <w:rFonts w:ascii="Times New Roman" w:eastAsia="Arial Unicode MS" w:hAnsi="Times New Roman" w:cs="Times New Roman"/>
                <w:sz w:val="20"/>
                <w:szCs w:val="20"/>
                <w:u w:color="000000"/>
                <w:bdr w:val="nil"/>
              </w:rPr>
              <w:t>80k</w:t>
            </w:r>
          </w:p>
        </w:tc>
      </w:tr>
    </w:tbl>
    <w:p w14:paraId="5FDCA55B"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2EC07F6F" w14:textId="1F9BF611" w:rsidR="000042C0" w:rsidRPr="000042C0" w:rsidRDefault="000042C0" w:rsidP="000042C0">
      <w:pPr>
        <w:pBdr>
          <w:top w:val="nil"/>
          <w:left w:val="nil"/>
          <w:bottom w:val="nil"/>
          <w:right w:val="nil"/>
          <w:between w:val="nil"/>
          <w:bar w:val="nil"/>
        </w:pBdr>
        <w:shd w:val="clear" w:color="auto" w:fill="FFFFFF"/>
        <w:spacing w:after="0" w:line="240" w:lineRule="auto"/>
        <w:jc w:val="center"/>
        <w:rPr>
          <w:rFonts w:ascii="Times New Roman" w:eastAsia="Times New Roman" w:hAnsi="Times New Roman" w:cs="Times New Roman"/>
          <w:sz w:val="20"/>
          <w:szCs w:val="20"/>
          <w:u w:color="000000"/>
          <w:bdr w:val="nil"/>
        </w:rPr>
      </w:pPr>
      <w:r w:rsidRPr="000D0543">
        <w:rPr>
          <w:rFonts w:ascii="Times New Roman" w:eastAsia="Times New Roman" w:hAnsi="Times New Roman" w:cs="Times New Roman"/>
          <w:noProof/>
          <w:sz w:val="20"/>
          <w:szCs w:val="20"/>
          <w:u w:color="000000"/>
          <w:bdr w:val="nil"/>
        </w:rPr>
        <w:drawing>
          <wp:inline distT="0" distB="0" distL="0" distR="0" wp14:anchorId="6E4ECA6B" wp14:editId="2DF8E6FD">
            <wp:extent cx="1982419" cy="1609090"/>
            <wp:effectExtent l="0" t="0" r="0" b="0"/>
            <wp:docPr id="238711818"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G_2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4908" cy="1611110"/>
                    </a:xfrm>
                    <a:prstGeom prst="rect">
                      <a:avLst/>
                    </a:prstGeom>
                    <a:noFill/>
                    <a:ln>
                      <a:noFill/>
                    </a:ln>
                  </pic:spPr>
                </pic:pic>
              </a:graphicData>
            </a:graphic>
          </wp:inline>
        </w:drawing>
      </w:r>
      <w:r w:rsidRPr="000D0543">
        <w:rPr>
          <w:rFonts w:ascii="Times New Roman" w:eastAsia="Times New Roman" w:hAnsi="Times New Roman" w:cs="Times New Roman"/>
          <w:noProof/>
          <w:sz w:val="20"/>
          <w:szCs w:val="20"/>
          <w:u w:color="000000"/>
          <w:bdr w:val="nil"/>
        </w:rPr>
        <w:t xml:space="preserve">  </w:t>
      </w:r>
      <w:r w:rsidRPr="000D0543">
        <w:rPr>
          <w:rFonts w:ascii="Times New Roman" w:eastAsia="Times New Roman" w:hAnsi="Times New Roman" w:cs="Times New Roman"/>
          <w:noProof/>
          <w:sz w:val="20"/>
          <w:szCs w:val="20"/>
          <w:u w:color="000000"/>
          <w:bdr w:val="nil"/>
        </w:rPr>
        <w:drawing>
          <wp:inline distT="0" distB="0" distL="0" distR="0" wp14:anchorId="3D3B9AF4" wp14:editId="32B465FF">
            <wp:extent cx="2165350" cy="1616710"/>
            <wp:effectExtent l="0" t="0" r="0" b="0"/>
            <wp:docPr id="327577182"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1616710"/>
                    </a:xfrm>
                    <a:prstGeom prst="rect">
                      <a:avLst/>
                    </a:prstGeom>
                    <a:noFill/>
                    <a:ln>
                      <a:noFill/>
                    </a:ln>
                  </pic:spPr>
                </pic:pic>
              </a:graphicData>
            </a:graphic>
          </wp:inline>
        </w:drawing>
      </w:r>
    </w:p>
    <w:p w14:paraId="29E583F7" w14:textId="40E8062B" w:rsidR="000042C0" w:rsidRPr="000042C0" w:rsidRDefault="000042C0" w:rsidP="000042C0">
      <w:pPr>
        <w:pBdr>
          <w:top w:val="nil"/>
          <w:left w:val="nil"/>
          <w:bottom w:val="nil"/>
          <w:right w:val="nil"/>
          <w:between w:val="nil"/>
          <w:bar w:val="nil"/>
        </w:pBdr>
        <w:shd w:val="clear" w:color="auto" w:fill="FFFFFF"/>
        <w:spacing w:after="0" w:line="240" w:lineRule="auto"/>
        <w:jc w:val="center"/>
        <w:rPr>
          <w:rFonts w:ascii="Times New Roman" w:eastAsia="Times New Roman" w:hAnsi="Times New Roman" w:cs="Times New Roman"/>
          <w:sz w:val="20"/>
          <w:szCs w:val="20"/>
          <w:u w:color="000000"/>
          <w:bdr w:val="nil"/>
        </w:rPr>
      </w:pPr>
    </w:p>
    <w:p w14:paraId="65046EDF" w14:textId="3BB89E99" w:rsidR="000042C0" w:rsidRPr="000042C0" w:rsidRDefault="000042C0" w:rsidP="000042C0">
      <w:pPr>
        <w:pBdr>
          <w:top w:val="nil"/>
          <w:left w:val="nil"/>
          <w:bottom w:val="nil"/>
          <w:right w:val="nil"/>
          <w:between w:val="nil"/>
          <w:bar w:val="nil"/>
        </w:pBdr>
        <w:shd w:val="clear" w:color="auto" w:fill="FFFFFF"/>
        <w:spacing w:after="0" w:line="240" w:lineRule="auto"/>
        <w:jc w:val="center"/>
        <w:rPr>
          <w:rFonts w:ascii="Times New Roman" w:eastAsia="Times New Roman" w:hAnsi="Times New Roman" w:cs="Times New Roman"/>
          <w:sz w:val="20"/>
          <w:szCs w:val="20"/>
          <w:u w:color="000000"/>
          <w:bdr w:val="nil"/>
        </w:rPr>
      </w:pPr>
      <w:r w:rsidRPr="000D0543">
        <w:rPr>
          <w:rFonts w:ascii="Times New Roman" w:eastAsia="Times New Roman" w:hAnsi="Times New Roman" w:cs="Times New Roman"/>
          <w:noProof/>
          <w:sz w:val="20"/>
          <w:szCs w:val="20"/>
          <w:u w:color="000000"/>
          <w:bdr w:val="nil"/>
        </w:rPr>
        <w:lastRenderedPageBreak/>
        <w:drawing>
          <wp:inline distT="0" distB="0" distL="0" distR="0" wp14:anchorId="3FF39508" wp14:editId="785D1DDB">
            <wp:extent cx="2172335" cy="2092325"/>
            <wp:effectExtent l="0" t="0" r="0" b="0"/>
            <wp:docPr id="2002289804"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G_2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2335" cy="2092325"/>
                    </a:xfrm>
                    <a:prstGeom prst="rect">
                      <a:avLst/>
                    </a:prstGeom>
                    <a:noFill/>
                    <a:ln>
                      <a:noFill/>
                    </a:ln>
                  </pic:spPr>
                </pic:pic>
              </a:graphicData>
            </a:graphic>
          </wp:inline>
        </w:drawing>
      </w:r>
    </w:p>
    <w:p w14:paraId="16EA55C9" w14:textId="20417411" w:rsidR="000042C0" w:rsidRPr="000D0543" w:rsidRDefault="000042C0" w:rsidP="000042C0">
      <w:pPr>
        <w:pBdr>
          <w:top w:val="nil"/>
          <w:left w:val="nil"/>
          <w:bottom w:val="nil"/>
          <w:right w:val="nil"/>
          <w:between w:val="nil"/>
          <w:bar w:val="nil"/>
        </w:pBdr>
        <w:shd w:val="clear" w:color="auto" w:fill="FFFFFF"/>
        <w:spacing w:after="0" w:line="240" w:lineRule="auto"/>
        <w:jc w:val="center"/>
        <w:rPr>
          <w:rFonts w:ascii="Times New Roman" w:eastAsia="Times New Roman" w:hAnsi="Times New Roman" w:cs="Times New Roman"/>
          <w:sz w:val="20"/>
          <w:szCs w:val="20"/>
          <w:u w:color="000000"/>
          <w:bdr w:val="nil"/>
        </w:rPr>
      </w:pPr>
    </w:p>
    <w:p w14:paraId="761E6089" w14:textId="540ED5B8" w:rsidR="000042C0" w:rsidRPr="000042C0" w:rsidRDefault="000042C0" w:rsidP="000042C0">
      <w:pPr>
        <w:pBdr>
          <w:top w:val="nil"/>
          <w:left w:val="nil"/>
          <w:bottom w:val="nil"/>
          <w:right w:val="nil"/>
          <w:between w:val="nil"/>
          <w:bar w:val="nil"/>
        </w:pBdr>
        <w:shd w:val="clear" w:color="auto" w:fill="FFFFFF"/>
        <w:spacing w:after="0" w:line="240" w:lineRule="auto"/>
        <w:jc w:val="center"/>
        <w:rPr>
          <w:rFonts w:ascii="Times New Roman" w:eastAsia="Times New Roman" w:hAnsi="Times New Roman" w:cs="Times New Roman"/>
          <w:b/>
          <w:bCs/>
          <w:sz w:val="20"/>
          <w:szCs w:val="20"/>
          <w:u w:color="000000"/>
          <w:bdr w:val="nil"/>
        </w:rPr>
      </w:pPr>
      <w:r w:rsidRPr="000042C0">
        <w:rPr>
          <w:rFonts w:ascii="Times New Roman" w:eastAsia="Times New Roman" w:hAnsi="Times New Roman" w:cs="Times New Roman"/>
          <w:b/>
          <w:bCs/>
          <w:sz w:val="20"/>
          <w:szCs w:val="20"/>
          <w:u w:color="000000"/>
          <w:bdr w:val="nil"/>
        </w:rPr>
        <w:t>Fig</w:t>
      </w:r>
      <w:r w:rsidR="000D0543" w:rsidRPr="000D0543">
        <w:rPr>
          <w:rFonts w:ascii="Times New Roman" w:eastAsia="Times New Roman" w:hAnsi="Times New Roman" w:cs="Times New Roman"/>
          <w:b/>
          <w:bCs/>
          <w:sz w:val="20"/>
          <w:szCs w:val="20"/>
          <w:u w:color="000000"/>
          <w:bdr w:val="nil"/>
        </w:rPr>
        <w:t>s</w:t>
      </w:r>
      <w:r w:rsidRPr="000D0543">
        <w:rPr>
          <w:rFonts w:ascii="Times New Roman" w:eastAsia="Times New Roman" w:hAnsi="Times New Roman" w:cs="Times New Roman"/>
          <w:b/>
          <w:bCs/>
          <w:sz w:val="20"/>
          <w:szCs w:val="20"/>
          <w:u w:color="000000"/>
          <w:bdr w:val="nil"/>
        </w:rPr>
        <w:t>.</w:t>
      </w:r>
      <w:r w:rsidRPr="000042C0">
        <w:rPr>
          <w:rFonts w:ascii="Times New Roman" w:eastAsia="Times New Roman" w:hAnsi="Times New Roman" w:cs="Times New Roman"/>
          <w:b/>
          <w:bCs/>
          <w:sz w:val="20"/>
          <w:szCs w:val="20"/>
          <w:u w:color="000000"/>
          <w:bdr w:val="nil"/>
        </w:rPr>
        <w:t xml:space="preserve"> 2-4</w:t>
      </w:r>
      <w:r w:rsidRPr="000D0543">
        <w:rPr>
          <w:rFonts w:ascii="Times New Roman" w:eastAsia="Times New Roman" w:hAnsi="Times New Roman" w:cs="Times New Roman"/>
          <w:b/>
          <w:bCs/>
          <w:sz w:val="20"/>
          <w:szCs w:val="20"/>
          <w:u w:color="000000"/>
          <w:bdr w:val="nil"/>
        </w:rPr>
        <w:t>.</w:t>
      </w:r>
      <w:r w:rsidRPr="000042C0">
        <w:rPr>
          <w:rFonts w:ascii="Times New Roman" w:eastAsia="Times New Roman" w:hAnsi="Times New Roman" w:cs="Times New Roman"/>
          <w:b/>
          <w:bCs/>
          <w:sz w:val="20"/>
          <w:szCs w:val="20"/>
          <w:u w:color="000000"/>
          <w:bdr w:val="nil"/>
        </w:rPr>
        <w:t xml:space="preserve"> Neuroimaging Findings</w:t>
      </w:r>
    </w:p>
    <w:p w14:paraId="066A6DD2"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3C03C31E" w14:textId="77777777" w:rsidR="000042C0" w:rsidRPr="000042C0" w:rsidRDefault="000042C0" w:rsidP="000042C0">
      <w:pPr>
        <w:shd w:val="clear" w:color="auto" w:fill="FFFFFF"/>
        <w:spacing w:after="0" w:line="240" w:lineRule="auto"/>
        <w:jc w:val="both"/>
        <w:rPr>
          <w:rFonts w:ascii="Times New Roman" w:eastAsia="Times New Roman" w:hAnsi="Times New Roman" w:cs="Times New Roman"/>
          <w:sz w:val="20"/>
          <w:szCs w:val="20"/>
        </w:rPr>
      </w:pPr>
      <w:r w:rsidRPr="000042C0">
        <w:rPr>
          <w:rFonts w:ascii="Times New Roman" w:eastAsia="Times New Roman" w:hAnsi="Times New Roman" w:cs="Times New Roman"/>
          <w:sz w:val="20"/>
          <w:szCs w:val="20"/>
        </w:rPr>
        <w:t>A diagnosis of enteric fever complicated by acute cerebellar ataxia was established. The child was treated with intravenous ceftriaxone for approximately one week and closely monitored. At follow-up, the neurological symptoms remained stable initially, but the child subsequently demonstrated complete resolution of cerebellar signs and full clinical recove</w:t>
      </w:r>
      <w:bookmarkStart w:id="0" w:name="_GoBack"/>
      <w:bookmarkEnd w:id="0"/>
      <w:r w:rsidRPr="000042C0">
        <w:rPr>
          <w:rFonts w:ascii="Times New Roman" w:eastAsia="Times New Roman" w:hAnsi="Times New Roman" w:cs="Times New Roman"/>
          <w:sz w:val="20"/>
          <w:szCs w:val="20"/>
        </w:rPr>
        <w:t>ry within two weeks.</w:t>
      </w:r>
    </w:p>
    <w:p w14:paraId="776127B8"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653DA52B" w14:textId="4805B647" w:rsidR="000042C0" w:rsidRPr="000D0543" w:rsidRDefault="000042C0" w:rsidP="000042C0">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b/>
          <w:u w:color="000000"/>
          <w:bdr w:val="nil"/>
        </w:rPr>
      </w:pPr>
      <w:r w:rsidRPr="000D0543">
        <w:rPr>
          <w:rFonts w:ascii="Times New Roman" w:eastAsia="Arial Unicode MS" w:hAnsi="Times New Roman" w:cs="Times New Roman"/>
          <w:b/>
          <w:u w:color="000000"/>
          <w:bdr w:val="nil"/>
        </w:rPr>
        <w:t xml:space="preserve">8. </w:t>
      </w:r>
      <w:r w:rsidRPr="000042C0">
        <w:rPr>
          <w:rFonts w:ascii="Times New Roman" w:eastAsia="Arial Unicode MS" w:hAnsi="Times New Roman" w:cs="Times New Roman"/>
          <w:b/>
          <w:u w:color="000000"/>
          <w:bdr w:val="nil"/>
        </w:rPr>
        <w:t xml:space="preserve">Discussion </w:t>
      </w:r>
    </w:p>
    <w:p w14:paraId="71740659"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sz w:val="20"/>
          <w:szCs w:val="20"/>
          <w:u w:color="000000"/>
          <w:bdr w:val="nil"/>
        </w:rPr>
      </w:pPr>
    </w:p>
    <w:p w14:paraId="6043010A" w14:textId="7AD38CF8" w:rsidR="00AD345B" w:rsidRPr="00AD345B" w:rsidRDefault="00AD345B" w:rsidP="00AD345B">
      <w:pPr>
        <w:spacing w:before="100" w:beforeAutospacing="1" w:after="100" w:afterAutospacing="1" w:line="240" w:lineRule="auto"/>
        <w:jc w:val="both"/>
        <w:rPr>
          <w:rFonts w:ascii="Times New Roman" w:eastAsia="Times New Roman" w:hAnsi="Times New Roman" w:cs="Times New Roman"/>
          <w:sz w:val="20"/>
          <w:szCs w:val="24"/>
        </w:rPr>
      </w:pPr>
      <w:r w:rsidRPr="00AD345B">
        <w:rPr>
          <w:rFonts w:ascii="Times New Roman" w:eastAsia="Times New Roman" w:hAnsi="Times New Roman" w:cs="Times New Roman"/>
          <w:sz w:val="20"/>
          <w:szCs w:val="24"/>
        </w:rPr>
        <w:t xml:space="preserve">Enteric fever remains a significant public health concern in India (Kumar and Kumar, 2017). Complications typically arise during the second week of illness and affect approximately 10–15% of patients (Parry et al., 2002). Neurological manifestations associated with typhoid fever are diverse and include toxic encephalopathy, elevated intracranial pressure, cerebral thrombosis, acute cerebellar ataxia, chorea, aphasia, transverse myelitis, and optic neuritis (Kumar and Kumar, 2017). Central nervous system (CNS) involvement is a </w:t>
      </w:r>
      <w:proofErr w:type="spellStart"/>
      <w:r w:rsidRPr="00AD345B">
        <w:rPr>
          <w:rFonts w:ascii="Times New Roman" w:eastAsia="Times New Roman" w:hAnsi="Times New Roman" w:cs="Times New Roman"/>
          <w:sz w:val="20"/>
          <w:szCs w:val="24"/>
        </w:rPr>
        <w:t>recognised</w:t>
      </w:r>
      <w:proofErr w:type="spellEnd"/>
      <w:r w:rsidRPr="00AD345B">
        <w:rPr>
          <w:rFonts w:ascii="Times New Roman" w:eastAsia="Times New Roman" w:hAnsi="Times New Roman" w:cs="Times New Roman"/>
          <w:sz w:val="20"/>
          <w:szCs w:val="24"/>
        </w:rPr>
        <w:t xml:space="preserve"> complication, with reported incidence ranging from 5–35% in adults and 2.1–2.7% in children (Kundu and </w:t>
      </w:r>
      <w:proofErr w:type="spellStart"/>
      <w:r w:rsidRPr="00AD345B">
        <w:rPr>
          <w:rFonts w:ascii="Times New Roman" w:eastAsia="Times New Roman" w:hAnsi="Times New Roman" w:cs="Times New Roman"/>
          <w:sz w:val="20"/>
          <w:szCs w:val="24"/>
        </w:rPr>
        <w:t>Yelwale</w:t>
      </w:r>
      <w:proofErr w:type="spellEnd"/>
      <w:r w:rsidRPr="00AD345B">
        <w:rPr>
          <w:rFonts w:ascii="Times New Roman" w:eastAsia="Times New Roman" w:hAnsi="Times New Roman" w:cs="Times New Roman"/>
          <w:sz w:val="20"/>
          <w:szCs w:val="24"/>
        </w:rPr>
        <w:t xml:space="preserve">, n.d.). Clinically, cerebellar ataxia commonly presents with dysarthria and gait instability (Dewan et al., 2009). Neurological complications generally emerge during the second week of illness, with encephalopathy representing the most frequently observed presentation. Although the precise pathophysiological mechanisms remain incompletely understood, several hypotheses have been proposed, including metabolic disturbances, hyperpyrexia, dehydration, electrolyte imbalances, </w:t>
      </w:r>
      <w:proofErr w:type="spellStart"/>
      <w:r w:rsidRPr="00AD345B">
        <w:rPr>
          <w:rFonts w:ascii="Times New Roman" w:eastAsia="Times New Roman" w:hAnsi="Times New Roman" w:cs="Times New Roman"/>
          <w:sz w:val="20"/>
          <w:szCs w:val="24"/>
        </w:rPr>
        <w:t>toxaemia</w:t>
      </w:r>
      <w:proofErr w:type="spellEnd"/>
      <w:r w:rsidRPr="00AD345B">
        <w:rPr>
          <w:rFonts w:ascii="Times New Roman" w:eastAsia="Times New Roman" w:hAnsi="Times New Roman" w:cs="Times New Roman"/>
          <w:sz w:val="20"/>
          <w:szCs w:val="24"/>
        </w:rPr>
        <w:t xml:space="preserve">, and non-specific cerebral changes such as </w:t>
      </w:r>
      <w:proofErr w:type="spellStart"/>
      <w:r w:rsidRPr="00AD345B">
        <w:rPr>
          <w:rFonts w:ascii="Times New Roman" w:eastAsia="Times New Roman" w:hAnsi="Times New Roman" w:cs="Times New Roman"/>
          <w:sz w:val="20"/>
          <w:szCs w:val="24"/>
        </w:rPr>
        <w:t>oedema</w:t>
      </w:r>
      <w:proofErr w:type="spellEnd"/>
      <w:r w:rsidRPr="00AD345B">
        <w:rPr>
          <w:rFonts w:ascii="Times New Roman" w:eastAsia="Times New Roman" w:hAnsi="Times New Roman" w:cs="Times New Roman"/>
          <w:sz w:val="20"/>
          <w:szCs w:val="24"/>
        </w:rPr>
        <w:t xml:space="preserve"> and </w:t>
      </w:r>
      <w:proofErr w:type="spellStart"/>
      <w:r w:rsidRPr="00AD345B">
        <w:rPr>
          <w:rFonts w:ascii="Times New Roman" w:eastAsia="Times New Roman" w:hAnsi="Times New Roman" w:cs="Times New Roman"/>
          <w:sz w:val="20"/>
          <w:szCs w:val="24"/>
        </w:rPr>
        <w:t>haemorrhage</w:t>
      </w:r>
      <w:proofErr w:type="spellEnd"/>
      <w:r w:rsidRPr="00AD345B">
        <w:rPr>
          <w:rFonts w:ascii="Times New Roman" w:eastAsia="Times New Roman" w:hAnsi="Times New Roman" w:cs="Times New Roman"/>
          <w:sz w:val="20"/>
          <w:szCs w:val="24"/>
        </w:rPr>
        <w:t xml:space="preserve"> (Biswal et al., 1994). Radiological imaging, including computed tomography (CT) and magnetic resonance imaging (MRI), is often unremarkable in cases of acute cerebellar ataxia. In some instances, CT may demonstrate mild cerebral </w:t>
      </w:r>
      <w:proofErr w:type="spellStart"/>
      <w:r w:rsidRPr="00AD345B">
        <w:rPr>
          <w:rFonts w:ascii="Times New Roman" w:eastAsia="Times New Roman" w:hAnsi="Times New Roman" w:cs="Times New Roman"/>
          <w:sz w:val="20"/>
          <w:szCs w:val="24"/>
        </w:rPr>
        <w:t>oedema</w:t>
      </w:r>
      <w:proofErr w:type="spellEnd"/>
      <w:r w:rsidRPr="00AD345B">
        <w:rPr>
          <w:rFonts w:ascii="Times New Roman" w:eastAsia="Times New Roman" w:hAnsi="Times New Roman" w:cs="Times New Roman"/>
          <w:sz w:val="20"/>
          <w:szCs w:val="24"/>
        </w:rPr>
        <w:t xml:space="preserve"> or subtle abnormalities, whereas MRI findings in enteric fever are infrequently documented (Cohen et al., 1987). Ahmed et al. reported a fatal case of </w:t>
      </w:r>
      <w:r w:rsidRPr="00AD345B">
        <w:rPr>
          <w:rFonts w:ascii="Times New Roman" w:eastAsia="Times New Roman" w:hAnsi="Times New Roman" w:cs="Times New Roman"/>
          <w:i/>
          <w:iCs/>
          <w:sz w:val="20"/>
          <w:szCs w:val="24"/>
        </w:rPr>
        <w:t>S. Typhi</w:t>
      </w:r>
      <w:r w:rsidRPr="00AD345B">
        <w:rPr>
          <w:rFonts w:ascii="Times New Roman" w:eastAsia="Times New Roman" w:hAnsi="Times New Roman" w:cs="Times New Roman"/>
          <w:sz w:val="20"/>
          <w:szCs w:val="24"/>
        </w:rPr>
        <w:t xml:space="preserve">-associated encephalopathy in which MRI revealed diffuse hyperintense signals on fluid-attenuated inversion recovery (FLAIR) sequences involving the centrum </w:t>
      </w:r>
      <w:proofErr w:type="spellStart"/>
      <w:r w:rsidRPr="00AD345B">
        <w:rPr>
          <w:rFonts w:ascii="Times New Roman" w:eastAsia="Times New Roman" w:hAnsi="Times New Roman" w:cs="Times New Roman"/>
          <w:sz w:val="20"/>
          <w:szCs w:val="24"/>
        </w:rPr>
        <w:t>semiovale</w:t>
      </w:r>
      <w:proofErr w:type="spellEnd"/>
      <w:r w:rsidRPr="00AD345B">
        <w:rPr>
          <w:rFonts w:ascii="Times New Roman" w:eastAsia="Times New Roman" w:hAnsi="Times New Roman" w:cs="Times New Roman"/>
          <w:sz w:val="20"/>
          <w:szCs w:val="24"/>
        </w:rPr>
        <w:t>, periventricular and deep white matter, as well as the splenium of the corpus callosum, accompanied by restricted diffusion in the corresponding regions (</w:t>
      </w:r>
      <w:proofErr w:type="spellStart"/>
      <w:r w:rsidRPr="00AD345B">
        <w:rPr>
          <w:rFonts w:ascii="Times New Roman" w:eastAsia="Times New Roman" w:hAnsi="Times New Roman" w:cs="Times New Roman"/>
          <w:sz w:val="20"/>
          <w:szCs w:val="24"/>
        </w:rPr>
        <w:t>Sejvar</w:t>
      </w:r>
      <w:proofErr w:type="spellEnd"/>
      <w:r w:rsidRPr="00AD345B">
        <w:rPr>
          <w:rFonts w:ascii="Times New Roman" w:eastAsia="Times New Roman" w:hAnsi="Times New Roman" w:cs="Times New Roman"/>
          <w:sz w:val="20"/>
          <w:szCs w:val="24"/>
        </w:rPr>
        <w:t xml:space="preserve"> et al., 2012).</w:t>
      </w:r>
    </w:p>
    <w:p w14:paraId="08F64F0C" w14:textId="74128928" w:rsidR="000042C0" w:rsidRPr="000D0543" w:rsidRDefault="000042C0" w:rsidP="000042C0">
      <w:pPr>
        <w:shd w:val="clear" w:color="auto" w:fill="FFFFFF"/>
        <w:spacing w:after="0" w:line="240" w:lineRule="auto"/>
        <w:jc w:val="both"/>
        <w:rPr>
          <w:rFonts w:ascii="Times New Roman" w:eastAsia="Times New Roman" w:hAnsi="Times New Roman" w:cs="Times New Roman"/>
          <w:sz w:val="20"/>
          <w:szCs w:val="20"/>
        </w:rPr>
      </w:pPr>
      <w:r w:rsidRPr="000042C0">
        <w:rPr>
          <w:rFonts w:ascii="Times New Roman" w:eastAsia="Times New Roman" w:hAnsi="Times New Roman" w:cs="Times New Roman"/>
          <w:sz w:val="20"/>
          <w:szCs w:val="20"/>
        </w:rPr>
        <w:t xml:space="preserve">Given the acute onset, self-limiting course, and presence of cerebrospinal fluid (CSF) pleocytosis, a para- or post-infectious demyelinating process has been suggested as a potential mechanism for cerebellar ataxia in enteric fever </w:t>
      </w:r>
      <w:r w:rsidR="008032D9" w:rsidRPr="000D0543">
        <w:rPr>
          <w:rFonts w:ascii="Times New Roman" w:eastAsia="Times New Roman" w:hAnsi="Times New Roman" w:cs="Times New Roman"/>
          <w:sz w:val="20"/>
          <w:szCs w:val="20"/>
        </w:rPr>
        <w:t>(Ahmed et al., 2011)</w:t>
      </w:r>
      <w:r w:rsidRPr="000042C0">
        <w:rPr>
          <w:rFonts w:ascii="Times New Roman" w:eastAsia="Times New Roman" w:hAnsi="Times New Roman" w:cs="Times New Roman"/>
          <w:sz w:val="20"/>
          <w:szCs w:val="20"/>
        </w:rPr>
        <w:t xml:space="preserve">. Management primarily involves appropriate antibacterial therapy, with cerebellar symptoms generally not requiring additional interventions such as corticosteroids. However, some reports advocate the adjunctive use of dexamethasone in patients with severe neurological complications </w:t>
      </w:r>
      <w:r w:rsidR="008032D9" w:rsidRPr="000D0543">
        <w:rPr>
          <w:rFonts w:ascii="Times New Roman" w:eastAsia="Times New Roman" w:hAnsi="Times New Roman" w:cs="Times New Roman"/>
          <w:sz w:val="20"/>
          <w:szCs w:val="20"/>
        </w:rPr>
        <w:t>(Scragg et al., 1969)</w:t>
      </w:r>
      <w:r w:rsidRPr="000042C0">
        <w:rPr>
          <w:rFonts w:ascii="Times New Roman" w:eastAsia="Times New Roman" w:hAnsi="Times New Roman" w:cs="Times New Roman"/>
          <w:sz w:val="20"/>
          <w:szCs w:val="20"/>
        </w:rPr>
        <w:t xml:space="preserve">. The prognosis of neurological deficits secondary to typhoid fever is generally </w:t>
      </w:r>
      <w:proofErr w:type="spellStart"/>
      <w:r w:rsidRPr="000042C0">
        <w:rPr>
          <w:rFonts w:ascii="Times New Roman" w:eastAsia="Times New Roman" w:hAnsi="Times New Roman" w:cs="Times New Roman"/>
          <w:sz w:val="20"/>
          <w:szCs w:val="20"/>
        </w:rPr>
        <w:t>favourable</w:t>
      </w:r>
      <w:proofErr w:type="spellEnd"/>
      <w:r w:rsidRPr="000042C0">
        <w:rPr>
          <w:rFonts w:ascii="Times New Roman" w:eastAsia="Times New Roman" w:hAnsi="Times New Roman" w:cs="Times New Roman"/>
          <w:sz w:val="20"/>
          <w:szCs w:val="20"/>
        </w:rPr>
        <w:t xml:space="preserve">. Most patients experience slow but complete recovery, although persistent deficits have been reported in a minority of cases </w:t>
      </w:r>
      <w:r w:rsidR="008032D9" w:rsidRPr="000D0543">
        <w:rPr>
          <w:rFonts w:ascii="Times New Roman" w:eastAsia="Times New Roman" w:hAnsi="Times New Roman" w:cs="Times New Roman"/>
          <w:sz w:val="20"/>
          <w:szCs w:val="20"/>
        </w:rPr>
        <w:t>(Girgis et al., 1993</w:t>
      </w:r>
      <w:r w:rsidRPr="000042C0">
        <w:rPr>
          <w:rFonts w:ascii="Times New Roman" w:eastAsia="Times New Roman" w:hAnsi="Times New Roman" w:cs="Times New Roman"/>
          <w:sz w:val="20"/>
          <w:szCs w:val="20"/>
        </w:rPr>
        <w:t>,</w:t>
      </w:r>
      <w:r w:rsidR="008032D9" w:rsidRPr="000D0543">
        <w:t xml:space="preserve"> </w:t>
      </w:r>
      <w:r w:rsidR="008032D9" w:rsidRPr="000D0543">
        <w:rPr>
          <w:rFonts w:ascii="Times New Roman" w:eastAsia="Times New Roman" w:hAnsi="Times New Roman" w:cs="Times New Roman"/>
          <w:sz w:val="20"/>
          <w:szCs w:val="20"/>
        </w:rPr>
        <w:t>Singh et al., 1993)</w:t>
      </w:r>
      <w:r w:rsidRPr="000042C0">
        <w:rPr>
          <w:rFonts w:ascii="Times New Roman" w:eastAsia="Times New Roman" w:hAnsi="Times New Roman" w:cs="Times New Roman"/>
          <w:sz w:val="20"/>
          <w:szCs w:val="20"/>
        </w:rPr>
        <w:t>.</w:t>
      </w:r>
    </w:p>
    <w:p w14:paraId="7BDEF57D" w14:textId="77777777" w:rsidR="000042C0" w:rsidRPr="000042C0" w:rsidRDefault="000042C0" w:rsidP="000042C0">
      <w:pPr>
        <w:shd w:val="clear" w:color="auto" w:fill="FFFFFF"/>
        <w:spacing w:after="0" w:line="240" w:lineRule="auto"/>
        <w:jc w:val="both"/>
        <w:rPr>
          <w:rFonts w:ascii="Times New Roman" w:eastAsia="Times New Roman" w:hAnsi="Times New Roman" w:cs="Times New Roman"/>
          <w:sz w:val="20"/>
          <w:szCs w:val="20"/>
        </w:rPr>
      </w:pPr>
    </w:p>
    <w:p w14:paraId="6C432C77" w14:textId="06891A97" w:rsidR="000042C0" w:rsidRPr="000D0543" w:rsidRDefault="000042C0" w:rsidP="000042C0">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b/>
          <w:u w:color="000000"/>
          <w:bdr w:val="nil"/>
        </w:rPr>
      </w:pPr>
      <w:r w:rsidRPr="000D0543">
        <w:rPr>
          <w:rFonts w:ascii="Times New Roman" w:eastAsia="Arial Unicode MS" w:hAnsi="Times New Roman" w:cs="Times New Roman"/>
          <w:b/>
          <w:u w:color="000000"/>
          <w:bdr w:val="nil"/>
        </w:rPr>
        <w:t xml:space="preserve">9. </w:t>
      </w:r>
      <w:r w:rsidRPr="000042C0">
        <w:rPr>
          <w:rFonts w:ascii="Times New Roman" w:eastAsia="Arial Unicode MS" w:hAnsi="Times New Roman" w:cs="Times New Roman"/>
          <w:b/>
          <w:u w:color="000000"/>
          <w:bdr w:val="nil"/>
        </w:rPr>
        <w:t>Conclusion</w:t>
      </w:r>
    </w:p>
    <w:p w14:paraId="5100FFF1"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sz w:val="20"/>
          <w:szCs w:val="20"/>
          <w:u w:color="000000"/>
          <w:bdr w:val="nil"/>
        </w:rPr>
      </w:pPr>
    </w:p>
    <w:p w14:paraId="680DB868" w14:textId="77777777" w:rsidR="000042C0" w:rsidRPr="000D0543" w:rsidRDefault="000042C0" w:rsidP="000042C0">
      <w:pPr>
        <w:shd w:val="clear" w:color="auto" w:fill="FFFFFF"/>
        <w:spacing w:after="0" w:line="240" w:lineRule="auto"/>
        <w:jc w:val="both"/>
        <w:rPr>
          <w:rFonts w:ascii="Times New Roman" w:eastAsia="Times New Roman" w:hAnsi="Times New Roman" w:cs="Times New Roman"/>
          <w:sz w:val="20"/>
          <w:szCs w:val="20"/>
        </w:rPr>
      </w:pPr>
      <w:r w:rsidRPr="000042C0">
        <w:rPr>
          <w:rFonts w:ascii="Times New Roman" w:eastAsia="Times New Roman" w:hAnsi="Times New Roman" w:cs="Times New Roman"/>
          <w:sz w:val="20"/>
          <w:szCs w:val="20"/>
        </w:rPr>
        <w:lastRenderedPageBreak/>
        <w:t xml:space="preserve">Acute cerebellar ataxia is an uncommon manifestation of enteric fever and may occasionally present as early as the first week of illness. This case underscores the clinical importance of </w:t>
      </w:r>
      <w:proofErr w:type="spellStart"/>
      <w:r w:rsidRPr="000042C0">
        <w:rPr>
          <w:rFonts w:ascii="Times New Roman" w:eastAsia="Times New Roman" w:hAnsi="Times New Roman" w:cs="Times New Roman"/>
          <w:sz w:val="20"/>
          <w:szCs w:val="20"/>
        </w:rPr>
        <w:t>recognising</w:t>
      </w:r>
      <w:proofErr w:type="spellEnd"/>
      <w:r w:rsidRPr="000042C0">
        <w:rPr>
          <w:rFonts w:ascii="Times New Roman" w:eastAsia="Times New Roman" w:hAnsi="Times New Roman" w:cs="Times New Roman"/>
          <w:sz w:val="20"/>
          <w:szCs w:val="20"/>
        </w:rPr>
        <w:t xml:space="preserve"> enteric fever as a potential cause of cerebellar ataxia in febrile children presenting with acute neurological symptoms. Given that enteric fever is a treatable condition, it should be included in the differential diagnosis when evaluating </w:t>
      </w:r>
      <w:proofErr w:type="spellStart"/>
      <w:r w:rsidRPr="000042C0">
        <w:rPr>
          <w:rFonts w:ascii="Times New Roman" w:eastAsia="Times New Roman" w:hAnsi="Times New Roman" w:cs="Times New Roman"/>
          <w:sz w:val="20"/>
          <w:szCs w:val="20"/>
        </w:rPr>
        <w:t>paediatric</w:t>
      </w:r>
      <w:proofErr w:type="spellEnd"/>
      <w:r w:rsidRPr="000042C0">
        <w:rPr>
          <w:rFonts w:ascii="Times New Roman" w:eastAsia="Times New Roman" w:hAnsi="Times New Roman" w:cs="Times New Roman"/>
          <w:sz w:val="20"/>
          <w:szCs w:val="20"/>
        </w:rPr>
        <w:t xml:space="preserve"> patients with fever and new-onset cerebellar ataxia, to ensure timely initiation of appropriate antimicrobial therapy and prevent unnecessary morbidity.</w:t>
      </w:r>
    </w:p>
    <w:p w14:paraId="1BF1C1FD" w14:textId="2784FFC0" w:rsidR="00FB13D8" w:rsidRDefault="00FB13D8" w:rsidP="000042C0">
      <w:pPr>
        <w:shd w:val="clear" w:color="auto" w:fill="FFFFFF"/>
        <w:spacing w:after="0" w:line="240" w:lineRule="auto"/>
        <w:jc w:val="both"/>
        <w:rPr>
          <w:rFonts w:ascii="Times New Roman" w:eastAsia="Times New Roman" w:hAnsi="Times New Roman" w:cs="Times New Roman"/>
          <w:sz w:val="20"/>
          <w:szCs w:val="20"/>
        </w:rPr>
      </w:pPr>
    </w:p>
    <w:p w14:paraId="34544211" w14:textId="1F774D6F" w:rsidR="00323AA8" w:rsidRDefault="00323AA8" w:rsidP="000042C0">
      <w:pPr>
        <w:shd w:val="clear" w:color="auto" w:fill="FFFFFF"/>
        <w:spacing w:after="0" w:line="240" w:lineRule="auto"/>
        <w:jc w:val="both"/>
        <w:rPr>
          <w:rFonts w:ascii="Times New Roman" w:eastAsia="Times New Roman" w:hAnsi="Times New Roman" w:cs="Times New Roman"/>
          <w:sz w:val="20"/>
          <w:szCs w:val="20"/>
        </w:rPr>
      </w:pPr>
    </w:p>
    <w:p w14:paraId="67EE4B69" w14:textId="77777777" w:rsidR="001C4B7A" w:rsidRPr="001C4B7A" w:rsidRDefault="001C4B7A" w:rsidP="001C4B7A">
      <w:pPr>
        <w:shd w:val="clear" w:color="auto" w:fill="FFFFFF"/>
        <w:spacing w:after="0" w:line="240" w:lineRule="auto"/>
        <w:jc w:val="both"/>
        <w:rPr>
          <w:rFonts w:ascii="Times New Roman" w:eastAsia="Times New Roman" w:hAnsi="Times New Roman" w:cs="Times New Roman"/>
          <w:sz w:val="20"/>
          <w:szCs w:val="20"/>
        </w:rPr>
      </w:pPr>
      <w:r w:rsidRPr="001C4B7A">
        <w:rPr>
          <w:rFonts w:ascii="Times New Roman" w:eastAsia="Times New Roman" w:hAnsi="Times New Roman" w:cs="Times New Roman"/>
          <w:sz w:val="20"/>
          <w:szCs w:val="20"/>
        </w:rPr>
        <w:t xml:space="preserve">Consent </w:t>
      </w:r>
    </w:p>
    <w:p w14:paraId="3EE26B33" w14:textId="2F66F681" w:rsidR="00323AA8" w:rsidRDefault="001C4B7A" w:rsidP="001C4B7A">
      <w:pPr>
        <w:shd w:val="clear" w:color="auto" w:fill="FFFFFF"/>
        <w:spacing w:after="0" w:line="240" w:lineRule="auto"/>
        <w:jc w:val="both"/>
        <w:rPr>
          <w:rFonts w:ascii="Times New Roman" w:eastAsia="Times New Roman" w:hAnsi="Times New Roman" w:cs="Times New Roman"/>
          <w:sz w:val="20"/>
          <w:szCs w:val="20"/>
        </w:rPr>
      </w:pPr>
      <w:r w:rsidRPr="001C4B7A">
        <w:rPr>
          <w:rFonts w:ascii="Times New Roman" w:eastAsia="Times New Roman" w:hAnsi="Times New Roman" w:cs="Times New Roman"/>
          <w:sz w:val="20"/>
          <w:szCs w:val="20"/>
        </w:rPr>
        <w:t>As per international standards, parental written consent has been collected and preserved by the author(s).</w:t>
      </w:r>
    </w:p>
    <w:p w14:paraId="1C0B8271" w14:textId="77777777" w:rsidR="001C4B7A" w:rsidRDefault="001C4B7A" w:rsidP="001C4B7A">
      <w:pPr>
        <w:shd w:val="clear" w:color="auto" w:fill="FFFFFF"/>
        <w:spacing w:after="0" w:line="240" w:lineRule="auto"/>
        <w:jc w:val="both"/>
        <w:rPr>
          <w:rFonts w:ascii="Times New Roman" w:eastAsia="Times New Roman" w:hAnsi="Times New Roman" w:cs="Times New Roman"/>
          <w:sz w:val="20"/>
          <w:szCs w:val="20"/>
        </w:rPr>
      </w:pPr>
    </w:p>
    <w:p w14:paraId="208A8D71" w14:textId="77777777" w:rsidR="001C4B7A" w:rsidRPr="001C4B7A" w:rsidRDefault="001C4B7A" w:rsidP="001C4B7A">
      <w:pPr>
        <w:shd w:val="clear" w:color="auto" w:fill="FFFFFF"/>
        <w:spacing w:after="0" w:line="240" w:lineRule="auto"/>
        <w:jc w:val="both"/>
        <w:rPr>
          <w:rFonts w:ascii="Times New Roman" w:eastAsia="Times New Roman" w:hAnsi="Times New Roman" w:cs="Times New Roman"/>
          <w:sz w:val="20"/>
          <w:szCs w:val="20"/>
        </w:rPr>
      </w:pPr>
      <w:r w:rsidRPr="001C4B7A">
        <w:rPr>
          <w:rFonts w:ascii="Times New Roman" w:eastAsia="Times New Roman" w:hAnsi="Times New Roman" w:cs="Times New Roman"/>
          <w:sz w:val="20"/>
          <w:szCs w:val="20"/>
        </w:rPr>
        <w:t>Ethical Approval:</w:t>
      </w:r>
    </w:p>
    <w:p w14:paraId="7E60F7EC" w14:textId="77777777" w:rsidR="001C4B7A" w:rsidRPr="001C4B7A" w:rsidRDefault="001C4B7A" w:rsidP="001C4B7A">
      <w:pPr>
        <w:shd w:val="clear" w:color="auto" w:fill="FFFFFF"/>
        <w:spacing w:after="0" w:line="240" w:lineRule="auto"/>
        <w:jc w:val="both"/>
        <w:rPr>
          <w:rFonts w:ascii="Times New Roman" w:eastAsia="Times New Roman" w:hAnsi="Times New Roman" w:cs="Times New Roman"/>
          <w:sz w:val="20"/>
          <w:szCs w:val="20"/>
        </w:rPr>
      </w:pPr>
    </w:p>
    <w:p w14:paraId="57E38964" w14:textId="69140AB3" w:rsidR="00323AA8" w:rsidRDefault="001C4B7A" w:rsidP="001C4B7A">
      <w:pPr>
        <w:shd w:val="clear" w:color="auto" w:fill="FFFFFF"/>
        <w:spacing w:after="0" w:line="240" w:lineRule="auto"/>
        <w:jc w:val="both"/>
        <w:rPr>
          <w:rFonts w:ascii="Times New Roman" w:eastAsia="Times New Roman" w:hAnsi="Times New Roman" w:cs="Times New Roman"/>
          <w:sz w:val="20"/>
          <w:szCs w:val="20"/>
        </w:rPr>
      </w:pPr>
      <w:r w:rsidRPr="001C4B7A">
        <w:rPr>
          <w:rFonts w:ascii="Times New Roman" w:eastAsia="Times New Roman" w:hAnsi="Times New Roman" w:cs="Times New Roman"/>
          <w:sz w:val="20"/>
          <w:szCs w:val="20"/>
        </w:rPr>
        <w:t>As per international standards or university standards written ethical approval has been collected and preserved by the author(s).</w:t>
      </w:r>
    </w:p>
    <w:p w14:paraId="1D794257" w14:textId="77777777" w:rsidR="001C4B7A" w:rsidRPr="000D0543" w:rsidRDefault="001C4B7A" w:rsidP="000042C0">
      <w:pPr>
        <w:shd w:val="clear" w:color="auto" w:fill="FFFFFF"/>
        <w:spacing w:after="0" w:line="240" w:lineRule="auto"/>
        <w:jc w:val="both"/>
        <w:rPr>
          <w:rFonts w:ascii="Times New Roman" w:eastAsia="Times New Roman" w:hAnsi="Times New Roman" w:cs="Times New Roman"/>
          <w:sz w:val="20"/>
          <w:szCs w:val="20"/>
        </w:rPr>
      </w:pPr>
    </w:p>
    <w:p w14:paraId="02612CA2" w14:textId="77777777" w:rsidR="000042C0" w:rsidRPr="000D0543" w:rsidRDefault="000042C0" w:rsidP="000042C0">
      <w:pPr>
        <w:shd w:val="clear" w:color="auto" w:fill="FFFFFF"/>
        <w:spacing w:after="0" w:line="240" w:lineRule="auto"/>
        <w:jc w:val="both"/>
        <w:rPr>
          <w:rFonts w:ascii="Times New Roman" w:eastAsia="Times New Roman" w:hAnsi="Times New Roman" w:cs="Times New Roman"/>
          <w:sz w:val="16"/>
          <w:szCs w:val="16"/>
        </w:rPr>
      </w:pPr>
    </w:p>
    <w:p w14:paraId="515E113D" w14:textId="77777777" w:rsidR="000042C0" w:rsidRPr="000D0543" w:rsidRDefault="000042C0" w:rsidP="000042C0">
      <w:pPr>
        <w:spacing w:after="0" w:line="240" w:lineRule="auto"/>
        <w:jc w:val="both"/>
        <w:rPr>
          <w:rFonts w:ascii="Times New Roman" w:eastAsia="Calibri" w:hAnsi="Times New Roman" w:cs="Times New Roman"/>
          <w:b/>
          <w:bCs/>
          <w:kern w:val="2"/>
        </w:rPr>
      </w:pPr>
      <w:r w:rsidRPr="000D0543">
        <w:rPr>
          <w:rFonts w:ascii="Times New Roman" w:eastAsia="Calibri" w:hAnsi="Times New Roman" w:cs="Times New Roman"/>
          <w:b/>
          <w:bCs/>
          <w:kern w:val="2"/>
        </w:rPr>
        <w:t>Disclaimer (Artificial Intelligence)</w:t>
      </w:r>
    </w:p>
    <w:p w14:paraId="20C840BB" w14:textId="77777777" w:rsidR="000042C0" w:rsidRPr="000D0543" w:rsidRDefault="000042C0" w:rsidP="000042C0">
      <w:pPr>
        <w:spacing w:after="0" w:line="240" w:lineRule="auto"/>
        <w:jc w:val="both"/>
        <w:rPr>
          <w:rFonts w:ascii="Times New Roman" w:eastAsia="Calibri" w:hAnsi="Times New Roman" w:cs="Times New Roman"/>
          <w:b/>
          <w:bCs/>
          <w:kern w:val="2"/>
          <w:sz w:val="16"/>
          <w:szCs w:val="16"/>
        </w:rPr>
      </w:pPr>
    </w:p>
    <w:p w14:paraId="3D680B2B" w14:textId="77777777" w:rsidR="000042C0" w:rsidRPr="000D0543" w:rsidRDefault="000042C0" w:rsidP="000042C0">
      <w:pPr>
        <w:spacing w:after="0" w:line="240" w:lineRule="auto"/>
        <w:jc w:val="both"/>
        <w:rPr>
          <w:rFonts w:ascii="Times New Roman" w:eastAsia="Calibri" w:hAnsi="Times New Roman" w:cs="Times New Roman"/>
          <w:kern w:val="2"/>
          <w:sz w:val="20"/>
          <w:szCs w:val="20"/>
        </w:rPr>
      </w:pPr>
      <w:r w:rsidRPr="000D0543">
        <w:rPr>
          <w:rFonts w:ascii="Times New Roman" w:eastAsia="Calibri" w:hAnsi="Times New Roman" w:cs="Times New Roman"/>
          <w:kern w:val="2"/>
          <w:sz w:val="20"/>
          <w:szCs w:val="20"/>
        </w:rPr>
        <w:t>Author(s) hereby declare that NO generative AI technologies such as Large Language Models (</w:t>
      </w:r>
      <w:proofErr w:type="spellStart"/>
      <w:r w:rsidRPr="000D0543">
        <w:rPr>
          <w:rFonts w:ascii="Times New Roman" w:eastAsia="Calibri" w:hAnsi="Times New Roman" w:cs="Times New Roman"/>
          <w:kern w:val="2"/>
          <w:sz w:val="20"/>
          <w:szCs w:val="20"/>
        </w:rPr>
        <w:t>ChatGPT</w:t>
      </w:r>
      <w:proofErr w:type="spellEnd"/>
      <w:r w:rsidRPr="000D0543">
        <w:rPr>
          <w:rFonts w:ascii="Times New Roman" w:eastAsia="Calibri" w:hAnsi="Times New Roman" w:cs="Times New Roman"/>
          <w:kern w:val="2"/>
          <w:sz w:val="20"/>
          <w:szCs w:val="20"/>
        </w:rPr>
        <w:t xml:space="preserve">, COPILOT, </w:t>
      </w:r>
      <w:proofErr w:type="spellStart"/>
      <w:r w:rsidRPr="000D0543">
        <w:rPr>
          <w:rFonts w:ascii="Times New Roman" w:eastAsia="Calibri" w:hAnsi="Times New Roman" w:cs="Times New Roman"/>
          <w:kern w:val="2"/>
          <w:sz w:val="20"/>
          <w:szCs w:val="20"/>
        </w:rPr>
        <w:t>etc</w:t>
      </w:r>
      <w:proofErr w:type="spellEnd"/>
      <w:r w:rsidRPr="000D0543">
        <w:rPr>
          <w:rFonts w:ascii="Times New Roman" w:eastAsia="Calibri" w:hAnsi="Times New Roman" w:cs="Times New Roman"/>
          <w:kern w:val="2"/>
          <w:sz w:val="20"/>
          <w:szCs w:val="20"/>
        </w:rPr>
        <w:t xml:space="preserve">) and text-to-image generators have been used during writing or editing of this manuscript. </w:t>
      </w:r>
    </w:p>
    <w:p w14:paraId="348C5F99" w14:textId="77777777" w:rsidR="000042C0" w:rsidRPr="000D0543" w:rsidRDefault="000042C0" w:rsidP="000042C0">
      <w:pPr>
        <w:pStyle w:val="ReferHead"/>
        <w:spacing w:after="0"/>
        <w:jc w:val="both"/>
        <w:rPr>
          <w:rFonts w:ascii="Times New Roman" w:hAnsi="Times New Roman"/>
          <w:bCs/>
          <w:sz w:val="18"/>
          <w:szCs w:val="16"/>
        </w:rPr>
      </w:pPr>
    </w:p>
    <w:p w14:paraId="083C4F85" w14:textId="77777777" w:rsidR="000042C0" w:rsidRPr="000D0543" w:rsidRDefault="000042C0" w:rsidP="000042C0">
      <w:pPr>
        <w:pStyle w:val="ReferHead"/>
        <w:spacing w:after="0"/>
        <w:jc w:val="both"/>
        <w:rPr>
          <w:rFonts w:ascii="Times New Roman" w:hAnsi="Times New Roman"/>
          <w:bCs/>
        </w:rPr>
      </w:pPr>
      <w:r w:rsidRPr="000D0543">
        <w:rPr>
          <w:rFonts w:ascii="Times New Roman" w:hAnsi="Times New Roman"/>
          <w:bCs/>
          <w:caps w:val="0"/>
        </w:rPr>
        <w:t>Competing Interests</w:t>
      </w:r>
    </w:p>
    <w:p w14:paraId="0CC35A1E" w14:textId="77777777" w:rsidR="000042C0" w:rsidRPr="000D0543" w:rsidRDefault="000042C0" w:rsidP="000042C0">
      <w:pPr>
        <w:pStyle w:val="ReferHead"/>
        <w:spacing w:after="0"/>
        <w:rPr>
          <w:rFonts w:ascii="Times New Roman" w:hAnsi="Times New Roman"/>
          <w:sz w:val="18"/>
          <w:szCs w:val="16"/>
        </w:rPr>
      </w:pPr>
    </w:p>
    <w:p w14:paraId="3D64D83C" w14:textId="77777777" w:rsidR="000042C0" w:rsidRPr="000D0543" w:rsidRDefault="000042C0" w:rsidP="000042C0">
      <w:pPr>
        <w:pStyle w:val="ReferHead"/>
        <w:spacing w:after="0"/>
        <w:jc w:val="both"/>
        <w:rPr>
          <w:rFonts w:ascii="Times New Roman" w:hAnsi="Times New Roman"/>
          <w:b w:val="0"/>
          <w:caps w:val="0"/>
          <w:sz w:val="20"/>
        </w:rPr>
      </w:pPr>
      <w:r w:rsidRPr="000D0543">
        <w:rPr>
          <w:rFonts w:ascii="Times New Roman" w:hAnsi="Times New Roman"/>
          <w:b w:val="0"/>
          <w:caps w:val="0"/>
          <w:sz w:val="20"/>
        </w:rPr>
        <w:t>Authors have declared that no competing interests exist.</w:t>
      </w:r>
    </w:p>
    <w:p w14:paraId="59E03AC9"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0A3C2670"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b/>
          <w:sz w:val="20"/>
          <w:szCs w:val="20"/>
          <w:u w:color="000000"/>
          <w:bdr w:val="nil"/>
        </w:rPr>
      </w:pPr>
      <w:r w:rsidRPr="000042C0">
        <w:rPr>
          <w:rFonts w:ascii="Times New Roman" w:eastAsia="Arial Unicode MS" w:hAnsi="Times New Roman" w:cs="Times New Roman"/>
          <w:b/>
          <w:u w:color="000000"/>
          <w:bdr w:val="nil"/>
        </w:rPr>
        <w:t>References</w:t>
      </w:r>
    </w:p>
    <w:p w14:paraId="1E59B760" w14:textId="77777777" w:rsidR="000042C0" w:rsidRPr="000042C0" w:rsidRDefault="000042C0" w:rsidP="000042C0">
      <w:pPr>
        <w:pBdr>
          <w:top w:val="nil"/>
          <w:left w:val="nil"/>
          <w:bottom w:val="nil"/>
          <w:right w:val="nil"/>
          <w:between w:val="nil"/>
          <w:bar w:val="nil"/>
        </w:pBdr>
        <w:shd w:val="clear" w:color="auto" w:fill="FFFFFF"/>
        <w:spacing w:after="0" w:line="240" w:lineRule="auto"/>
        <w:jc w:val="both"/>
        <w:rPr>
          <w:rFonts w:ascii="Times New Roman" w:eastAsia="Times New Roman" w:hAnsi="Times New Roman" w:cs="Times New Roman"/>
          <w:sz w:val="20"/>
          <w:szCs w:val="20"/>
          <w:u w:color="000000"/>
          <w:bdr w:val="nil"/>
        </w:rPr>
      </w:pPr>
    </w:p>
    <w:p w14:paraId="08B2A5CF"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Ahmed, M., Sureka, J., Mathew, V., Jakkani, R. K., &amp; Abhilash, K. P. (2011). Magnetic resonance imaging findings in a fatal case of </w:t>
      </w:r>
      <w:r w:rsidRPr="000D0543">
        <w:rPr>
          <w:rFonts w:ascii="Times New Roman" w:eastAsia="Times New Roman" w:hAnsi="Times New Roman" w:cs="Times New Roman"/>
          <w:i/>
          <w:iCs/>
          <w:sz w:val="20"/>
          <w:szCs w:val="20"/>
          <w:lang w:val="en-GB" w:eastAsia="en-GB"/>
        </w:rPr>
        <w:t>Salmonella typhi</w:t>
      </w:r>
      <w:r w:rsidRPr="000D0543">
        <w:rPr>
          <w:rFonts w:ascii="Times New Roman" w:eastAsia="Times New Roman" w:hAnsi="Times New Roman" w:cs="Times New Roman"/>
          <w:sz w:val="20"/>
          <w:szCs w:val="20"/>
          <w:lang w:val="en-GB" w:eastAsia="en-GB"/>
        </w:rPr>
        <w:t xml:space="preserve">-associated encephalopathy: A case report and literature review. </w:t>
      </w:r>
      <w:r w:rsidRPr="000D0543">
        <w:rPr>
          <w:rFonts w:ascii="Times New Roman" w:eastAsia="Times New Roman" w:hAnsi="Times New Roman" w:cs="Times New Roman"/>
          <w:i/>
          <w:iCs/>
          <w:sz w:val="20"/>
          <w:szCs w:val="20"/>
          <w:lang w:val="en-GB" w:eastAsia="en-GB"/>
        </w:rPr>
        <w:t>Neurology India, 59</w:t>
      </w:r>
      <w:r w:rsidRPr="000D0543">
        <w:rPr>
          <w:rFonts w:ascii="Times New Roman" w:eastAsia="Times New Roman" w:hAnsi="Times New Roman" w:cs="Times New Roman"/>
          <w:sz w:val="20"/>
          <w:szCs w:val="20"/>
          <w:lang w:val="en-GB" w:eastAsia="en-GB"/>
        </w:rPr>
        <w:t xml:space="preserve">(2), 270–272. https://doi.org/10.4103/0028-3886.79145 </w:t>
      </w:r>
    </w:p>
    <w:p w14:paraId="488FBC08"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Biswal, N., Mathai, B., Bhatia, B. D., Srinivasan, S., &amp; Nalini, P. (1994). Enteric fever: A changing perspective. </w:t>
      </w:r>
      <w:r w:rsidRPr="000D0543">
        <w:rPr>
          <w:rFonts w:ascii="Times New Roman" w:eastAsia="Times New Roman" w:hAnsi="Times New Roman" w:cs="Times New Roman"/>
          <w:i/>
          <w:iCs/>
          <w:sz w:val="20"/>
          <w:szCs w:val="20"/>
          <w:lang w:val="en-GB" w:eastAsia="en-GB"/>
        </w:rPr>
        <w:t xml:space="preserve">Indian </w:t>
      </w:r>
      <w:proofErr w:type="spellStart"/>
      <w:r w:rsidRPr="000D0543">
        <w:rPr>
          <w:rFonts w:ascii="Times New Roman" w:eastAsia="Times New Roman" w:hAnsi="Times New Roman" w:cs="Times New Roman"/>
          <w:i/>
          <w:iCs/>
          <w:sz w:val="20"/>
          <w:szCs w:val="20"/>
          <w:lang w:val="en-GB" w:eastAsia="en-GB"/>
        </w:rPr>
        <w:t>Pediatrics</w:t>
      </w:r>
      <w:proofErr w:type="spellEnd"/>
      <w:r w:rsidRPr="000D0543">
        <w:rPr>
          <w:rFonts w:ascii="Times New Roman" w:eastAsia="Times New Roman" w:hAnsi="Times New Roman" w:cs="Times New Roman"/>
          <w:i/>
          <w:iCs/>
          <w:sz w:val="20"/>
          <w:szCs w:val="20"/>
          <w:lang w:val="en-GB" w:eastAsia="en-GB"/>
        </w:rPr>
        <w:t>, 31</w:t>
      </w:r>
      <w:r w:rsidRPr="000D0543">
        <w:rPr>
          <w:rFonts w:ascii="Times New Roman" w:eastAsia="Times New Roman" w:hAnsi="Times New Roman" w:cs="Times New Roman"/>
          <w:sz w:val="20"/>
          <w:szCs w:val="20"/>
          <w:lang w:val="en-GB" w:eastAsia="en-GB"/>
        </w:rPr>
        <w:t xml:space="preserve">, 813–819. </w:t>
      </w:r>
    </w:p>
    <w:p w14:paraId="4D2D63D6"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Cohen, J. I., Bartlett, J. A., &amp; Corey, G. R. (1987). Extra-intestinal manifestations of salmonella infections. </w:t>
      </w:r>
      <w:r w:rsidRPr="000D0543">
        <w:rPr>
          <w:rFonts w:ascii="Times New Roman" w:eastAsia="Times New Roman" w:hAnsi="Times New Roman" w:cs="Times New Roman"/>
          <w:i/>
          <w:iCs/>
          <w:sz w:val="20"/>
          <w:szCs w:val="20"/>
          <w:lang w:val="en-GB" w:eastAsia="en-GB"/>
        </w:rPr>
        <w:t>Medicine, 66</w:t>
      </w:r>
      <w:r w:rsidRPr="000D0543">
        <w:rPr>
          <w:rFonts w:ascii="Times New Roman" w:eastAsia="Times New Roman" w:hAnsi="Times New Roman" w:cs="Times New Roman"/>
          <w:sz w:val="20"/>
          <w:szCs w:val="20"/>
          <w:lang w:val="en-GB" w:eastAsia="en-GB"/>
        </w:rPr>
        <w:t xml:space="preserve">(5), 349–388. https://doi.org/10.1097/00005792-198709000-00003 </w:t>
      </w:r>
    </w:p>
    <w:p w14:paraId="615BD5EB"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Dewan, P., Pooniya, V., Kaushik, J. S., et al. (2009). Isolated cerebellar ataxia: An early neurological complication of enteric fever. </w:t>
      </w:r>
      <w:r w:rsidRPr="000D0543">
        <w:rPr>
          <w:rFonts w:ascii="Times New Roman" w:eastAsia="Times New Roman" w:hAnsi="Times New Roman" w:cs="Times New Roman"/>
          <w:i/>
          <w:iCs/>
          <w:sz w:val="20"/>
          <w:szCs w:val="20"/>
          <w:lang w:val="en-GB" w:eastAsia="en-GB"/>
        </w:rPr>
        <w:t>Annals of Tropical Paediatrics, 29</w:t>
      </w:r>
      <w:r w:rsidRPr="000D0543">
        <w:rPr>
          <w:rFonts w:ascii="Times New Roman" w:eastAsia="Times New Roman" w:hAnsi="Times New Roman" w:cs="Times New Roman"/>
          <w:sz w:val="20"/>
          <w:szCs w:val="20"/>
          <w:lang w:val="en-GB" w:eastAsia="en-GB"/>
        </w:rPr>
        <w:t xml:space="preserve">, 217–219. </w:t>
      </w:r>
    </w:p>
    <w:p w14:paraId="1B2A75A9"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Girgis, N. I., Farid, Z., Sultan, Y., &amp; Hibbs, R. G. (1993). Use of dexamethasone in treatment of enteric fever complicated by cerebellar involvement. </w:t>
      </w:r>
      <w:r w:rsidRPr="000D0543">
        <w:rPr>
          <w:rFonts w:ascii="Times New Roman" w:eastAsia="Times New Roman" w:hAnsi="Times New Roman" w:cs="Times New Roman"/>
          <w:i/>
          <w:iCs/>
          <w:sz w:val="20"/>
          <w:szCs w:val="20"/>
          <w:lang w:val="en-GB" w:eastAsia="en-GB"/>
        </w:rPr>
        <w:t>Transactions of the Royal Society of Tropical Medicine and Hygiene, 87</w:t>
      </w:r>
      <w:r w:rsidRPr="000D0543">
        <w:rPr>
          <w:rFonts w:ascii="Times New Roman" w:eastAsia="Times New Roman" w:hAnsi="Times New Roman" w:cs="Times New Roman"/>
          <w:sz w:val="20"/>
          <w:szCs w:val="20"/>
          <w:lang w:val="en-GB" w:eastAsia="en-GB"/>
        </w:rPr>
        <w:t xml:space="preserve">, 690–691. </w:t>
      </w:r>
    </w:p>
    <w:p w14:paraId="46F08D57"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Kumar, P., &amp; Kumar, R. (2017). Enteric fever. </w:t>
      </w:r>
      <w:r w:rsidRPr="000D0543">
        <w:rPr>
          <w:rFonts w:ascii="Times New Roman" w:eastAsia="Times New Roman" w:hAnsi="Times New Roman" w:cs="Times New Roman"/>
          <w:i/>
          <w:iCs/>
          <w:sz w:val="20"/>
          <w:szCs w:val="20"/>
          <w:lang w:val="en-GB" w:eastAsia="en-GB"/>
        </w:rPr>
        <w:t xml:space="preserve">Indian Journal of </w:t>
      </w:r>
      <w:proofErr w:type="spellStart"/>
      <w:r w:rsidRPr="000D0543">
        <w:rPr>
          <w:rFonts w:ascii="Times New Roman" w:eastAsia="Times New Roman" w:hAnsi="Times New Roman" w:cs="Times New Roman"/>
          <w:i/>
          <w:iCs/>
          <w:sz w:val="20"/>
          <w:szCs w:val="20"/>
          <w:lang w:val="en-GB" w:eastAsia="en-GB"/>
        </w:rPr>
        <w:t>Pediatrics</w:t>
      </w:r>
      <w:proofErr w:type="spellEnd"/>
      <w:r w:rsidRPr="000D0543">
        <w:rPr>
          <w:rFonts w:ascii="Times New Roman" w:eastAsia="Times New Roman" w:hAnsi="Times New Roman" w:cs="Times New Roman"/>
          <w:i/>
          <w:iCs/>
          <w:sz w:val="20"/>
          <w:szCs w:val="20"/>
          <w:lang w:val="en-GB" w:eastAsia="en-GB"/>
        </w:rPr>
        <w:t>, 84</w:t>
      </w:r>
      <w:r w:rsidRPr="000D0543">
        <w:rPr>
          <w:rFonts w:ascii="Times New Roman" w:eastAsia="Times New Roman" w:hAnsi="Times New Roman" w:cs="Times New Roman"/>
          <w:sz w:val="20"/>
          <w:szCs w:val="20"/>
          <w:lang w:val="en-GB" w:eastAsia="en-GB"/>
        </w:rPr>
        <w:t xml:space="preserve">(3), 227–230. </w:t>
      </w:r>
    </w:p>
    <w:p w14:paraId="156B1E3F"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Kumar, P., &amp; Kumar, R. (2017). Enteric fever. </w:t>
      </w:r>
      <w:r w:rsidRPr="000D0543">
        <w:rPr>
          <w:rFonts w:ascii="Times New Roman" w:eastAsia="Times New Roman" w:hAnsi="Times New Roman" w:cs="Times New Roman"/>
          <w:i/>
          <w:iCs/>
          <w:sz w:val="20"/>
          <w:szCs w:val="20"/>
          <w:lang w:val="en-GB" w:eastAsia="en-GB"/>
        </w:rPr>
        <w:t xml:space="preserve">Indian Journal of </w:t>
      </w:r>
      <w:proofErr w:type="spellStart"/>
      <w:r w:rsidRPr="000D0543">
        <w:rPr>
          <w:rFonts w:ascii="Times New Roman" w:eastAsia="Times New Roman" w:hAnsi="Times New Roman" w:cs="Times New Roman"/>
          <w:i/>
          <w:iCs/>
          <w:sz w:val="20"/>
          <w:szCs w:val="20"/>
          <w:lang w:val="en-GB" w:eastAsia="en-GB"/>
        </w:rPr>
        <w:t>Pediatrics</w:t>
      </w:r>
      <w:proofErr w:type="spellEnd"/>
      <w:r w:rsidRPr="000D0543">
        <w:rPr>
          <w:rFonts w:ascii="Times New Roman" w:eastAsia="Times New Roman" w:hAnsi="Times New Roman" w:cs="Times New Roman"/>
          <w:i/>
          <w:iCs/>
          <w:sz w:val="20"/>
          <w:szCs w:val="20"/>
          <w:lang w:val="en-GB" w:eastAsia="en-GB"/>
        </w:rPr>
        <w:t>, 84</w:t>
      </w:r>
      <w:r w:rsidRPr="000D0543">
        <w:rPr>
          <w:rFonts w:ascii="Times New Roman" w:eastAsia="Times New Roman" w:hAnsi="Times New Roman" w:cs="Times New Roman"/>
          <w:sz w:val="20"/>
          <w:szCs w:val="20"/>
          <w:lang w:val="en-GB" w:eastAsia="en-GB"/>
        </w:rPr>
        <w:t xml:space="preserve">(3), 227–230. https://doi.org/10.1007/s12098-016-2246-4 </w:t>
      </w:r>
    </w:p>
    <w:p w14:paraId="49740FFB"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Kundu, R., &amp; </w:t>
      </w:r>
      <w:proofErr w:type="spellStart"/>
      <w:r w:rsidRPr="000D0543">
        <w:rPr>
          <w:rFonts w:ascii="Times New Roman" w:eastAsia="Times New Roman" w:hAnsi="Times New Roman" w:cs="Times New Roman"/>
          <w:sz w:val="20"/>
          <w:szCs w:val="20"/>
          <w:lang w:val="en-GB" w:eastAsia="en-GB"/>
        </w:rPr>
        <w:t>Yelwale</w:t>
      </w:r>
      <w:proofErr w:type="spellEnd"/>
      <w:r w:rsidRPr="000D0543">
        <w:rPr>
          <w:rFonts w:ascii="Times New Roman" w:eastAsia="Times New Roman" w:hAnsi="Times New Roman" w:cs="Times New Roman"/>
          <w:sz w:val="20"/>
          <w:szCs w:val="20"/>
          <w:lang w:val="en-GB" w:eastAsia="en-GB"/>
        </w:rPr>
        <w:t xml:space="preserve">, V. N. (Year not specified). </w:t>
      </w:r>
      <w:r w:rsidRPr="000D0543">
        <w:rPr>
          <w:rFonts w:ascii="Times New Roman" w:eastAsia="Times New Roman" w:hAnsi="Times New Roman" w:cs="Times New Roman"/>
          <w:i/>
          <w:iCs/>
          <w:sz w:val="20"/>
          <w:szCs w:val="20"/>
          <w:lang w:val="en-GB" w:eastAsia="en-GB"/>
        </w:rPr>
        <w:t xml:space="preserve">Textbook of </w:t>
      </w:r>
      <w:proofErr w:type="spellStart"/>
      <w:r w:rsidRPr="000D0543">
        <w:rPr>
          <w:rFonts w:ascii="Times New Roman" w:eastAsia="Times New Roman" w:hAnsi="Times New Roman" w:cs="Times New Roman"/>
          <w:i/>
          <w:iCs/>
          <w:sz w:val="20"/>
          <w:szCs w:val="20"/>
          <w:lang w:val="en-GB" w:eastAsia="en-GB"/>
        </w:rPr>
        <w:t>pediatric</w:t>
      </w:r>
      <w:proofErr w:type="spellEnd"/>
      <w:r w:rsidRPr="000D0543">
        <w:rPr>
          <w:rFonts w:ascii="Times New Roman" w:eastAsia="Times New Roman" w:hAnsi="Times New Roman" w:cs="Times New Roman"/>
          <w:i/>
          <w:iCs/>
          <w:sz w:val="20"/>
          <w:szCs w:val="20"/>
          <w:lang w:val="en-GB" w:eastAsia="en-GB"/>
        </w:rPr>
        <w:t xml:space="preserve"> infectious diseases</w:t>
      </w:r>
      <w:r w:rsidRPr="000D0543">
        <w:rPr>
          <w:rFonts w:ascii="Times New Roman" w:eastAsia="Times New Roman" w:hAnsi="Times New Roman" w:cs="Times New Roman"/>
          <w:sz w:val="20"/>
          <w:szCs w:val="20"/>
          <w:lang w:val="en-GB" w:eastAsia="en-GB"/>
        </w:rPr>
        <w:t xml:space="preserve"> (2nd ed.). </w:t>
      </w:r>
    </w:p>
    <w:p w14:paraId="0495F9C3"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Parry, C. M., Hien, T. T., Dougan, G., White, N. J., &amp; Farrar, J. J. (2002). Typhoid fever. </w:t>
      </w:r>
      <w:r w:rsidRPr="000D0543">
        <w:rPr>
          <w:rFonts w:ascii="Times New Roman" w:eastAsia="Times New Roman" w:hAnsi="Times New Roman" w:cs="Times New Roman"/>
          <w:i/>
          <w:iCs/>
          <w:sz w:val="20"/>
          <w:szCs w:val="20"/>
          <w:lang w:val="en-GB" w:eastAsia="en-GB"/>
        </w:rPr>
        <w:t>New England Journal of Medicine, 347</w:t>
      </w:r>
      <w:r w:rsidRPr="000D0543">
        <w:rPr>
          <w:rFonts w:ascii="Times New Roman" w:eastAsia="Times New Roman" w:hAnsi="Times New Roman" w:cs="Times New Roman"/>
          <w:sz w:val="20"/>
          <w:szCs w:val="20"/>
          <w:lang w:val="en-GB" w:eastAsia="en-GB"/>
        </w:rPr>
        <w:t xml:space="preserve">(22), 1770–1782. </w:t>
      </w:r>
    </w:p>
    <w:p w14:paraId="089B5EB2"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Scragg, J., Rubidge, C., &amp; Wallace, H. L. (1969). Typhoid fever in African and Indian children in Durban. </w:t>
      </w:r>
      <w:r w:rsidRPr="000D0543">
        <w:rPr>
          <w:rFonts w:ascii="Times New Roman" w:eastAsia="Times New Roman" w:hAnsi="Times New Roman" w:cs="Times New Roman"/>
          <w:i/>
          <w:iCs/>
          <w:sz w:val="20"/>
          <w:szCs w:val="20"/>
          <w:lang w:val="en-GB" w:eastAsia="en-GB"/>
        </w:rPr>
        <w:t>Archives of Disease in Childhood, 44</w:t>
      </w:r>
      <w:r w:rsidRPr="000D0543">
        <w:rPr>
          <w:rFonts w:ascii="Times New Roman" w:eastAsia="Times New Roman" w:hAnsi="Times New Roman" w:cs="Times New Roman"/>
          <w:sz w:val="20"/>
          <w:szCs w:val="20"/>
          <w:lang w:val="en-GB" w:eastAsia="en-GB"/>
        </w:rPr>
        <w:t xml:space="preserve">, 18–28. </w:t>
      </w:r>
    </w:p>
    <w:p w14:paraId="4B8C96A0"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proofErr w:type="spellStart"/>
      <w:r w:rsidRPr="000D0543">
        <w:rPr>
          <w:rFonts w:ascii="Times New Roman" w:eastAsia="Times New Roman" w:hAnsi="Times New Roman" w:cs="Times New Roman"/>
          <w:sz w:val="20"/>
          <w:szCs w:val="20"/>
          <w:lang w:val="en-GB" w:eastAsia="en-GB"/>
        </w:rPr>
        <w:t>Sejvar</w:t>
      </w:r>
      <w:proofErr w:type="spellEnd"/>
      <w:r w:rsidRPr="000D0543">
        <w:rPr>
          <w:rFonts w:ascii="Times New Roman" w:eastAsia="Times New Roman" w:hAnsi="Times New Roman" w:cs="Times New Roman"/>
          <w:sz w:val="20"/>
          <w:szCs w:val="20"/>
          <w:lang w:val="en-GB" w:eastAsia="en-GB"/>
        </w:rPr>
        <w:t xml:space="preserve">, J., Lutterloh, E., </w:t>
      </w:r>
      <w:proofErr w:type="spellStart"/>
      <w:r w:rsidRPr="000D0543">
        <w:rPr>
          <w:rFonts w:ascii="Times New Roman" w:eastAsia="Times New Roman" w:hAnsi="Times New Roman" w:cs="Times New Roman"/>
          <w:sz w:val="20"/>
          <w:szCs w:val="20"/>
          <w:lang w:val="en-GB" w:eastAsia="en-GB"/>
        </w:rPr>
        <w:t>Naiene</w:t>
      </w:r>
      <w:proofErr w:type="spellEnd"/>
      <w:r w:rsidRPr="000D0543">
        <w:rPr>
          <w:rFonts w:ascii="Times New Roman" w:eastAsia="Times New Roman" w:hAnsi="Times New Roman" w:cs="Times New Roman"/>
          <w:sz w:val="20"/>
          <w:szCs w:val="20"/>
          <w:lang w:val="en-GB" w:eastAsia="en-GB"/>
        </w:rPr>
        <w:t xml:space="preserve">, J., </w:t>
      </w:r>
      <w:proofErr w:type="spellStart"/>
      <w:r w:rsidRPr="000D0543">
        <w:rPr>
          <w:rFonts w:ascii="Times New Roman" w:eastAsia="Times New Roman" w:hAnsi="Times New Roman" w:cs="Times New Roman"/>
          <w:sz w:val="20"/>
          <w:szCs w:val="20"/>
          <w:lang w:val="en-GB" w:eastAsia="en-GB"/>
        </w:rPr>
        <w:t>Likaka</w:t>
      </w:r>
      <w:proofErr w:type="spellEnd"/>
      <w:r w:rsidRPr="000D0543">
        <w:rPr>
          <w:rFonts w:ascii="Times New Roman" w:eastAsia="Times New Roman" w:hAnsi="Times New Roman" w:cs="Times New Roman"/>
          <w:sz w:val="20"/>
          <w:szCs w:val="20"/>
          <w:lang w:val="en-GB" w:eastAsia="en-GB"/>
        </w:rPr>
        <w:t xml:space="preserve">, A., Manda, R., Nygren, B., et al. (2012). Neurologic manifestations associated with an outbreak of typhoid fever, Malawi–Mozambique, 2009: An epidemiologic investigation. </w:t>
      </w:r>
      <w:proofErr w:type="spellStart"/>
      <w:r w:rsidRPr="000D0543">
        <w:rPr>
          <w:rFonts w:ascii="Times New Roman" w:eastAsia="Times New Roman" w:hAnsi="Times New Roman" w:cs="Times New Roman"/>
          <w:i/>
          <w:iCs/>
          <w:sz w:val="20"/>
          <w:szCs w:val="20"/>
          <w:lang w:val="en-GB" w:eastAsia="en-GB"/>
        </w:rPr>
        <w:t>PLoS</w:t>
      </w:r>
      <w:proofErr w:type="spellEnd"/>
      <w:r w:rsidRPr="000D0543">
        <w:rPr>
          <w:rFonts w:ascii="Times New Roman" w:eastAsia="Times New Roman" w:hAnsi="Times New Roman" w:cs="Times New Roman"/>
          <w:i/>
          <w:iCs/>
          <w:sz w:val="20"/>
          <w:szCs w:val="20"/>
          <w:lang w:val="en-GB" w:eastAsia="en-GB"/>
        </w:rPr>
        <w:t xml:space="preserve"> ONE, 7</w:t>
      </w:r>
      <w:r w:rsidRPr="000D0543">
        <w:rPr>
          <w:rFonts w:ascii="Times New Roman" w:eastAsia="Times New Roman" w:hAnsi="Times New Roman" w:cs="Times New Roman"/>
          <w:sz w:val="20"/>
          <w:szCs w:val="20"/>
          <w:lang w:val="en-GB" w:eastAsia="en-GB"/>
        </w:rPr>
        <w:t xml:space="preserve">(12), e46099. https://doi.org/10.1371/journal.pone.0046099 </w:t>
      </w:r>
    </w:p>
    <w:p w14:paraId="6B7B484C" w14:textId="77777777" w:rsidR="000D0543" w:rsidRPr="000D0543" w:rsidRDefault="000D0543" w:rsidP="000D0543">
      <w:pPr>
        <w:spacing w:after="0" w:line="240" w:lineRule="auto"/>
        <w:ind w:left="540" w:hanging="540"/>
        <w:jc w:val="both"/>
        <w:rPr>
          <w:rFonts w:ascii="Times New Roman" w:eastAsia="Times New Roman" w:hAnsi="Times New Roman" w:cs="Times New Roman"/>
          <w:sz w:val="20"/>
          <w:szCs w:val="20"/>
          <w:lang w:val="en-GB" w:eastAsia="en-GB"/>
        </w:rPr>
      </w:pPr>
      <w:r w:rsidRPr="000D0543">
        <w:rPr>
          <w:rFonts w:ascii="Times New Roman" w:eastAsia="Times New Roman" w:hAnsi="Times New Roman" w:cs="Times New Roman"/>
          <w:sz w:val="20"/>
          <w:szCs w:val="20"/>
          <w:lang w:val="en-GB" w:eastAsia="en-GB"/>
        </w:rPr>
        <w:t xml:space="preserve">Singh, S., Gupta, A., &amp; Marwaha, R. K. (1993). Wenckebach phenomenon and motor aphasia in enteric fever. </w:t>
      </w:r>
      <w:r w:rsidRPr="000D0543">
        <w:rPr>
          <w:rFonts w:ascii="Times New Roman" w:eastAsia="Times New Roman" w:hAnsi="Times New Roman" w:cs="Times New Roman"/>
          <w:i/>
          <w:iCs/>
          <w:sz w:val="20"/>
          <w:szCs w:val="20"/>
          <w:lang w:val="en-GB" w:eastAsia="en-GB"/>
        </w:rPr>
        <w:t>Indian Journal of Paediatrics, 60</w:t>
      </w:r>
      <w:r w:rsidRPr="000D0543">
        <w:rPr>
          <w:rFonts w:ascii="Times New Roman" w:eastAsia="Times New Roman" w:hAnsi="Times New Roman" w:cs="Times New Roman"/>
          <w:sz w:val="20"/>
          <w:szCs w:val="20"/>
          <w:lang w:val="en-GB" w:eastAsia="en-GB"/>
        </w:rPr>
        <w:t xml:space="preserve">(1), 147–149. </w:t>
      </w:r>
    </w:p>
    <w:p w14:paraId="73917315" w14:textId="77777777" w:rsidR="000D0543" w:rsidRPr="000D0543" w:rsidRDefault="000D0543" w:rsidP="000D0543">
      <w:pPr>
        <w:keepNext/>
        <w:spacing w:after="0" w:line="240" w:lineRule="auto"/>
        <w:ind w:left="540" w:hanging="540"/>
        <w:jc w:val="both"/>
        <w:rPr>
          <w:rFonts w:ascii="Times New Roman" w:eastAsia="Times New Roman" w:hAnsi="Times New Roman" w:cs="Times New Roman"/>
          <w:b/>
          <w:szCs w:val="20"/>
        </w:rPr>
      </w:pPr>
      <w:r w:rsidRPr="000D0543">
        <w:rPr>
          <w:rFonts w:ascii="Times New Roman" w:eastAsia="Times New Roman" w:hAnsi="Times New Roman" w:cs="Times New Roman"/>
          <w:sz w:val="20"/>
          <w:szCs w:val="20"/>
          <w:lang w:val="en-GB" w:eastAsia="en-GB"/>
        </w:rPr>
        <w:lastRenderedPageBreak/>
        <w:t xml:space="preserve">Soni, V. K., Batra, T., &amp; Kakar, A. (2025). Acute cerebellar ataxia in a case of enteric fever. </w:t>
      </w:r>
      <w:r w:rsidRPr="000D0543">
        <w:rPr>
          <w:rFonts w:ascii="Times New Roman" w:eastAsia="Times New Roman" w:hAnsi="Times New Roman" w:cs="Times New Roman"/>
          <w:i/>
          <w:iCs/>
          <w:sz w:val="20"/>
          <w:szCs w:val="20"/>
          <w:lang w:val="en-GB" w:eastAsia="en-GB"/>
        </w:rPr>
        <w:t>Journal of the Association of Physicians of India, 73</w:t>
      </w:r>
      <w:r w:rsidRPr="000D0543">
        <w:rPr>
          <w:rFonts w:ascii="Times New Roman" w:eastAsia="Times New Roman" w:hAnsi="Times New Roman" w:cs="Times New Roman"/>
          <w:sz w:val="20"/>
          <w:szCs w:val="20"/>
          <w:lang w:val="en-GB" w:eastAsia="en-GB"/>
        </w:rPr>
        <w:t>(9S), 33–34.</w:t>
      </w:r>
    </w:p>
    <w:p w14:paraId="467790C4" w14:textId="77777777" w:rsidR="000D0543" w:rsidRDefault="000D0543" w:rsidP="000042C0">
      <w:pPr>
        <w:keepNext/>
        <w:spacing w:after="0" w:line="240" w:lineRule="auto"/>
        <w:jc w:val="both"/>
        <w:rPr>
          <w:rFonts w:ascii="Times New Roman" w:eastAsia="Calibri" w:hAnsi="Times New Roman" w:cs="Times New Roman"/>
          <w:b/>
          <w:bCs/>
          <w:kern w:val="2"/>
          <w:sz w:val="15"/>
          <w:szCs w:val="15"/>
          <w:lang w:val="en-GB"/>
        </w:rPr>
      </w:pPr>
    </w:p>
    <w:p w14:paraId="47E101D8" w14:textId="4BCB047A" w:rsidR="00D851AD" w:rsidRPr="000D0543" w:rsidRDefault="0043792F" w:rsidP="000042C0">
      <w:pPr>
        <w:keepNext/>
        <w:spacing w:after="0" w:line="240" w:lineRule="auto"/>
        <w:jc w:val="both"/>
        <w:rPr>
          <w:rFonts w:ascii="Times New Roman" w:eastAsia="Times New Roman" w:hAnsi="Times New Roman" w:cs="Times New Roman"/>
          <w:b/>
          <w:sz w:val="15"/>
          <w:szCs w:val="15"/>
        </w:rPr>
      </w:pPr>
      <w:r w:rsidRPr="000D0543">
        <w:rPr>
          <w:rFonts w:ascii="Times New Roman" w:eastAsia="Calibri" w:hAnsi="Times New Roman" w:cs="Times New Roman"/>
          <w:b/>
          <w:bCs/>
          <w:kern w:val="2"/>
          <w:sz w:val="15"/>
          <w:szCs w:val="15"/>
          <w:lang w:val="en-GB"/>
        </w:rPr>
        <w:t xml:space="preserve">Disclaimer/Publisher’s Note: </w:t>
      </w:r>
      <w:r w:rsidRPr="000D0543">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E10A498" w14:textId="77777777" w:rsidR="00D851AD" w:rsidRPr="000D0543" w:rsidRDefault="00D851AD" w:rsidP="000042C0">
      <w:pPr>
        <w:keepNext/>
        <w:spacing w:after="0" w:line="240" w:lineRule="auto"/>
        <w:jc w:val="both"/>
        <w:rPr>
          <w:rFonts w:ascii="Times New Roman" w:eastAsia="Times New Roman" w:hAnsi="Times New Roman" w:cs="Times New Roman"/>
          <w:b/>
          <w:szCs w:val="20"/>
        </w:rPr>
        <w:sectPr w:rsidR="00D851AD" w:rsidRPr="000D0543" w:rsidSect="000042C0">
          <w:headerReference w:type="even" r:id="rId13"/>
          <w:headerReference w:type="default" r:id="rId14"/>
          <w:footerReference w:type="default" r:id="rId15"/>
          <w:headerReference w:type="first" r:id="rId16"/>
          <w:footerReference w:type="first" r:id="rId17"/>
          <w:pgSz w:w="11909" w:h="16834" w:code="9"/>
          <w:pgMar w:top="1440" w:right="1440" w:bottom="1440" w:left="1440" w:header="720" w:footer="864" w:gutter="0"/>
          <w:pgNumType w:start="1"/>
          <w:cols w:space="720"/>
          <w:titlePg/>
          <w:docGrid w:linePitch="360"/>
        </w:sectPr>
      </w:pPr>
    </w:p>
    <w:p w14:paraId="7F872EFC" w14:textId="77777777" w:rsidR="00BD060A" w:rsidRPr="000D0543" w:rsidRDefault="00BD060A" w:rsidP="000042C0">
      <w:pPr>
        <w:spacing w:after="0" w:line="240" w:lineRule="auto"/>
        <w:ind w:left="540" w:hanging="540"/>
        <w:jc w:val="center"/>
        <w:rPr>
          <w:rFonts w:ascii="Times New Roman" w:eastAsia="Times New Roman" w:hAnsi="Times New Roman" w:cs="Times New Roman"/>
          <w:i/>
          <w:sz w:val="16"/>
          <w:szCs w:val="20"/>
        </w:rPr>
      </w:pPr>
    </w:p>
    <w:p w14:paraId="00227C9A" w14:textId="474C9573" w:rsidR="00CD3A89" w:rsidRPr="001D4232" w:rsidRDefault="000A490B" w:rsidP="000042C0">
      <w:pPr>
        <w:pBdr>
          <w:top w:val="single" w:sz="4" w:space="1" w:color="auto"/>
        </w:pBdr>
        <w:spacing w:after="0" w:line="240" w:lineRule="auto"/>
        <w:jc w:val="both"/>
        <w:rPr>
          <w:rFonts w:ascii="Times New Roman" w:hAnsi="Times New Roman" w:cs="Times New Roman"/>
        </w:rPr>
      </w:pPr>
      <w:r w:rsidRPr="000D0543">
        <w:rPr>
          <w:rFonts w:ascii="Times New Roman" w:eastAsia="Calibri" w:hAnsi="Times New Roman" w:cs="Times New Roman"/>
          <w:i/>
          <w:iCs/>
          <w:kern w:val="2"/>
          <w:sz w:val="16"/>
          <w:szCs w:val="16"/>
          <w:lang w:val="en-GB"/>
        </w:rPr>
        <w:t>© Copyright (202</w:t>
      </w:r>
      <w:r w:rsidR="00892474" w:rsidRPr="000D0543">
        <w:rPr>
          <w:rFonts w:ascii="Times New Roman" w:eastAsia="Calibri" w:hAnsi="Times New Roman" w:cs="Times New Roman"/>
          <w:i/>
          <w:iCs/>
          <w:kern w:val="2"/>
          <w:sz w:val="16"/>
          <w:szCs w:val="16"/>
          <w:lang w:val="en-GB"/>
        </w:rPr>
        <w:t>6</w:t>
      </w:r>
      <w:r w:rsidRPr="000D0543">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0D0543">
        <w:rPr>
          <w:rFonts w:ascii="Times New Roman" w:eastAsia="Calibri" w:hAnsi="Times New Roman" w:cs="Times New Roman"/>
          <w:i/>
          <w:iCs/>
          <w:color w:val="0000FF"/>
          <w:kern w:val="2"/>
          <w:sz w:val="16"/>
          <w:szCs w:val="16"/>
          <w:lang w:val="en-GB"/>
        </w:rPr>
        <w:t>http://creativecommons.org/licenses/by/4.0</w:t>
      </w:r>
      <w:r w:rsidRPr="000D0543">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1D4232">
        <w:rPr>
          <w:rFonts w:ascii="Times New Roman" w:hAnsi="Times New Roman" w:cs="Times New Roman"/>
        </w:rPr>
        <w:t xml:space="preserve"> </w:t>
      </w:r>
    </w:p>
    <w:sectPr w:rsidR="00CD3A89" w:rsidRPr="001D4232" w:rsidSect="000042C0">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C6005" w14:textId="77777777" w:rsidR="00B65EC3" w:rsidRDefault="00B65EC3" w:rsidP="00CD3A89">
      <w:pPr>
        <w:spacing w:after="0" w:line="240" w:lineRule="auto"/>
      </w:pPr>
      <w:r>
        <w:separator/>
      </w:r>
    </w:p>
  </w:endnote>
  <w:endnote w:type="continuationSeparator" w:id="0">
    <w:p w14:paraId="1939566D" w14:textId="77777777" w:rsidR="00B65EC3" w:rsidRDefault="00B65EC3"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19F43FE7" w14:textId="77777777" w:rsidR="00F6450F" w:rsidRPr="001D4232" w:rsidRDefault="00F6450F">
        <w:pPr>
          <w:pStyle w:val="Footer"/>
          <w:jc w:val="center"/>
          <w:rPr>
            <w:rFonts w:ascii="Times New Roman" w:hAnsi="Times New Roman" w:cs="Times New Roman"/>
            <w:sz w:val="28"/>
          </w:rPr>
        </w:pPr>
      </w:p>
      <w:p w14:paraId="4A443F2F" w14:textId="77777777" w:rsidR="00263AE4" w:rsidRPr="001D4232" w:rsidRDefault="00A63459">
        <w:pPr>
          <w:pStyle w:val="Footer"/>
          <w:jc w:val="center"/>
          <w:rPr>
            <w:rFonts w:ascii="Times New Roman" w:hAnsi="Times New Roman" w:cs="Times New Roman"/>
            <w:sz w:val="20"/>
          </w:rPr>
        </w:pPr>
        <w:r w:rsidRPr="001D4232">
          <w:rPr>
            <w:rFonts w:ascii="Times New Roman" w:hAnsi="Times New Roman" w:cs="Times New Roman"/>
            <w:sz w:val="20"/>
          </w:rPr>
          <w:fldChar w:fldCharType="begin"/>
        </w:r>
        <w:r w:rsidR="00A22248" w:rsidRPr="001D4232">
          <w:rPr>
            <w:rFonts w:ascii="Times New Roman" w:hAnsi="Times New Roman" w:cs="Times New Roman"/>
            <w:sz w:val="20"/>
          </w:rPr>
          <w:instrText xml:space="preserve"> PAGE   \* MERGEFORMAT </w:instrText>
        </w:r>
        <w:r w:rsidRPr="001D4232">
          <w:rPr>
            <w:rFonts w:ascii="Times New Roman" w:hAnsi="Times New Roman" w:cs="Times New Roman"/>
            <w:sz w:val="20"/>
          </w:rPr>
          <w:fldChar w:fldCharType="separate"/>
        </w:r>
        <w:r w:rsidR="00F018B4" w:rsidRPr="001D4232">
          <w:rPr>
            <w:rFonts w:ascii="Times New Roman" w:hAnsi="Times New Roman" w:cs="Times New Roman"/>
            <w:noProof/>
            <w:sz w:val="20"/>
          </w:rPr>
          <w:t>10</w:t>
        </w:r>
        <w:r w:rsidRPr="001D4232">
          <w:rPr>
            <w:rFonts w:ascii="Times New Roman" w:hAnsi="Times New Roman" w:cs="Times New Roman"/>
            <w:sz w:val="20"/>
          </w:rPr>
          <w:fldChar w:fldCharType="end"/>
        </w:r>
      </w:p>
      <w:p w14:paraId="3738C5BE" w14:textId="77777777" w:rsidR="00485F13" w:rsidRPr="001D4232" w:rsidRDefault="00AD345B">
        <w:pPr>
          <w:pStyle w:val="Footer"/>
          <w:jc w:val="center"/>
          <w:rPr>
            <w:rFonts w:ascii="Times New Roman" w:hAnsi="Times New Roman" w:cs="Times New Roman"/>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46C5" w14:textId="2FB26B1F" w:rsidR="00E72385" w:rsidRPr="001D4232"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1D4232">
      <w:rPr>
        <w:rFonts w:ascii="Times New Roman" w:eastAsia="Times New Roman" w:hAnsi="Times New Roman" w:cs="Times New Roman"/>
        <w:sz w:val="16"/>
        <w:szCs w:val="20"/>
      </w:rPr>
      <w:t>____________________________________________</w:t>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r>
    <w:r w:rsidRPr="001D4232">
      <w:rPr>
        <w:rFonts w:ascii="Times New Roman" w:eastAsia="Times New Roman" w:hAnsi="Times New Roman" w:cs="Times New Roman"/>
        <w:sz w:val="16"/>
        <w:szCs w:val="20"/>
      </w:rPr>
      <w:softHyphen/>
      <w:t>_________________________________________________________</w:t>
    </w:r>
    <w:r w:rsidR="001D4232">
      <w:rPr>
        <w:rFonts w:ascii="Times New Roman" w:eastAsia="Times New Roman" w:hAnsi="Times New Roman" w:cs="Times New Roman"/>
        <w:sz w:val="16"/>
        <w:szCs w:val="20"/>
      </w:rPr>
      <w:t>___________</w:t>
    </w:r>
  </w:p>
  <w:p w14:paraId="24B0DD4B" w14:textId="77777777" w:rsidR="00E72385" w:rsidRPr="001D4232" w:rsidRDefault="00E72385" w:rsidP="00E72385">
    <w:pPr>
      <w:spacing w:after="0" w:line="240" w:lineRule="auto"/>
      <w:jc w:val="both"/>
      <w:rPr>
        <w:rFonts w:ascii="Times New Roman" w:eastAsia="Times New Roman" w:hAnsi="Times New Roman" w:cs="Times New Roman"/>
        <w:i/>
        <w:sz w:val="16"/>
        <w:szCs w:val="20"/>
      </w:rPr>
    </w:pPr>
  </w:p>
  <w:p w14:paraId="3026450A" w14:textId="77777777" w:rsidR="00E72385" w:rsidRPr="001D4232" w:rsidRDefault="00E72385" w:rsidP="00E72385">
    <w:pPr>
      <w:spacing w:after="0" w:line="240" w:lineRule="auto"/>
      <w:jc w:val="both"/>
      <w:rPr>
        <w:rFonts w:ascii="Times New Roman" w:eastAsia="Times New Roman" w:hAnsi="Times New Roman" w:cs="Times New Roman"/>
        <w:i/>
        <w:sz w:val="16"/>
        <w:szCs w:val="20"/>
      </w:rPr>
    </w:pPr>
    <w:r w:rsidRPr="001D4232">
      <w:rPr>
        <w:rFonts w:ascii="Times New Roman" w:eastAsia="Times New Roman" w:hAnsi="Times New Roman" w:cs="Times New Roman"/>
        <w:i/>
        <w:sz w:val="16"/>
        <w:szCs w:val="20"/>
      </w:rPr>
      <w:t>*Corresponding author: Email: ………………………….;</w:t>
    </w:r>
  </w:p>
  <w:p w14:paraId="47334C5A" w14:textId="77777777" w:rsidR="008D783F" w:rsidRPr="001D4232" w:rsidRDefault="008D783F" w:rsidP="00E72385">
    <w:pPr>
      <w:spacing w:after="0" w:line="240" w:lineRule="auto"/>
      <w:jc w:val="both"/>
      <w:rPr>
        <w:rFonts w:ascii="Times New Roman" w:eastAsia="Times New Roman" w:hAnsi="Times New Roman" w:cs="Times New Roman"/>
        <w:i/>
        <w:sz w:val="16"/>
        <w:szCs w:val="20"/>
      </w:rPr>
    </w:pPr>
  </w:p>
  <w:p w14:paraId="322FB5A7" w14:textId="77777777" w:rsidR="00EE024C" w:rsidRPr="001D4232" w:rsidRDefault="00EE024C" w:rsidP="00EE024C">
    <w:pPr>
      <w:pStyle w:val="Footer"/>
      <w:jc w:val="both"/>
      <w:rPr>
        <w:rFonts w:ascii="Times New Roman" w:hAnsi="Times New Roman" w:cs="Times New Roman"/>
        <w:b/>
        <w:bCs/>
        <w:i/>
        <w:sz w:val="16"/>
      </w:rPr>
    </w:pPr>
    <w:r w:rsidRPr="001D4232">
      <w:rPr>
        <w:rFonts w:ascii="Times New Roman" w:hAnsi="Times New Roman" w:cs="Times New Roman"/>
        <w:b/>
        <w:bCs/>
        <w:i/>
        <w:sz w:val="16"/>
      </w:rPr>
      <w:t>Cite as:</w:t>
    </w:r>
  </w:p>
  <w:p w14:paraId="6B5892E5" w14:textId="77777777" w:rsidR="00EE024C" w:rsidRPr="001D4232" w:rsidRDefault="00EE024C" w:rsidP="00EE024C">
    <w:pPr>
      <w:pStyle w:val="Footer"/>
      <w:jc w:val="both"/>
      <w:rPr>
        <w:rFonts w:ascii="Times New Roman" w:hAnsi="Times New Roman" w:cs="Times New Roman"/>
        <w:i/>
        <w:sz w:val="16"/>
      </w:rPr>
    </w:pPr>
  </w:p>
  <w:p w14:paraId="3103E435" w14:textId="77777777" w:rsidR="0043792F" w:rsidRPr="001D4232" w:rsidRDefault="0043792F" w:rsidP="00EE024C">
    <w:pPr>
      <w:pStyle w:val="Footer"/>
      <w:jc w:val="both"/>
      <w:rPr>
        <w:rFonts w:ascii="Times New Roman" w:hAnsi="Times New Roman" w:cs="Times New Roman"/>
        <w:i/>
        <w:sz w:val="16"/>
      </w:rPr>
    </w:pPr>
  </w:p>
  <w:p w14:paraId="4008431E" w14:textId="77777777" w:rsidR="00EE024C" w:rsidRPr="001D4232" w:rsidRDefault="00EE024C" w:rsidP="00EE024C">
    <w:pPr>
      <w:pStyle w:val="Footer"/>
      <w:jc w:val="both"/>
      <w:rPr>
        <w:rFonts w:ascii="Times New Roman" w:hAnsi="Times New Roman" w:cs="Times New Roman"/>
        <w:i/>
        <w:sz w:val="16"/>
      </w:rPr>
    </w:pPr>
  </w:p>
  <w:p w14:paraId="558332D5" w14:textId="77777777" w:rsidR="00CD3A89" w:rsidRPr="001D4232" w:rsidRDefault="00CD3A89">
    <w:pPr>
      <w:pStyle w:val="Footer"/>
      <w:rPr>
        <w:rFonts w:ascii="Times New Roman" w:hAnsi="Times New Roman" w:cs="Times New Roman"/>
        <w:sz w:val="20"/>
      </w:rPr>
    </w:pPr>
  </w:p>
  <w:p w14:paraId="2541E674" w14:textId="77777777" w:rsidR="00490A64" w:rsidRPr="001D4232"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6879" w14:textId="77777777" w:rsidR="00B65EC3" w:rsidRDefault="00B65EC3" w:rsidP="00CD3A89">
      <w:pPr>
        <w:spacing w:after="0" w:line="240" w:lineRule="auto"/>
      </w:pPr>
      <w:r>
        <w:separator/>
      </w:r>
    </w:p>
  </w:footnote>
  <w:footnote w:type="continuationSeparator" w:id="0">
    <w:p w14:paraId="7D1F1886" w14:textId="77777777" w:rsidR="00B65EC3" w:rsidRDefault="00B65EC3"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3D8A" w14:textId="4CE8C6E3" w:rsidR="00FB13D8" w:rsidRDefault="00AD345B">
    <w:pPr>
      <w:pStyle w:val="Header"/>
    </w:pPr>
    <w:r>
      <w:rPr>
        <w:noProof/>
      </w:rPr>
      <w:pict w14:anchorId="0C4EF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71032"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326C" w14:textId="0BC30AC3" w:rsidR="00171FBC" w:rsidRPr="000042C0" w:rsidRDefault="00AD345B" w:rsidP="00171FBC">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77C2E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71033"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44CD553E" w14:textId="77777777" w:rsidR="00171FBC" w:rsidRPr="000042C0"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144BF69B" w14:textId="77777777" w:rsidR="00171FBC" w:rsidRPr="000042C0"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41404BEF" w14:textId="77777777" w:rsidR="00171FBC" w:rsidRPr="000042C0"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5AADEF6E" w14:textId="591CAC5F" w:rsidR="00171FBC" w:rsidRPr="001D4232"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0042C0">
      <w:rPr>
        <w:rFonts w:ascii="Times New Roman" w:eastAsia="Times New Roman" w:hAnsi="Times New Roman" w:cs="Times New Roman"/>
        <w:i/>
        <w:sz w:val="16"/>
        <w:szCs w:val="20"/>
      </w:rPr>
      <w:t xml:space="preserve">Author name; </w:t>
    </w:r>
    <w:r w:rsidR="00C64BAF" w:rsidRPr="000042C0">
      <w:rPr>
        <w:rFonts w:ascii="Times New Roman" w:eastAsia="Times New Roman" w:hAnsi="Times New Roman" w:cs="Times New Roman"/>
        <w:i/>
        <w:sz w:val="16"/>
        <w:szCs w:val="20"/>
      </w:rPr>
      <w:t xml:space="preserve">Asian J. </w:t>
    </w:r>
    <w:proofErr w:type="spellStart"/>
    <w:r w:rsidR="00C64BAF" w:rsidRPr="000042C0">
      <w:rPr>
        <w:rFonts w:ascii="Times New Roman" w:eastAsia="Times New Roman" w:hAnsi="Times New Roman" w:cs="Times New Roman"/>
        <w:i/>
        <w:sz w:val="16"/>
        <w:szCs w:val="20"/>
      </w:rPr>
      <w:t>Pediatr</w:t>
    </w:r>
    <w:proofErr w:type="spellEnd"/>
    <w:r w:rsidR="00C64BAF" w:rsidRPr="000042C0">
      <w:rPr>
        <w:rFonts w:ascii="Times New Roman" w:eastAsia="Times New Roman" w:hAnsi="Times New Roman" w:cs="Times New Roman"/>
        <w:i/>
        <w:sz w:val="16"/>
        <w:szCs w:val="20"/>
      </w:rPr>
      <w:t>. Res., vol. xx, no. xx, pp. xx-xx, 20</w:t>
    </w:r>
    <w:r w:rsidR="00F018B4" w:rsidRPr="000042C0">
      <w:rPr>
        <w:rFonts w:ascii="Times New Roman" w:eastAsia="Times New Roman" w:hAnsi="Times New Roman" w:cs="Times New Roman"/>
        <w:i/>
        <w:sz w:val="16"/>
        <w:szCs w:val="20"/>
      </w:rPr>
      <w:t>YY</w:t>
    </w:r>
    <w:r w:rsidR="00D851AD" w:rsidRPr="000042C0">
      <w:rPr>
        <w:rFonts w:ascii="Times New Roman" w:eastAsia="Times New Roman" w:hAnsi="Times New Roman" w:cs="Times New Roman"/>
        <w:i/>
        <w:sz w:val="16"/>
        <w:szCs w:val="20"/>
      </w:rPr>
      <w:t xml:space="preserve">; Article </w:t>
    </w:r>
    <w:proofErr w:type="gramStart"/>
    <w:r w:rsidR="00D851AD" w:rsidRPr="000042C0">
      <w:rPr>
        <w:rFonts w:ascii="Times New Roman" w:eastAsia="Times New Roman" w:hAnsi="Times New Roman" w:cs="Times New Roman"/>
        <w:i/>
        <w:sz w:val="16"/>
        <w:szCs w:val="20"/>
      </w:rPr>
      <w:t>no.</w:t>
    </w:r>
    <w:r w:rsidR="008F370F" w:rsidRPr="000042C0">
      <w:rPr>
        <w:rFonts w:ascii="Times New Roman" w:eastAsia="Times New Roman" w:hAnsi="Times New Roman" w:cs="Times New Roman"/>
        <w:i/>
        <w:sz w:val="16"/>
        <w:szCs w:val="20"/>
      </w:rPr>
      <w:t>AJPR</w:t>
    </w:r>
    <w:proofErr w:type="gramEnd"/>
    <w:r w:rsidR="000042C0" w:rsidRPr="000042C0">
      <w:rPr>
        <w:rFonts w:ascii="Times New Roman" w:eastAsia="Times New Roman" w:hAnsi="Times New Roman" w:cs="Times New Roman"/>
        <w:i/>
        <w:sz w:val="16"/>
        <w:szCs w:val="20"/>
      </w:rPr>
      <w:t>.153409</w:t>
    </w:r>
  </w:p>
  <w:p w14:paraId="5DC74678" w14:textId="77777777" w:rsidR="00974577" w:rsidRPr="001D4232"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40E75EEF" w14:textId="77777777" w:rsidR="00171FBC" w:rsidRPr="001D4232"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CF21" w14:textId="5E0A1212" w:rsidR="00FB13D8" w:rsidRDefault="00AD345B">
    <w:pPr>
      <w:pStyle w:val="Header"/>
    </w:pPr>
    <w:r>
      <w:rPr>
        <w:noProof/>
      </w:rPr>
      <w:pict w14:anchorId="0CDB8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71031"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57DF6"/>
    <w:multiLevelType w:val="hybridMultilevel"/>
    <w:tmpl w:val="57A6E6FC"/>
    <w:lvl w:ilvl="0" w:tplc="14D0E97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A15442"/>
    <w:multiLevelType w:val="hybridMultilevel"/>
    <w:tmpl w:val="6A804F94"/>
    <w:lvl w:ilvl="0" w:tplc="14D0E97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1A1A9F"/>
    <w:multiLevelType w:val="hybridMultilevel"/>
    <w:tmpl w:val="1C96163C"/>
    <w:styleLink w:val="ImportedStyle1"/>
    <w:lvl w:ilvl="0" w:tplc="491E8C3E">
      <w:start w:val="1"/>
      <w:numFmt w:val="decimal"/>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tplc="8B02596A">
      <w:start w:val="1"/>
      <w:numFmt w:val="decimal"/>
      <w:lvlText w:val="%2."/>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2" w:tplc="A01CE5BA">
      <w:start w:val="1"/>
      <w:numFmt w:val="decimal"/>
      <w:lvlText w:val="%3."/>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C74E7D3E">
      <w:start w:val="1"/>
      <w:numFmt w:val="decimal"/>
      <w:lvlText w:val="%4."/>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4176AC7E">
      <w:start w:val="1"/>
      <w:numFmt w:val="decimal"/>
      <w:lvlText w:val="%5."/>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D509984">
      <w:start w:val="1"/>
      <w:numFmt w:val="decimal"/>
      <w:lvlText w:val="%6."/>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F70AC014">
      <w:start w:val="1"/>
      <w:numFmt w:val="decimal"/>
      <w:lvlText w:val="%7."/>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7" w:tplc="31F626C4">
      <w:start w:val="1"/>
      <w:numFmt w:val="decimal"/>
      <w:lvlText w:val="%8."/>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738C60CC">
      <w:start w:val="1"/>
      <w:numFmt w:val="decimal"/>
      <w:lvlText w:val="%9."/>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56C5472"/>
    <w:multiLevelType w:val="hybridMultilevel"/>
    <w:tmpl w:val="4FD6534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E6DC8"/>
    <w:multiLevelType w:val="hybridMultilevel"/>
    <w:tmpl w:val="1C96163C"/>
    <w:numStyleLink w:val="ImportedStyle1"/>
  </w:abstractNum>
  <w:num w:numId="1">
    <w:abstractNumId w:val="4"/>
  </w:num>
  <w:num w:numId="2">
    <w:abstractNumId w:val="2"/>
  </w:num>
  <w:num w:numId="3">
    <w:abstractNumId w:val="5"/>
  </w:num>
  <w:num w:numId="4">
    <w:abstractNumId w:val="5"/>
    <w:lvlOverride w:ilvl="0">
      <w:startOverride w:val="2"/>
    </w:lvlOverride>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zMLU0NzAxMTEwtDRU0lEKTi0uzszPAykwrAUAWYl2jCwAAAA="/>
  </w:docVars>
  <w:rsids>
    <w:rsidRoot w:val="00C13266"/>
    <w:rsid w:val="000042C0"/>
    <w:rsid w:val="000140EA"/>
    <w:rsid w:val="000372DB"/>
    <w:rsid w:val="00041716"/>
    <w:rsid w:val="000579D2"/>
    <w:rsid w:val="00095EBC"/>
    <w:rsid w:val="000A2031"/>
    <w:rsid w:val="000A490B"/>
    <w:rsid w:val="000C2408"/>
    <w:rsid w:val="000D0543"/>
    <w:rsid w:val="001004BF"/>
    <w:rsid w:val="00100B40"/>
    <w:rsid w:val="0010611F"/>
    <w:rsid w:val="001163DC"/>
    <w:rsid w:val="00117484"/>
    <w:rsid w:val="00124A37"/>
    <w:rsid w:val="0013012E"/>
    <w:rsid w:val="00130ABB"/>
    <w:rsid w:val="0014371C"/>
    <w:rsid w:val="001458EB"/>
    <w:rsid w:val="00150CE4"/>
    <w:rsid w:val="00162C18"/>
    <w:rsid w:val="00171FBC"/>
    <w:rsid w:val="00183B6A"/>
    <w:rsid w:val="00187B03"/>
    <w:rsid w:val="00190C2D"/>
    <w:rsid w:val="00196C77"/>
    <w:rsid w:val="001A4A55"/>
    <w:rsid w:val="001A69A3"/>
    <w:rsid w:val="001B111C"/>
    <w:rsid w:val="001C4B7A"/>
    <w:rsid w:val="001D00F5"/>
    <w:rsid w:val="001D4232"/>
    <w:rsid w:val="001F2CAD"/>
    <w:rsid w:val="00205B59"/>
    <w:rsid w:val="00220A21"/>
    <w:rsid w:val="002367E7"/>
    <w:rsid w:val="00250135"/>
    <w:rsid w:val="002573C9"/>
    <w:rsid w:val="00260707"/>
    <w:rsid w:val="00263AE4"/>
    <w:rsid w:val="0028695F"/>
    <w:rsid w:val="0029415C"/>
    <w:rsid w:val="00297CC0"/>
    <w:rsid w:val="002A041A"/>
    <w:rsid w:val="002A078A"/>
    <w:rsid w:val="002A635B"/>
    <w:rsid w:val="002B02E7"/>
    <w:rsid w:val="002B0554"/>
    <w:rsid w:val="002C7DF4"/>
    <w:rsid w:val="002D6E70"/>
    <w:rsid w:val="002F3708"/>
    <w:rsid w:val="002F3735"/>
    <w:rsid w:val="002F4EB4"/>
    <w:rsid w:val="0030083E"/>
    <w:rsid w:val="00306268"/>
    <w:rsid w:val="0031000A"/>
    <w:rsid w:val="0031517D"/>
    <w:rsid w:val="00323AA8"/>
    <w:rsid w:val="00330A1B"/>
    <w:rsid w:val="00332601"/>
    <w:rsid w:val="003349BB"/>
    <w:rsid w:val="00335947"/>
    <w:rsid w:val="0036357D"/>
    <w:rsid w:val="00370C0D"/>
    <w:rsid w:val="00376494"/>
    <w:rsid w:val="00380ACB"/>
    <w:rsid w:val="003977A9"/>
    <w:rsid w:val="003B2B85"/>
    <w:rsid w:val="003B4704"/>
    <w:rsid w:val="003C6CA8"/>
    <w:rsid w:val="003D0DD7"/>
    <w:rsid w:val="003F07E8"/>
    <w:rsid w:val="003F1048"/>
    <w:rsid w:val="003F47A0"/>
    <w:rsid w:val="003F539D"/>
    <w:rsid w:val="00400222"/>
    <w:rsid w:val="00412C6C"/>
    <w:rsid w:val="00414B91"/>
    <w:rsid w:val="00424421"/>
    <w:rsid w:val="0043035E"/>
    <w:rsid w:val="00431175"/>
    <w:rsid w:val="0043792F"/>
    <w:rsid w:val="004406CC"/>
    <w:rsid w:val="0044424D"/>
    <w:rsid w:val="00454377"/>
    <w:rsid w:val="00455B14"/>
    <w:rsid w:val="004573F9"/>
    <w:rsid w:val="00462AFD"/>
    <w:rsid w:val="004703DB"/>
    <w:rsid w:val="004743E7"/>
    <w:rsid w:val="00485F13"/>
    <w:rsid w:val="0048681C"/>
    <w:rsid w:val="00490A64"/>
    <w:rsid w:val="0049251F"/>
    <w:rsid w:val="004A0A3D"/>
    <w:rsid w:val="004B60EC"/>
    <w:rsid w:val="004C5D40"/>
    <w:rsid w:val="004D35A0"/>
    <w:rsid w:val="004D6091"/>
    <w:rsid w:val="004E094F"/>
    <w:rsid w:val="004F2706"/>
    <w:rsid w:val="0051528E"/>
    <w:rsid w:val="00536BCB"/>
    <w:rsid w:val="005460A2"/>
    <w:rsid w:val="00546457"/>
    <w:rsid w:val="00562C90"/>
    <w:rsid w:val="00563B10"/>
    <w:rsid w:val="005674A2"/>
    <w:rsid w:val="0057057D"/>
    <w:rsid w:val="005722FD"/>
    <w:rsid w:val="005734C1"/>
    <w:rsid w:val="0058198B"/>
    <w:rsid w:val="00591A97"/>
    <w:rsid w:val="005A1751"/>
    <w:rsid w:val="005C26C6"/>
    <w:rsid w:val="005C63EE"/>
    <w:rsid w:val="005E31AC"/>
    <w:rsid w:val="005E7990"/>
    <w:rsid w:val="005F722D"/>
    <w:rsid w:val="00604FB0"/>
    <w:rsid w:val="00647361"/>
    <w:rsid w:val="00653D38"/>
    <w:rsid w:val="006642C2"/>
    <w:rsid w:val="00670C2D"/>
    <w:rsid w:val="00682F1A"/>
    <w:rsid w:val="006853A4"/>
    <w:rsid w:val="0068719D"/>
    <w:rsid w:val="006A2F45"/>
    <w:rsid w:val="006A3FCB"/>
    <w:rsid w:val="006C4A4E"/>
    <w:rsid w:val="006C667C"/>
    <w:rsid w:val="006C7C39"/>
    <w:rsid w:val="006D658B"/>
    <w:rsid w:val="006F2B2E"/>
    <w:rsid w:val="00703125"/>
    <w:rsid w:val="007046D7"/>
    <w:rsid w:val="00705F5A"/>
    <w:rsid w:val="007147B7"/>
    <w:rsid w:val="00716F22"/>
    <w:rsid w:val="00721737"/>
    <w:rsid w:val="007240A8"/>
    <w:rsid w:val="00731B8B"/>
    <w:rsid w:val="007323FC"/>
    <w:rsid w:val="00747D62"/>
    <w:rsid w:val="007562A1"/>
    <w:rsid w:val="007622EE"/>
    <w:rsid w:val="00765BD4"/>
    <w:rsid w:val="00785993"/>
    <w:rsid w:val="007B380F"/>
    <w:rsid w:val="007B63EC"/>
    <w:rsid w:val="007C49C7"/>
    <w:rsid w:val="007E02F8"/>
    <w:rsid w:val="007E4345"/>
    <w:rsid w:val="007F0826"/>
    <w:rsid w:val="007F504C"/>
    <w:rsid w:val="008032D9"/>
    <w:rsid w:val="00807ED0"/>
    <w:rsid w:val="00812548"/>
    <w:rsid w:val="00825F35"/>
    <w:rsid w:val="0083063E"/>
    <w:rsid w:val="00843678"/>
    <w:rsid w:val="00845B64"/>
    <w:rsid w:val="00853DC1"/>
    <w:rsid w:val="008636A8"/>
    <w:rsid w:val="0087088F"/>
    <w:rsid w:val="00873867"/>
    <w:rsid w:val="00873A5C"/>
    <w:rsid w:val="008776D1"/>
    <w:rsid w:val="00892474"/>
    <w:rsid w:val="008C3188"/>
    <w:rsid w:val="008C3497"/>
    <w:rsid w:val="008C6BA8"/>
    <w:rsid w:val="008D783F"/>
    <w:rsid w:val="008F370F"/>
    <w:rsid w:val="008F67E8"/>
    <w:rsid w:val="00900125"/>
    <w:rsid w:val="009431AE"/>
    <w:rsid w:val="00944673"/>
    <w:rsid w:val="00945900"/>
    <w:rsid w:val="00951D84"/>
    <w:rsid w:val="00953210"/>
    <w:rsid w:val="00962251"/>
    <w:rsid w:val="00974577"/>
    <w:rsid w:val="0098174A"/>
    <w:rsid w:val="00982102"/>
    <w:rsid w:val="00982184"/>
    <w:rsid w:val="00984737"/>
    <w:rsid w:val="009A498E"/>
    <w:rsid w:val="009B0B88"/>
    <w:rsid w:val="009D5065"/>
    <w:rsid w:val="009E1EFB"/>
    <w:rsid w:val="009E40C5"/>
    <w:rsid w:val="00A0172A"/>
    <w:rsid w:val="00A0275B"/>
    <w:rsid w:val="00A20DCF"/>
    <w:rsid w:val="00A21828"/>
    <w:rsid w:val="00A22248"/>
    <w:rsid w:val="00A22FB8"/>
    <w:rsid w:val="00A30A6F"/>
    <w:rsid w:val="00A324F0"/>
    <w:rsid w:val="00A3474E"/>
    <w:rsid w:val="00A45732"/>
    <w:rsid w:val="00A5393A"/>
    <w:rsid w:val="00A5640A"/>
    <w:rsid w:val="00A61B2E"/>
    <w:rsid w:val="00A63459"/>
    <w:rsid w:val="00A6662D"/>
    <w:rsid w:val="00A706F7"/>
    <w:rsid w:val="00A858E6"/>
    <w:rsid w:val="00A90597"/>
    <w:rsid w:val="00A90DA5"/>
    <w:rsid w:val="00AA0D41"/>
    <w:rsid w:val="00AA3F44"/>
    <w:rsid w:val="00AB7D38"/>
    <w:rsid w:val="00AC3409"/>
    <w:rsid w:val="00AD345B"/>
    <w:rsid w:val="00AE1C1D"/>
    <w:rsid w:val="00AE278A"/>
    <w:rsid w:val="00AE7C5C"/>
    <w:rsid w:val="00AF3F5A"/>
    <w:rsid w:val="00AF47AA"/>
    <w:rsid w:val="00B0024F"/>
    <w:rsid w:val="00B00B01"/>
    <w:rsid w:val="00B03773"/>
    <w:rsid w:val="00B13E07"/>
    <w:rsid w:val="00B15404"/>
    <w:rsid w:val="00B22FF9"/>
    <w:rsid w:val="00B2423D"/>
    <w:rsid w:val="00B249E1"/>
    <w:rsid w:val="00B414F6"/>
    <w:rsid w:val="00B635EC"/>
    <w:rsid w:val="00B65EC3"/>
    <w:rsid w:val="00B66D5B"/>
    <w:rsid w:val="00B6797E"/>
    <w:rsid w:val="00B75F26"/>
    <w:rsid w:val="00B7605E"/>
    <w:rsid w:val="00B8786D"/>
    <w:rsid w:val="00B950C8"/>
    <w:rsid w:val="00B976CC"/>
    <w:rsid w:val="00BA1088"/>
    <w:rsid w:val="00BA568A"/>
    <w:rsid w:val="00BB4AC5"/>
    <w:rsid w:val="00BB5B02"/>
    <w:rsid w:val="00BB5B87"/>
    <w:rsid w:val="00BC697D"/>
    <w:rsid w:val="00BD060A"/>
    <w:rsid w:val="00BE5EA3"/>
    <w:rsid w:val="00C11417"/>
    <w:rsid w:val="00C13266"/>
    <w:rsid w:val="00C14909"/>
    <w:rsid w:val="00C32323"/>
    <w:rsid w:val="00C333AF"/>
    <w:rsid w:val="00C356FE"/>
    <w:rsid w:val="00C44CE1"/>
    <w:rsid w:val="00C47C47"/>
    <w:rsid w:val="00C56D42"/>
    <w:rsid w:val="00C64BAF"/>
    <w:rsid w:val="00C972F4"/>
    <w:rsid w:val="00CB0A4D"/>
    <w:rsid w:val="00CB60C5"/>
    <w:rsid w:val="00CD2593"/>
    <w:rsid w:val="00CD3A89"/>
    <w:rsid w:val="00CD3B60"/>
    <w:rsid w:val="00CD4AFC"/>
    <w:rsid w:val="00CD5E65"/>
    <w:rsid w:val="00CE3E7D"/>
    <w:rsid w:val="00CF383C"/>
    <w:rsid w:val="00CF722D"/>
    <w:rsid w:val="00D20C8C"/>
    <w:rsid w:val="00D210BB"/>
    <w:rsid w:val="00D22194"/>
    <w:rsid w:val="00D46D6E"/>
    <w:rsid w:val="00D51808"/>
    <w:rsid w:val="00D61E1D"/>
    <w:rsid w:val="00D720CF"/>
    <w:rsid w:val="00D76E4A"/>
    <w:rsid w:val="00D851AD"/>
    <w:rsid w:val="00D86E4B"/>
    <w:rsid w:val="00D931D5"/>
    <w:rsid w:val="00D93460"/>
    <w:rsid w:val="00DC63AB"/>
    <w:rsid w:val="00DE5E5F"/>
    <w:rsid w:val="00DF0C05"/>
    <w:rsid w:val="00E2018E"/>
    <w:rsid w:val="00E214BA"/>
    <w:rsid w:val="00E2233D"/>
    <w:rsid w:val="00E41FFD"/>
    <w:rsid w:val="00E448E0"/>
    <w:rsid w:val="00E45DCD"/>
    <w:rsid w:val="00E46D35"/>
    <w:rsid w:val="00E51A67"/>
    <w:rsid w:val="00E531CD"/>
    <w:rsid w:val="00E702F4"/>
    <w:rsid w:val="00E7093B"/>
    <w:rsid w:val="00E72385"/>
    <w:rsid w:val="00E73D8F"/>
    <w:rsid w:val="00E743C6"/>
    <w:rsid w:val="00E8718E"/>
    <w:rsid w:val="00EB1005"/>
    <w:rsid w:val="00EB740E"/>
    <w:rsid w:val="00EB7881"/>
    <w:rsid w:val="00EC09B7"/>
    <w:rsid w:val="00EC7D72"/>
    <w:rsid w:val="00ED402E"/>
    <w:rsid w:val="00ED56A4"/>
    <w:rsid w:val="00ED6468"/>
    <w:rsid w:val="00EE024C"/>
    <w:rsid w:val="00EF0CC8"/>
    <w:rsid w:val="00EF3322"/>
    <w:rsid w:val="00F018B4"/>
    <w:rsid w:val="00F0322C"/>
    <w:rsid w:val="00F55591"/>
    <w:rsid w:val="00F56977"/>
    <w:rsid w:val="00F57A05"/>
    <w:rsid w:val="00F62C79"/>
    <w:rsid w:val="00F6450F"/>
    <w:rsid w:val="00F656D4"/>
    <w:rsid w:val="00F83CEA"/>
    <w:rsid w:val="00FA285B"/>
    <w:rsid w:val="00FA6E5A"/>
    <w:rsid w:val="00FB13D8"/>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55"/>
        <o:r id="V:Rule4" type="connector" idref="#_x0000_s1054"/>
      </o:rules>
    </o:shapelayout>
  </w:shapeDefaults>
  <w:decimalSymbol w:val="."/>
  <w:listSeparator w:val=","/>
  <w14:docId w14:val="0A4D5D34"/>
  <w15:docId w15:val="{408C3F99-1E52-492B-8539-DD24E283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0083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083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0083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0083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083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083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0083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0083E"/>
    <w:rPr>
      <w:rFonts w:ascii="Arial" w:eastAsiaTheme="majorEastAsia" w:hAnsi="Arial" w:cstheme="majorBidi"/>
      <w:b/>
      <w:bCs/>
      <w:i/>
      <w:iCs/>
      <w:sz w:val="20"/>
    </w:rPr>
  </w:style>
  <w:style w:type="numbering" w:customStyle="1" w:styleId="ImportedStyle1">
    <w:name w:val="Imported Style 1"/>
    <w:rsid w:val="000042C0"/>
    <w:pPr>
      <w:numPr>
        <w:numId w:val="2"/>
      </w:numPr>
    </w:pPr>
  </w:style>
  <w:style w:type="paragraph" w:styleId="ListParagraph">
    <w:name w:val="List Paragraph"/>
    <w:basedOn w:val="Normal"/>
    <w:uiPriority w:val="34"/>
    <w:qFormat/>
    <w:rsid w:val="000042C0"/>
    <w:pPr>
      <w:ind w:left="720"/>
      <w:contextualSpacing/>
    </w:pPr>
  </w:style>
  <w:style w:type="table" w:styleId="TableGrid">
    <w:name w:val="Table Grid"/>
    <w:basedOn w:val="TableNormal"/>
    <w:uiPriority w:val="59"/>
    <w:rsid w:val="0000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02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0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1643">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548491641">
      <w:bodyDiv w:val="1"/>
      <w:marLeft w:val="0"/>
      <w:marRight w:val="0"/>
      <w:marTop w:val="0"/>
      <w:marBottom w:val="0"/>
      <w:divBdr>
        <w:top w:val="none" w:sz="0" w:space="0" w:color="auto"/>
        <w:left w:val="none" w:sz="0" w:space="0" w:color="auto"/>
        <w:bottom w:val="none" w:sz="0" w:space="0" w:color="auto"/>
        <w:right w:val="none" w:sz="0" w:space="0" w:color="auto"/>
      </w:divBdr>
    </w:div>
    <w:div w:id="742096763">
      <w:bodyDiv w:val="1"/>
      <w:marLeft w:val="0"/>
      <w:marRight w:val="0"/>
      <w:marTop w:val="0"/>
      <w:marBottom w:val="0"/>
      <w:divBdr>
        <w:top w:val="none" w:sz="0" w:space="0" w:color="auto"/>
        <w:left w:val="none" w:sz="0" w:space="0" w:color="auto"/>
        <w:bottom w:val="none" w:sz="0" w:space="0" w:color="auto"/>
        <w:right w:val="none" w:sz="0" w:space="0" w:color="auto"/>
      </w:divBdr>
    </w:div>
    <w:div w:id="1017584107">
      <w:bodyDiv w:val="1"/>
      <w:marLeft w:val="0"/>
      <w:marRight w:val="0"/>
      <w:marTop w:val="0"/>
      <w:marBottom w:val="0"/>
      <w:divBdr>
        <w:top w:val="none" w:sz="0" w:space="0" w:color="auto"/>
        <w:left w:val="none" w:sz="0" w:space="0" w:color="auto"/>
        <w:bottom w:val="none" w:sz="0" w:space="0" w:color="auto"/>
        <w:right w:val="none" w:sz="0" w:space="0" w:color="auto"/>
      </w:divBdr>
    </w:div>
    <w:div w:id="1103839783">
      <w:bodyDiv w:val="1"/>
      <w:marLeft w:val="0"/>
      <w:marRight w:val="0"/>
      <w:marTop w:val="0"/>
      <w:marBottom w:val="0"/>
      <w:divBdr>
        <w:top w:val="none" w:sz="0" w:space="0" w:color="auto"/>
        <w:left w:val="none" w:sz="0" w:space="0" w:color="auto"/>
        <w:bottom w:val="none" w:sz="0" w:space="0" w:color="auto"/>
        <w:right w:val="none" w:sz="0" w:space="0" w:color="auto"/>
      </w:divBdr>
    </w:div>
    <w:div w:id="1150095299">
      <w:bodyDiv w:val="1"/>
      <w:marLeft w:val="0"/>
      <w:marRight w:val="0"/>
      <w:marTop w:val="0"/>
      <w:marBottom w:val="0"/>
      <w:divBdr>
        <w:top w:val="none" w:sz="0" w:space="0" w:color="auto"/>
        <w:left w:val="none" w:sz="0" w:space="0" w:color="auto"/>
        <w:bottom w:val="none" w:sz="0" w:space="0" w:color="auto"/>
        <w:right w:val="none" w:sz="0" w:space="0" w:color="auto"/>
      </w:divBdr>
    </w:div>
    <w:div w:id="1459715715">
      <w:bodyDiv w:val="1"/>
      <w:marLeft w:val="0"/>
      <w:marRight w:val="0"/>
      <w:marTop w:val="0"/>
      <w:marBottom w:val="0"/>
      <w:divBdr>
        <w:top w:val="none" w:sz="0" w:space="0" w:color="auto"/>
        <w:left w:val="none" w:sz="0" w:space="0" w:color="auto"/>
        <w:bottom w:val="none" w:sz="0" w:space="0" w:color="auto"/>
        <w:right w:val="none" w:sz="0" w:space="0" w:color="auto"/>
      </w:divBdr>
    </w:div>
    <w:div w:id="1549417930">
      <w:bodyDiv w:val="1"/>
      <w:marLeft w:val="0"/>
      <w:marRight w:val="0"/>
      <w:marTop w:val="0"/>
      <w:marBottom w:val="0"/>
      <w:divBdr>
        <w:top w:val="none" w:sz="0" w:space="0" w:color="auto"/>
        <w:left w:val="none" w:sz="0" w:space="0" w:color="auto"/>
        <w:bottom w:val="none" w:sz="0" w:space="0" w:color="auto"/>
        <w:right w:val="none" w:sz="0" w:space="0" w:color="auto"/>
      </w:divBdr>
    </w:div>
    <w:div w:id="19468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02617-4D08-47E9-8B5C-1EEFE6EB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181</cp:revision>
  <dcterms:created xsi:type="dcterms:W3CDTF">2014-09-20T11:25:00Z</dcterms:created>
  <dcterms:modified xsi:type="dcterms:W3CDTF">2026-04-02T12:23:00Z</dcterms:modified>
</cp:coreProperties>
</file>