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02EB86" w14:textId="77777777" w:rsidR="00FD7E85" w:rsidRDefault="00FD7E85">
      <w:pPr>
        <w:pStyle w:val="Title"/>
        <w:spacing w:after="0"/>
        <w:jc w:val="both"/>
        <w:rPr>
          <w:rFonts w:ascii="Arial" w:hAnsi="Arial" w:cs="Arial"/>
        </w:rPr>
      </w:pPr>
    </w:p>
    <w:p w14:paraId="44122761" w14:textId="77777777" w:rsidR="00FD7E85" w:rsidRDefault="00FD7E85">
      <w:pPr>
        <w:pStyle w:val="Author"/>
        <w:spacing w:line="240" w:lineRule="auto"/>
        <w:rPr>
          <w:rFonts w:ascii="Arial" w:hAnsi="Arial" w:cs="Arial"/>
          <w:bCs/>
          <w:iCs/>
          <w:kern w:val="28"/>
          <w:sz w:val="36"/>
        </w:rPr>
      </w:pPr>
    </w:p>
    <w:p w14:paraId="077D9AD2" w14:textId="46FAA46D" w:rsidR="00FD7E85" w:rsidRDefault="005F06D5">
      <w:pPr>
        <w:pStyle w:val="Author"/>
        <w:spacing w:line="240" w:lineRule="auto"/>
        <w:rPr>
          <w:rFonts w:ascii="Arial" w:hAnsi="Arial" w:cs="Arial"/>
          <w:bCs/>
          <w:iCs/>
          <w:kern w:val="28"/>
          <w:sz w:val="36"/>
        </w:rPr>
      </w:pPr>
      <w:bookmarkStart w:id="0" w:name="_Hlk223165617"/>
      <w:r>
        <w:rPr>
          <w:rFonts w:ascii="Arial" w:hAnsi="Arial" w:cs="Arial"/>
          <w:bCs/>
          <w:iCs/>
          <w:kern w:val="28"/>
          <w:sz w:val="32"/>
          <w:szCs w:val="32"/>
        </w:rPr>
        <w:t xml:space="preserve">Fetal Outcomes and Prevalence </w:t>
      </w:r>
      <w:proofErr w:type="gramStart"/>
      <w:r>
        <w:rPr>
          <w:rFonts w:ascii="Arial" w:hAnsi="Arial" w:cs="Arial"/>
          <w:bCs/>
          <w:iCs/>
          <w:kern w:val="28"/>
          <w:sz w:val="32"/>
          <w:szCs w:val="32"/>
        </w:rPr>
        <w:t>Of</w:t>
      </w:r>
      <w:proofErr w:type="gramEnd"/>
      <w:r>
        <w:rPr>
          <w:rFonts w:ascii="Arial" w:hAnsi="Arial" w:cs="Arial"/>
          <w:bCs/>
          <w:iCs/>
          <w:kern w:val="28"/>
          <w:sz w:val="32"/>
          <w:szCs w:val="32"/>
        </w:rPr>
        <w:t xml:space="preserve"> Abnormal Umbilical Artery Doppler Ultrasound Among Pregnant Women Diagnosed With Pregnancy Induced Hypertension At Moshi Municipal</w:t>
      </w:r>
      <w:r w:rsidR="004E10E2">
        <w:rPr>
          <w:rFonts w:ascii="Arial" w:hAnsi="Arial" w:cs="Arial"/>
          <w:bCs/>
          <w:iCs/>
          <w:kern w:val="28"/>
          <w:sz w:val="32"/>
          <w:szCs w:val="32"/>
        </w:rPr>
        <w:t>,</w:t>
      </w:r>
      <w:r w:rsidR="004E10E2" w:rsidRPr="004E10E2">
        <w:t xml:space="preserve"> </w:t>
      </w:r>
      <w:r w:rsidR="004E10E2" w:rsidRPr="004E10E2">
        <w:rPr>
          <w:rFonts w:ascii="Arial" w:hAnsi="Arial" w:cs="Arial"/>
          <w:bCs/>
          <w:iCs/>
          <w:kern w:val="28"/>
          <w:sz w:val="32"/>
          <w:szCs w:val="32"/>
        </w:rPr>
        <w:t>Tanzania</w:t>
      </w:r>
    </w:p>
    <w:p w14:paraId="78A910F3" w14:textId="77777777" w:rsidR="00FD7E85" w:rsidRDefault="00FD7E85">
      <w:pPr>
        <w:pStyle w:val="Author"/>
        <w:spacing w:line="240" w:lineRule="auto"/>
        <w:rPr>
          <w:rFonts w:ascii="Arial" w:hAnsi="Arial" w:cs="Arial"/>
          <w:bCs/>
          <w:iCs/>
          <w:kern w:val="28"/>
          <w:sz w:val="36"/>
        </w:rPr>
      </w:pPr>
    </w:p>
    <w:bookmarkEnd w:id="0"/>
    <w:p w14:paraId="18085502" w14:textId="77777777" w:rsidR="00FD7E85" w:rsidRDefault="00FD7E85">
      <w:pPr>
        <w:pStyle w:val="Affiliation"/>
        <w:spacing w:after="0" w:line="240" w:lineRule="auto"/>
        <w:jc w:val="both"/>
        <w:rPr>
          <w:rFonts w:ascii="Arial" w:hAnsi="Arial" w:cs="Arial"/>
        </w:rPr>
      </w:pPr>
    </w:p>
    <w:p w14:paraId="12B1FDFA" w14:textId="77777777" w:rsidR="00FD7E85" w:rsidRDefault="00FD7E85">
      <w:pPr>
        <w:pStyle w:val="Affiliation"/>
        <w:spacing w:after="0" w:line="240" w:lineRule="auto"/>
        <w:jc w:val="both"/>
        <w:rPr>
          <w:rFonts w:ascii="Arial" w:hAnsi="Arial" w:cs="Arial"/>
        </w:rPr>
      </w:pPr>
    </w:p>
    <w:p w14:paraId="516927E7" w14:textId="77777777" w:rsidR="00FD7E85" w:rsidRDefault="00F456FA">
      <w:pPr>
        <w:pStyle w:val="Copyright"/>
        <w:spacing w:after="0" w:line="240" w:lineRule="auto"/>
        <w:jc w:val="both"/>
        <w:rPr>
          <w:rFonts w:ascii="Arial" w:hAnsi="Arial" w:cs="Arial"/>
        </w:rPr>
        <w:sectPr w:rsidR="00FD7E85">
          <w:headerReference w:type="first" r:id="rId9"/>
          <w:footerReference w:type="first" r:id="rId10"/>
          <w:pgSz w:w="12240" w:h="15840"/>
          <w:pgMar w:top="1440" w:right="2016" w:bottom="2016" w:left="2016" w:header="720" w:footer="1296" w:gutter="0"/>
          <w:lnNumType w:countBy="1" w:restart="continuous"/>
          <w:cols w:space="720"/>
          <w:docGrid w:linePitch="272"/>
        </w:sectPr>
      </w:pPr>
      <w:r>
        <w:rPr>
          <w:rFonts w:ascii="Arial" w:hAnsi="Arial" w:cs="Arial"/>
          <w:noProof/>
        </w:rPr>
        <mc:AlternateContent>
          <mc:Choice Requires="wps">
            <w:drawing>
              <wp:inline distT="0" distB="0" distL="0" distR="0" wp14:anchorId="707BE4E1" wp14:editId="5C087E4D">
                <wp:extent cx="5303520" cy="635"/>
                <wp:effectExtent l="13335" t="15240" r="17145" b="13335"/>
                <wp:docPr id="56895924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ln>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shape id="AutoShape 27" o:spid="_x0000_s1026" o:spt="32" type="#_x0000_t32" style="height:0.05pt;width:417.6pt;" filled="f" stroked="t" coordsize="21600,21600" o:gfxdata="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0kvKg0AAAAAIBAAAPAAAAAAAAAAEA&#10;IAAAACIAAABkcnMvZG93bnJldi54bWxQSwECFAAUAAAACACHTuJAn/4BLd4BAAC8AwAADgAAAAAA&#10;AAABACAAAAAfAQAAZHJzL2Uyb0RvYy54bWxQSwUGAAAAAAYABgBZAQAAbwUAAAAA&#10;">
                <v:fill on="f" focussize="0,0"/>
                <v:stroke weight="1.5pt" color="#000000" joinstyle="round"/>
                <v:imagedata o:title=""/>
                <o:lock v:ext="edit" aspectratio="f"/>
                <w10:wrap type="none"/>
                <w10:anchorlock/>
              </v:shape>
            </w:pict>
          </mc:Fallback>
        </mc:AlternateContent>
      </w:r>
      <w:r>
        <w:rPr>
          <w:rFonts w:ascii="Arial" w:hAnsi="Arial" w:cs="Arial"/>
        </w:rPr>
        <w:t>.</w:t>
      </w:r>
    </w:p>
    <w:p w14:paraId="4A2C98B7" w14:textId="77777777" w:rsidR="00FD7E85" w:rsidRDefault="00F456FA">
      <w:pPr>
        <w:pStyle w:val="AbstHead"/>
        <w:spacing w:after="0"/>
        <w:jc w:val="both"/>
        <w:rPr>
          <w:rFonts w:ascii="Arial" w:hAnsi="Arial" w:cs="Arial"/>
        </w:rPr>
      </w:pPr>
      <w:r>
        <w:rPr>
          <w:rFonts w:ascii="Arial" w:hAnsi="Arial" w:cs="Arial"/>
        </w:rPr>
        <w:t xml:space="preserve">ABSTRACT </w:t>
      </w:r>
    </w:p>
    <w:p w14:paraId="2BEB8F7B" w14:textId="77777777" w:rsidR="00FD7E85" w:rsidRDefault="00FD7E85">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FD7E85" w14:paraId="18C08EE1" w14:textId="77777777">
        <w:tc>
          <w:tcPr>
            <w:tcW w:w="9576" w:type="dxa"/>
            <w:shd w:val="clear" w:color="auto" w:fill="F2F2F2"/>
          </w:tcPr>
          <w:p w14:paraId="320E1634" w14:textId="77777777" w:rsidR="00E158F5" w:rsidRPr="00E158F5" w:rsidRDefault="00E158F5" w:rsidP="00E158F5">
            <w:pPr>
              <w:pStyle w:val="Body"/>
              <w:rPr>
                <w:rFonts w:ascii="Arial" w:eastAsia="Calibri" w:hAnsi="Arial" w:cs="Arial"/>
                <w:b/>
                <w:szCs w:val="22"/>
              </w:rPr>
            </w:pPr>
          </w:p>
          <w:p w14:paraId="5C0B2CD2" w14:textId="5F07DC57" w:rsidR="00545938" w:rsidRPr="00C24EB3" w:rsidRDefault="00E158F5" w:rsidP="00545938">
            <w:pPr>
              <w:pStyle w:val="Body"/>
              <w:rPr>
                <w:rFonts w:ascii="Arial" w:eastAsia="Calibri" w:hAnsi="Arial" w:cs="Arial"/>
                <w:b/>
                <w:bCs/>
                <w:szCs w:val="22"/>
              </w:rPr>
            </w:pPr>
            <w:r w:rsidRPr="00E158F5">
              <w:rPr>
                <w:rFonts w:ascii="Arial" w:eastAsia="Calibri" w:hAnsi="Arial" w:cs="Arial"/>
                <w:b/>
                <w:bCs/>
                <w:szCs w:val="22"/>
              </w:rPr>
              <w:t>Background</w:t>
            </w:r>
            <w:r w:rsidR="00545938">
              <w:rPr>
                <w:rFonts w:ascii="Arial" w:eastAsia="Calibri" w:hAnsi="Arial" w:cs="Arial"/>
                <w:b/>
                <w:bCs/>
                <w:szCs w:val="22"/>
              </w:rPr>
              <w:t xml:space="preserve">: </w:t>
            </w:r>
            <w:r w:rsidR="00545938" w:rsidRPr="00C24EB3">
              <w:rPr>
                <w:rFonts w:ascii="Arial" w:eastAsia="Calibri" w:hAnsi="Arial" w:cs="Arial"/>
                <w:szCs w:val="22"/>
              </w:rPr>
              <w:t xml:space="preserve">Pregnancy-Induced Hypertension (PIH) is characterized by new-onset elevated blood pressure (systolic ≥140 mmHg or diastolic ≥90 mmHg) after 20 weeks of gestation, with or without proteinuria. PIH may progress to preeclampsia, leading to placental insufficiency and adverse fetal outcomes. Umbilical artery Doppler ultrasound is a non-invasive tool that reflects placental vascular resistance and can predict </w:t>
            </w:r>
            <w:r w:rsidR="00545938" w:rsidRPr="00545938">
              <w:rPr>
                <w:rFonts w:ascii="Arial" w:eastAsia="Calibri" w:hAnsi="Arial" w:cs="Arial"/>
                <w:szCs w:val="22"/>
              </w:rPr>
              <w:t>adverse fetal outcome</w:t>
            </w:r>
            <w:r w:rsidR="00545938" w:rsidRPr="00C24EB3">
              <w:rPr>
                <w:rFonts w:ascii="Arial" w:eastAsia="Calibri" w:hAnsi="Arial" w:cs="Arial"/>
                <w:b/>
                <w:bCs/>
                <w:szCs w:val="22"/>
              </w:rPr>
              <w:t>.</w:t>
            </w:r>
          </w:p>
          <w:p w14:paraId="33C368CE" w14:textId="01C79D81" w:rsidR="00545938" w:rsidRPr="00545938" w:rsidRDefault="00545938" w:rsidP="00545938">
            <w:pPr>
              <w:pStyle w:val="Body"/>
              <w:rPr>
                <w:rFonts w:ascii="Arial" w:eastAsia="Calibri" w:hAnsi="Arial" w:cs="Arial"/>
                <w:b/>
                <w:bCs/>
                <w:szCs w:val="22"/>
              </w:rPr>
            </w:pPr>
            <w:r w:rsidRPr="00545938">
              <w:rPr>
                <w:rFonts w:ascii="Arial" w:eastAsia="Calibri" w:hAnsi="Arial" w:cs="Arial"/>
                <w:b/>
                <w:bCs/>
                <w:szCs w:val="22"/>
              </w:rPr>
              <w:t xml:space="preserve">Objective: </w:t>
            </w:r>
            <w:r w:rsidRPr="00545938">
              <w:rPr>
                <w:rFonts w:ascii="Arial" w:eastAsia="Calibri" w:hAnsi="Arial" w:cs="Arial"/>
                <w:szCs w:val="22"/>
              </w:rPr>
              <w:t xml:space="preserve">To </w:t>
            </w:r>
            <w:r w:rsidR="008D29E0">
              <w:rPr>
                <w:rFonts w:ascii="Arial" w:eastAsia="Calibri" w:hAnsi="Arial" w:cs="Arial"/>
                <w:szCs w:val="22"/>
              </w:rPr>
              <w:t>investigate</w:t>
            </w:r>
            <w:r w:rsidRPr="00545938">
              <w:rPr>
                <w:rFonts w:ascii="Arial" w:eastAsia="Calibri" w:hAnsi="Arial" w:cs="Arial"/>
                <w:szCs w:val="22"/>
              </w:rPr>
              <w:t xml:space="preserve"> fetal outcomes,</w:t>
            </w:r>
            <w:r w:rsidR="008D29E0">
              <w:rPr>
                <w:rFonts w:ascii="Arial" w:eastAsia="Calibri" w:hAnsi="Arial" w:cs="Arial"/>
                <w:szCs w:val="22"/>
              </w:rPr>
              <w:t xml:space="preserve"> prevalence </w:t>
            </w:r>
            <w:r w:rsidR="008D29E0" w:rsidRPr="00545938">
              <w:rPr>
                <w:rFonts w:ascii="Arial" w:eastAsia="Calibri" w:hAnsi="Arial" w:cs="Arial"/>
                <w:szCs w:val="22"/>
              </w:rPr>
              <w:t>and</w:t>
            </w:r>
            <w:r w:rsidRPr="00545938">
              <w:rPr>
                <w:rFonts w:ascii="Arial" w:eastAsia="Calibri" w:hAnsi="Arial" w:cs="Arial"/>
                <w:szCs w:val="22"/>
              </w:rPr>
              <w:t xml:space="preserve"> maternal factors associated with abnormal umbilical artery Doppler findings among pregnant women diagnosed with PIH</w:t>
            </w:r>
            <w:r w:rsidRPr="00545938">
              <w:rPr>
                <w:rFonts w:ascii="Arial" w:eastAsia="Calibri" w:hAnsi="Arial" w:cs="Arial"/>
                <w:b/>
                <w:bCs/>
                <w:szCs w:val="22"/>
              </w:rPr>
              <w:t>.</w:t>
            </w:r>
          </w:p>
          <w:p w14:paraId="2E2B47EA" w14:textId="6A986B9E" w:rsidR="00B921C6" w:rsidRDefault="00545938" w:rsidP="00545938">
            <w:pPr>
              <w:pStyle w:val="Body"/>
              <w:rPr>
                <w:rFonts w:ascii="Arial" w:eastAsia="Calibri" w:hAnsi="Arial" w:cs="Arial"/>
                <w:bCs/>
                <w:szCs w:val="22"/>
              </w:rPr>
            </w:pPr>
            <w:r w:rsidRPr="00C24EB3">
              <w:rPr>
                <w:rFonts w:ascii="Arial" w:eastAsia="Calibri" w:hAnsi="Arial" w:cs="Arial"/>
                <w:b/>
                <w:bCs/>
                <w:szCs w:val="22"/>
              </w:rPr>
              <w:t xml:space="preserve">Methods: </w:t>
            </w:r>
            <w:r w:rsidRPr="00C24EB3">
              <w:rPr>
                <w:rFonts w:ascii="Arial" w:eastAsia="Calibri" w:hAnsi="Arial" w:cs="Arial"/>
                <w:szCs w:val="22"/>
              </w:rPr>
              <w:t xml:space="preserve">This </w:t>
            </w:r>
            <w:r w:rsidRPr="00545938">
              <w:rPr>
                <w:rFonts w:ascii="Arial" w:eastAsia="Calibri" w:hAnsi="Arial" w:cs="Arial"/>
                <w:szCs w:val="22"/>
              </w:rPr>
              <w:t xml:space="preserve">was a </w:t>
            </w:r>
            <w:r w:rsidRPr="00C24EB3">
              <w:rPr>
                <w:rFonts w:ascii="Arial" w:eastAsia="Calibri" w:hAnsi="Arial" w:cs="Arial"/>
                <w:szCs w:val="22"/>
              </w:rPr>
              <w:t>hospital-based prospective cohort study enrolled 136 pregnant women diagnosed with PIH at Moshi Municipal hospitals between August 2024 and May 2025. Participants underwent obstetric ultrasound and umbilical artery Doppler assessment, including resistive index (RI), pulsatility index (PI), and systolic/diastolic (S/D) ratio. Fetal biometric parameters were evaluated, and 116 participants were followed up to one month postpartum to assess fetal outcomes. Logistic regression was used to identify maternal factors associated with abnormal Doppler findings</w:t>
            </w:r>
            <w:r w:rsidR="00B052CE" w:rsidRPr="00545938">
              <w:rPr>
                <w:rFonts w:ascii="Arial" w:eastAsia="Calibri" w:hAnsi="Arial" w:cs="Arial"/>
                <w:szCs w:val="22"/>
              </w:rPr>
              <w:t>dysfunction caused by obliteration of s</w:t>
            </w:r>
            <w:r w:rsidR="00DF6214" w:rsidRPr="00545938">
              <w:rPr>
                <w:rFonts w:ascii="Arial" w:eastAsia="Calibri" w:hAnsi="Arial" w:cs="Arial"/>
                <w:szCs w:val="22"/>
              </w:rPr>
              <w:t>mall</w:t>
            </w:r>
            <w:r w:rsidR="00B052CE" w:rsidRPr="00545938">
              <w:rPr>
                <w:rFonts w:ascii="Arial" w:eastAsia="Calibri" w:hAnsi="Arial" w:cs="Arial"/>
                <w:szCs w:val="22"/>
              </w:rPr>
              <w:t xml:space="preserve"> arteries within the chorionic villi, ultimately leading to both fetal and maternal </w:t>
            </w:r>
            <w:r w:rsidR="001328D7" w:rsidRPr="00545938">
              <w:rPr>
                <w:rFonts w:ascii="Arial" w:eastAsia="Calibri" w:hAnsi="Arial" w:cs="Arial"/>
                <w:szCs w:val="22"/>
              </w:rPr>
              <w:t>compromise</w:t>
            </w:r>
            <w:r w:rsidR="001328D7" w:rsidRPr="00B052CE">
              <w:rPr>
                <w:rFonts w:ascii="Arial" w:eastAsia="Calibri" w:hAnsi="Arial" w:cs="Arial"/>
                <w:bCs/>
                <w:szCs w:val="22"/>
              </w:rPr>
              <w:t>.</w:t>
            </w:r>
          </w:p>
          <w:p w14:paraId="477A4ACE" w14:textId="04F62DD4" w:rsidR="00B052CE" w:rsidRDefault="00E158F5" w:rsidP="00E158F5">
            <w:pPr>
              <w:pStyle w:val="Body"/>
              <w:rPr>
                <w:rFonts w:ascii="Arial" w:eastAsia="Calibri" w:hAnsi="Arial" w:cs="Arial"/>
                <w:bCs/>
                <w:szCs w:val="22"/>
              </w:rPr>
            </w:pPr>
            <w:r w:rsidRPr="00E158F5">
              <w:rPr>
                <w:rFonts w:ascii="Arial" w:eastAsia="Calibri" w:hAnsi="Arial" w:cs="Arial"/>
                <w:b/>
                <w:szCs w:val="22"/>
              </w:rPr>
              <w:t>Results:</w:t>
            </w:r>
            <w:r w:rsidRPr="00B052CE">
              <w:rPr>
                <w:rFonts w:ascii="Arial" w:eastAsia="Calibri" w:hAnsi="Arial" w:cs="Arial"/>
                <w:bCs/>
                <w:szCs w:val="22"/>
              </w:rPr>
              <w:t xml:space="preserve"> </w:t>
            </w:r>
            <w:r w:rsidRPr="00E158F5">
              <w:rPr>
                <w:rFonts w:ascii="Arial" w:eastAsia="Calibri" w:hAnsi="Arial" w:cs="Arial"/>
                <w:bCs/>
                <w:szCs w:val="22"/>
              </w:rPr>
              <w:t>The prevalence of abnormal umbilical artery Doppler ultrasound findings was 47.42%. Absent end-diastolic flow (AEDF) was observed in 11.2% of participants, while 38.8% had elevated resistive indices. Adverse fetal outcomes included low birth weight (22.4%), severe birth asphyxia (6.1%), stillbirth (6.0%), and preterm delivery (32.8%).</w:t>
            </w:r>
            <w:r w:rsidR="0096709F">
              <w:rPr>
                <w:rFonts w:ascii="Arial" w:eastAsia="Calibri" w:hAnsi="Arial" w:cs="Arial"/>
                <w:bCs/>
                <w:szCs w:val="22"/>
              </w:rPr>
              <w:t xml:space="preserve"> </w:t>
            </w:r>
            <w:r w:rsidRPr="00E158F5">
              <w:rPr>
                <w:rFonts w:ascii="Arial" w:eastAsia="Calibri" w:hAnsi="Arial" w:cs="Arial"/>
                <w:bCs/>
                <w:szCs w:val="22"/>
              </w:rPr>
              <w:t xml:space="preserve">Moderate systolic hypertension (AOR = 1.572; </w:t>
            </w:r>
            <w:r w:rsidR="0096709F" w:rsidRPr="0096709F">
              <w:rPr>
                <w:rFonts w:ascii="Arial" w:eastAsia="Calibri" w:hAnsi="Arial" w:cs="Arial"/>
                <w:bCs/>
                <w:i/>
                <w:iCs/>
                <w:szCs w:val="22"/>
              </w:rPr>
              <w:t>P</w:t>
            </w:r>
            <w:r w:rsidRPr="00E158F5">
              <w:rPr>
                <w:rFonts w:ascii="Arial" w:eastAsia="Calibri" w:hAnsi="Arial" w:cs="Arial"/>
                <w:bCs/>
                <w:szCs w:val="22"/>
              </w:rPr>
              <w:t xml:space="preserve">= 0.047; CI: 0.119–2.754) and severe systolic hypertension (AOR = 1.759; </w:t>
            </w:r>
            <w:r w:rsidR="0096709F" w:rsidRPr="0096709F">
              <w:rPr>
                <w:rFonts w:ascii="Arial" w:eastAsia="Calibri" w:hAnsi="Arial" w:cs="Arial"/>
                <w:bCs/>
                <w:i/>
                <w:iCs/>
                <w:szCs w:val="22"/>
              </w:rPr>
              <w:t>P</w:t>
            </w:r>
            <w:r w:rsidRPr="00E158F5">
              <w:rPr>
                <w:rFonts w:ascii="Arial" w:eastAsia="Calibri" w:hAnsi="Arial" w:cs="Arial"/>
                <w:bCs/>
                <w:szCs w:val="22"/>
              </w:rPr>
              <w:t xml:space="preserve"> = 0.034; CI: 0.167–3.452) were significantly associated with abnormal Doppler findings. Similarly, moderate diastolic hypertension (AOR = 1.627; p = 0.038; CI: 0.159–2.467) and severe diastolic hypertension (AOR = 1.909; </w:t>
            </w:r>
            <w:r w:rsidR="00545938" w:rsidRPr="00545938">
              <w:rPr>
                <w:rFonts w:ascii="Arial" w:eastAsia="Calibri" w:hAnsi="Arial" w:cs="Arial"/>
                <w:bCs/>
                <w:i/>
                <w:iCs/>
                <w:szCs w:val="22"/>
              </w:rPr>
              <w:t>P</w:t>
            </w:r>
            <w:r w:rsidRPr="00E158F5">
              <w:rPr>
                <w:rFonts w:ascii="Arial" w:eastAsia="Calibri" w:hAnsi="Arial" w:cs="Arial"/>
                <w:bCs/>
                <w:szCs w:val="22"/>
              </w:rPr>
              <w:t xml:space="preserve"> = 0.021; CI: 0.08–2.890) showed significant associations.</w:t>
            </w:r>
          </w:p>
          <w:p w14:paraId="73BF9B95" w14:textId="57F730AF" w:rsidR="00FD7E85" w:rsidRPr="0096709F" w:rsidRDefault="00E158F5" w:rsidP="0096709F">
            <w:pPr>
              <w:pStyle w:val="Body"/>
              <w:rPr>
                <w:rFonts w:ascii="Arial" w:eastAsia="Calibri" w:hAnsi="Arial" w:cs="Arial"/>
                <w:bCs/>
                <w:szCs w:val="22"/>
              </w:rPr>
            </w:pPr>
            <w:r w:rsidRPr="00E158F5">
              <w:rPr>
                <w:rFonts w:ascii="Arial" w:eastAsia="Calibri" w:hAnsi="Arial" w:cs="Arial"/>
                <w:b/>
                <w:bCs/>
                <w:szCs w:val="22"/>
              </w:rPr>
              <w:t>Conclusion:</w:t>
            </w:r>
            <w:r w:rsidR="00B052CE">
              <w:rPr>
                <w:rFonts w:ascii="Arial" w:eastAsia="Calibri" w:hAnsi="Arial" w:cs="Arial"/>
                <w:b/>
                <w:bCs/>
                <w:szCs w:val="22"/>
              </w:rPr>
              <w:t xml:space="preserve"> </w:t>
            </w:r>
            <w:r w:rsidRPr="00E158F5">
              <w:rPr>
                <w:rFonts w:ascii="Arial" w:eastAsia="Calibri" w:hAnsi="Arial" w:cs="Arial"/>
                <w:bCs/>
                <w:szCs w:val="22"/>
              </w:rPr>
              <w:t xml:space="preserve">Nearly half of the participants had abnormal umbilical artery Doppler findings, which were strongly associated with adverse fetal outcomes, including preterm delivery and low birth weight. Elevated maternal blood pressure, particularly diastolic hypertension, </w:t>
            </w:r>
            <w:r w:rsidRPr="00E158F5">
              <w:rPr>
                <w:rFonts w:ascii="Arial" w:eastAsia="Calibri" w:hAnsi="Arial" w:cs="Arial"/>
                <w:bCs/>
                <w:szCs w:val="22"/>
              </w:rPr>
              <w:lastRenderedPageBreak/>
              <w:t>significantly increased the likelihood of abnormal Doppler indices. Umbilical artery Doppler ultrasound is an important predictor of fetal compromise in pregnancies complicated by PIH</w:t>
            </w:r>
            <w:r w:rsidRPr="00E158F5">
              <w:rPr>
                <w:rFonts w:ascii="Arial" w:eastAsia="Calibri" w:hAnsi="Arial" w:cs="Arial"/>
                <w:b/>
                <w:szCs w:val="22"/>
              </w:rPr>
              <w:t>.</w:t>
            </w:r>
          </w:p>
        </w:tc>
      </w:tr>
      <w:tr w:rsidR="00FD7E85" w14:paraId="6A045F33" w14:textId="77777777">
        <w:trPr>
          <w:trHeight w:val="70"/>
        </w:trPr>
        <w:tc>
          <w:tcPr>
            <w:tcW w:w="9576" w:type="dxa"/>
            <w:shd w:val="clear" w:color="auto" w:fill="F2F2F2"/>
          </w:tcPr>
          <w:p w14:paraId="2E360902" w14:textId="77777777" w:rsidR="00FD7E85" w:rsidRDefault="00FD7E85">
            <w:pPr>
              <w:pStyle w:val="Body"/>
              <w:spacing w:after="0"/>
              <w:rPr>
                <w:rFonts w:ascii="Arial" w:eastAsia="Calibri" w:hAnsi="Arial" w:cs="Arial"/>
                <w:szCs w:val="22"/>
              </w:rPr>
            </w:pPr>
          </w:p>
        </w:tc>
      </w:tr>
    </w:tbl>
    <w:p w14:paraId="44C520B0" w14:textId="77777777" w:rsidR="00FD7E85" w:rsidRDefault="00FD7E85">
      <w:pPr>
        <w:pStyle w:val="Body"/>
        <w:spacing w:after="0"/>
        <w:rPr>
          <w:rFonts w:ascii="Arial" w:hAnsi="Arial" w:cs="Arial"/>
          <w:i/>
        </w:rPr>
      </w:pPr>
    </w:p>
    <w:p w14:paraId="5983CEC3" w14:textId="77777777" w:rsidR="00FD7E85" w:rsidRDefault="00F456FA">
      <w:pPr>
        <w:pStyle w:val="Body"/>
        <w:spacing w:after="0"/>
        <w:rPr>
          <w:rFonts w:ascii="Arial" w:hAnsi="Arial" w:cs="Arial"/>
          <w:i/>
        </w:rPr>
      </w:pPr>
      <w:bookmarkStart w:id="1" w:name="_Hlk223166066"/>
      <w:r>
        <w:rPr>
          <w:rFonts w:ascii="Arial" w:hAnsi="Arial" w:cs="Arial"/>
          <w:i/>
        </w:rPr>
        <w:t xml:space="preserve">Keywords: [ Absent End Diastolic flow (AEEDF), Reversed End Diastolic flow (REDF), Pregnant Induced Hypertension, Resistivity index (RI), Pulsatility index (PI), Systolic to Diastolic ration (S/D ratio)} </w:t>
      </w:r>
    </w:p>
    <w:bookmarkEnd w:id="1"/>
    <w:p w14:paraId="309FEBFA" w14:textId="77777777" w:rsidR="00FD7E85" w:rsidRDefault="00FD7E85">
      <w:pPr>
        <w:pStyle w:val="Body"/>
        <w:spacing w:after="0"/>
        <w:rPr>
          <w:rFonts w:ascii="Arial" w:hAnsi="Arial" w:cs="Arial"/>
          <w:i/>
          <w:sz w:val="18"/>
        </w:rPr>
      </w:pPr>
    </w:p>
    <w:p w14:paraId="022CA732" w14:textId="77777777" w:rsidR="00FD7E85" w:rsidRDefault="00FD7E85">
      <w:pPr>
        <w:pStyle w:val="Body"/>
        <w:spacing w:after="0"/>
        <w:rPr>
          <w:rFonts w:ascii="Arial" w:hAnsi="Arial" w:cs="Arial"/>
          <w:i/>
        </w:rPr>
      </w:pPr>
    </w:p>
    <w:p w14:paraId="0616E6AF" w14:textId="71C32230" w:rsidR="00FD7E85" w:rsidRDefault="00F456FA">
      <w:pPr>
        <w:pStyle w:val="AbstHead"/>
        <w:spacing w:after="0"/>
        <w:jc w:val="both"/>
        <w:rPr>
          <w:rFonts w:ascii="Arial" w:hAnsi="Arial" w:cs="Arial"/>
        </w:rPr>
      </w:pPr>
      <w:r>
        <w:rPr>
          <w:rFonts w:ascii="Arial" w:hAnsi="Arial" w:cs="Arial"/>
        </w:rPr>
        <w:t xml:space="preserve">1. INTRODUCTION </w:t>
      </w:r>
    </w:p>
    <w:p w14:paraId="379C7FEC" w14:textId="77777777" w:rsidR="00FD7E85" w:rsidRDefault="00FD7E85">
      <w:pPr>
        <w:pStyle w:val="AbstHead"/>
        <w:spacing w:after="0"/>
        <w:jc w:val="both"/>
        <w:rPr>
          <w:rFonts w:ascii="Arial" w:hAnsi="Arial" w:cs="Arial"/>
        </w:rPr>
      </w:pPr>
    </w:p>
    <w:p w14:paraId="09E461FC" w14:textId="3CE756FE" w:rsidR="00FD7E85" w:rsidRDefault="00AB3091">
      <w:pPr>
        <w:pStyle w:val="Body"/>
        <w:spacing w:after="0"/>
        <w:rPr>
          <w:rFonts w:ascii="Arial" w:hAnsi="Arial" w:cs="Arial"/>
        </w:rPr>
      </w:pPr>
      <w:r w:rsidRPr="00AB3091">
        <w:rPr>
          <w:rFonts w:ascii="Arial" w:hAnsi="Arial" w:cs="Arial"/>
        </w:rPr>
        <w:t>Pregnancy-Induced Hypertension (PIH) is defined as the new onset of elevated blood pressure during pregnancy, with a systolic pressure ≥140 mmHg or diastolic pressure ≥90 mmHg, occurring at ≥20 weeks of gestation, with or without proteinuria</w:t>
      </w:r>
      <w:r w:rsidR="00955D61">
        <w:rPr>
          <w:rFonts w:ascii="Arial" w:hAnsi="Arial" w:cs="Arial"/>
        </w:rPr>
        <w:fldChar w:fldCharType="begin" w:fldLock="1"/>
      </w:r>
      <w:r w:rsidR="00A63C48">
        <w:rPr>
          <w:rFonts w:ascii="Arial" w:hAnsi="Arial" w:cs="Arial"/>
        </w:rPr>
        <w:instrText xml:space="preserve">ADDIN CSL_CITATION {"citationItems":[{"id":"ITEM-1","itemData":{"DOI":"10.1016/S0140-6736(21)01112-0","ISSN":"0140-6736","author":[{"dropping-particle":"","family":"Hug","given":"Lucia","non-dropping-particle":"","parse-names":false,"suffix":""},{"dropping-particle":"","family":"You","given":"Danzhen","non-dropping-particle":"","parse-names":false,"suffix":""},{"dropping-particle":"","family":"Blencowe","given":"Hannah","non-dropping-particle":"","parse-names":false,"suffix":""},{"dropping-particle":"","family":"Mishra","given":"Anu","non-dropping-particle":"","parse-names":false,"suffix":""},{"dropping-particle":"","family":"Wang","given":"Zhengfan","non-dropping-particle":"","parse-names":false,"suffix":""},{"dropping-particle":"","family":"Fix","given":"Miranda J","non-dropping-particle":"","parse-names":false,"suffix":""},{"dropping-particle":"","family":"Wakefield","given":"Jon","non-dropping-particle":"","parse-names":false,"suffix":""},{"dropping-particle":"","family":"Moran","given":"Allisyn C","non-dropping-particle":"","parse-names":false,"suffix":""},{"dropping-particle":"","family":"Gaigbe-togbe","given":"Victor","non-dropping-particle":"","parse-names":false,"suffix":""},{"dropping-particle":"","family":"Suzuki","given":"Emi","non-dropping-particle":"","parse-names":false,"suffix":""},{"dropping-particle":"","family":"Blau","given":"Dianna M","non-dropping-particle":"","parse-names":false,"suffix":""},{"dropping-particle":"","family":"Cousens","given":"Simon","non-dropping-particle":"","parse-names":false,"suffix":""},{"dropping-particle":"","family":"Creanga","given":"Andreea","non-dropping-particle":"","parse-names":false,"suffix":""},{"dropping-particle":"","family":"Croft","given":"Trevor","non-dropping-particle":"","parse-names":false,"suffix":""},{"dropping-particle":"","family":"Hill","given":"Kenneth","non-dropping-particle":"","parse-names":false,"suffix":""},{"dropping-particle":"","family":"Joseph","given":"K S","non-dropping-particle":"","parse-names":false,"suffix":""},{"dropping-particle":"","family":"Maswime","given":"Salome","non-dropping-particle":"","parse-names":false,"suffix":""},{"dropping-particle":"","family":"Mcclure","given":"Elizabeth M","non-dropping-particle":"","parse-names":false,"suffix":""}],"container-title":"The Lancet","id":"ITEM-1","issue":"10302","issued":{"date-parts":[["2021"]]},"page":"772-785","publisher":"World Health Organization","title":"Global , regional , and national estimates and trends in stillbirths from 2000 to 2019 : a systematic assessment","type":"article-journal","volume":"398"},"uris":["http://www.mendeley.com/documents/?uuid=b6aa8fe2-0efc-4a94-b4a9-5a95465d039c"]},{"id":"ITEM-2","itemData":{"author":[{"dropping-particle":"","family":"Wang","given":"Wei","non-dropping-particle":"","parse-names":false,"suffix":""},{"dropping-particle":"","family":"Xie","given":"Xin","non-dropping-particle":"","parse-names":false,"suffix":""},{"dropping-particle":"","family":"Yuan","given":"Ting","non-dropping-particle":"","parse-names":false,"suffix":""},{"dropping-particle":"","family":"Wang","given":"Yanyan","non-dropping-particle":"","parse-names":false,"suffix":""},{"dropping-particle":"","family":"Zhao","given":"Fei","non-dropping-particle":"","parse-names":false,"suffix":""},{"dropping-particle":"","family":"Zhou","given":"Zhangjian","non-dropping-particle":"","parse-names":false,"suffix":""},{"dropping-particle":"","family":"Zhang","given":"Hao","non-dropping-particle":"","parse-names":false,"suffix":""}],"id":"ITEM-2","issued":{"date-parts":[["2021"]]},"page":"1-10","publisher":"BMC Pregnancy and Childbirth","title":"Epidemiological trends of maternal hypertensive disorders of pregnancy at the global , regional , and national levels : a population </w:instrText>
      </w:r>
      <w:r w:rsidR="00A63C48">
        <w:rPr>
          <w:rFonts w:ascii="Cambria Math" w:hAnsi="Cambria Math" w:cs="Cambria Math"/>
        </w:rPr>
        <w:instrText>‐</w:instrText>
      </w:r>
      <w:r w:rsidR="00A63C48">
        <w:rPr>
          <w:rFonts w:ascii="Arial" w:hAnsi="Arial" w:cs="Arial"/>
        </w:rPr>
        <w:instrText xml:space="preserve"> based study","type":"article-journal","volume":"2"},"uris":["http://www.mendeley.com/documents/?uuid=730c4f99-7cbc-405a-af06-608c1a23679f"]}],"mendeley":{"formattedCitation":"(Hug &lt;i&gt;et al.&lt;/i&gt;, 2021; Wang &lt;i&gt;et al.&lt;/i&gt;, 2021)","plainTextFormattedCitation":"(Hug et al., 2021; Wang et al., 2021)","previouslyFormattedCitation":"(Hug &lt;i&gt;et al.&lt;/i&gt;, 2021; Wang &lt;i&gt;et al.&lt;/i&gt;, 2021)"},"properties":{"noteIndex":0},"schema":"https://github.com/citation-style-language/schema/raw/master/csl-citation.json"}</w:instrText>
      </w:r>
      <w:r w:rsidR="00955D61">
        <w:rPr>
          <w:rFonts w:ascii="Arial" w:hAnsi="Arial" w:cs="Arial"/>
        </w:rPr>
        <w:fldChar w:fldCharType="separate"/>
      </w:r>
      <w:r w:rsidR="00955D61" w:rsidRPr="00955D61">
        <w:rPr>
          <w:rFonts w:ascii="Arial" w:hAnsi="Arial" w:cs="Arial"/>
          <w:noProof/>
        </w:rPr>
        <w:t xml:space="preserve">(Hug </w:t>
      </w:r>
      <w:r w:rsidR="00955D61" w:rsidRPr="00955D61">
        <w:rPr>
          <w:rFonts w:ascii="Arial" w:hAnsi="Arial" w:cs="Arial"/>
          <w:i/>
          <w:noProof/>
        </w:rPr>
        <w:t>et al.</w:t>
      </w:r>
      <w:r w:rsidR="00955D61" w:rsidRPr="00955D61">
        <w:rPr>
          <w:rFonts w:ascii="Arial" w:hAnsi="Arial" w:cs="Arial"/>
          <w:noProof/>
        </w:rPr>
        <w:t xml:space="preserve">, 2021; Wang </w:t>
      </w:r>
      <w:r w:rsidR="00955D61" w:rsidRPr="00955D61">
        <w:rPr>
          <w:rFonts w:ascii="Arial" w:hAnsi="Arial" w:cs="Arial"/>
          <w:i/>
          <w:noProof/>
        </w:rPr>
        <w:t>et al.</w:t>
      </w:r>
      <w:r w:rsidR="00955D61" w:rsidRPr="00955D61">
        <w:rPr>
          <w:rFonts w:ascii="Arial" w:hAnsi="Arial" w:cs="Arial"/>
          <w:noProof/>
        </w:rPr>
        <w:t>, 2021)</w:t>
      </w:r>
      <w:r w:rsidR="00955D61">
        <w:rPr>
          <w:rFonts w:ascii="Arial" w:hAnsi="Arial" w:cs="Arial"/>
        </w:rPr>
        <w:fldChar w:fldCharType="end"/>
      </w:r>
      <w:r w:rsidR="00CE4460" w:rsidRPr="00CE4460">
        <w:rPr>
          <w:rFonts w:ascii="Arial" w:hAnsi="Arial" w:cs="Arial"/>
        </w:rPr>
        <w:t xml:space="preserve">. </w:t>
      </w:r>
      <w:r w:rsidRPr="00AB3091">
        <w:rPr>
          <w:rFonts w:ascii="Arial" w:hAnsi="Arial" w:cs="Arial"/>
        </w:rPr>
        <w:t>While PIH may remain mild in some pregnant women, it can progress to preeclampsia, a severe condition characterized by placental insufficiency due to defective trophoblast invasion and impaired uteroplacental arcuate and spiral artery remodeling. Placental dysfunction reduces nutrient and oxygen delivery to the fetus, increasing the risk of fetal growth restriction, chronic hypoxia, preterm birth, and low birth weight. Maternal complications may include endothelial dysfunction, proteinuria, and systemic hypertension, often driven by anti-angiogenic factors such as sFlt-1 and soluble endoglin (</w:t>
      </w:r>
      <w:proofErr w:type="spellStart"/>
      <w:r w:rsidRPr="00AB3091">
        <w:rPr>
          <w:rFonts w:ascii="Arial" w:hAnsi="Arial" w:cs="Arial"/>
        </w:rPr>
        <w:t>sEng</w:t>
      </w:r>
      <w:proofErr w:type="spellEnd"/>
      <w:r w:rsidRPr="00AB3091">
        <w:rPr>
          <w:rFonts w:ascii="Arial" w:hAnsi="Arial" w:cs="Arial"/>
        </w:rPr>
        <w:t>), inflammatory cytokines, and oxidative stress</w:t>
      </w:r>
      <w:r w:rsidR="00955D61">
        <w:rPr>
          <w:rFonts w:ascii="Arial" w:hAnsi="Arial" w:cs="Arial"/>
        </w:rPr>
        <w:fldChar w:fldCharType="begin" w:fldLock="1"/>
      </w:r>
      <w:r w:rsidR="00955D61">
        <w:rPr>
          <w:rFonts w:ascii="Arial" w:hAnsi="Arial" w:cs="Arial"/>
        </w:rPr>
        <w:instrText>ADDIN CSL_CITATION {"citationItems":[{"id":"ITEM-1","itemData":{"DOI":"10.1152/ajpheart.00202.2020","ISSN":"15221539","PMID":"32762557","abstract":"Qu H, Khalil RA. Vascular mechanisms and molecular targets in hypertensive pregnancy and preeclampsia. Am J Physiol Heart Circ Physiol 319: H661–H681, 2020. First published August 7, 2020; doi:10.1152/ajpheart.00202.2020.—Preeclampsia is a major complication of pregnancy manifested as hypertension and often intrauterine growth restriction, but the underlying pathophysiological mechanisms are unclear. Predisposing genetic and environmental factors cause placental maladaptations leading to defective placentation, apoptosis of invasive cytotrophoblasts, inadequate expansive remodeling of the spiral arteries, reduced uteroplacental perfusion pressure, and placental ischemia. Placental ischemia promotes the release of bioactive factors into the maternal circulation, causing an imbalance between antiangiogenic soluble fms-like tyrosine kinase-1 and soluble endoglin and proangiogenic vascular endothelial growth factor, placental growth factor, and transforming growth factor-β. Placental ischemia also stimulates the release of proinflammatory cytokines, hypoxia-inducible factor, reactive oxygen species, and angiotensin type 1 receptor agonistic autoantibodies. These circulating factors target the vascular endothelium, causing generalized endotheliosis in systemic, renal, cerebral, and hepatic vessels, leading to decreases in endothelium-derived vasodilators such as nitric oxide, prostacyclin, and hyperpolarization factor and increases in vasoconstrictors such as endothelin-1 and thromboxane A2. The bioactive factors also target vascular smooth muscle and enhance the mechanisms of vascular contraction, including cytosolic Ca2+, protein kinase C, and Rho-kinase. The bioactive factors could also target matrix metalloproteinases and the extracellular matrix, causing inadequate vascular remodeling, increased arterial stiffening, and further increases in vascular resistance and hypertension. As therapeutic options are limited, understanding the underlying vascular mechanisms and molecular targets should help design new tools for the detection and management of hypertension in pregnancy and preeclampsia.","author":[{"dropping-particle":"","family":"Qu","given":"Hongmei","non-dropping-particle":"","parse-names":false,"suffix":""},{"dropping-particle":"","family":"Khalil","given":"Raouf A.","non-dropping-particle":"","parse-names":false,"suffix":""}],"container-title":"American Journal of Physiology - Heart and Circulatory Physiology","id":"ITEM-1","issue":"3","issued":{"date-parts":[["2020"]]},"page":"H661-H681","title":"Vascular mechanisms and molecular targets in hypertensive pregnancy and preeclampsia","type":"article-journal","volume":"319"},"uris":["http://www.mendeley.com/documents/?uuid=e9a2c4ad-8f3a-47da-9826-6fd9292de8c1"]}],"mendeley":{"formattedCitation":"(Qu and Khalil, 2020)","plainTextFormattedCitation":"(Qu and Khalil, 2020)","previouslyFormattedCitation":"(Qu and Khalil, 2020)"},"properties":{"noteIndex":0},"schema":"https://github.com/citation-style-language/schema/raw/master/csl-citation.json"}</w:instrText>
      </w:r>
      <w:r w:rsidR="00955D61">
        <w:rPr>
          <w:rFonts w:ascii="Arial" w:hAnsi="Arial" w:cs="Arial"/>
        </w:rPr>
        <w:fldChar w:fldCharType="separate"/>
      </w:r>
      <w:r w:rsidR="00955D61" w:rsidRPr="00955D61">
        <w:rPr>
          <w:rFonts w:ascii="Arial" w:hAnsi="Arial" w:cs="Arial"/>
          <w:noProof/>
        </w:rPr>
        <w:t>(Qu and Khalil, 2020)</w:t>
      </w:r>
      <w:r w:rsidR="00955D61">
        <w:rPr>
          <w:rFonts w:ascii="Arial" w:hAnsi="Arial" w:cs="Arial"/>
        </w:rPr>
        <w:fldChar w:fldCharType="end"/>
      </w:r>
      <w:r w:rsidR="00CE4460" w:rsidRPr="00CE4460">
        <w:rPr>
          <w:rFonts w:ascii="Arial" w:hAnsi="Arial" w:cs="Arial"/>
        </w:rPr>
        <w:t>.</w:t>
      </w:r>
      <w:r w:rsidR="003950D2" w:rsidRPr="003950D2">
        <w:t xml:space="preserve"> </w:t>
      </w:r>
      <w:r w:rsidR="003950D2" w:rsidRPr="003950D2">
        <w:rPr>
          <w:rFonts w:ascii="Arial" w:hAnsi="Arial" w:cs="Arial"/>
        </w:rPr>
        <w:t>Early detection and monitoring of PIH are crucial to prevent progression to preeclampsia and minimize adverse maternal and fetal outcomes.</w:t>
      </w:r>
    </w:p>
    <w:p w14:paraId="198FC243" w14:textId="1E5FB3D1" w:rsidR="00FD7E85" w:rsidRPr="003950D2" w:rsidRDefault="003950D2">
      <w:pPr>
        <w:pStyle w:val="Body"/>
        <w:spacing w:after="0"/>
        <w:rPr>
          <w:rFonts w:ascii="Arial" w:hAnsi="Arial" w:cs="Arial"/>
        </w:rPr>
      </w:pPr>
      <w:r w:rsidRPr="003950D2">
        <w:rPr>
          <w:rFonts w:ascii="Arial" w:hAnsi="Arial" w:cs="Arial"/>
        </w:rPr>
        <w:t xml:space="preserve">Globally, the prevalence of PIH is increasing. The CDC reported a prevalence of 13% in 2022, showing a rising burden compared to previous years </w:t>
      </w:r>
      <w:r>
        <w:rPr>
          <w:rFonts w:ascii="Arial" w:hAnsi="Arial" w:cs="Arial"/>
        </w:rPr>
        <w:fldChar w:fldCharType="begin" w:fldLock="1"/>
      </w:r>
      <w:r>
        <w:rPr>
          <w:rFonts w:ascii="Arial" w:hAnsi="Arial" w:cs="Arial"/>
        </w:rPr>
        <w:instrText>ADDIN CSL_CITATION {"citationItems":[{"id":"ITEM-1","itemData":{"DOI":"10.1136/bmjopen-2021-053622","author":[{"dropping-particle":"","family":"Vannevel","given":"Valerie","non-dropping-particle":"","parse-names":false,"suffix":""},{"dropping-particle":"","family":"Vogel","given":"Joshua P","non-dropping-particle":"","parse-names":false,"suffix":""},{"dropping-particle":"","family":"Pattinson","given":"Robert C","non-dropping-particle":"","parse-names":false,"suffix":""},{"dropping-particle":"","family":"Adanu","given":"Richard","non-dropping-particle":"","parse-names":false,"suffix":""},{"dropping-particle":"","family":"Charantimath","given":"Umesh","non-dropping-particle":"","parse-names":false,"suffix":""},{"dropping-particle":"","family":"Goudar","given":"Shivaprasad S","non-dropping-particle":"","parse-names":false,"suffix":""},{"dropping-particle":"","family":"Gwako","given":"George","non-dropping-particle":"","parse-names":false,"suffix":""},{"dropping-particle":"","family":"Kavi","given":"Avinash","non-dropping-particle":"","parse-names":false,"suffix":""},{"dropping-particle":"","family":"Maya","given":"Ernest","non-dropping-particle":"","parse-names":false,"suffix":""},{"dropping-particle":"","family":"Osoti","given":"Alfred","non-dropping-particle":"","parse-names":false,"suffix":""},{"dropping-particle":"","family":"Pujar","given":"Yeshita","non-dropping-particle":"","parse-names":false,"suffix":""},{"dropping-particle":"","family":"Qureshi","given":"Zahida P","non-dropping-particle":"","parse-names":false,"suffix":""},{"dropping-particle":"","family":"Rulisa","given":"Stephen","non-dropping-particle":"","parse-names":false,"suffix":""}],"id":"ITEM-1","issued":{"date-parts":[["2022"]]},"page":"1-10","title":"Antenatal Doppler screening for fetuses at risk of adverse outcomes : a multicountry cohort study of the prevalence of abnormal resistance index in low- ­ risk pregnant women","type":"article-journal"},"uris":["http://www.mendeley.com/documents/?uuid=019cebde-7225-4ccf-afef-bbea3d23da0f"]}],"mendeley":{"formattedCitation":"(Vannevel, Joshua P Vogel, &lt;i&gt;et al.&lt;/i&gt;, 2022)","plainTextFormattedCitation":"(Vannevel, Joshua P Vogel, et al., 2022)","previouslyFormattedCitation":"(Vannevel, Joshua P Vogel, &lt;i&gt;et al.&lt;/i&gt;, 2022)"},"properties":{"noteIndex":0},"schema":"https://github.com/citation-style-language/schema/raw/master/csl-citation.json"}</w:instrText>
      </w:r>
      <w:r>
        <w:rPr>
          <w:rFonts w:ascii="Arial" w:hAnsi="Arial" w:cs="Arial"/>
        </w:rPr>
        <w:fldChar w:fldCharType="separate"/>
      </w:r>
      <w:r>
        <w:rPr>
          <w:rFonts w:ascii="Arial" w:hAnsi="Arial" w:cs="Arial"/>
          <w:noProof/>
        </w:rPr>
        <w:t xml:space="preserve">(Vannevel, Joshua P Vogel, </w:t>
      </w:r>
      <w:r>
        <w:rPr>
          <w:rFonts w:ascii="Arial" w:hAnsi="Arial" w:cs="Arial"/>
          <w:i/>
          <w:noProof/>
        </w:rPr>
        <w:t>et al.</w:t>
      </w:r>
      <w:r>
        <w:rPr>
          <w:rFonts w:ascii="Arial" w:hAnsi="Arial" w:cs="Arial"/>
          <w:noProof/>
        </w:rPr>
        <w:t>, 2022)</w:t>
      </w:r>
      <w:r>
        <w:rPr>
          <w:rFonts w:ascii="Arial" w:hAnsi="Arial" w:cs="Arial"/>
        </w:rPr>
        <w:fldChar w:fldCharType="end"/>
      </w:r>
      <w:r>
        <w:rPr>
          <w:rFonts w:ascii="Arial" w:hAnsi="Arial" w:cs="Arial"/>
        </w:rPr>
        <w:t>.</w:t>
      </w:r>
    </w:p>
    <w:p w14:paraId="3B1C4348" w14:textId="74C57D0E" w:rsidR="00FD7E85" w:rsidRDefault="003950D2">
      <w:pPr>
        <w:pStyle w:val="Body"/>
        <w:spacing w:after="0"/>
        <w:rPr>
          <w:rFonts w:ascii="Arial" w:hAnsi="Arial" w:cs="Arial"/>
        </w:rPr>
      </w:pPr>
      <w:r w:rsidRPr="003950D2">
        <w:rPr>
          <w:rFonts w:ascii="Arial" w:hAnsi="Arial" w:cs="Arial"/>
        </w:rPr>
        <w:t>In sub-Saharan Africa (SSA), systematic reviews estimate the prevalence at 8%, with an estimated 3.2 million pregnant women affected in Eastern SSA alone</w:t>
      </w:r>
      <w:r>
        <w:rPr>
          <w:rFonts w:ascii="Arial" w:hAnsi="Arial" w:cs="Arial"/>
        </w:rPr>
        <w:fldChar w:fldCharType="begin" w:fldLock="1"/>
      </w:r>
      <w:r>
        <w:rPr>
          <w:rFonts w:ascii="Arial" w:hAnsi="Arial" w:cs="Arial"/>
        </w:rPr>
        <w:instrText xml:space="preserve">ADDIN CSL_CITATION {"citationItems":[{"id":"ITEM-1","itemData":{"author":[{"dropping-particle":"","family":"Wang","given":"Wei","non-dropping-particle":"","parse-names":false,"suffix":""},{"dropping-particle":"","family":"Xie","given":"Xin","non-dropping-particle":"","parse-names":false,"suffix":""},{"dropping-particle":"","family":"Yuan","given":"Ting","non-dropping-particle":"","parse-names":false,"suffix":""},{"dropping-particle":"","family":"Wang","given":"Yanyan","non-dropping-particle":"","parse-names":false,"suffix":""},{"dropping-particle":"","family":"Zhao","given":"Fei","non-dropping-particle":"","parse-names":false,"suffix":""},{"dropping-particle":"","family":"Zhou","given":"Zhangjian","non-dropping-particle":"","parse-names":false,"suffix":""},{"dropping-particle":"","family":"Zhang","given":"Hao","non-dropping-particle":"","parse-names":false,"suffix":""}],"id":"ITEM-1","issued":{"date-parts":[["2021"]]},"page":"1-10","publisher":"BMC Pregnancy and Childbirth","title":"Epidemiological trends of maternal hypertensive disorders of pregnancy at the global , regional , and national levels : a population </w:instrText>
      </w:r>
      <w:r>
        <w:rPr>
          <w:rFonts w:ascii="Cambria Math" w:hAnsi="Cambria Math" w:cs="Cambria Math"/>
        </w:rPr>
        <w:instrText>‐</w:instrText>
      </w:r>
      <w:r>
        <w:rPr>
          <w:rFonts w:ascii="Arial" w:hAnsi="Arial" w:cs="Arial"/>
        </w:rPr>
        <w:instrText xml:space="preserve"> based study","type":"article-journal","volume":"2"},"uris":["http://www.mendeley.com/documents/?uuid=730c4f99-7cbc-405a-af06-608c1a23679f"]}],"mendeley":{"formattedCitation":"(Wang &lt;i&gt;et al.&lt;/i&gt;, 2021)","plainTextFormattedCitation":"(Wang et al., 2021)","previouslyFormattedCitation":"(Wang &lt;i&gt;et al.&lt;/i&gt;, 2021)"},"properties":{"noteIndex":0},"schema":"https://github.com/citation-style-language/schema/raw/master/csl-citation.json"}</w:instrText>
      </w:r>
      <w:r>
        <w:rPr>
          <w:rFonts w:ascii="Arial" w:hAnsi="Arial" w:cs="Arial"/>
        </w:rPr>
        <w:fldChar w:fldCharType="separate"/>
      </w:r>
      <w:r>
        <w:rPr>
          <w:rFonts w:ascii="Arial" w:hAnsi="Arial" w:cs="Arial"/>
          <w:noProof/>
        </w:rPr>
        <w:t xml:space="preserve">(Wang </w:t>
      </w:r>
      <w:r>
        <w:rPr>
          <w:rFonts w:ascii="Arial" w:hAnsi="Arial" w:cs="Arial"/>
          <w:i/>
          <w:noProof/>
        </w:rPr>
        <w:t>et al.</w:t>
      </w:r>
      <w:r>
        <w:rPr>
          <w:rFonts w:ascii="Arial" w:hAnsi="Arial" w:cs="Arial"/>
          <w:noProof/>
        </w:rPr>
        <w:t>, 2021)</w:t>
      </w:r>
      <w:r>
        <w:rPr>
          <w:rFonts w:ascii="Arial" w:hAnsi="Arial" w:cs="Arial"/>
        </w:rPr>
        <w:fldChar w:fldCharType="end"/>
      </w:r>
      <w:r>
        <w:rPr>
          <w:rFonts w:ascii="Arial" w:hAnsi="Arial" w:cs="Arial"/>
        </w:rPr>
        <w:t>.</w:t>
      </w:r>
    </w:p>
    <w:p w14:paraId="464DEAD0" w14:textId="037A30A4" w:rsidR="00FD7E85" w:rsidRDefault="003950D2">
      <w:pPr>
        <w:pStyle w:val="Body"/>
        <w:spacing w:after="0"/>
        <w:rPr>
          <w:rFonts w:ascii="Arial" w:hAnsi="Arial" w:cs="Arial"/>
        </w:rPr>
      </w:pPr>
      <w:r w:rsidRPr="003950D2">
        <w:rPr>
          <w:rFonts w:ascii="Arial" w:hAnsi="Arial" w:cs="Arial"/>
        </w:rPr>
        <w:t>In Tanzania, studies conducted in Iringa, Dar es Salaam, and Zanzibar reported prevalence rates ranging from 13.6% to 26%</w:t>
      </w:r>
      <w:r>
        <w:rPr>
          <w:rFonts w:ascii="Arial" w:hAnsi="Arial" w:cs="Arial"/>
        </w:rPr>
        <w:fldChar w:fldCharType="begin" w:fldLock="1"/>
      </w:r>
      <w:r w:rsidR="00734D99">
        <w:rPr>
          <w:rFonts w:ascii="Arial" w:hAnsi="Arial" w:cs="Arial"/>
        </w:rPr>
        <w:instrText>ADDIN CSL_CITATION {"citationItems":[{"id":"ITEM-1","itemData":{"author":[{"dropping-particle":"","family":"Machano","given":"Mwashamba M","non-dropping-particle":"","parse-names":false,"suffix":""},{"dropping-particle":"","family":"Joho","given":"Angelina A","non-dropping-particle":"","parse-names":false,"suffix":""}],"id":"ITEM-1","issued":{"date-parts":[["2020"]]},"page":"1-10","publisher":"BMC Public Health","title":"Prevalence and risk factors associated with severe pre-eclampsia among postpartum women in Zanzibar : a cross-sectional study","type":"article-journal"},"uris":["http://www.mendeley.com/documents/?uuid=28fcf6ae-52e1-457b-aa85-acacee58b415"]},{"id":"ITEM-2","itemData":{"DOI":"10.21608/zumj.2024.341005.3714","abstract":"Background: High blood pressure during pregnancy affects 5% to 10% of pregnancies worldwide, significantly impacting maternal and neonatal health, and is a troubling issue in Tanzania due to its contribution to high maternal mortality rates. This study examines the prevalence of high blood pressure in pregnant women attending antenatal care in Iringa Municipality, providing insight into the socio-demographic factors related to these conditions.Methods: This study employed a quantitative cross-sectional design from June 12 to July 15, 2024. The research included 545 participants selected from 12 public healthcare facilities. Data were collected from antenatal clinic cards and analyzed using the Statistical Package for the Social Sciences (SPSS) to determine frequencies, percentages, statistical relationships, and predictors of high blood pressure.Results: The study found a moderate-high prevalence of high blood pressure at 13.6% among pregnant women. Significant factors included age and occupation; women below 20 years had adjusted odds ratios (aOR) of 0.251 (95% CI: 0.066-0.958, p = 0.043), and between 20-35 years had an aOR of 0.306 (95% CI: 0.135-0.694, p = 0.005), indicating lower odds of high blood pressure. Homemakers showed an aOR of 5.02 (95% CI: 1.516-16.617, p = 0.008), while petty business had an aOR of 2.975 (95% CI: 1.006-8.801, p = 0.049). Marital status, education level, income, trimester, and parity were not associated with high blood pressure during pregnancy.Conclusion: High blood pressure is prevalent among pregnant women, with age and occupation as associated factors, indicating a need for targeted interventions for better maternal health.","author":[{"dropping-particle":"","family":"Magwe","given":"Edward Augustine","non-dropping-particle":"","parse-names":false,"suffix":""}],"container-title":"Zagazig University Medical Journal","id":"ITEM-2","issue":"February","issued":{"date-parts":[["2024"]]},"page":"0-0","title":"Prevalence and Factors Associated with High Blood Pressure Among Pregnant Women Attending Antenatal Care in Iringa Municipality, Tanzania","type":"article-journal"},"uris":["http://www.mendeley.com/documents/?uuid=e282d2ea-22fa-4474-b8cd-a1055448b652"]}],"mendeley":{"formattedCitation":"(Machano and Joho, 2020; Magwe, 2024)","plainTextFormattedCitation":"(Machano and Joho, 2020; Magwe, 2024)","previouslyFormattedCitation":"(Machano and Joho, 2020; Magwe, 2024)"},"properties":{"noteIndex":0},"schema":"https://github.com/citation-style-language/schema/raw/master/csl-citation.json"}</w:instrText>
      </w:r>
      <w:r>
        <w:rPr>
          <w:rFonts w:ascii="Arial" w:hAnsi="Arial" w:cs="Arial"/>
        </w:rPr>
        <w:fldChar w:fldCharType="separate"/>
      </w:r>
      <w:r w:rsidR="003F3BF8" w:rsidRPr="003F3BF8">
        <w:rPr>
          <w:rFonts w:ascii="Arial" w:hAnsi="Arial" w:cs="Arial"/>
          <w:noProof/>
        </w:rPr>
        <w:t>(Machano and Joho, 2020; Magwe, 2024)</w:t>
      </w:r>
      <w:r>
        <w:rPr>
          <w:rFonts w:ascii="Arial" w:hAnsi="Arial" w:cs="Arial"/>
        </w:rPr>
        <w:fldChar w:fldCharType="end"/>
      </w:r>
    </w:p>
    <w:p w14:paraId="23BF8061" w14:textId="3A946A5A" w:rsidR="003950D2" w:rsidRDefault="003950D2">
      <w:pPr>
        <w:pStyle w:val="Body"/>
        <w:spacing w:after="0"/>
        <w:rPr>
          <w:rFonts w:ascii="Arial" w:hAnsi="Arial" w:cs="Arial"/>
        </w:rPr>
      </w:pPr>
      <w:r w:rsidRPr="003950D2">
        <w:rPr>
          <w:rFonts w:ascii="Arial" w:hAnsi="Arial" w:cs="Arial"/>
        </w:rPr>
        <w:t xml:space="preserve">Umbilical artery Doppler ultrasound is a non-invasive tool widely used to assess fetal well-being and placental vascular resistance. Normal umbilical artery flow is characterized by low-resistance forward flow, with progressively increasing end-diastolic velocity as gestation advances. Abnormal Doppler findings, including elevated resistive and </w:t>
      </w:r>
      <w:proofErr w:type="spellStart"/>
      <w:r w:rsidRPr="003950D2">
        <w:rPr>
          <w:rFonts w:ascii="Arial" w:hAnsi="Arial" w:cs="Arial"/>
        </w:rPr>
        <w:t>pulsatility</w:t>
      </w:r>
      <w:proofErr w:type="spellEnd"/>
      <w:r w:rsidRPr="003950D2">
        <w:rPr>
          <w:rFonts w:ascii="Arial" w:hAnsi="Arial" w:cs="Arial"/>
        </w:rPr>
        <w:t xml:space="preserve"> indices, reduced end-diastolic flow, absent end-diastolic flow, or reversed diastolic flow, indicate increased placental vascular resistance and are associated with placental dysfunction. These changes can result from obliteration of small arteries within the chorionic villi, ultimately leading to fetal compromise such as intrauterine growth restriction (IUGR), preterm delivery, low birth weight, birth asphyxia, and stillbirth, as well as maternal complications including eclampsia, abruptio placentae, and postpartum hemorrhage </w:t>
      </w:r>
      <w:r>
        <w:rPr>
          <w:rFonts w:ascii="Arial" w:hAnsi="Arial" w:cs="Arial"/>
        </w:rPr>
        <w:fldChar w:fldCharType="begin" w:fldLock="1"/>
      </w:r>
      <w:r>
        <w:rPr>
          <w:rFonts w:ascii="Arial" w:hAnsi="Arial" w:cs="Arial"/>
        </w:rPr>
        <w:instrText>ADDIN CSL_CITATION {"citationItems":[{"id":"ITEM-1","itemData":{"DOI":"10.1055/s-0042-1743097","ISBN":"0042174309","ISSN":"01007203","PMID":"35405757","abstract":"Objective To provide a survey of relevant literature on umbilical artery Doppler ultrasound use in clinical practice, technical considerations and limitations, and future perspectives. Methods Literature searches were conducted in PubMed and Medline, restricted to articles written in English. Additionally, the references of all analyzed studies were searched to obtain necessary information. Results The use of this technique as a routine surveillance method is only recommended for high-risk pregnancies with impaired placentation. Meta-analyses of randomized trials have established that obstetric management guided by umbilical artery Doppler findings can improve perinatal mortality and morbidity. The values of the indices of Umbilical artery Doppler decrease with advancing gestational age; however, a lack of consensus on reference ranges prevails. Conclusion Important clinical decisions are based on the information obtained with umbilical artery Doppler ultrasound. Future efforts in research are imperative to overcome the current limitations of the technique.","author":[{"dropping-particle":"","family":"Rocha","given":"Ana Sá","non-dropping-particle":"","parse-names":false,"suffix":""},{"dropping-particle":"","family":"Andrade","given":"Ana Rosa Araújo","non-dropping-particle":"","parse-names":false,"suffix":""},{"dropping-particle":"","family":"Moleiro","given":"Maria Lúcia","non-dropping-particle":"","parse-names":false,"suffix":""},{"dropping-particle":"","family":"Guedes-Martins","given":"Luís","non-dropping-particle":"","parse-names":false,"suffix":""}],"container-title":"Revista Brasileira de Ginecologia e Obstetricia","id":"ITEM-1","issue":"5","issued":{"date-parts":[["2022"]]},"page":"519-531","title":"Doppler Ultrasound of the Umbilical Artery: Clinical Application","type":"article-journal","volume":"44"},"uris":["http://www.mendeley.com/documents/?uuid=782b896b-ce8d-4aa6-b359-d8d7406f08f7"]}],"mendeley":{"formattedCitation":"(Rocha &lt;i&gt;et al.&lt;/i&gt;, 2022)","plainTextFormattedCitation":"(Rocha et al., 2022)","previouslyFormattedCitation":"(Rocha &lt;i&gt;et al.&lt;/i&gt;, 2022)"},"properties":{"noteIndex":0},"schema":"https://github.com/citation-style-language/schema/raw/master/csl-citation.json"}</w:instrText>
      </w:r>
      <w:r>
        <w:rPr>
          <w:rFonts w:ascii="Arial" w:hAnsi="Arial" w:cs="Arial"/>
        </w:rPr>
        <w:fldChar w:fldCharType="separate"/>
      </w:r>
      <w:r>
        <w:rPr>
          <w:rFonts w:ascii="Arial" w:hAnsi="Arial" w:cs="Arial"/>
          <w:noProof/>
        </w:rPr>
        <w:t xml:space="preserve">(Rocha </w:t>
      </w:r>
      <w:r>
        <w:rPr>
          <w:rFonts w:ascii="Arial" w:hAnsi="Arial" w:cs="Arial"/>
          <w:i/>
          <w:noProof/>
        </w:rPr>
        <w:t>et al.</w:t>
      </w:r>
      <w:r>
        <w:rPr>
          <w:rFonts w:ascii="Arial" w:hAnsi="Arial" w:cs="Arial"/>
          <w:noProof/>
        </w:rPr>
        <w:t>, 2022)</w:t>
      </w:r>
      <w:r>
        <w:rPr>
          <w:rFonts w:ascii="Arial" w:hAnsi="Arial" w:cs="Arial"/>
        </w:rPr>
        <w:fldChar w:fldCharType="end"/>
      </w:r>
    </w:p>
    <w:p w14:paraId="79EA2349" w14:textId="2685443D" w:rsidR="00FD7E85" w:rsidRDefault="003950D2">
      <w:pPr>
        <w:pStyle w:val="Body"/>
        <w:spacing w:after="0"/>
        <w:rPr>
          <w:rFonts w:ascii="Arial" w:hAnsi="Arial" w:cs="Arial"/>
        </w:rPr>
      </w:pPr>
      <w:r w:rsidRPr="003950D2">
        <w:rPr>
          <w:rFonts w:ascii="Arial" w:hAnsi="Arial" w:cs="Arial"/>
        </w:rPr>
        <w:t xml:space="preserve">Stillbirth remains a major global concern, with approximately </w:t>
      </w:r>
      <w:r w:rsidR="00F95A3F">
        <w:rPr>
          <w:rFonts w:ascii="Arial" w:hAnsi="Arial" w:cs="Arial"/>
        </w:rPr>
        <w:t>two (</w:t>
      </w:r>
      <w:r w:rsidRPr="003950D2">
        <w:rPr>
          <w:rFonts w:ascii="Arial" w:hAnsi="Arial" w:cs="Arial"/>
        </w:rPr>
        <w:t>2</w:t>
      </w:r>
      <w:r w:rsidR="00F95A3F">
        <w:rPr>
          <w:rFonts w:ascii="Arial" w:hAnsi="Arial" w:cs="Arial"/>
        </w:rPr>
        <w:t xml:space="preserve">) </w:t>
      </w:r>
      <w:r w:rsidRPr="003950D2">
        <w:rPr>
          <w:rFonts w:ascii="Arial" w:hAnsi="Arial" w:cs="Arial"/>
        </w:rPr>
        <w:t>million stillbirths occurring in 2019 at a rate of 13.9 per 1,000 total births, 75% of which occurred in SSA and Southern Asia, particularly in areas with limited health resources</w:t>
      </w:r>
      <w:r>
        <w:rPr>
          <w:rFonts w:ascii="Arial" w:hAnsi="Arial" w:cs="Arial"/>
        </w:rPr>
        <w:t>.</w:t>
      </w:r>
      <w:r>
        <w:rPr>
          <w:rFonts w:ascii="Arial" w:hAnsi="Arial" w:cs="Arial"/>
        </w:rPr>
        <w:fldChar w:fldCharType="begin" w:fldLock="1"/>
      </w:r>
      <w:r>
        <w:rPr>
          <w:rFonts w:ascii="Arial" w:hAnsi="Arial" w:cs="Arial"/>
        </w:rPr>
        <w:instrText>ADDIN CSL_CITATION {"citationItems":[{"id":"ITEM-1","itemData":{"ISBN":"9789280651416","author":[{"dropping-particle":"","family":"Estimation","given":"Child Mortality","non-dropping-particle":"","parse-names":false,"suffix":""},{"dropping-particle":"","family":"Gaigbe-togbe","given":"Victor","non-dropping-particle":"","parse-names":false,"suffix":""}],"id":"ITEM-1","issued":{"date-parts":[["2020"]]},"title":"The global burden of stillbirths","type":"book"},"uris":["http://www.mendeley.com/documents/?uuid=fc5b72f2-6d3b-4700-bfcd-8dcfaa87f2c9"]}],"mendeley":{"formattedCitation":"(Estimation and Gaigbe-togbe, 2020)","plainTextFormattedCitation":"(Estimation and Gaigbe-togbe, 2020)","previouslyFormattedCitation":"(Estimation and Gaigbe-togbe, 2020)"},"properties":{"noteIndex":0},"schema":"https://github.com/citation-style-language/schema/raw/master/csl-citation.json"}</w:instrText>
      </w:r>
      <w:r>
        <w:rPr>
          <w:rFonts w:ascii="Arial" w:hAnsi="Arial" w:cs="Arial"/>
        </w:rPr>
        <w:fldChar w:fldCharType="separate"/>
      </w:r>
      <w:r>
        <w:rPr>
          <w:rFonts w:ascii="Arial" w:hAnsi="Arial" w:cs="Arial"/>
          <w:noProof/>
        </w:rPr>
        <w:t>(Estimation and Gaigbe-togbe, 2020)</w:t>
      </w:r>
      <w:r>
        <w:rPr>
          <w:rFonts w:ascii="Arial" w:hAnsi="Arial" w:cs="Arial"/>
        </w:rPr>
        <w:fldChar w:fldCharType="end"/>
      </w:r>
      <w:r>
        <w:rPr>
          <w:rFonts w:ascii="Arial" w:hAnsi="Arial" w:cs="Arial"/>
        </w:rPr>
        <w:t xml:space="preserve"> </w:t>
      </w:r>
    </w:p>
    <w:p w14:paraId="5F8E6A61" w14:textId="7FA07AD6" w:rsidR="002B6327" w:rsidRDefault="00E969EC">
      <w:pPr>
        <w:pStyle w:val="Body"/>
        <w:spacing w:after="0"/>
        <w:rPr>
          <w:rFonts w:ascii="Arial" w:hAnsi="Arial" w:cs="Arial"/>
        </w:rPr>
      </w:pPr>
      <w:r w:rsidRPr="00E969EC">
        <w:rPr>
          <w:rFonts w:ascii="Arial" w:hAnsi="Arial" w:cs="Arial"/>
        </w:rPr>
        <w:t xml:space="preserve">In Tanzania, neonatal and infant mortality rates remain high at 22 and 33 deaths per 1,000 live births, respectively, exceeding the Sustainable Development Goal (SDG) target of reducing neonatal mortality below 12 per 1,000 live births by 2030 </w:t>
      </w:r>
      <w:r>
        <w:rPr>
          <w:rFonts w:ascii="Arial" w:hAnsi="Arial" w:cs="Arial"/>
        </w:rPr>
        <w:fldChar w:fldCharType="begin" w:fldLock="1"/>
      </w:r>
      <w:r w:rsidR="00F95A3F">
        <w:rPr>
          <w:rFonts w:ascii="Arial" w:hAnsi="Arial" w:cs="Arial"/>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Kata","author":[{"dropping-particle":"","family":"TDHS","given":"","non-dropping-particle":"","parse-names":false,"suffix":""}],"container-title":"Paper Knowledge . Toward a Media History of Documents","id":"ITEM-1","issued":{"date-parts":[["2022"]]},"page":"1-23","title":"Demographic and Health Survey and Malaria Indicator Survey","type":"article-journal"},"uris":["http://www.mendeley.com/documents/?uuid=731b858c-9c53-4b39-bbf9-ad5d9426017b"]},{"id":"ITEM-2","itemData":{"author":[{"dropping-particle":"","family":"UN DESA","given":"","non-dropping-particle":"","parse-names":false,"suffix":""}],"container-title":"The Sustainable development Goals Report 2023: Special Edition","id":"ITEM-2","issued":{"date-parts":[["2023"]]},"page":"80","title":"SDGs Report 2023","type":"article"},"uris":["http://www.mendeley.com/documents/?uuid=ac83e1a6-7cb3-4f39-b335-83a6edac811f"]}],"mendeley":{"formattedCitation":"(TDHS, 2022; UN DESA, 2023)","plainTextFormattedCitation":"(TDHS, 2022; UN DESA, 2023)","previouslyFormattedCitation":"(TDHS, 2022; UN DESA, 2023)"},"properties":{"noteIndex":0},"schema":"https://github.com/citation-style-language/schema/raw/master/csl-citation.json"}</w:instrText>
      </w:r>
      <w:r>
        <w:rPr>
          <w:rFonts w:ascii="Arial" w:hAnsi="Arial" w:cs="Arial"/>
        </w:rPr>
        <w:fldChar w:fldCharType="separate"/>
      </w:r>
      <w:r w:rsidRPr="00E969EC">
        <w:rPr>
          <w:rFonts w:ascii="Arial" w:hAnsi="Arial" w:cs="Arial"/>
          <w:noProof/>
        </w:rPr>
        <w:t>(TDHS, 2022; UN DESA, 2023)</w:t>
      </w:r>
      <w:r>
        <w:rPr>
          <w:rFonts w:ascii="Arial" w:hAnsi="Arial" w:cs="Arial"/>
        </w:rPr>
        <w:fldChar w:fldCharType="end"/>
      </w:r>
      <w:r>
        <w:rPr>
          <w:rFonts w:ascii="Arial" w:hAnsi="Arial" w:cs="Arial"/>
        </w:rPr>
        <w:t>. Studies done</w:t>
      </w:r>
      <w:r w:rsidR="00FE6713">
        <w:rPr>
          <w:rFonts w:ascii="Arial" w:hAnsi="Arial" w:cs="Arial"/>
        </w:rPr>
        <w:t xml:space="preserve"> </w:t>
      </w:r>
      <w:r w:rsidR="00F95A3F">
        <w:rPr>
          <w:rFonts w:ascii="Arial" w:hAnsi="Arial" w:cs="Arial"/>
        </w:rPr>
        <w:t xml:space="preserve">in India and Tanzania </w:t>
      </w:r>
      <w:r>
        <w:rPr>
          <w:rFonts w:ascii="Arial" w:hAnsi="Arial" w:cs="Arial"/>
        </w:rPr>
        <w:t>showed among the factors associated with perinatal death, pregnancy induced hypertension was the second leading factor after antepartum hemorrhage</w:t>
      </w:r>
      <w:r w:rsidR="00F95A3F">
        <w:rPr>
          <w:rFonts w:ascii="Arial" w:hAnsi="Arial" w:cs="Arial"/>
        </w:rPr>
        <w:t xml:space="preserve"> with increased risk in preeclampsia</w:t>
      </w:r>
      <w:r w:rsidR="00F95A3F">
        <w:rPr>
          <w:rFonts w:ascii="Arial" w:hAnsi="Arial" w:cs="Arial"/>
        </w:rPr>
        <w:fldChar w:fldCharType="begin" w:fldLock="1"/>
      </w:r>
      <w:r w:rsidR="00BF1580">
        <w:rPr>
          <w:rFonts w:ascii="Arial" w:hAnsi="Arial" w:cs="Arial"/>
        </w:rPr>
        <w:instrText>ADDIN CSL_CITATION {"citationItems":[{"id":"ITEM-1","itemData":{"author":[{"dropping-particle":"","family":"Guideline","given":"Practice","non-dropping-particle":"","parse-names":false,"suffix":""}],"id":"ITEM-1","issue":"April","issued":{"date-parts":[["2010"]]},"page":"49-51","title":"Factors Associated with Perinatal Mortality :","type":"article-journal","volume":"2"},"uris":["http://www.mendeley.com/documents/?uuid=3142c998-69d3-415f-8f82-84936732234e"]},{"id":"ITEM-2","itemData":{"DOI":"10.2139/ssrn.3034972","author":[{"dropping-particle":"","family":"Yadufashije","given":"Callixte","non-dropping-particle":"","parse-names":false,"suffix":""},{"dropping-particle":"","family":"Samuel","given":"Rebero","non-dropping-particle":"","parse-names":false,"suffix":""}],"id":"ITEM-2","issue":"September","issued":{"date-parts":[["2017"]]},"title":"Factors Associated with Perinatal Mortality in Africa","type":"article-journal"},"uris":["http://www.mendeley.com/documents/?uuid=655efac1-be29-4b42-a9a9-c3409f691a43"]},{"id":"ITEM-3","itemData":{"DOI":"10.1136/bmjgh-2024-016339","ISSN":"20597908","abstract":"Introduction Hypertensive disorders of pregnancy (HDP) have been linked with increased risk for maternal and offspring complications in high-income settings. However, in resource-limited settings, studies with robust measurement of HDP, including severity and timing, and perinatal outcomes are limited. Methods We analysed data from two prospective cohorts of nulliparous women in India (n=10 570 pregnancies) and Tanzania (n=10 299 pregnancies) who were enrolled in calcium supplementation trials and had blood pressure and proteinuria assessments throughout pregnancy and at the time of labour and delivery. Generalised estimating equations were used to assess the relationship between HDP severity categories (gestational hypertension, preeclampsia without severe features and preeclampsia with severe features) and timing of HDP onset (early-onset &lt;34 weeks vs late-onset ≥34 weeks gestation) with adverse perinatal outcomes. Results The cumulative incidence of HDP was 3.7% and 4.5% in the India and Tanzania cohorts, respectively. All HDP severity categories were associated with a significantly higher risk for perinatal death in both cohorts (p values&lt;0.05). Pregnancies complicated by pre-eclampsia with severe features had the largest magnitude of increased risk for perinatal death as compared with pregnancies without an HDP (India RR 8.60; 95% CI 5.90 to 12.53; Tanzania RR 4.05; 95% CI 2.91 to 5.66). In both cohorts, pre-eclampsia with and without severe features, but not gestational hypertension, was associated with increased risks for preterm birth and low birth weight. Pregnancies with early-onset HDP had a high absolute risk of perinatal death (India 25.6% and Tanzania 36.9%), and the risk was markedly increased as compared with late-onset HDP (India RR 4.79; 95% CI 2.68 to 8.54; Tanzania RR 5.79; 95% CI 3.56 to 9.41). Conclusion HDP were differentially associated with risks for perinatal outcomes by severity and timing of onset. Interventions that prevent, reduce the severity or delay the onset of HDP may improve perinatal outcomes in resource-limited settings. Trial registration number ClinicalTrials.gov number, NCT03350516","author":[{"dropping-particle":"","family":"Pembe","given":"Andrea B.","non-dropping-particle":"","parse-names":false,"suffix":""},{"dropping-particle":"","family":"Dwarkanath","given":"Pratibha","non-dropping-particle":"","parse-names":false,"suffix":""},{"dropping-particle":"","family":"Kikula","given":"Amani","non-dropping-particle":"","parse-names":false,"suffix":""},{"dropping-particle":"","family":"Raj","given":"John Michael","non-dropping-particle":"","parse-names":false,"suffix":""},{"dropping-particle":"","family":"Perumal","given":"Nandita","non-dropping-particle":"","parse-names":false,"suffix":""},{"dropping-particle":"","family":"Paulo","given":"Heavenlight A.","non-dropping-particle":"","parse-names":false,"suffix":""},{"dropping-particle":"","family":"Rajalakshmi","given":"M.","non-dropping-particle":"","parse-names":false,"suffix":""},{"dropping-particle":"","family":"Duggan","given":"Christopher P.","non-dropping-particle":"","parse-names":false,"suffix":""},{"dropping-particle":"","family":"Masanja","given":"Honorati M.","non-dropping-particle":"","parse-names":false,"suffix":""},{"dropping-particle":"","family":"Chopra","given":"Nandini","non-dropping-particle":"","parse-names":false,"suffix":""},{"dropping-particle":"","family":"Sando","given":"Mary M.","non-dropping-particle":"","parse-names":false,"suffix":""},{"dropping-particle":"","family":"Thomas","given":"Tinku","non-dropping-particle":"","parse-names":false,"suffix":""},{"dropping-particle":"","family":"Yelverton","given":"Cara A.","non-dropping-particle":"","parse-names":false,"suffix":""},{"dropping-particle":"","family":"Muhihi","given":"Alfa","non-dropping-particle":"","parse-names":false,"suffix":""},{"dropping-particle":"V.","family":"Kurpad","given":"Anura","non-dropping-particle":"","parse-names":false,"suffix":""},{"dropping-particle":"","family":"Fawzi","given":"Wafaie W.","non-dropping-particle":"","parse-names":false,"suffix":""},{"dropping-particle":"","family":"Wylie","given":"Blair J.","non-dropping-particle":"","parse-names":false,"suffix":""},{"dropping-particle":"","family":"Sudfeld","given":"Christopher R.","non-dropping-particle":"","parse-names":false,"suffix":""}],"container-title":"BMJ Global Health","id":"ITEM-3","issue":"7","issued":{"date-parts":[["2025"]]},"page":"1-10","title":"Hypertensive disorders of pregnancy and perinatal outcomes: Two prospective cohort studies of nulliparous women in India and Tanzania","type":"article-journal","volume":"10"},"uris":["http://www.mendeley.com/documents/?uuid=35c469f5-e05a-4d6e-8fe3-1f9ddca8a39f"]}],"mendeley":{"formattedCitation":"(Guideline, 2010; Yadufashije and Samuel, 2017; Pembe &lt;i&gt;et al.&lt;/i&gt;, 2025)","plainTextFormattedCitation":"(Guideline, 2010; Yadufashije and Samuel, 2017; Pembe et al., 2025)","previouslyFormattedCitation":"(Guideline, 2010; Yadufashije and Samuel, 2017; Pembe &lt;i&gt;et al.&lt;/i&gt;, 2025)"},"properties":{"noteIndex":0},"schema":"https://github.com/citation-style-language/schema/raw/master/csl-citation.json"}</w:instrText>
      </w:r>
      <w:r w:rsidR="00F95A3F">
        <w:rPr>
          <w:rFonts w:ascii="Arial" w:hAnsi="Arial" w:cs="Arial"/>
        </w:rPr>
        <w:fldChar w:fldCharType="separate"/>
      </w:r>
      <w:r w:rsidR="00F95A3F" w:rsidRPr="00F95A3F">
        <w:rPr>
          <w:rFonts w:ascii="Arial" w:hAnsi="Arial" w:cs="Arial"/>
          <w:noProof/>
        </w:rPr>
        <w:t xml:space="preserve">(Guideline, 2010; Yadufashije and Samuel, 2017; Pembe </w:t>
      </w:r>
      <w:r w:rsidR="00F95A3F" w:rsidRPr="00F95A3F">
        <w:rPr>
          <w:rFonts w:ascii="Arial" w:hAnsi="Arial" w:cs="Arial"/>
          <w:i/>
          <w:noProof/>
        </w:rPr>
        <w:t>et al.</w:t>
      </w:r>
      <w:r w:rsidR="00F95A3F" w:rsidRPr="00F95A3F">
        <w:rPr>
          <w:rFonts w:ascii="Arial" w:hAnsi="Arial" w:cs="Arial"/>
          <w:noProof/>
        </w:rPr>
        <w:t>, 2025)</w:t>
      </w:r>
      <w:r w:rsidR="00F95A3F">
        <w:rPr>
          <w:rFonts w:ascii="Arial" w:hAnsi="Arial" w:cs="Arial"/>
        </w:rPr>
        <w:fldChar w:fldCharType="end"/>
      </w:r>
      <w:r w:rsidR="00F95A3F">
        <w:rPr>
          <w:rFonts w:ascii="Arial" w:hAnsi="Arial" w:cs="Arial"/>
        </w:rPr>
        <w:t>.</w:t>
      </w:r>
    </w:p>
    <w:p w14:paraId="711CB44E" w14:textId="2179DE86" w:rsidR="00F95A3F" w:rsidRDefault="00F95A3F">
      <w:pPr>
        <w:pStyle w:val="Body"/>
        <w:spacing w:after="0"/>
        <w:rPr>
          <w:rFonts w:ascii="Arial" w:hAnsi="Arial" w:cs="Arial"/>
        </w:rPr>
      </w:pPr>
      <w:r>
        <w:rPr>
          <w:rFonts w:ascii="Arial" w:hAnsi="Arial" w:cs="Arial"/>
        </w:rPr>
        <w:t xml:space="preserve"> </w:t>
      </w:r>
      <w:r w:rsidR="00E969EC" w:rsidRPr="00E969EC">
        <w:rPr>
          <w:rFonts w:ascii="Arial" w:hAnsi="Arial" w:cs="Arial"/>
        </w:rPr>
        <w:t xml:space="preserve">Despite the established association between abnormal umbilical artery Doppler findings and adverse fetal outcomes, there is limited evidence on maternal and clinical factors contributing </w:t>
      </w:r>
      <w:r w:rsidR="00E969EC" w:rsidRPr="00E969EC">
        <w:rPr>
          <w:rFonts w:ascii="Arial" w:hAnsi="Arial" w:cs="Arial"/>
        </w:rPr>
        <w:lastRenderedPageBreak/>
        <w:t>to abnormal Doppler results in low- and middle-income countries, including Moshi Municipal</w:t>
      </w:r>
      <w:r>
        <w:rPr>
          <w:rFonts w:ascii="Arial" w:hAnsi="Arial" w:cs="Arial"/>
        </w:rPr>
        <w:fldChar w:fldCharType="begin" w:fldLock="1"/>
      </w:r>
      <w:r w:rsidR="00134B4C">
        <w:rPr>
          <w:rFonts w:ascii="Arial" w:hAnsi="Arial" w:cs="Arial"/>
        </w:rPr>
        <w:instrText>ADDIN CSL_CITATION {"citationItems":[{"id":"ITEM-1","itemData":{"DOI":"10.1186/s12978-021-01088-w","ISBN":"1297802101","ISSN":"17424755","PMID":"33579315","abstract":"Background: While Doppler ultrasound screening is beneficial for women with high-risk pregnancies, there is insufficient evidence on its benefits and harms in low- and unselected-risk pregnancies. This may be related to fewer events of abnormal Doppler flow, however the prevalence of absent or reversed end diastolic flow (AEDF or REDF) in such women is unknown. In this systematic review, we aimed to synthesise available data on the prevalence of AEDF or REDF. Methods: We searched PubMed, Embase, CINAHL, CENTRAL and Global Index Medicus with no date, setting or language restrictions. All randomized or non-randomized studies reporting AEDF or REDF prevalence based on Doppler assessment of umbilical arterial flow &gt; 20 weeks’ gestation were eligible. Two authors assessed eligibility and extracted data on primary (AEDF and REDF) and secondary (fetal, perinatal, and neonatal mortality, caesarean section) outcomes, with results presented descriptively. Results: A total of 42 studies (18,282 women) were included. Thirty-six studies reported zero AEDF or REDF cases. However, 55 AEDF or REDF cases were identified from just six studies (prevalence 0.08% to 2.13%). Four of these studies were in unselected-risk women and five were conducted in high-income countries. There was limited evidence from low- and middle-income countries. Conclusions: Evidence from largely observational studies in higher-income countries suggests that AEDF and REDF are rare among low- and unselected-risk pregnant women. There are insufficient data from lower-income countries and further research is required.","author":[{"dropping-particle":"","family":"Vogel","given":"Joshua P.","non-dropping-particle":"","parse-names":false,"suffix":""},{"dropping-particle":"","family":"Vannevel","given":"Valerie","non-dropping-particle":"","parse-names":false,"suffix":""},{"dropping-particle":"","family":"Robbers","given":"Gianna","non-dropping-particle":"","parse-names":false,"suffix":""},{"dropping-particle":"","family":"Gwako","given":"George","non-dropping-particle":"","parse-names":false,"suffix":""},{"dropping-particle":"","family":"Lavin","given":"Tina","non-dropping-particle":"","parse-names":false,"suffix":""},{"dropping-particle":"","family":"Adanikin","given":"Abiodun","non-dropping-particle":"","parse-names":false,"suffix":""},{"dropping-particle":"","family":"Hlongwane","given":"Tsakane","non-dropping-particle":"","parse-names":false,"suffix":""},{"dropping-particle":"","family":"Pattinson","given":"Robert C.","non-dropping-particle":"","parse-names":false,"suffix":""},{"dropping-particle":"","family":"Qureshi","given":"Zahida P.","non-dropping-particle":"","parse-names":false,"suffix":""},{"dropping-particle":"","family":"Oladapo","given":"Olufemi T.","non-dropping-particle":"","parse-names":false,"suffix":""}],"container-title":"Reproductive Health","id":"ITEM-1","issue":"1","issued":{"date-parts":[["2021"]]},"page":"1-7","publisher":"BioMed Central","title":"Prevalence of abnormal umbilical arterial flow on Doppler ultrasound in low-risk and unselected pregnant women: a systematic review","type":"article-journal","volume":"18"},"uris":["http://www.mendeley.com/documents/?uuid=a706b12c-5ad0-41e4-b069-73584b9a4ce0"]}],"mendeley":{"formattedCitation":"(Vogel &lt;i&gt;et al.&lt;/i&gt;, 2021)","plainTextFormattedCitation":"(Vogel et al., 2021)","previouslyFormattedCitation":"(Vogel &lt;i&gt;et al.&lt;/i&gt;, 2021)"},"properties":{"noteIndex":0},"schema":"https://github.com/citation-style-language/schema/raw/master/csl-citation.json"}</w:instrText>
      </w:r>
      <w:r>
        <w:rPr>
          <w:rFonts w:ascii="Arial" w:hAnsi="Arial" w:cs="Arial"/>
        </w:rPr>
        <w:fldChar w:fldCharType="separate"/>
      </w:r>
      <w:r w:rsidR="00134B4C" w:rsidRPr="00134B4C">
        <w:rPr>
          <w:rFonts w:ascii="Arial" w:hAnsi="Arial" w:cs="Arial"/>
          <w:noProof/>
        </w:rPr>
        <w:t xml:space="preserve">(Vogel </w:t>
      </w:r>
      <w:r w:rsidR="00134B4C" w:rsidRPr="00134B4C">
        <w:rPr>
          <w:rFonts w:ascii="Arial" w:hAnsi="Arial" w:cs="Arial"/>
          <w:i/>
          <w:noProof/>
        </w:rPr>
        <w:t>et al.</w:t>
      </w:r>
      <w:r w:rsidR="00134B4C" w:rsidRPr="00134B4C">
        <w:rPr>
          <w:rFonts w:ascii="Arial" w:hAnsi="Arial" w:cs="Arial"/>
          <w:noProof/>
        </w:rPr>
        <w:t>, 2021)</w:t>
      </w:r>
      <w:r>
        <w:rPr>
          <w:rFonts w:ascii="Arial" w:hAnsi="Arial" w:cs="Arial"/>
        </w:rPr>
        <w:fldChar w:fldCharType="end"/>
      </w:r>
      <w:r w:rsidR="00E969EC">
        <w:rPr>
          <w:rFonts w:ascii="Arial" w:hAnsi="Arial" w:cs="Arial"/>
        </w:rPr>
        <w:t>.</w:t>
      </w:r>
    </w:p>
    <w:p w14:paraId="7840814D" w14:textId="2844B892" w:rsidR="00FD7E85" w:rsidRDefault="00E969EC">
      <w:pPr>
        <w:pStyle w:val="Body"/>
        <w:spacing w:after="0"/>
        <w:rPr>
          <w:rFonts w:ascii="Arial" w:hAnsi="Arial" w:cs="Arial"/>
        </w:rPr>
      </w:pPr>
      <w:r>
        <w:rPr>
          <w:rFonts w:ascii="Arial" w:hAnsi="Arial" w:cs="Arial"/>
        </w:rPr>
        <w:t>Therefore</w:t>
      </w:r>
      <w:r w:rsidR="00F95A3F">
        <w:rPr>
          <w:rFonts w:ascii="Arial" w:hAnsi="Arial" w:cs="Arial"/>
        </w:rPr>
        <w:t>; the aim of this study is to investigate fetal outcome, prevalence and factors associated of abnormal umbilical artery doppler ultrasound at</w:t>
      </w:r>
      <w:r>
        <w:rPr>
          <w:rFonts w:ascii="Arial" w:hAnsi="Arial" w:cs="Arial"/>
        </w:rPr>
        <w:t xml:space="preserve"> Municipal.</w:t>
      </w:r>
    </w:p>
    <w:p w14:paraId="5D315F90" w14:textId="77777777" w:rsidR="00FD7E85" w:rsidRDefault="00FD7E85">
      <w:pPr>
        <w:pStyle w:val="Body"/>
        <w:spacing w:after="0"/>
        <w:rPr>
          <w:rFonts w:ascii="Arial" w:hAnsi="Arial" w:cs="Arial"/>
        </w:rPr>
      </w:pPr>
    </w:p>
    <w:p w14:paraId="4A2C02E9" w14:textId="77777777" w:rsidR="00FD7E85" w:rsidRDefault="00F456FA">
      <w:pPr>
        <w:pStyle w:val="AbstHead"/>
        <w:spacing w:after="0"/>
        <w:jc w:val="both"/>
        <w:rPr>
          <w:rFonts w:ascii="Arial" w:hAnsi="Arial" w:cs="Arial"/>
        </w:rPr>
      </w:pPr>
      <w:r>
        <w:rPr>
          <w:rFonts w:ascii="Arial" w:hAnsi="Arial" w:cs="Arial"/>
        </w:rPr>
        <w:t xml:space="preserve">2.0 methodology </w:t>
      </w:r>
    </w:p>
    <w:p w14:paraId="15787831" w14:textId="77777777" w:rsidR="00FD7E85" w:rsidRDefault="00F456FA">
      <w:pPr>
        <w:pStyle w:val="Body"/>
        <w:rPr>
          <w:rFonts w:ascii="Arial" w:hAnsi="Arial" w:cs="Arial"/>
          <w:b/>
          <w:bCs/>
        </w:rPr>
      </w:pPr>
      <w:bookmarkStart w:id="2" w:name="_Toc202869657"/>
      <w:r>
        <w:rPr>
          <w:rFonts w:ascii="Arial" w:hAnsi="Arial" w:cs="Arial"/>
          <w:b/>
          <w:bCs/>
        </w:rPr>
        <w:t>2.1 Study design</w:t>
      </w:r>
      <w:bookmarkEnd w:id="2"/>
    </w:p>
    <w:p w14:paraId="2350CAF0" w14:textId="13ABDCE3" w:rsidR="00FD7E85" w:rsidRDefault="00F456FA" w:rsidP="00867AB0">
      <w:pPr>
        <w:pStyle w:val="Body"/>
        <w:spacing w:after="0"/>
        <w:rPr>
          <w:rFonts w:ascii="Arial" w:hAnsi="Arial" w:cs="Arial"/>
        </w:rPr>
      </w:pPr>
      <w:bookmarkStart w:id="3" w:name="_Hlk223466054"/>
      <w:r>
        <w:rPr>
          <w:rFonts w:ascii="Arial" w:hAnsi="Arial" w:cs="Arial"/>
        </w:rPr>
        <w:t>A hospital</w:t>
      </w:r>
      <w:r w:rsidR="00867AB0">
        <w:rPr>
          <w:rFonts w:ascii="Arial" w:hAnsi="Arial" w:cs="Arial"/>
        </w:rPr>
        <w:t xml:space="preserve"> </w:t>
      </w:r>
      <w:r>
        <w:rPr>
          <w:rFonts w:ascii="Arial" w:hAnsi="Arial" w:cs="Arial"/>
        </w:rPr>
        <w:t xml:space="preserve">based prospective cohort study was conducted from August 2024 to May 2025. </w:t>
      </w:r>
    </w:p>
    <w:p w14:paraId="6D8629A8" w14:textId="77777777" w:rsidR="00FD7E85" w:rsidRDefault="00F456FA">
      <w:pPr>
        <w:pStyle w:val="Body"/>
        <w:rPr>
          <w:rFonts w:ascii="Arial" w:hAnsi="Arial" w:cs="Arial"/>
          <w:b/>
          <w:bCs/>
        </w:rPr>
      </w:pPr>
      <w:bookmarkStart w:id="4" w:name="_Toc202869658"/>
      <w:bookmarkEnd w:id="3"/>
      <w:r>
        <w:rPr>
          <w:rFonts w:ascii="Arial" w:hAnsi="Arial" w:cs="Arial"/>
          <w:b/>
          <w:bCs/>
        </w:rPr>
        <w:t>2.2 Study area</w:t>
      </w:r>
      <w:bookmarkEnd w:id="4"/>
    </w:p>
    <w:p w14:paraId="4EF91561" w14:textId="77777777" w:rsidR="00FD7E85" w:rsidRDefault="00F456FA">
      <w:pPr>
        <w:pStyle w:val="Body"/>
        <w:spacing w:after="0"/>
        <w:rPr>
          <w:rFonts w:ascii="Arial" w:hAnsi="Arial" w:cs="Arial"/>
        </w:rPr>
      </w:pPr>
      <w:r>
        <w:rPr>
          <w:rFonts w:ascii="Arial" w:hAnsi="Arial" w:cs="Arial"/>
        </w:rPr>
        <w:t>The study was conducted at Pasua Health Center, St. Joseph Hospital, and Kilimanjaro Christian Medical Centre (KCMC), all located within Moshi Municipal. It involved pregnant women diagnosed with pregnancy-induced hypertension (PIH), including those attending Reproductive and Child Health (RCH) clinics and those admitted to obstetric wards.</w:t>
      </w:r>
    </w:p>
    <w:p w14:paraId="44B6141D" w14:textId="77777777" w:rsidR="00FD7E85" w:rsidRDefault="00F456FA">
      <w:pPr>
        <w:pStyle w:val="Body"/>
        <w:spacing w:after="0"/>
        <w:rPr>
          <w:rFonts w:ascii="Arial" w:hAnsi="Arial" w:cs="Arial"/>
        </w:rPr>
      </w:pPr>
      <w:r>
        <w:rPr>
          <w:rFonts w:ascii="Arial" w:hAnsi="Arial" w:cs="Arial"/>
        </w:rPr>
        <w:t xml:space="preserve"> Pasua Health Center is a government-owned primary healthcare facility with a bed capacity of 30. It provides antenatal care to approximately 90 pregnant women per month, with 5 to 10 cases diagnosed with PIH. Patients with severe PIH are referred to higher-level facilities, including KCMC. </w:t>
      </w:r>
    </w:p>
    <w:p w14:paraId="182E6944" w14:textId="77777777" w:rsidR="00FD7E85" w:rsidRDefault="00F456FA">
      <w:pPr>
        <w:pStyle w:val="Body"/>
        <w:spacing w:after="0"/>
        <w:rPr>
          <w:rFonts w:ascii="Arial" w:hAnsi="Arial" w:cs="Arial"/>
        </w:rPr>
      </w:pPr>
      <w:r>
        <w:rPr>
          <w:rFonts w:ascii="Arial" w:hAnsi="Arial" w:cs="Arial"/>
        </w:rPr>
        <w:t xml:space="preserve">St. Joseph Hospital is a faith-based facility with an RCH unit that serves about 100 pregnant women per month and records up to 20 PIH cases monthly. It has a bed capacity of 90 and is staffed by 70 healthcare professionals, including one gynecologist. </w:t>
      </w:r>
    </w:p>
    <w:p w14:paraId="4789092E" w14:textId="77777777" w:rsidR="00FD7E85" w:rsidRDefault="00F456FA">
      <w:pPr>
        <w:pStyle w:val="Body"/>
        <w:spacing w:after="0"/>
        <w:rPr>
          <w:rFonts w:ascii="Arial" w:hAnsi="Arial" w:cs="Arial"/>
        </w:rPr>
      </w:pPr>
      <w:r>
        <w:rPr>
          <w:rFonts w:ascii="Arial" w:hAnsi="Arial" w:cs="Arial"/>
        </w:rPr>
        <w:t>KCMC Hospital is a tertiary zonal referral hospital with a capacity of 630 beds. It serves patients from Kilimanjaro, Arusha, Manyara, Tanga, and other regions of Tanzania. It also functions as a teaching hospital for diploma, undergraduate, and residency programs. These sites were selected for the study due to the sufficient number of PIH cases and the availability of ultrasound equipment necessary for Doppler assessments.</w:t>
      </w:r>
    </w:p>
    <w:p w14:paraId="6F31FB61" w14:textId="77777777" w:rsidR="00FD7E85" w:rsidRDefault="00F456FA">
      <w:pPr>
        <w:pStyle w:val="Body"/>
        <w:spacing w:after="0"/>
        <w:rPr>
          <w:rFonts w:ascii="Arial" w:hAnsi="Arial" w:cs="Arial"/>
        </w:rPr>
      </w:pPr>
      <w:r>
        <w:rPr>
          <w:rFonts w:ascii="Arial" w:hAnsi="Arial" w:cs="Arial"/>
        </w:rPr>
        <w:t>Moshi Municipal is one of the seven councils in the Kilimanjaro Region. It is situated on the lower slopes of Mount Kilimanjaro and covers an area of 63.39 square kilometers, with a population of 221,733. The region’s main economic activities include agriculture, tourism, and trade.</w:t>
      </w:r>
    </w:p>
    <w:p w14:paraId="6B85B7FD" w14:textId="77777777" w:rsidR="00FD7E85" w:rsidRDefault="00F456FA">
      <w:pPr>
        <w:pStyle w:val="Body"/>
        <w:rPr>
          <w:rFonts w:ascii="Arial" w:hAnsi="Arial" w:cs="Arial"/>
          <w:b/>
          <w:bCs/>
        </w:rPr>
      </w:pPr>
      <w:bookmarkStart w:id="5" w:name="_Toc202869659"/>
      <w:r>
        <w:rPr>
          <w:rFonts w:ascii="Arial" w:hAnsi="Arial" w:cs="Arial"/>
          <w:b/>
          <w:bCs/>
        </w:rPr>
        <w:t>2.3 Study population</w:t>
      </w:r>
      <w:bookmarkEnd w:id="5"/>
    </w:p>
    <w:p w14:paraId="03F05994" w14:textId="77777777" w:rsidR="00FD7E85" w:rsidRDefault="00F456FA">
      <w:pPr>
        <w:pStyle w:val="Body"/>
        <w:spacing w:after="0"/>
        <w:rPr>
          <w:rFonts w:ascii="Arial" w:hAnsi="Arial" w:cs="Arial"/>
        </w:rPr>
      </w:pPr>
      <w:r>
        <w:rPr>
          <w:rFonts w:ascii="Arial" w:hAnsi="Arial" w:cs="Arial"/>
        </w:rPr>
        <w:t xml:space="preserve">Pregnant women diagnosed with PIH attending Antenatal Care Clinic and admitted in obstetric wards at Pasua health center, St. Joseph hospital and Kilimanjaro Christian Medical Center. </w:t>
      </w:r>
    </w:p>
    <w:p w14:paraId="36A92F33" w14:textId="77777777" w:rsidR="00FD7E85" w:rsidRDefault="00F456FA">
      <w:pPr>
        <w:pStyle w:val="Body"/>
        <w:rPr>
          <w:rFonts w:ascii="Arial" w:hAnsi="Arial" w:cs="Arial"/>
          <w:b/>
          <w:bCs/>
        </w:rPr>
      </w:pPr>
      <w:bookmarkStart w:id="6" w:name="_Toc202869660"/>
      <w:r>
        <w:rPr>
          <w:rFonts w:ascii="Arial" w:hAnsi="Arial" w:cs="Arial"/>
          <w:b/>
          <w:bCs/>
        </w:rPr>
        <w:t>2.4.0 Eligibility criteria</w:t>
      </w:r>
      <w:bookmarkEnd w:id="6"/>
    </w:p>
    <w:p w14:paraId="1384865B" w14:textId="77777777" w:rsidR="00FD7E85" w:rsidRDefault="00F456FA">
      <w:pPr>
        <w:pStyle w:val="Body"/>
        <w:rPr>
          <w:rFonts w:ascii="Arial" w:hAnsi="Arial" w:cs="Arial"/>
          <w:b/>
          <w:bCs/>
        </w:rPr>
      </w:pPr>
      <w:bookmarkStart w:id="7" w:name="_Toc202869661"/>
      <w:r>
        <w:rPr>
          <w:rFonts w:ascii="Arial" w:hAnsi="Arial" w:cs="Arial"/>
          <w:b/>
          <w:bCs/>
        </w:rPr>
        <w:t>2.4.1. Inclusion criteria</w:t>
      </w:r>
      <w:bookmarkEnd w:id="7"/>
    </w:p>
    <w:p w14:paraId="5E2307D4" w14:textId="77777777" w:rsidR="00FD7E85" w:rsidRDefault="00F456FA">
      <w:pPr>
        <w:pStyle w:val="Body"/>
        <w:numPr>
          <w:ilvl w:val="0"/>
          <w:numId w:val="2"/>
        </w:numPr>
        <w:spacing w:after="0"/>
        <w:rPr>
          <w:rFonts w:ascii="Arial" w:hAnsi="Arial" w:cs="Arial"/>
        </w:rPr>
      </w:pPr>
      <w:r>
        <w:rPr>
          <w:rFonts w:ascii="Arial" w:hAnsi="Arial" w:cs="Arial"/>
        </w:rPr>
        <w:t>Pregnant women diagnosed with PIH,</w:t>
      </w:r>
    </w:p>
    <w:p w14:paraId="00F047C1" w14:textId="77777777" w:rsidR="00FD7E85" w:rsidRDefault="00F456FA">
      <w:pPr>
        <w:pStyle w:val="Body"/>
        <w:numPr>
          <w:ilvl w:val="0"/>
          <w:numId w:val="2"/>
        </w:numPr>
        <w:spacing w:after="0"/>
        <w:rPr>
          <w:rFonts w:ascii="Arial" w:hAnsi="Arial" w:cs="Arial"/>
        </w:rPr>
      </w:pPr>
      <w:r>
        <w:rPr>
          <w:rFonts w:ascii="Arial" w:hAnsi="Arial" w:cs="Arial"/>
        </w:rPr>
        <w:t xml:space="preserve"> Pregnant women with gestation of 28+weeks.</w:t>
      </w:r>
    </w:p>
    <w:p w14:paraId="1CFD74A2" w14:textId="77777777" w:rsidR="00FD7E85" w:rsidRDefault="00F456FA">
      <w:pPr>
        <w:pStyle w:val="Body"/>
        <w:numPr>
          <w:ilvl w:val="0"/>
          <w:numId w:val="2"/>
        </w:numPr>
        <w:spacing w:after="0"/>
        <w:rPr>
          <w:rFonts w:ascii="Arial" w:hAnsi="Arial" w:cs="Arial"/>
        </w:rPr>
      </w:pPr>
      <w:r>
        <w:rPr>
          <w:rFonts w:ascii="Arial" w:hAnsi="Arial" w:cs="Arial"/>
        </w:rPr>
        <w:t xml:space="preserve">Pregnant women with singleton fetus. </w:t>
      </w:r>
    </w:p>
    <w:p w14:paraId="42702333" w14:textId="77777777" w:rsidR="00FD7E85" w:rsidRDefault="00F456FA">
      <w:pPr>
        <w:pStyle w:val="Body"/>
        <w:numPr>
          <w:ilvl w:val="0"/>
          <w:numId w:val="2"/>
        </w:numPr>
        <w:spacing w:after="0"/>
        <w:rPr>
          <w:rFonts w:ascii="Arial" w:hAnsi="Arial" w:cs="Arial"/>
        </w:rPr>
      </w:pPr>
      <w:r>
        <w:rPr>
          <w:rFonts w:ascii="Arial" w:hAnsi="Arial" w:cs="Arial"/>
        </w:rPr>
        <w:t>Pregnant women with live fetus.</w:t>
      </w:r>
    </w:p>
    <w:p w14:paraId="63033148" w14:textId="77777777" w:rsidR="00FD7E85" w:rsidRDefault="00F456FA">
      <w:pPr>
        <w:pStyle w:val="Body"/>
        <w:rPr>
          <w:rFonts w:ascii="Arial" w:hAnsi="Arial" w:cs="Arial"/>
          <w:b/>
          <w:bCs/>
        </w:rPr>
      </w:pPr>
      <w:bookmarkStart w:id="8" w:name="_Toc202869662"/>
      <w:r>
        <w:rPr>
          <w:rFonts w:ascii="Arial" w:hAnsi="Arial" w:cs="Arial"/>
          <w:b/>
          <w:bCs/>
        </w:rPr>
        <w:t>2.4.2 Exclusion criteria.</w:t>
      </w:r>
      <w:bookmarkEnd w:id="8"/>
    </w:p>
    <w:p w14:paraId="0C867FE9" w14:textId="77777777" w:rsidR="00FD7E85" w:rsidRDefault="00F456FA">
      <w:pPr>
        <w:pStyle w:val="Body"/>
        <w:numPr>
          <w:ilvl w:val="0"/>
          <w:numId w:val="3"/>
        </w:numPr>
        <w:spacing w:after="0"/>
        <w:rPr>
          <w:rFonts w:ascii="Arial" w:hAnsi="Arial" w:cs="Arial"/>
        </w:rPr>
      </w:pPr>
      <w:r>
        <w:rPr>
          <w:rFonts w:ascii="Arial" w:hAnsi="Arial" w:cs="Arial"/>
        </w:rPr>
        <w:t>Pregnant women with pre-existing hypertension.</w:t>
      </w:r>
    </w:p>
    <w:p w14:paraId="1EE5BE93" w14:textId="77777777" w:rsidR="00FD7E85" w:rsidRDefault="00F456FA">
      <w:pPr>
        <w:pStyle w:val="Body"/>
        <w:numPr>
          <w:ilvl w:val="0"/>
          <w:numId w:val="3"/>
        </w:numPr>
        <w:spacing w:after="0"/>
        <w:rPr>
          <w:rFonts w:ascii="Arial" w:hAnsi="Arial" w:cs="Arial"/>
        </w:rPr>
      </w:pPr>
      <w:r>
        <w:rPr>
          <w:rFonts w:ascii="Arial" w:hAnsi="Arial" w:cs="Arial"/>
        </w:rPr>
        <w:t>Presence of maternal metabolic and renal diseases.</w:t>
      </w:r>
    </w:p>
    <w:p w14:paraId="6ECCD854" w14:textId="77777777" w:rsidR="00FD7E85" w:rsidRDefault="00F456FA">
      <w:pPr>
        <w:pStyle w:val="Body"/>
        <w:numPr>
          <w:ilvl w:val="0"/>
          <w:numId w:val="3"/>
        </w:numPr>
        <w:spacing w:after="0"/>
        <w:rPr>
          <w:rFonts w:ascii="Arial" w:hAnsi="Arial" w:cs="Arial"/>
        </w:rPr>
      </w:pPr>
      <w:r>
        <w:rPr>
          <w:rFonts w:ascii="Arial" w:hAnsi="Arial" w:cs="Arial"/>
        </w:rPr>
        <w:t>Presence of fetal congenital malformation.</w:t>
      </w:r>
    </w:p>
    <w:p w14:paraId="439400EE" w14:textId="77777777" w:rsidR="00FD7E85" w:rsidRDefault="00F456FA">
      <w:pPr>
        <w:pStyle w:val="Body"/>
        <w:numPr>
          <w:ilvl w:val="0"/>
          <w:numId w:val="3"/>
        </w:numPr>
        <w:spacing w:after="0"/>
        <w:rPr>
          <w:rFonts w:ascii="Arial" w:hAnsi="Arial" w:cs="Arial"/>
        </w:rPr>
      </w:pPr>
      <w:r>
        <w:rPr>
          <w:rFonts w:ascii="Arial" w:hAnsi="Arial" w:cs="Arial"/>
        </w:rPr>
        <w:t>Maternal infections</w:t>
      </w:r>
    </w:p>
    <w:p w14:paraId="1FF49264" w14:textId="77777777" w:rsidR="00FD7E85" w:rsidRDefault="00F456FA">
      <w:pPr>
        <w:pStyle w:val="Body"/>
        <w:numPr>
          <w:ilvl w:val="0"/>
          <w:numId w:val="3"/>
        </w:numPr>
        <w:spacing w:after="0"/>
        <w:rPr>
          <w:rFonts w:ascii="Arial" w:hAnsi="Arial" w:cs="Arial"/>
        </w:rPr>
      </w:pPr>
      <w:r>
        <w:rPr>
          <w:rFonts w:ascii="Arial" w:hAnsi="Arial" w:cs="Arial"/>
        </w:rPr>
        <w:t>Abnormal cord insertion/ Non central cord insertion.</w:t>
      </w:r>
    </w:p>
    <w:p w14:paraId="04A0B756" w14:textId="77777777" w:rsidR="00FD7E85" w:rsidRDefault="00F456FA">
      <w:pPr>
        <w:pStyle w:val="Body"/>
        <w:numPr>
          <w:ilvl w:val="0"/>
          <w:numId w:val="3"/>
        </w:numPr>
        <w:spacing w:after="0"/>
        <w:rPr>
          <w:rFonts w:ascii="Arial" w:hAnsi="Arial" w:cs="Arial"/>
        </w:rPr>
      </w:pPr>
      <w:r>
        <w:rPr>
          <w:rFonts w:ascii="Arial" w:hAnsi="Arial" w:cs="Arial"/>
        </w:rPr>
        <w:t xml:space="preserve">Pregnant women with alcoholic and drug abuse </w:t>
      </w:r>
    </w:p>
    <w:p w14:paraId="24A609C7" w14:textId="77777777" w:rsidR="00FD7E85" w:rsidRDefault="00F456FA">
      <w:pPr>
        <w:pStyle w:val="Body"/>
        <w:rPr>
          <w:rFonts w:ascii="Arial" w:hAnsi="Arial" w:cs="Arial"/>
          <w:b/>
          <w:bCs/>
        </w:rPr>
      </w:pPr>
      <w:bookmarkStart w:id="9" w:name="_Toc202869663"/>
      <w:r>
        <w:rPr>
          <w:rFonts w:ascii="Arial" w:hAnsi="Arial" w:cs="Arial"/>
          <w:b/>
          <w:bCs/>
        </w:rPr>
        <w:t xml:space="preserve">2.5.0 Sample size </w:t>
      </w:r>
      <w:bookmarkEnd w:id="9"/>
      <w:r>
        <w:rPr>
          <w:rFonts w:ascii="Arial" w:hAnsi="Arial" w:cs="Arial"/>
          <w:b/>
          <w:bCs/>
        </w:rPr>
        <w:t>and sampling technique.</w:t>
      </w:r>
    </w:p>
    <w:p w14:paraId="10D1DF3A" w14:textId="77777777" w:rsidR="00FD7E85" w:rsidRDefault="00F456FA">
      <w:pPr>
        <w:pStyle w:val="Body"/>
        <w:rPr>
          <w:rFonts w:ascii="Arial" w:hAnsi="Arial" w:cs="Arial"/>
          <w:b/>
          <w:bCs/>
        </w:rPr>
      </w:pPr>
      <w:bookmarkStart w:id="10" w:name="_Toc202869664"/>
      <w:r>
        <w:rPr>
          <w:rFonts w:ascii="Arial" w:hAnsi="Arial" w:cs="Arial"/>
          <w:b/>
          <w:bCs/>
        </w:rPr>
        <w:lastRenderedPageBreak/>
        <w:t>2.5.1 Sample size</w:t>
      </w:r>
      <w:bookmarkEnd w:id="10"/>
      <w:r>
        <w:rPr>
          <w:rFonts w:ascii="Arial" w:hAnsi="Arial" w:cs="Arial"/>
          <w:b/>
          <w:bCs/>
        </w:rPr>
        <w:t xml:space="preserve"> </w:t>
      </w:r>
    </w:p>
    <w:p w14:paraId="5E6D75EE" w14:textId="77777777" w:rsidR="00FD7E85" w:rsidRDefault="00F456FA">
      <w:pPr>
        <w:pStyle w:val="Body"/>
        <w:spacing w:after="0"/>
        <w:rPr>
          <w:rFonts w:ascii="Arial" w:hAnsi="Arial" w:cs="Arial"/>
          <w:bCs/>
        </w:rPr>
      </w:pPr>
      <w:r>
        <w:rPr>
          <w:rFonts w:ascii="Arial" w:hAnsi="Arial" w:cs="Arial"/>
          <w:bCs/>
        </w:rPr>
        <w:t xml:space="preserve">The sample size of this study was 110. This was estimated based on prevalence of abnormal umbilical artery Doppler ultrasound, calculated using the sample size formula for single proportion and adjusting by adding 10% to account for non-response as shown below   </w:t>
      </w:r>
    </w:p>
    <w:p w14:paraId="28521EB4" w14:textId="77777777" w:rsidR="00FD7E85" w:rsidRDefault="00FD7E85">
      <w:pPr>
        <w:pStyle w:val="Body"/>
        <w:spacing w:after="0"/>
        <w:rPr>
          <w:rFonts w:ascii="Arial" w:hAnsi="Arial" w:cs="Arial"/>
          <w:bCs/>
        </w:rPr>
      </w:pPr>
    </w:p>
    <w:p w14:paraId="7170A0CD" w14:textId="77777777" w:rsidR="00FD7E85" w:rsidRDefault="00F456FA">
      <w:pPr>
        <w:pStyle w:val="Body"/>
        <w:spacing w:after="0"/>
        <w:rPr>
          <w:rFonts w:ascii="Arial" w:hAnsi="Arial" w:cs="Arial"/>
          <w:b/>
        </w:rPr>
      </w:pPr>
      <w:r>
        <w:rPr>
          <w:rFonts w:ascii="Arial" w:hAnsi="Arial" w:cs="Arial"/>
          <w:b/>
        </w:rPr>
        <w:t xml:space="preserve">                                                N = </w:t>
      </w:r>
      <m:oMath>
        <m:f>
          <m:fPr>
            <m:ctrlPr>
              <w:rPr>
                <w:rFonts w:ascii="Cambria Math" w:hAnsi="Cambria Math" w:cs="Arial"/>
                <w:b/>
              </w:rPr>
            </m:ctrlPr>
          </m:fPr>
          <m:num>
            <m:sSup>
              <m:sSupPr>
                <m:ctrlPr>
                  <w:rPr>
                    <w:rFonts w:ascii="Cambria Math" w:hAnsi="Cambria Math" w:cs="Arial"/>
                    <w:b/>
                  </w:rPr>
                </m:ctrlPr>
              </m:sSupPr>
              <m:e>
                <m:r>
                  <m:rPr>
                    <m:sty m:val="bi"/>
                  </m:rPr>
                  <w:rPr>
                    <w:rFonts w:ascii="Cambria Math" w:hAnsi="Cambria Math" w:cs="Arial"/>
                  </w:rPr>
                  <m:t>Z</m:t>
                </m:r>
                <m:ctrlPr>
                  <w:rPr>
                    <w:rFonts w:ascii="Cambria Math" w:hAnsi="Cambria Math" w:cs="Arial"/>
                    <w:b/>
                    <w:i/>
                    <w:iCs/>
                  </w:rPr>
                </m:ctrlPr>
              </m:e>
              <m:sup>
                <m:r>
                  <m:rPr>
                    <m:sty m:val="b"/>
                  </m:rPr>
                  <w:rPr>
                    <w:rFonts w:ascii="Cambria Math" w:hAnsi="Cambria Math" w:cs="Arial"/>
                  </w:rPr>
                  <m:t>2</m:t>
                </m:r>
              </m:sup>
            </m:sSup>
            <m:r>
              <m:rPr>
                <m:sty m:val="bi"/>
              </m:rPr>
              <w:rPr>
                <w:rFonts w:ascii="Cambria Math" w:hAnsi="Cambria Math" w:cs="Arial"/>
              </w:rPr>
              <m:t>Px</m:t>
            </m:r>
            <m:d>
              <m:dPr>
                <m:ctrlPr>
                  <w:rPr>
                    <w:rFonts w:ascii="Cambria Math" w:hAnsi="Cambria Math" w:cs="Arial"/>
                    <w:b/>
                  </w:rPr>
                </m:ctrlPr>
              </m:dPr>
              <m:e>
                <m:r>
                  <m:rPr>
                    <m:sty m:val="b"/>
                  </m:rPr>
                  <w:rPr>
                    <w:rFonts w:ascii="Cambria Math" w:hAnsi="Cambria Math" w:cs="Arial"/>
                  </w:rPr>
                  <m:t>1-</m:t>
                </m:r>
                <m:r>
                  <m:rPr>
                    <m:sty m:val="bi"/>
                  </m:rPr>
                  <w:rPr>
                    <w:rFonts w:ascii="Cambria Math" w:hAnsi="Cambria Math" w:cs="Arial"/>
                  </w:rPr>
                  <m:t>P</m:t>
                </m:r>
              </m:e>
            </m:d>
          </m:num>
          <m:den>
            <m:sSup>
              <m:sSupPr>
                <m:ctrlPr>
                  <w:rPr>
                    <w:rFonts w:ascii="Cambria Math" w:hAnsi="Cambria Math" w:cs="Arial"/>
                    <w:b/>
                  </w:rPr>
                </m:ctrlPr>
              </m:sSupPr>
              <m:e>
                <m:r>
                  <m:rPr>
                    <m:sty m:val="bi"/>
                  </m:rPr>
                  <w:rPr>
                    <w:rFonts w:ascii="Cambria Math" w:hAnsi="Cambria Math" w:cs="Arial"/>
                  </w:rPr>
                  <m:t>e</m:t>
                </m:r>
                <m:ctrlPr>
                  <w:rPr>
                    <w:rFonts w:ascii="Cambria Math" w:hAnsi="Cambria Math" w:cs="Arial"/>
                    <w:b/>
                    <w:i/>
                    <w:iCs/>
                  </w:rPr>
                </m:ctrlPr>
              </m:e>
              <m:sup>
                <m:r>
                  <m:rPr>
                    <m:sty m:val="b"/>
                  </m:rPr>
                  <w:rPr>
                    <w:rFonts w:ascii="Cambria Math" w:hAnsi="Cambria Math" w:cs="Arial"/>
                  </w:rPr>
                  <m:t>2</m:t>
                </m:r>
              </m:sup>
            </m:sSup>
            <m:ctrlPr>
              <w:rPr>
                <w:rFonts w:ascii="Cambria Math" w:hAnsi="Cambria Math" w:cs="Arial"/>
                <w:b/>
                <w:i/>
              </w:rPr>
            </m:ctrlPr>
          </m:den>
        </m:f>
      </m:oMath>
    </w:p>
    <w:p w14:paraId="08D5C845" w14:textId="77777777" w:rsidR="00FD7E85" w:rsidRDefault="00F456FA">
      <w:pPr>
        <w:pStyle w:val="Body"/>
        <w:spacing w:after="0"/>
        <w:rPr>
          <w:rFonts w:ascii="Arial" w:hAnsi="Arial" w:cs="Arial"/>
          <w:bCs/>
        </w:rPr>
      </w:pPr>
      <w:r>
        <w:rPr>
          <w:rFonts w:ascii="Arial" w:hAnsi="Arial" w:cs="Arial"/>
          <w:bCs/>
        </w:rPr>
        <w:t>Whereby;</w:t>
      </w:r>
    </w:p>
    <w:p w14:paraId="0C70B2D8" w14:textId="77777777" w:rsidR="00FD7E85" w:rsidRDefault="00F456FA">
      <w:pPr>
        <w:pStyle w:val="Body"/>
        <w:spacing w:after="0"/>
        <w:rPr>
          <w:rFonts w:ascii="Arial" w:hAnsi="Arial" w:cs="Arial"/>
          <w:b/>
        </w:rPr>
      </w:pPr>
      <w:r>
        <w:rPr>
          <w:rFonts w:ascii="Arial" w:hAnsi="Arial" w:cs="Arial"/>
          <w:bCs/>
        </w:rPr>
        <w:t xml:space="preserve"> N =Sample size. </w:t>
      </w:r>
    </w:p>
    <w:p w14:paraId="5A89CFA6" w14:textId="77777777" w:rsidR="00FD7E85" w:rsidRDefault="00F456FA">
      <w:pPr>
        <w:pStyle w:val="Body"/>
        <w:spacing w:after="0"/>
        <w:rPr>
          <w:rFonts w:ascii="Arial" w:hAnsi="Arial" w:cs="Arial"/>
          <w:bCs/>
        </w:rPr>
      </w:pPr>
      <w:r>
        <w:rPr>
          <w:rFonts w:ascii="Arial" w:hAnsi="Arial" w:cs="Arial"/>
          <w:bCs/>
        </w:rPr>
        <w:t>Z = Standard normal deviation of 95% confidential interval.</w:t>
      </w:r>
    </w:p>
    <w:p w14:paraId="73F00292" w14:textId="77777777" w:rsidR="00FD7E85" w:rsidRDefault="00F456FA">
      <w:pPr>
        <w:pStyle w:val="Body"/>
        <w:spacing w:after="0"/>
        <w:rPr>
          <w:rFonts w:ascii="Arial" w:hAnsi="Arial" w:cs="Arial"/>
          <w:bCs/>
        </w:rPr>
      </w:pPr>
      <w:r>
        <w:rPr>
          <w:rFonts w:ascii="Arial" w:hAnsi="Arial" w:cs="Arial"/>
          <w:bCs/>
        </w:rPr>
        <w:t>P =proportion of target population estimated.</w:t>
      </w:r>
    </w:p>
    <w:p w14:paraId="599F9120" w14:textId="77777777" w:rsidR="00FD7E85" w:rsidRDefault="00F456FA">
      <w:pPr>
        <w:pStyle w:val="Body"/>
        <w:spacing w:after="0"/>
        <w:rPr>
          <w:rFonts w:ascii="Arial" w:hAnsi="Arial" w:cs="Arial"/>
          <w:bCs/>
        </w:rPr>
      </w:pPr>
      <w:r>
        <w:rPr>
          <w:rFonts w:ascii="Arial" w:hAnsi="Arial" w:cs="Arial"/>
          <w:bCs/>
        </w:rPr>
        <w:t>e =margin error.</w:t>
      </w:r>
    </w:p>
    <w:p w14:paraId="598F5CA7" w14:textId="77777777" w:rsidR="00FD7E85" w:rsidRDefault="00F456FA">
      <w:pPr>
        <w:pStyle w:val="Body"/>
        <w:spacing w:after="0"/>
        <w:rPr>
          <w:rFonts w:ascii="Arial" w:hAnsi="Arial" w:cs="Arial"/>
          <w:bCs/>
        </w:rPr>
      </w:pPr>
      <w:r>
        <w:rPr>
          <w:rFonts w:ascii="Arial" w:hAnsi="Arial" w:cs="Arial"/>
          <w:bCs/>
        </w:rPr>
        <w:t>Values.</w:t>
      </w:r>
    </w:p>
    <w:p w14:paraId="6BE25F50" w14:textId="77777777" w:rsidR="00FD7E85" w:rsidRDefault="00F456FA">
      <w:pPr>
        <w:pStyle w:val="Body"/>
        <w:spacing w:after="0"/>
        <w:rPr>
          <w:rFonts w:ascii="Arial" w:hAnsi="Arial" w:cs="Arial"/>
          <w:bCs/>
        </w:rPr>
      </w:pPr>
      <w:r>
        <w:rPr>
          <w:rFonts w:ascii="Arial" w:hAnsi="Arial" w:cs="Arial"/>
          <w:bCs/>
        </w:rPr>
        <w:t>Z=1.96 (95%confidential interval).</w:t>
      </w:r>
    </w:p>
    <w:p w14:paraId="666F6870" w14:textId="77777777" w:rsidR="00FD7E85" w:rsidRDefault="00F456FA">
      <w:pPr>
        <w:pStyle w:val="Body"/>
        <w:spacing w:after="0"/>
        <w:rPr>
          <w:rFonts w:ascii="Arial" w:hAnsi="Arial" w:cs="Arial"/>
          <w:bCs/>
        </w:rPr>
      </w:pPr>
      <w:r>
        <w:rPr>
          <w:rFonts w:ascii="Arial" w:hAnsi="Arial" w:cs="Arial"/>
          <w:bCs/>
        </w:rPr>
        <w:t xml:space="preserve">P=7.1% </w:t>
      </w:r>
      <w:r>
        <w:rPr>
          <w:rFonts w:ascii="Arial" w:hAnsi="Arial" w:cs="Arial"/>
          <w:bCs/>
        </w:rPr>
        <w:fldChar w:fldCharType="begin" w:fldLock="1"/>
      </w:r>
      <w:r>
        <w:rPr>
          <w:rFonts w:ascii="Arial" w:hAnsi="Arial" w:cs="Arial"/>
          <w:bCs/>
        </w:rPr>
        <w:instrText>ADDIN CSL_CITATION {"citationItems":[{"id":"ITEM-1","itemData":{"DOI":"10.1136/bmjopen-2021-053622","ISSN":"20446055","PMID":"35296477","abstract":"INTRODUCTION: Few interventions exist to address the high burden of stillbirths in apparently healthy pregnant women in low- and middle-income countries (LMICs). To establish whether a trial on the impact of routine Doppler screening in a low-risk obstetric population is warranted, we determined the prevalence of abnormal fetal umbilical artery resistance indices among low-risk pregnant women using a low-cost Doppler device in five LMICs. METHODS: We conducted a multicentre, prospective cohort study in Ghana, India, Kenya, Rwanda and South Africa. Trained nurses or midwives performed a single, continuous-wave Doppler screening using the Umbiflow device for low-risk pregnant women (according to local guidelines) between 28 and 34 weeks' gestation. We assessed the prevalence of abnormal (raised) resistance index (RI), including absent end diastolic flow (AEDF), and compared pregnancy and health service utilisation outcomes between women with abnormal RI versus those with normal RI. RESULTS: Of 7151 women screened, 495 (6.9%) had an abnormal RI, including 14 (0.2%) with AEDF. Caesarean section (40.8% vs 28.1%), labour induction (20.5% vs 9.0%) and low birth weight (&lt;2500 g) (15.0% vs 6.8%) were significantly more frequent among women with abnormal RI compared with women with normal RI. Abnormal RI was associated with lower birth weights across all weight centiles. Stillbirth and perinatal mortality rates were similar between women with normal and abnormal RI. CONCLUSION: A single Doppler screening of low-risk pregnant women in LMICs using the Umbiflow device can detect a large number of fetuses at risk of growth restriction and consequent adverse perinatal outcomes. Many perinatal deaths could potentially be averted with appropriate intervention strategies. TRIAL REGISTRATION NUMBER: CTRI/2018/07/01486.","author":[{"dropping-particle":"","family":"Vannevel","given":"Valerie","non-dropping-particle":"","parse-names":false,"suffix":""},{"dropping-particle":"","family":"Vogel","given":"Joshua P.","non-dropping-particle":"","parse-names":false,"suffix":""},{"dropping-particle":"","family":"Pattinson","given":"Robert C.","non-dropping-particle":"","parse-names":false,"suffix":""},{"dropping-particle":"","family":"Adanu","given":"Richard","non-dropping-particle":"","parse-names":false,"suffix":""},{"dropping-particle":"","family":"Charantimath","given":"Umesh","non-dropping-particle":"","parse-names":false,"suffix":""},{"dropping-particle":"","family":"Goudar","given":"Shivaprasad S.","non-dropping-particle":"","parse-names":false,"suffix":""},{"dropping-particle":"","family":"Gwako","given":"George","non-dropping-particle":"","parse-names":false,"suffix":""},{"dropping-particle":"","family":"Kavi","given":"Avinash","non-dropping-particle":"","parse-names":false,"suffix":""},{"dropping-particle":"","family":"Maya","given":"Ernest","non-dropping-particle":"","parse-names":false,"suffix":""},{"dropping-particle":"","family":"Osoti","given":"Alfred","non-dropping-particle":"","parse-names":false,"suffix":""},{"dropping-particle":"","family":"Pujar","given":"Yeshita","non-dropping-particle":"","parse-names":false,"suffix":""},{"dropping-particle":"","family":"Qureshi","given":"Zahida P.","non-dropping-particle":"","parse-names":false,"suffix":""},{"dropping-particle":"","family":"Rulisa","given":"Stephen","non-dropping-particle":"","parse-names":false,"suffix":""},{"dropping-particle":"","family":"Botha","given":"Tanita","non-dropping-particle":"","parse-names":false,"suffix":""},{"dropping-particle":"","family":"Oladapo","given":"Olufemi T.","non-dropping-particle":"","parse-names":false,"suffix":""}],"container-title":"BMJ open","id":"ITEM-1","issue":"3","issued":{"date-parts":[["2022"]]},"page":"e053622","title":"Antenatal Doppler screening for fetuses at risk of adverse outcomes: a multicountry cohort study of the prevalence of abnormal resistance index in low-risk pregnant women","type":"article-journal","volume":"12"},"uris":["http://www.mendeley.com/documents/?uuid=293d7307-61db-45ed-992c-8392620bdfc7"]}],"mendeley":{"formattedCitation":"(Vannevel, Joshua P. Vogel, &lt;i&gt;et al.&lt;/i&gt;, 2022)","plainTextFormattedCitation":"(Vannevel, Joshua P. Vogel, et al., 2022)","previouslyFormattedCitation":"(Vannevel, Joshua P. Vogel, &lt;i&gt;et al.&lt;/i&gt;, 2022)"},"properties":{"noteIndex":0},"schema":"https://github.com/citation-style-language/schema/raw/master/csl-citation.json"}</w:instrText>
      </w:r>
      <w:r>
        <w:rPr>
          <w:rFonts w:ascii="Arial" w:hAnsi="Arial" w:cs="Arial"/>
          <w:bCs/>
        </w:rPr>
        <w:fldChar w:fldCharType="separate"/>
      </w:r>
      <w:r>
        <w:rPr>
          <w:rFonts w:ascii="Arial" w:hAnsi="Arial" w:cs="Arial"/>
          <w:bCs/>
          <w:noProof/>
        </w:rPr>
        <w:t xml:space="preserve">(Vannevel, Joshua P. Vogel, </w:t>
      </w:r>
      <w:r>
        <w:rPr>
          <w:rFonts w:ascii="Arial" w:hAnsi="Arial" w:cs="Arial"/>
          <w:bCs/>
          <w:i/>
          <w:noProof/>
        </w:rPr>
        <w:t>et al.</w:t>
      </w:r>
      <w:r>
        <w:rPr>
          <w:rFonts w:ascii="Arial" w:hAnsi="Arial" w:cs="Arial"/>
          <w:bCs/>
          <w:noProof/>
        </w:rPr>
        <w:t>, 2022)</w:t>
      </w:r>
      <w:r>
        <w:rPr>
          <w:rFonts w:ascii="Arial" w:hAnsi="Arial" w:cs="Arial"/>
        </w:rPr>
        <w:fldChar w:fldCharType="end"/>
      </w:r>
    </w:p>
    <w:p w14:paraId="5B066B93" w14:textId="77777777" w:rsidR="00FD7E85" w:rsidRDefault="00F456FA">
      <w:pPr>
        <w:pStyle w:val="Body"/>
        <w:spacing w:after="0"/>
        <w:rPr>
          <w:rFonts w:ascii="Arial" w:hAnsi="Arial" w:cs="Arial"/>
          <w:bCs/>
        </w:rPr>
      </w:pPr>
      <w:r>
        <w:rPr>
          <w:rFonts w:ascii="Arial" w:hAnsi="Arial" w:cs="Arial"/>
          <w:bCs/>
        </w:rPr>
        <w:t>e=5% (0.05)</w:t>
      </w:r>
    </w:p>
    <w:p w14:paraId="2059CCE8" w14:textId="77777777" w:rsidR="00FD7E85" w:rsidRDefault="00F456FA">
      <w:pPr>
        <w:pStyle w:val="Body"/>
        <w:spacing w:after="0"/>
        <w:rPr>
          <w:rFonts w:ascii="Arial" w:hAnsi="Arial" w:cs="Arial"/>
          <w:bCs/>
        </w:rPr>
      </w:pPr>
      <w:r>
        <w:rPr>
          <w:rFonts w:ascii="Arial" w:hAnsi="Arial" w:cs="Arial"/>
          <w:bCs/>
        </w:rPr>
        <w:t>Hence N= (3.8416×0.071) (1-0.071)) ∕ 0.0025.</w:t>
      </w:r>
    </w:p>
    <w:p w14:paraId="3016A657" w14:textId="77777777" w:rsidR="00FD7E85" w:rsidRDefault="00F456FA">
      <w:pPr>
        <w:pStyle w:val="Body"/>
        <w:spacing w:after="0"/>
        <w:rPr>
          <w:rFonts w:ascii="Arial" w:hAnsi="Arial" w:cs="Arial"/>
          <w:bCs/>
        </w:rPr>
      </w:pPr>
      <w:r>
        <w:rPr>
          <w:rFonts w:ascii="Arial" w:hAnsi="Arial" w:cs="Arial"/>
          <w:bCs/>
        </w:rPr>
        <w:t xml:space="preserve">     N=110</w:t>
      </w:r>
    </w:p>
    <w:p w14:paraId="6FF82B13" w14:textId="77777777" w:rsidR="00FD7E85" w:rsidRDefault="00F456FA">
      <w:pPr>
        <w:pStyle w:val="Body"/>
        <w:spacing w:after="0"/>
        <w:rPr>
          <w:rFonts w:ascii="Arial" w:hAnsi="Arial" w:cs="Arial"/>
          <w:bCs/>
        </w:rPr>
      </w:pPr>
      <w:r>
        <w:rPr>
          <w:rFonts w:ascii="Arial" w:hAnsi="Arial" w:cs="Arial"/>
          <w:bCs/>
        </w:rPr>
        <w:t>Hence sample size of this study was 110 pregnant women diagnosed with PIH</w:t>
      </w:r>
    </w:p>
    <w:p w14:paraId="1E995F15" w14:textId="77777777" w:rsidR="00FD7E85" w:rsidRDefault="00F456FA">
      <w:pPr>
        <w:pStyle w:val="Body"/>
        <w:rPr>
          <w:rFonts w:ascii="Arial" w:hAnsi="Arial" w:cs="Arial"/>
          <w:b/>
          <w:bCs/>
        </w:rPr>
      </w:pPr>
      <w:bookmarkStart w:id="11" w:name="_Toc202869665"/>
      <w:r>
        <w:rPr>
          <w:rFonts w:ascii="Arial" w:hAnsi="Arial" w:cs="Arial"/>
          <w:b/>
          <w:bCs/>
        </w:rPr>
        <w:t>2.5.2 Sampling technique</w:t>
      </w:r>
      <w:bookmarkEnd w:id="11"/>
    </w:p>
    <w:p w14:paraId="7CE160BF" w14:textId="77777777" w:rsidR="00FD7E85" w:rsidRDefault="00F456FA">
      <w:pPr>
        <w:pStyle w:val="Body"/>
        <w:spacing w:after="0"/>
        <w:rPr>
          <w:rFonts w:ascii="Arial" w:hAnsi="Arial" w:cs="Arial"/>
        </w:rPr>
      </w:pPr>
      <w:r>
        <w:rPr>
          <w:rFonts w:ascii="Arial" w:hAnsi="Arial" w:cs="Arial"/>
        </w:rPr>
        <w:t xml:space="preserve">Purposive sampling technique was used to recruit participants with PIH from the purposely selected three health facilities namely Pasua Health center, St. Joseph Hospital and KCMC. </w:t>
      </w:r>
    </w:p>
    <w:p w14:paraId="6D498176" w14:textId="77777777" w:rsidR="00FD7E85" w:rsidRDefault="00F456FA">
      <w:pPr>
        <w:pStyle w:val="Body"/>
        <w:spacing w:after="0"/>
        <w:rPr>
          <w:rFonts w:ascii="Arial" w:hAnsi="Arial" w:cs="Arial"/>
        </w:rPr>
      </w:pPr>
      <w:r>
        <w:rPr>
          <w:rFonts w:ascii="Arial" w:hAnsi="Arial" w:cs="Arial"/>
        </w:rPr>
        <w:t>These setting was suitable for this study due to easy accessibility of participants and presence of similar ultrasound machines used in this study.</w:t>
      </w:r>
    </w:p>
    <w:p w14:paraId="37F8724C" w14:textId="77777777" w:rsidR="00FD7E85" w:rsidRDefault="00F456FA">
      <w:pPr>
        <w:pStyle w:val="Body"/>
        <w:rPr>
          <w:rFonts w:ascii="Arial" w:hAnsi="Arial" w:cs="Arial"/>
          <w:b/>
          <w:bCs/>
        </w:rPr>
      </w:pPr>
      <w:bookmarkStart w:id="12" w:name="_Toc202869666"/>
      <w:r>
        <w:rPr>
          <w:rFonts w:ascii="Arial" w:hAnsi="Arial" w:cs="Arial"/>
          <w:b/>
          <w:bCs/>
        </w:rPr>
        <w:t>2.6.0Variables.</w:t>
      </w:r>
      <w:bookmarkEnd w:id="12"/>
    </w:p>
    <w:p w14:paraId="51458CC6" w14:textId="77777777" w:rsidR="00FD7E85" w:rsidRDefault="00F456FA">
      <w:pPr>
        <w:pStyle w:val="Body"/>
        <w:spacing w:after="0"/>
        <w:rPr>
          <w:rFonts w:ascii="Arial" w:hAnsi="Arial" w:cs="Arial"/>
        </w:rPr>
      </w:pPr>
      <w:bookmarkStart w:id="13" w:name="_Toc202869667"/>
      <w:r>
        <w:rPr>
          <w:rFonts w:ascii="Arial" w:hAnsi="Arial" w:cs="Arial"/>
          <w:b/>
          <w:bCs/>
        </w:rPr>
        <w:t>2.6.1 Independent variables</w:t>
      </w:r>
      <w:bookmarkEnd w:id="13"/>
      <w:r>
        <w:rPr>
          <w:rFonts w:ascii="Arial" w:hAnsi="Arial" w:cs="Arial"/>
        </w:rPr>
        <w:t xml:space="preserve"> </w:t>
      </w:r>
    </w:p>
    <w:p w14:paraId="7436667D" w14:textId="77777777" w:rsidR="00FD7E85" w:rsidRDefault="00F456FA">
      <w:pPr>
        <w:pStyle w:val="Body"/>
        <w:spacing w:after="0"/>
        <w:rPr>
          <w:rFonts w:ascii="Arial" w:hAnsi="Arial" w:cs="Arial"/>
        </w:rPr>
      </w:pPr>
      <w:r>
        <w:rPr>
          <w:rFonts w:ascii="Arial" w:hAnsi="Arial" w:cs="Arial"/>
        </w:rPr>
        <w:t>Independent variable in this study was maternal demographic and clinical characteristics, level of facility attended ANC, level of the facility of delivery, systolic and diastolic blood pressure, umbilical artery doppler findings.</w:t>
      </w:r>
    </w:p>
    <w:p w14:paraId="6606AC17" w14:textId="77777777" w:rsidR="00FD7E85" w:rsidRDefault="00F456FA">
      <w:pPr>
        <w:pStyle w:val="Body"/>
        <w:rPr>
          <w:rFonts w:ascii="Arial" w:hAnsi="Arial" w:cs="Arial"/>
          <w:b/>
          <w:bCs/>
        </w:rPr>
      </w:pPr>
      <w:bookmarkStart w:id="14" w:name="_Toc202869668"/>
      <w:r>
        <w:rPr>
          <w:rFonts w:ascii="Arial" w:hAnsi="Arial" w:cs="Arial"/>
          <w:b/>
          <w:bCs/>
        </w:rPr>
        <w:t>2.6.2 Dependent variables</w:t>
      </w:r>
      <w:bookmarkEnd w:id="14"/>
      <w:r>
        <w:rPr>
          <w:rFonts w:ascii="Arial" w:hAnsi="Arial" w:cs="Arial"/>
          <w:b/>
          <w:bCs/>
        </w:rPr>
        <w:t xml:space="preserve"> </w:t>
      </w:r>
      <w:bookmarkStart w:id="15" w:name="_Toc202852542"/>
      <w:bookmarkStart w:id="16" w:name="_Toc202853569"/>
      <w:bookmarkStart w:id="17" w:name="_Toc202869669"/>
    </w:p>
    <w:bookmarkEnd w:id="15"/>
    <w:bookmarkEnd w:id="16"/>
    <w:bookmarkEnd w:id="17"/>
    <w:p w14:paraId="2904D0BD" w14:textId="77777777" w:rsidR="00FD7E85" w:rsidRDefault="00F456FA">
      <w:pPr>
        <w:pStyle w:val="Body"/>
        <w:spacing w:after="0"/>
        <w:rPr>
          <w:rFonts w:ascii="Arial" w:hAnsi="Arial" w:cs="Arial"/>
        </w:rPr>
      </w:pPr>
      <w:r>
        <w:rPr>
          <w:rFonts w:ascii="Arial" w:hAnsi="Arial" w:cs="Arial"/>
        </w:rPr>
        <w:t>Fetal outcomes and prevalence of abnormal umbilical artery doppler ultrasound.</w:t>
      </w:r>
    </w:p>
    <w:p w14:paraId="38C8A918" w14:textId="77777777" w:rsidR="00FD7E85" w:rsidRDefault="00F456FA">
      <w:pPr>
        <w:pStyle w:val="Body"/>
        <w:spacing w:after="0"/>
        <w:rPr>
          <w:rFonts w:ascii="Arial" w:hAnsi="Arial" w:cs="Arial"/>
          <w:b/>
          <w:bCs/>
        </w:rPr>
      </w:pPr>
      <w:r>
        <w:rPr>
          <w:rFonts w:ascii="Arial" w:hAnsi="Arial" w:cs="Arial"/>
          <w:b/>
          <w:bCs/>
        </w:rPr>
        <w:t>2.7.0 Data collection tool, methods and procedure</w:t>
      </w:r>
    </w:p>
    <w:p w14:paraId="050BCDAC" w14:textId="77777777" w:rsidR="00FD7E85" w:rsidRDefault="00F456FA">
      <w:pPr>
        <w:pStyle w:val="Body"/>
        <w:rPr>
          <w:rFonts w:ascii="Arial" w:hAnsi="Arial" w:cs="Arial"/>
          <w:b/>
          <w:bCs/>
        </w:rPr>
      </w:pPr>
      <w:bookmarkStart w:id="18" w:name="_Toc202869671"/>
      <w:r>
        <w:rPr>
          <w:rFonts w:ascii="Arial" w:hAnsi="Arial" w:cs="Arial"/>
          <w:b/>
          <w:bCs/>
        </w:rPr>
        <w:t>2.7.1 Data collection tool</w:t>
      </w:r>
      <w:bookmarkEnd w:id="18"/>
    </w:p>
    <w:p w14:paraId="30DDEBB1" w14:textId="77777777" w:rsidR="00FD7E85" w:rsidRDefault="00F456FA">
      <w:pPr>
        <w:pStyle w:val="Body"/>
        <w:spacing w:after="0"/>
        <w:rPr>
          <w:rFonts w:ascii="Arial" w:hAnsi="Arial" w:cs="Arial"/>
        </w:rPr>
      </w:pPr>
      <w:r>
        <w:rPr>
          <w:rFonts w:ascii="Arial" w:hAnsi="Arial" w:cs="Arial"/>
        </w:rPr>
        <w:t xml:space="preserve">Data was collected using pretested structured proforma with three (3) sections. Section one was the social demographic and clinical characteristics of participants; section two umbilical artery Doppler findings and section three was the fetal outcome. </w:t>
      </w:r>
    </w:p>
    <w:p w14:paraId="4CA7C595" w14:textId="77777777" w:rsidR="00FD7E85" w:rsidRDefault="00F456FA">
      <w:pPr>
        <w:pStyle w:val="Body"/>
        <w:rPr>
          <w:rFonts w:ascii="Arial" w:hAnsi="Arial" w:cs="Arial"/>
          <w:b/>
          <w:bCs/>
        </w:rPr>
      </w:pPr>
      <w:bookmarkStart w:id="19" w:name="_Toc202869672"/>
      <w:r>
        <w:rPr>
          <w:rFonts w:ascii="Arial" w:hAnsi="Arial" w:cs="Arial"/>
          <w:b/>
          <w:bCs/>
        </w:rPr>
        <w:t>3.7.2 Data collection methods</w:t>
      </w:r>
      <w:bookmarkEnd w:id="19"/>
    </w:p>
    <w:p w14:paraId="527BB8EA" w14:textId="77777777" w:rsidR="00867AB0" w:rsidRDefault="00867AB0">
      <w:pPr>
        <w:pStyle w:val="Body"/>
        <w:spacing w:after="0"/>
        <w:rPr>
          <w:rFonts w:ascii="Arial" w:hAnsi="Arial" w:cs="Arial"/>
        </w:rPr>
      </w:pPr>
    </w:p>
    <w:p w14:paraId="01BFE177" w14:textId="77777777" w:rsidR="00867AB0" w:rsidRDefault="00867AB0" w:rsidP="00867AB0">
      <w:pPr>
        <w:pStyle w:val="Body"/>
        <w:rPr>
          <w:rFonts w:ascii="Arial" w:hAnsi="Arial" w:cs="Arial"/>
        </w:rPr>
      </w:pPr>
      <w:r w:rsidRPr="00867AB0">
        <w:rPr>
          <w:rFonts w:ascii="Arial" w:hAnsi="Arial" w:cs="Arial"/>
        </w:rPr>
        <w:t xml:space="preserve">Pregnant women confirmed with diagnosis of pregnancy-induced hypertension (PIH), as recorded in their Reproductive and Child Health (RCH) Card Number 4, were enrolled in the study. </w:t>
      </w:r>
    </w:p>
    <w:p w14:paraId="1727E080" w14:textId="795BB599" w:rsidR="00867AB0" w:rsidRPr="00867AB0" w:rsidRDefault="00867AB0" w:rsidP="00867AB0">
      <w:pPr>
        <w:pStyle w:val="Body"/>
        <w:rPr>
          <w:rFonts w:ascii="Arial" w:hAnsi="Arial" w:cs="Arial"/>
        </w:rPr>
      </w:pPr>
      <w:r>
        <w:rPr>
          <w:rFonts w:ascii="Arial" w:hAnsi="Arial" w:cs="Arial"/>
        </w:rPr>
        <w:t xml:space="preserve">The participants </w:t>
      </w:r>
      <w:r w:rsidR="002E1020">
        <w:rPr>
          <w:rFonts w:ascii="Arial" w:hAnsi="Arial" w:cs="Arial"/>
        </w:rPr>
        <w:t xml:space="preserve">in sitting position </w:t>
      </w:r>
      <w:r>
        <w:rPr>
          <w:rFonts w:ascii="Arial" w:hAnsi="Arial" w:cs="Arial"/>
        </w:rPr>
        <w:t xml:space="preserve">were examined for </w:t>
      </w:r>
      <w:r w:rsidRPr="00867AB0">
        <w:rPr>
          <w:rFonts w:ascii="Arial" w:hAnsi="Arial" w:cs="Arial"/>
        </w:rPr>
        <w:t>blood pressure</w:t>
      </w:r>
      <w:r w:rsidR="002E1020">
        <w:rPr>
          <w:rFonts w:ascii="Arial" w:hAnsi="Arial" w:cs="Arial"/>
        </w:rPr>
        <w:t xml:space="preserve"> in both left and right hands. Blood pressure was recorded as average of the two readings by using a digital sphygmomanometer. This was done</w:t>
      </w:r>
      <w:r w:rsidRPr="00867AB0">
        <w:rPr>
          <w:rFonts w:ascii="Arial" w:hAnsi="Arial" w:cs="Arial"/>
        </w:rPr>
        <w:t xml:space="preserve"> by the principal investigator and antenatal care staffs</w:t>
      </w:r>
      <w:r w:rsidR="002E1020">
        <w:rPr>
          <w:rFonts w:ascii="Arial" w:hAnsi="Arial" w:cs="Arial"/>
        </w:rPr>
        <w:t>.</w:t>
      </w:r>
    </w:p>
    <w:p w14:paraId="6FDC5801" w14:textId="61EDB35A" w:rsidR="00867AB0" w:rsidRPr="00867AB0" w:rsidRDefault="00867AB0" w:rsidP="00867AB0">
      <w:pPr>
        <w:pStyle w:val="Body"/>
        <w:rPr>
          <w:rFonts w:ascii="Arial" w:hAnsi="Arial" w:cs="Arial"/>
        </w:rPr>
      </w:pPr>
      <w:r w:rsidRPr="00867AB0">
        <w:rPr>
          <w:rFonts w:ascii="Arial" w:hAnsi="Arial" w:cs="Arial"/>
        </w:rPr>
        <w:lastRenderedPageBreak/>
        <w:t>Ultrasound examinations were performed using a transabdominal approach</w:t>
      </w:r>
      <w:r w:rsidR="00E95566">
        <w:rPr>
          <w:rFonts w:ascii="Arial" w:hAnsi="Arial" w:cs="Arial"/>
        </w:rPr>
        <w:t xml:space="preserve"> patient in supine position</w:t>
      </w:r>
      <w:r w:rsidRPr="00867AB0">
        <w:rPr>
          <w:rFonts w:ascii="Arial" w:hAnsi="Arial" w:cs="Arial"/>
        </w:rPr>
        <w:t xml:space="preserve"> </w:t>
      </w:r>
      <w:r w:rsidR="00E95566">
        <w:rPr>
          <w:rFonts w:ascii="Arial" w:hAnsi="Arial" w:cs="Arial"/>
        </w:rPr>
        <w:t xml:space="preserve">by </w:t>
      </w:r>
      <w:r w:rsidR="00427350">
        <w:rPr>
          <w:rFonts w:ascii="Arial" w:hAnsi="Arial" w:cs="Arial"/>
        </w:rPr>
        <w:t xml:space="preserve">using </w:t>
      </w:r>
      <w:r w:rsidR="00427350" w:rsidRPr="00867AB0">
        <w:rPr>
          <w:rFonts w:ascii="Arial" w:hAnsi="Arial" w:cs="Arial"/>
        </w:rPr>
        <w:t>Siemen</w:t>
      </w:r>
      <w:r w:rsidRPr="00867AB0">
        <w:rPr>
          <w:rFonts w:ascii="Arial" w:hAnsi="Arial" w:cs="Arial"/>
        </w:rPr>
        <w:t xml:space="preserve"> (ACUSON NX3) and Philips ultrasound </w:t>
      </w:r>
      <w:r w:rsidR="00427350">
        <w:rPr>
          <w:rFonts w:ascii="Arial" w:hAnsi="Arial" w:cs="Arial"/>
        </w:rPr>
        <w:t>(</w:t>
      </w:r>
      <w:proofErr w:type="spellStart"/>
      <w:r w:rsidR="00427350">
        <w:rPr>
          <w:rFonts w:ascii="Arial" w:hAnsi="Arial" w:cs="Arial"/>
        </w:rPr>
        <w:t>Affiniti</w:t>
      </w:r>
      <w:proofErr w:type="spellEnd"/>
      <w:r w:rsidR="00E95566">
        <w:rPr>
          <w:rFonts w:ascii="Arial" w:hAnsi="Arial" w:cs="Arial"/>
        </w:rPr>
        <w:t xml:space="preserve"> 70G) </w:t>
      </w:r>
      <w:r w:rsidRPr="00867AB0">
        <w:rPr>
          <w:rFonts w:ascii="Arial" w:hAnsi="Arial" w:cs="Arial"/>
        </w:rPr>
        <w:t>machines. A same curve linear ultrasound transducer was used for both grayscale and Doppler ultrasound scans. A free loop of the umbilical cord was identified, followed by the application of color Doppler to visualize the umbilical artery. Spectral Doppler was then applied to assess the waveform patterns. Normal waveforms were identified by the presence of both high systolic and diastolic components, while abnormal patterns included absent or reversed end-diastolic flow.</w:t>
      </w:r>
    </w:p>
    <w:p w14:paraId="7328FF78" w14:textId="77777777" w:rsidR="00867AB0" w:rsidRPr="00867AB0" w:rsidRDefault="00867AB0" w:rsidP="00867AB0">
      <w:pPr>
        <w:pStyle w:val="Body"/>
        <w:rPr>
          <w:rFonts w:ascii="Arial" w:hAnsi="Arial" w:cs="Arial"/>
        </w:rPr>
      </w:pPr>
      <w:r w:rsidRPr="00867AB0">
        <w:rPr>
          <w:rFonts w:ascii="Arial" w:hAnsi="Arial" w:cs="Arial"/>
        </w:rPr>
        <w:t>Doppler indices such as Resistance Index (RI), Pulsatility Index (PI), and Systolic/Diastolic (S/D) ratio were automatically calculated using the software integrated into the ultrasound machines. Indices were considered normal if values fell within the 5th to 95th percentile range. The same machines were also used to estimate fetal weight using biometric parameters including Abdominal Circumference (AC), Head Circumference (HC), Biparietal Diameter (BPD), and Femur Length (FL).</w:t>
      </w:r>
    </w:p>
    <w:p w14:paraId="06DD8806" w14:textId="77777777" w:rsidR="00867AB0" w:rsidRPr="00867AB0" w:rsidRDefault="00867AB0" w:rsidP="00867AB0">
      <w:pPr>
        <w:pStyle w:val="Body"/>
        <w:rPr>
          <w:rFonts w:ascii="Arial" w:hAnsi="Arial" w:cs="Arial"/>
        </w:rPr>
      </w:pPr>
      <w:r w:rsidRPr="00867AB0">
        <w:rPr>
          <w:rFonts w:ascii="Arial" w:hAnsi="Arial" w:cs="Arial"/>
        </w:rPr>
        <w:t>All participants diagnosed with PIH and examined two times for both grayscale and Doppler ultrasound were followed through the neonatal period for fetal and postnatal outcomes. Follow-up data were retrieved from the birth registries at the respective health facilities where the women delivered.</w:t>
      </w:r>
    </w:p>
    <w:p w14:paraId="392AC6BD" w14:textId="77777777" w:rsidR="00FD7E85" w:rsidRDefault="00F456FA">
      <w:pPr>
        <w:pStyle w:val="Body"/>
        <w:spacing w:after="0"/>
        <w:rPr>
          <w:rFonts w:ascii="Arial" w:hAnsi="Arial" w:cs="Arial"/>
        </w:rPr>
      </w:pPr>
      <w:r>
        <w:rPr>
          <w:rFonts w:ascii="Arial" w:hAnsi="Arial" w:cs="Arial"/>
        </w:rPr>
        <w:t>Principal investigator examined the participants with gray scale and Umbilical artery Doppler ultrasound. Fetal weight, Doppler waveform flow pattern and indices were recorded. Images were reviewed by the radiologist.</w:t>
      </w:r>
    </w:p>
    <w:p w14:paraId="391708BE" w14:textId="77777777" w:rsidR="00FD7E85" w:rsidRDefault="00F456FA">
      <w:pPr>
        <w:pStyle w:val="Body"/>
        <w:spacing w:after="0"/>
        <w:rPr>
          <w:rFonts w:ascii="Arial" w:hAnsi="Arial" w:cs="Arial"/>
        </w:rPr>
      </w:pPr>
      <w:r>
        <w:rPr>
          <w:rFonts w:ascii="Arial" w:hAnsi="Arial" w:cs="Arial"/>
        </w:rPr>
        <w:t>The participants with abnormal doppler ultrasound finding were followed for fetal outcomes up to one week postnatal.</w:t>
      </w:r>
      <w:bookmarkStart w:id="20" w:name="_Toc202869673"/>
    </w:p>
    <w:p w14:paraId="43B730D2" w14:textId="65F2DFC1" w:rsidR="00FD7E85" w:rsidRDefault="00F456FA">
      <w:pPr>
        <w:pStyle w:val="Body"/>
        <w:spacing w:after="0"/>
        <w:rPr>
          <w:rFonts w:ascii="Arial" w:hAnsi="Arial" w:cs="Arial"/>
        </w:rPr>
      </w:pPr>
      <w:r>
        <w:rPr>
          <w:rFonts w:ascii="Arial" w:hAnsi="Arial" w:cs="Arial"/>
          <w:b/>
          <w:bCs/>
        </w:rPr>
        <w:t>2.</w:t>
      </w:r>
      <w:r w:rsidR="004962E9">
        <w:rPr>
          <w:rFonts w:ascii="Arial" w:hAnsi="Arial" w:cs="Arial"/>
          <w:b/>
          <w:bCs/>
        </w:rPr>
        <w:t>7</w:t>
      </w:r>
      <w:r>
        <w:rPr>
          <w:rFonts w:ascii="Arial" w:hAnsi="Arial" w:cs="Arial"/>
          <w:b/>
          <w:bCs/>
        </w:rPr>
        <w:t>.3 Data collection procedures</w:t>
      </w:r>
      <w:bookmarkEnd w:id="20"/>
      <w:r>
        <w:rPr>
          <w:rFonts w:ascii="Arial" w:hAnsi="Arial" w:cs="Arial"/>
          <w:b/>
          <w:bCs/>
        </w:rPr>
        <w:t xml:space="preserve"> </w:t>
      </w:r>
    </w:p>
    <w:p w14:paraId="65D8D349" w14:textId="77777777" w:rsidR="00FD7E85" w:rsidRDefault="00F456FA">
      <w:pPr>
        <w:pStyle w:val="Body"/>
        <w:spacing w:after="0"/>
        <w:rPr>
          <w:rFonts w:ascii="Arial" w:hAnsi="Arial" w:cs="Arial"/>
        </w:rPr>
      </w:pPr>
      <w:r>
        <w:rPr>
          <w:rFonts w:ascii="Arial" w:hAnsi="Arial" w:cs="Arial"/>
        </w:rPr>
        <w:t>Data collection began with identifying patient diagnosed with PIH. Consent was obtained for ultrasound examination during which fetal biometrics measurement, umbilical artery Doppler ultrasound Doppler waveform and indices were recorded for participants who provided consent.</w:t>
      </w:r>
    </w:p>
    <w:p w14:paraId="4A2E800B" w14:textId="3CF7B691" w:rsidR="00FD7E85" w:rsidRDefault="00F456FA">
      <w:pPr>
        <w:pStyle w:val="Body"/>
        <w:spacing w:after="0"/>
        <w:rPr>
          <w:rFonts w:ascii="Arial" w:hAnsi="Arial" w:cs="Arial"/>
        </w:rPr>
      </w:pPr>
      <w:r>
        <w:rPr>
          <w:rFonts w:ascii="Arial" w:hAnsi="Arial" w:cs="Arial"/>
        </w:rPr>
        <w:t xml:space="preserve">Participants were then followed up for fetal outcome </w:t>
      </w:r>
      <w:r w:rsidR="009C6188">
        <w:rPr>
          <w:rFonts w:ascii="Arial" w:hAnsi="Arial" w:cs="Arial"/>
        </w:rPr>
        <w:t>one month post-delivery at their respective Reproductive and child health clinic.</w:t>
      </w:r>
    </w:p>
    <w:p w14:paraId="74F30EBE" w14:textId="29DF77EF" w:rsidR="00FD7E85" w:rsidRDefault="00F456FA">
      <w:pPr>
        <w:pStyle w:val="Body"/>
        <w:rPr>
          <w:rFonts w:ascii="Arial" w:hAnsi="Arial" w:cs="Arial"/>
          <w:b/>
          <w:bCs/>
        </w:rPr>
      </w:pPr>
      <w:bookmarkStart w:id="21" w:name="_Toc202869675"/>
      <w:r>
        <w:rPr>
          <w:rFonts w:ascii="Arial" w:hAnsi="Arial" w:cs="Arial"/>
          <w:b/>
          <w:bCs/>
        </w:rPr>
        <w:t>2.</w:t>
      </w:r>
      <w:r w:rsidR="004962E9">
        <w:rPr>
          <w:rFonts w:ascii="Arial" w:hAnsi="Arial" w:cs="Arial"/>
          <w:b/>
          <w:bCs/>
        </w:rPr>
        <w:t>8</w:t>
      </w:r>
      <w:r>
        <w:rPr>
          <w:rFonts w:ascii="Arial" w:hAnsi="Arial" w:cs="Arial"/>
          <w:b/>
          <w:bCs/>
        </w:rPr>
        <w:t>.0 Data management</w:t>
      </w:r>
      <w:bookmarkEnd w:id="21"/>
      <w:r>
        <w:rPr>
          <w:rFonts w:ascii="Arial" w:hAnsi="Arial" w:cs="Arial"/>
          <w:b/>
          <w:bCs/>
        </w:rPr>
        <w:t xml:space="preserve"> and analysis</w:t>
      </w:r>
    </w:p>
    <w:p w14:paraId="2B898CAE" w14:textId="5263767C" w:rsidR="00FD7E85" w:rsidRDefault="00F456FA">
      <w:pPr>
        <w:pStyle w:val="Body"/>
        <w:rPr>
          <w:rFonts w:ascii="Arial" w:hAnsi="Arial" w:cs="Arial"/>
          <w:b/>
          <w:bCs/>
        </w:rPr>
      </w:pPr>
      <w:r>
        <w:rPr>
          <w:rFonts w:ascii="Arial" w:hAnsi="Arial" w:cs="Arial"/>
          <w:b/>
          <w:bCs/>
        </w:rPr>
        <w:t>2.</w:t>
      </w:r>
      <w:r w:rsidR="004962E9">
        <w:rPr>
          <w:rFonts w:ascii="Arial" w:hAnsi="Arial" w:cs="Arial"/>
          <w:b/>
          <w:bCs/>
        </w:rPr>
        <w:t>8</w:t>
      </w:r>
      <w:r>
        <w:rPr>
          <w:rFonts w:ascii="Arial" w:hAnsi="Arial" w:cs="Arial"/>
          <w:b/>
          <w:bCs/>
        </w:rPr>
        <w:t>.1 Data management</w:t>
      </w:r>
    </w:p>
    <w:p w14:paraId="56E6BA37" w14:textId="77777777" w:rsidR="00FD7E85" w:rsidRDefault="00F456FA">
      <w:pPr>
        <w:pStyle w:val="Body"/>
        <w:spacing w:after="0"/>
        <w:rPr>
          <w:rFonts w:ascii="Arial" w:hAnsi="Arial" w:cs="Arial"/>
          <w:b/>
          <w:bCs/>
        </w:rPr>
      </w:pPr>
      <w:r>
        <w:rPr>
          <w:rFonts w:ascii="Arial" w:hAnsi="Arial" w:cs="Arial"/>
        </w:rPr>
        <w:t>To ensure the integrity and reliability of the collected data to facilitated accurate analysis and interpretation of findings. Daily quality assurance checks were conducted in the field, including reviewing filled proformas for completeness, accuracy and addressing any mistakes or missing data promptly according to established protocol. Proforma were securely stored while in the field and throughout the entire data processing and analysis phase, safeguarding against loss or tampering.</w:t>
      </w:r>
    </w:p>
    <w:p w14:paraId="6C82A300" w14:textId="00E627B9" w:rsidR="00FD7E85" w:rsidRDefault="00F456FA">
      <w:pPr>
        <w:pStyle w:val="Body"/>
        <w:rPr>
          <w:rFonts w:ascii="Arial" w:hAnsi="Arial" w:cs="Arial"/>
          <w:b/>
          <w:bCs/>
        </w:rPr>
      </w:pPr>
      <w:bookmarkStart w:id="22" w:name="_Toc202869676"/>
      <w:r>
        <w:rPr>
          <w:rFonts w:ascii="Arial" w:hAnsi="Arial" w:cs="Arial"/>
          <w:b/>
          <w:bCs/>
        </w:rPr>
        <w:t>2.</w:t>
      </w:r>
      <w:r w:rsidR="004962E9">
        <w:rPr>
          <w:rFonts w:ascii="Arial" w:hAnsi="Arial" w:cs="Arial"/>
          <w:b/>
          <w:bCs/>
        </w:rPr>
        <w:t>8</w:t>
      </w:r>
      <w:r>
        <w:rPr>
          <w:rFonts w:ascii="Arial" w:hAnsi="Arial" w:cs="Arial"/>
          <w:b/>
          <w:bCs/>
        </w:rPr>
        <w:t>.2 Data analysis</w:t>
      </w:r>
      <w:bookmarkEnd w:id="22"/>
      <w:r>
        <w:rPr>
          <w:rFonts w:ascii="Arial" w:hAnsi="Arial" w:cs="Arial"/>
          <w:b/>
          <w:bCs/>
        </w:rPr>
        <w:t xml:space="preserve"> </w:t>
      </w:r>
    </w:p>
    <w:p w14:paraId="6AB41ABA" w14:textId="77777777" w:rsidR="00FD7E85" w:rsidRDefault="00F456FA">
      <w:pPr>
        <w:pStyle w:val="Body"/>
        <w:rPr>
          <w:rFonts w:ascii="Arial" w:hAnsi="Arial" w:cs="Arial"/>
          <w:b/>
          <w:bCs/>
        </w:rPr>
      </w:pPr>
      <w:r>
        <w:rPr>
          <w:rFonts w:ascii="Arial" w:hAnsi="Arial" w:cs="Arial"/>
        </w:rPr>
        <w:t>Descriptive statistics were used to summarize the characteristics of the study participants. Categorical variables such as parity, residence, and Umbilical artery Doppler findings were presented in frequencies and percentages. Continuous variables including gestational age and systolic blood pressure were summarized using means and standard deviations if normally distributed, or medians and interquartile ranges for skewed distributions.</w:t>
      </w:r>
    </w:p>
    <w:p w14:paraId="1A7248C9" w14:textId="77777777" w:rsidR="00FD7E85" w:rsidRDefault="00F456FA">
      <w:pPr>
        <w:pStyle w:val="Body"/>
        <w:spacing w:after="0"/>
        <w:rPr>
          <w:rFonts w:ascii="Arial" w:hAnsi="Arial" w:cs="Arial"/>
        </w:rPr>
      </w:pPr>
      <w:r>
        <w:rPr>
          <w:rFonts w:ascii="Arial" w:hAnsi="Arial" w:cs="Arial"/>
        </w:rPr>
        <w:t xml:space="preserve">Bivariate logistic regression analysis was performed to examine the association between each independent variable and the outcome variable (abnormal umbilical Doppler ultrasound </w:t>
      </w:r>
      <w:r>
        <w:rPr>
          <w:rFonts w:ascii="Arial" w:hAnsi="Arial" w:cs="Arial"/>
        </w:rPr>
        <w:lastRenderedPageBreak/>
        <w:t>outcome). Crude odds ratios (ORs), 95% confidence intervals (CIs), and p-values were calculated. Variables with a P-value less than 0.2 in the bivariate analysis were included in the multivariable logistic regression model.</w:t>
      </w:r>
    </w:p>
    <w:p w14:paraId="2D5EFA1F" w14:textId="77777777" w:rsidR="00FD7E85" w:rsidRDefault="00F456FA">
      <w:pPr>
        <w:pStyle w:val="Body"/>
        <w:spacing w:after="0"/>
        <w:rPr>
          <w:rFonts w:ascii="Arial" w:hAnsi="Arial" w:cs="Arial"/>
        </w:rPr>
      </w:pPr>
      <w:r>
        <w:rPr>
          <w:rFonts w:ascii="Arial" w:hAnsi="Arial" w:cs="Arial"/>
        </w:rPr>
        <w:t>In the multivariable analysis, logistic regression with backward stepwise elimination was employed to identify factors independently associated with abnormal Umbilical artery Doppler outcome. Variables were retained in the final model if they had a p-value less than 0.05. Adjusted odds ratios (AORs) with 95% confidence intervals were reported to quantify the strength of association. Multicollinearity among independent variables was assessed using the Variance Inflation Factor (VIF), and variables with VIF values greater than 10 were considered collinear and were excluded from the model if necessary.</w:t>
      </w:r>
    </w:p>
    <w:p w14:paraId="2FAE4C75" w14:textId="77777777" w:rsidR="00FD7E85" w:rsidRDefault="00F456FA">
      <w:pPr>
        <w:pStyle w:val="Body"/>
        <w:spacing w:after="0"/>
        <w:rPr>
          <w:rFonts w:ascii="Arial" w:hAnsi="Arial" w:cs="Arial"/>
        </w:rPr>
      </w:pPr>
      <w:r>
        <w:rPr>
          <w:rFonts w:ascii="Arial" w:hAnsi="Arial" w:cs="Arial"/>
        </w:rPr>
        <w:t>The goodness-of-fit of the final model was assessed using the Hosmer-</w:t>
      </w:r>
      <w:proofErr w:type="spellStart"/>
      <w:r>
        <w:rPr>
          <w:rFonts w:ascii="Arial" w:hAnsi="Arial" w:cs="Arial"/>
        </w:rPr>
        <w:t>Lemeshow</w:t>
      </w:r>
      <w:proofErr w:type="spellEnd"/>
      <w:r>
        <w:rPr>
          <w:rFonts w:ascii="Arial" w:hAnsi="Arial" w:cs="Arial"/>
        </w:rPr>
        <w:t xml:space="preserve"> test, with a p-value greater than 0.05 indicating a good fit. The Akaike Information Criterion (AIC) and Bayesian Information Criterion (BIC) were used to compare different models and select the best-fitting one.</w:t>
      </w:r>
    </w:p>
    <w:p w14:paraId="4CB7EC23" w14:textId="77777777" w:rsidR="00FD7E85" w:rsidRDefault="00F456FA">
      <w:pPr>
        <w:pStyle w:val="Body"/>
        <w:spacing w:after="0"/>
        <w:rPr>
          <w:rFonts w:ascii="Arial" w:hAnsi="Arial" w:cs="Arial"/>
        </w:rPr>
      </w:pPr>
      <w:r>
        <w:rPr>
          <w:rFonts w:ascii="Arial" w:hAnsi="Arial" w:cs="Arial"/>
        </w:rPr>
        <w:t xml:space="preserve">Finally, the results of the regression analyses were interpreted based on statistical significance and clinical relevance. Findings were presented in tables showing both crude and adjusted odds ratios with corresponding confidence intervals and P-values. </w:t>
      </w:r>
    </w:p>
    <w:p w14:paraId="2F29096D" w14:textId="77777777" w:rsidR="00A14A28" w:rsidRDefault="00A14A28">
      <w:pPr>
        <w:pStyle w:val="Head1"/>
        <w:spacing w:after="0"/>
        <w:jc w:val="both"/>
        <w:rPr>
          <w:rFonts w:ascii="Arial" w:hAnsi="Arial" w:cs="Arial"/>
        </w:rPr>
      </w:pPr>
    </w:p>
    <w:p w14:paraId="0CD2AC49" w14:textId="77777777" w:rsidR="00A14A28" w:rsidRDefault="00A14A28">
      <w:pPr>
        <w:pStyle w:val="Head1"/>
        <w:spacing w:after="0"/>
        <w:jc w:val="both"/>
        <w:rPr>
          <w:rFonts w:ascii="Arial" w:hAnsi="Arial" w:cs="Arial"/>
        </w:rPr>
      </w:pPr>
    </w:p>
    <w:p w14:paraId="0A8A8C79" w14:textId="77777777" w:rsidR="00A14A28" w:rsidRDefault="00A14A28">
      <w:pPr>
        <w:pStyle w:val="Head1"/>
        <w:spacing w:after="0"/>
        <w:jc w:val="both"/>
        <w:rPr>
          <w:rFonts w:ascii="Arial" w:hAnsi="Arial" w:cs="Arial"/>
        </w:rPr>
      </w:pPr>
    </w:p>
    <w:p w14:paraId="40E38540" w14:textId="77777777" w:rsidR="00A14A28" w:rsidRDefault="00A14A28">
      <w:pPr>
        <w:pStyle w:val="Head1"/>
        <w:spacing w:after="0"/>
        <w:jc w:val="both"/>
        <w:rPr>
          <w:rFonts w:ascii="Arial" w:hAnsi="Arial" w:cs="Arial"/>
        </w:rPr>
      </w:pPr>
    </w:p>
    <w:p w14:paraId="0937847B" w14:textId="77777777" w:rsidR="00A14A28" w:rsidRDefault="00A14A28">
      <w:pPr>
        <w:pStyle w:val="Head1"/>
        <w:spacing w:after="0"/>
        <w:jc w:val="both"/>
        <w:rPr>
          <w:rFonts w:ascii="Arial" w:hAnsi="Arial" w:cs="Arial"/>
        </w:rPr>
      </w:pPr>
    </w:p>
    <w:p w14:paraId="3E5DAFE6" w14:textId="77777777" w:rsidR="00A14A28" w:rsidRDefault="00A14A28">
      <w:pPr>
        <w:pStyle w:val="Head1"/>
        <w:spacing w:after="0"/>
        <w:jc w:val="both"/>
        <w:rPr>
          <w:rFonts w:ascii="Arial" w:hAnsi="Arial" w:cs="Arial"/>
        </w:rPr>
      </w:pPr>
    </w:p>
    <w:p w14:paraId="39060AB8" w14:textId="77777777" w:rsidR="00A14A28" w:rsidRDefault="00A14A28">
      <w:pPr>
        <w:pStyle w:val="Head1"/>
        <w:spacing w:after="0"/>
        <w:jc w:val="both"/>
        <w:rPr>
          <w:rFonts w:ascii="Arial" w:hAnsi="Arial" w:cs="Arial"/>
        </w:rPr>
      </w:pPr>
    </w:p>
    <w:p w14:paraId="3659F9D6" w14:textId="77777777" w:rsidR="00A14A28" w:rsidRDefault="00A14A28">
      <w:pPr>
        <w:pStyle w:val="Head1"/>
        <w:spacing w:after="0"/>
        <w:jc w:val="both"/>
        <w:rPr>
          <w:rFonts w:ascii="Arial" w:hAnsi="Arial" w:cs="Arial"/>
        </w:rPr>
      </w:pPr>
    </w:p>
    <w:p w14:paraId="50C65B04" w14:textId="77777777" w:rsidR="00A14A28" w:rsidRDefault="00A14A28">
      <w:pPr>
        <w:pStyle w:val="Head1"/>
        <w:spacing w:after="0"/>
        <w:jc w:val="both"/>
        <w:rPr>
          <w:rFonts w:ascii="Arial" w:hAnsi="Arial" w:cs="Arial"/>
        </w:rPr>
      </w:pPr>
    </w:p>
    <w:p w14:paraId="0ABDDFA9" w14:textId="77777777" w:rsidR="00A14A28" w:rsidRDefault="00A14A28">
      <w:pPr>
        <w:pStyle w:val="Head1"/>
        <w:spacing w:after="0"/>
        <w:jc w:val="both"/>
        <w:rPr>
          <w:rFonts w:ascii="Arial" w:hAnsi="Arial" w:cs="Arial"/>
        </w:rPr>
      </w:pPr>
    </w:p>
    <w:p w14:paraId="2BF4E147" w14:textId="77777777" w:rsidR="00A14A28" w:rsidRDefault="00A14A28">
      <w:pPr>
        <w:pStyle w:val="Head1"/>
        <w:spacing w:after="0"/>
        <w:jc w:val="both"/>
        <w:rPr>
          <w:rFonts w:ascii="Arial" w:hAnsi="Arial" w:cs="Arial"/>
        </w:rPr>
      </w:pPr>
    </w:p>
    <w:p w14:paraId="17D5C2A6" w14:textId="77777777" w:rsidR="00A14A28" w:rsidRDefault="00A14A28">
      <w:pPr>
        <w:pStyle w:val="Head1"/>
        <w:spacing w:after="0"/>
        <w:jc w:val="both"/>
        <w:rPr>
          <w:rFonts w:ascii="Arial" w:hAnsi="Arial" w:cs="Arial"/>
        </w:rPr>
      </w:pPr>
    </w:p>
    <w:p w14:paraId="29F4E9D5" w14:textId="77777777" w:rsidR="00A14A28" w:rsidRDefault="00A14A28">
      <w:pPr>
        <w:pStyle w:val="Head1"/>
        <w:spacing w:after="0"/>
        <w:jc w:val="both"/>
        <w:rPr>
          <w:rFonts w:ascii="Arial" w:hAnsi="Arial" w:cs="Arial"/>
        </w:rPr>
      </w:pPr>
    </w:p>
    <w:p w14:paraId="32A7803D" w14:textId="77777777" w:rsidR="00A14A28" w:rsidRDefault="00A14A28">
      <w:pPr>
        <w:pStyle w:val="Head1"/>
        <w:spacing w:after="0"/>
        <w:jc w:val="both"/>
        <w:rPr>
          <w:rFonts w:ascii="Arial" w:hAnsi="Arial" w:cs="Arial"/>
        </w:rPr>
      </w:pPr>
    </w:p>
    <w:p w14:paraId="62689A32" w14:textId="77777777" w:rsidR="00A14A28" w:rsidRDefault="00A14A28">
      <w:pPr>
        <w:pStyle w:val="Head1"/>
        <w:spacing w:after="0"/>
        <w:jc w:val="both"/>
        <w:rPr>
          <w:rFonts w:ascii="Arial" w:hAnsi="Arial" w:cs="Arial"/>
        </w:rPr>
      </w:pPr>
    </w:p>
    <w:p w14:paraId="37D884BB" w14:textId="3D8AE006" w:rsidR="00FD7E85" w:rsidRDefault="00FD7E85">
      <w:pPr>
        <w:pStyle w:val="Head1"/>
        <w:spacing w:after="0"/>
        <w:jc w:val="both"/>
        <w:rPr>
          <w:rFonts w:ascii="Arial" w:hAnsi="Arial" w:cs="Arial"/>
        </w:rPr>
      </w:pPr>
    </w:p>
    <w:p w14:paraId="1CB2CAED" w14:textId="77777777" w:rsidR="005A066C" w:rsidRDefault="005A066C">
      <w:pPr>
        <w:pStyle w:val="Head1"/>
        <w:spacing w:after="0"/>
        <w:jc w:val="both"/>
        <w:rPr>
          <w:rFonts w:ascii="Arial" w:hAnsi="Arial" w:cs="Arial"/>
        </w:rPr>
      </w:pPr>
    </w:p>
    <w:p w14:paraId="0868D427" w14:textId="77777777" w:rsidR="00FD7E85" w:rsidRDefault="00FD7E85">
      <w:pPr>
        <w:pStyle w:val="Head1"/>
        <w:spacing w:after="0"/>
        <w:jc w:val="both"/>
        <w:rPr>
          <w:rFonts w:ascii="Arial" w:hAnsi="Arial" w:cs="Arial"/>
        </w:rPr>
      </w:pPr>
    </w:p>
    <w:p w14:paraId="144A9FC2" w14:textId="77777777" w:rsidR="00A14A28" w:rsidRDefault="00A14A28">
      <w:pPr>
        <w:pStyle w:val="Body"/>
        <w:spacing w:after="0"/>
        <w:rPr>
          <w:rFonts w:ascii="Arial" w:hAnsi="Arial" w:cs="Arial"/>
        </w:rPr>
      </w:pPr>
    </w:p>
    <w:p w14:paraId="40F88C5B" w14:textId="66708266" w:rsidR="00A14A28" w:rsidRDefault="00A14A28">
      <w:pPr>
        <w:pStyle w:val="Body"/>
        <w:spacing w:after="0"/>
        <w:rPr>
          <w:rFonts w:ascii="Arial" w:hAnsi="Arial" w:cs="Arial"/>
        </w:rPr>
      </w:pPr>
    </w:p>
    <w:p w14:paraId="46A94A41" w14:textId="2D38B435" w:rsidR="00A14A28" w:rsidRPr="005A066C" w:rsidRDefault="005A066C">
      <w:pPr>
        <w:pStyle w:val="Body"/>
        <w:spacing w:after="0"/>
        <w:rPr>
          <w:rFonts w:ascii="Arial" w:hAnsi="Arial" w:cs="Arial"/>
          <w:b/>
          <w:bCs/>
          <w:sz w:val="22"/>
          <w:szCs w:val="22"/>
        </w:rPr>
      </w:pPr>
      <w:r w:rsidRPr="005A066C">
        <w:rPr>
          <w:rFonts w:ascii="Arial" w:hAnsi="Arial" w:cs="Arial"/>
          <w:b/>
          <w:bCs/>
          <w:sz w:val="28"/>
          <w:szCs w:val="28"/>
        </w:rPr>
        <w:t xml:space="preserve">3.0 </w:t>
      </w:r>
      <w:r w:rsidRPr="005A066C">
        <w:rPr>
          <w:rFonts w:ascii="Arial" w:hAnsi="Arial" w:cs="Arial"/>
          <w:b/>
          <w:bCs/>
          <w:sz w:val="22"/>
          <w:szCs w:val="22"/>
        </w:rPr>
        <w:t>RESULTS AND DISCUSSION</w:t>
      </w:r>
    </w:p>
    <w:p w14:paraId="389F83F5" w14:textId="6F3B07DB" w:rsidR="00FD7E85" w:rsidRDefault="00F456FA">
      <w:pPr>
        <w:pStyle w:val="Body"/>
        <w:spacing w:after="0"/>
        <w:rPr>
          <w:rFonts w:ascii="Arial" w:hAnsi="Arial" w:cs="Arial"/>
        </w:rPr>
      </w:pPr>
      <w:r>
        <w:rPr>
          <w:rFonts w:ascii="Arial" w:hAnsi="Arial" w:cs="Arial"/>
        </w:rPr>
        <w:t xml:space="preserve">3.1.0 </w:t>
      </w:r>
      <w:r>
        <w:rPr>
          <w:rFonts w:ascii="Arial" w:hAnsi="Arial" w:cs="Arial"/>
          <w:b/>
          <w:bCs/>
          <w:sz w:val="22"/>
          <w:szCs w:val="22"/>
        </w:rPr>
        <w:t>Results</w:t>
      </w:r>
    </w:p>
    <w:p w14:paraId="5A9612C9" w14:textId="77777777" w:rsidR="00FD7E85" w:rsidRDefault="00F456FA">
      <w:pPr>
        <w:pStyle w:val="Body"/>
        <w:rPr>
          <w:rFonts w:ascii="Arial" w:hAnsi="Arial" w:cs="Arial"/>
          <w:b/>
          <w:bCs/>
          <w:u w:val="single"/>
        </w:rPr>
      </w:pPr>
      <w:r>
        <w:rPr>
          <w:rFonts w:ascii="Arial" w:hAnsi="Arial" w:cs="Arial"/>
          <w:b/>
          <w:bCs/>
          <w:u w:val="single"/>
        </w:rPr>
        <w:t>3.1.1. Participants flow chart</w:t>
      </w:r>
    </w:p>
    <w:p w14:paraId="473B747F" w14:textId="6C9D1850" w:rsidR="00A14A28" w:rsidRPr="00A14A28" w:rsidRDefault="00F456FA" w:rsidP="00A14A28">
      <w:pPr>
        <w:pStyle w:val="Body"/>
        <w:rPr>
          <w:rFonts w:ascii="Arial" w:hAnsi="Arial" w:cs="Arial"/>
          <w:b/>
          <w:bCs/>
          <w:u w:val="single"/>
        </w:rPr>
      </w:pPr>
      <w:r>
        <w:rPr>
          <w:rFonts w:ascii="Arial" w:hAnsi="Arial" w:cs="Arial"/>
        </w:rPr>
        <w:t>136 pregnant women diagnosed with PIH were enrolled in th</w:t>
      </w:r>
      <w:r w:rsidR="00606E08">
        <w:rPr>
          <w:rFonts w:ascii="Arial" w:hAnsi="Arial" w:cs="Arial"/>
        </w:rPr>
        <w:t>is</w:t>
      </w:r>
      <w:r>
        <w:rPr>
          <w:rFonts w:ascii="Arial" w:hAnsi="Arial" w:cs="Arial"/>
        </w:rPr>
        <w:t xml:space="preserve"> study. Twelve (12) among of the participant were excluded from the study. 124 of the participants were qualified for follow up for the second ultrasound study two months after the first examination. umbilical artery doppler ultrasound and was followed for fetal outcome at delivery. During the study eight (8) of participant lost follow up. Therefore, analysis was done to 116 pregnant women diagnosed with PIH and underwent gray scale and umbilical artery doppler ultrasound examination.</w:t>
      </w:r>
    </w:p>
    <w:p w14:paraId="38021231" w14:textId="7154D3EF" w:rsidR="00FD7E85" w:rsidRDefault="00F456FA">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4CE245D6" wp14:editId="1F9DF1DE">
                <wp:simplePos x="0" y="0"/>
                <wp:positionH relativeFrom="column">
                  <wp:posOffset>248285</wp:posOffset>
                </wp:positionH>
                <wp:positionV relativeFrom="paragraph">
                  <wp:posOffset>73660</wp:posOffset>
                </wp:positionV>
                <wp:extent cx="4403090" cy="635635"/>
                <wp:effectExtent l="23495" t="19685" r="40640" b="49530"/>
                <wp:wrapNone/>
                <wp:docPr id="5820945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3090" cy="635635"/>
                        </a:xfrm>
                        <a:prstGeom prst="rect">
                          <a:avLst/>
                        </a:prstGeom>
                        <a:solidFill>
                          <a:schemeClr val="accent1">
                            <a:lumMod val="100000"/>
                            <a:lumOff val="0"/>
                          </a:schemeClr>
                        </a:solidFill>
                        <a:ln w="38100">
                          <a:solidFill>
                            <a:schemeClr val="lt1">
                              <a:lumMod val="95000"/>
                              <a:lumOff val="0"/>
                            </a:schemeClr>
                          </a:solidFill>
                          <a:miter lim="800000"/>
                        </a:ln>
                        <a:effectLst>
                          <a:outerShdw dist="28398" dir="3806097" algn="ctr" rotWithShape="0">
                            <a:schemeClr val="accent1">
                              <a:lumMod val="50000"/>
                              <a:lumOff val="0"/>
                              <a:alpha val="50000"/>
                            </a:schemeClr>
                          </a:outerShdw>
                        </a:effectLst>
                      </wps:spPr>
                      <wps:txbx>
                        <w:txbxContent>
                          <w:p w14:paraId="7FDC269F" w14:textId="77777777" w:rsidR="00FD7E85" w:rsidRDefault="00F456FA">
                            <w:pPr>
                              <w:jc w:val="center"/>
                              <w:rPr>
                                <w:rFonts w:ascii="Arial" w:hAnsi="Arial" w:cs="Arial"/>
                              </w:rPr>
                            </w:pPr>
                            <w:r>
                              <w:rPr>
                                <w:rFonts w:ascii="Arial" w:hAnsi="Arial" w:cs="Arial"/>
                              </w:rPr>
                              <w:t>136 Pregnant women with PIH was enrolled</w:t>
                            </w:r>
                          </w:p>
                        </w:txbxContent>
                      </wps:txbx>
                      <wps:bodyPr rot="0" vert="horz" wrap="square" lIns="91440" tIns="45720" rIns="91440" bIns="45720" anchor="ctr" anchorCtr="0" upright="1">
                        <a:noAutofit/>
                      </wps:bodyPr>
                    </wps:wsp>
                  </a:graphicData>
                </a:graphic>
              </wp:anchor>
            </w:drawing>
          </mc:Choice>
          <mc:Fallback>
            <w:pict>
              <v:rect w14:anchorId="4CE245D6" id="Rectangle 5" o:spid="_x0000_s1026" style="position:absolute;left:0;text-align:left;margin-left:19.55pt;margin-top:5.8pt;width:346.7pt;height:50.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" fillcolor="#e32d91 [3204]" strokecolor="#f2f2f2 [3041]" strokeweight="3pt">
                <v:shadow on="t" color="#771048 [1604]" opacity=".5" offset="1pt"/>
                <v:textbox>
                  <w:txbxContent>
                    <w:p w14:paraId="7FDC269F" w14:textId="77777777" w:rsidR="00FD7E85" w:rsidRDefault="00F456FA">
                      <w:pPr>
                        <w:jc w:val="center"/>
                        <w:rPr>
                          <w:rFonts w:ascii="Arial" w:hAnsi="Arial" w:cs="Arial"/>
                        </w:rPr>
                      </w:pPr>
                      <w:r>
                        <w:rPr>
                          <w:rFonts w:ascii="Arial" w:hAnsi="Arial" w:cs="Arial"/>
                        </w:rPr>
                        <w:t>136 Pregnant women with PIH was enrolled</w:t>
                      </w:r>
                    </w:p>
                  </w:txbxContent>
                </v:textbox>
              </v:rect>
            </w:pict>
          </mc:Fallback>
        </mc:AlternateContent>
      </w:r>
    </w:p>
    <w:p w14:paraId="4280B9D7" w14:textId="77777777" w:rsidR="00FD7E85" w:rsidRDefault="00FD7E85">
      <w:pPr>
        <w:pStyle w:val="Body"/>
        <w:spacing w:after="0"/>
        <w:rPr>
          <w:rFonts w:ascii="Arial" w:hAnsi="Arial" w:cs="Arial"/>
        </w:rPr>
      </w:pPr>
    </w:p>
    <w:p w14:paraId="5F66575A" w14:textId="77777777" w:rsidR="00FD7E85" w:rsidRDefault="00FD7E85">
      <w:pPr>
        <w:pStyle w:val="Body"/>
        <w:spacing w:after="0"/>
        <w:rPr>
          <w:rFonts w:ascii="Arial" w:hAnsi="Arial" w:cs="Arial"/>
        </w:rPr>
      </w:pPr>
    </w:p>
    <w:p w14:paraId="74320743" w14:textId="77777777" w:rsidR="00FD7E85" w:rsidRDefault="00FD7E85">
      <w:pPr>
        <w:pStyle w:val="Body"/>
        <w:spacing w:after="0"/>
        <w:rPr>
          <w:rFonts w:ascii="Arial" w:hAnsi="Arial" w:cs="Arial"/>
        </w:rPr>
      </w:pPr>
    </w:p>
    <w:p w14:paraId="3E4D80F0" w14:textId="77777777" w:rsidR="00FD7E85" w:rsidRDefault="00FD7E85">
      <w:pPr>
        <w:pStyle w:val="Body"/>
        <w:spacing w:after="0"/>
        <w:rPr>
          <w:rFonts w:ascii="Arial" w:hAnsi="Arial" w:cs="Arial"/>
        </w:rPr>
      </w:pPr>
    </w:p>
    <w:p w14:paraId="3E584ABC" w14:textId="77777777" w:rsidR="00FD7E85" w:rsidRDefault="00F456FA">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0954A44C" wp14:editId="0F2FB880">
                <wp:simplePos x="0" y="0"/>
                <wp:positionH relativeFrom="column">
                  <wp:posOffset>2205990</wp:posOffset>
                </wp:positionH>
                <wp:positionV relativeFrom="paragraph">
                  <wp:posOffset>13970</wp:posOffset>
                </wp:positionV>
                <wp:extent cx="45720" cy="1679575"/>
                <wp:effectExtent l="66675" t="23495" r="78105" b="78105"/>
                <wp:wrapNone/>
                <wp:docPr id="982922399" name="Arrow: Dow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679575"/>
                        </a:xfrm>
                        <a:prstGeom prst="downArrow">
                          <a:avLst>
                            <a:gd name="adj1" fmla="val 50000"/>
                            <a:gd name="adj2" fmla="val 50002"/>
                          </a:avLst>
                        </a:prstGeom>
                        <a:solidFill>
                          <a:schemeClr val="tx1">
                            <a:lumMod val="100000"/>
                            <a:lumOff val="0"/>
                          </a:schemeClr>
                        </a:solidFill>
                        <a:ln w="38100">
                          <a:solidFill>
                            <a:schemeClr val="lt1">
                              <a:lumMod val="95000"/>
                              <a:lumOff val="0"/>
                            </a:schemeClr>
                          </a:solidFill>
                          <a:miter lim="800000"/>
                        </a:ln>
                        <a:effectLst>
                          <a:outerShdw dist="28398" dir="3806097" algn="ctr" rotWithShape="0">
                            <a:schemeClr val="lt1">
                              <a:lumMod val="50000"/>
                              <a:lumOff val="0"/>
                              <a:alpha val="50000"/>
                            </a:schemeClr>
                          </a:outerShdw>
                        </a:effectLst>
                      </wps:spPr>
                      <wps:bodyPr rot="0" vert="horz" wrap="square" lIns="91440" tIns="45720" rIns="91440" bIns="45720" anchor="ctr" anchorCtr="0" upright="1">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shape id="Arrow: Down 6" o:spid="_x0000_s1026" o:spt="67" type="#_x0000_t67" style="position:absolute;left:0pt;margin-left:173.7pt;margin-top:1.1pt;height:132.25pt;width:3.6pt;z-index:251661312;v-text-anchor:middle;mso-width-relative:page;mso-height-relative:page;" fillcolor="#000000 [3229]" filled="t" stroked="t" coordsize="21600,21600" o:gfxdata="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PwuQOdkAAAAJAQAADwAAAAAA&#10;AAABACAAAAAiAAAAZHJzL2Rvd25yZXYueG1sUEsBAhQAFAAAAAgAh07iQP73hvG9AgAAEAYAAA4A&#10;AAAAAAAAAQAgAAAAKAEAAGRycy9lMm9Eb2MueG1sUEsFBgAAAAAGAAYAWQEAAFcGAAAAAA==&#10;" adj="21306,5400">
                <v:fill on="t" focussize="0,0"/>
                <v:stroke weight="3pt" color="#F2F2F2 [3201]" miterlimit="8" joinstyle="miter"/>
                <v:imagedata o:title=""/>
                <o:lock v:ext="edit" aspectratio="f"/>
                <v:shadow on="t" color="#808080 [3201]" opacity="32768f" offset="1pt,2pt" origin="0f,0f" matrix="65536f,0f,0f,65536f"/>
              </v:shape>
            </w:pict>
          </mc:Fallback>
        </mc:AlternateContent>
      </w:r>
    </w:p>
    <w:p w14:paraId="5C37D614" w14:textId="77777777" w:rsidR="00FD7E85" w:rsidRDefault="00F456FA">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34C5C584" wp14:editId="22372994">
                <wp:simplePos x="0" y="0"/>
                <wp:positionH relativeFrom="column">
                  <wp:posOffset>2882265</wp:posOffset>
                </wp:positionH>
                <wp:positionV relativeFrom="paragraph">
                  <wp:posOffset>69215</wp:posOffset>
                </wp:positionV>
                <wp:extent cx="2181225" cy="467360"/>
                <wp:effectExtent l="19050" t="24765" r="38100" b="50800"/>
                <wp:wrapNone/>
                <wp:docPr id="7783662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467360"/>
                        </a:xfrm>
                        <a:prstGeom prst="rect">
                          <a:avLst/>
                        </a:prstGeom>
                        <a:solidFill>
                          <a:schemeClr val="accent1">
                            <a:lumMod val="100000"/>
                            <a:lumOff val="0"/>
                          </a:schemeClr>
                        </a:solidFill>
                        <a:ln w="38100">
                          <a:solidFill>
                            <a:schemeClr val="lt1">
                              <a:lumMod val="95000"/>
                              <a:lumOff val="0"/>
                            </a:schemeClr>
                          </a:solidFill>
                          <a:miter lim="800000"/>
                        </a:ln>
                        <a:effectLst>
                          <a:outerShdw dist="28398" dir="3806097" algn="ctr" rotWithShape="0">
                            <a:schemeClr val="accent1">
                              <a:lumMod val="50000"/>
                              <a:lumOff val="0"/>
                              <a:alpha val="50000"/>
                            </a:schemeClr>
                          </a:outerShdw>
                        </a:effectLst>
                      </wps:spPr>
                      <wps:txbx>
                        <w:txbxContent>
                          <w:p w14:paraId="33148657" w14:textId="77777777" w:rsidR="00FD7E85" w:rsidRDefault="00F456FA">
                            <w:pPr>
                              <w:jc w:val="center"/>
                              <w:rPr>
                                <w:rFonts w:ascii="Arial" w:hAnsi="Arial" w:cs="Arial"/>
                              </w:rPr>
                            </w:pPr>
                            <w:r>
                              <w:rPr>
                                <w:rFonts w:ascii="Arial" w:hAnsi="Arial" w:cs="Arial"/>
                              </w:rPr>
                              <w:t>Six (6) exclude due Diabetes and chronic hypertension</w:t>
                            </w:r>
                          </w:p>
                          <w:p w14:paraId="35728947" w14:textId="77777777" w:rsidR="00FD7E85" w:rsidRDefault="00F456FA">
                            <w:pPr>
                              <w:jc w:val="center"/>
                              <w:rPr>
                                <w:rFonts w:ascii="Arial" w:hAnsi="Arial" w:cs="Arial"/>
                              </w:rPr>
                            </w:pPr>
                            <w:r>
                              <w:rPr>
                                <w:rFonts w:ascii="Arial" w:hAnsi="Arial" w:cs="Arial"/>
                              </w:rPr>
                              <w:t xml:space="preserve"> </w:t>
                            </w:r>
                          </w:p>
                        </w:txbxContent>
                      </wps:txbx>
                      <wps:bodyPr rot="0" vert="horz" wrap="square" lIns="91440" tIns="45720" rIns="91440" bIns="45720" anchor="ctr" anchorCtr="0" upright="1">
                        <a:noAutofit/>
                      </wps:bodyPr>
                    </wps:wsp>
                  </a:graphicData>
                </a:graphic>
              </wp:anchor>
            </w:drawing>
          </mc:Choice>
          <mc:Fallback>
            <w:pict>
              <v:rect w14:anchorId="34C5C584" id="Rectangle 9" o:spid="_x0000_s1027" style="position:absolute;left:0;text-align:left;margin-left:226.95pt;margin-top:5.45pt;width:171.75pt;height:36.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" fillcolor="#e32d91 [3204]" strokecolor="#f2f2f2 [3041]" strokeweight="3pt">
                <v:shadow on="t" color="#771048 [1604]" opacity=".5" offset="1pt"/>
                <v:textbox>
                  <w:txbxContent>
                    <w:p w14:paraId="33148657" w14:textId="77777777" w:rsidR="00FD7E85" w:rsidRDefault="00F456FA">
                      <w:pPr>
                        <w:jc w:val="center"/>
                        <w:rPr>
                          <w:rFonts w:ascii="Arial" w:hAnsi="Arial" w:cs="Arial"/>
                        </w:rPr>
                      </w:pPr>
                      <w:r>
                        <w:rPr>
                          <w:rFonts w:ascii="Arial" w:hAnsi="Arial" w:cs="Arial"/>
                        </w:rPr>
                        <w:t>Six (6) exclude due Diabetes and chronic hypertension</w:t>
                      </w:r>
                    </w:p>
                    <w:p w14:paraId="35728947" w14:textId="77777777" w:rsidR="00FD7E85" w:rsidRDefault="00F456FA">
                      <w:pPr>
                        <w:jc w:val="center"/>
                        <w:rPr>
                          <w:rFonts w:ascii="Arial" w:hAnsi="Arial" w:cs="Arial"/>
                        </w:rPr>
                      </w:pPr>
                      <w:r>
                        <w:rPr>
                          <w:rFonts w:ascii="Arial" w:hAnsi="Arial" w:cs="Arial"/>
                        </w:rPr>
                        <w:t xml:space="preserve"> </w:t>
                      </w:r>
                    </w:p>
                  </w:txbxContent>
                </v:textbox>
              </v:rect>
            </w:pict>
          </mc:Fallback>
        </mc:AlternateContent>
      </w:r>
      <w:r>
        <w:rPr>
          <w:rFonts w:ascii="Arial" w:hAnsi="Arial" w:cs="Arial"/>
          <w:noProof/>
        </w:rPr>
        <mc:AlternateContent>
          <mc:Choice Requires="wps">
            <w:drawing>
              <wp:anchor distT="0" distB="0" distL="114300" distR="114300" simplePos="0" relativeHeight="251666432" behindDoc="0" locked="0" layoutInCell="1" allowOverlap="1" wp14:anchorId="3942D753" wp14:editId="544B6CB5">
                <wp:simplePos x="0" y="0"/>
                <wp:positionH relativeFrom="column">
                  <wp:posOffset>238760</wp:posOffset>
                </wp:positionH>
                <wp:positionV relativeFrom="paragraph">
                  <wp:posOffset>69215</wp:posOffset>
                </wp:positionV>
                <wp:extent cx="1433195" cy="638175"/>
                <wp:effectExtent l="23495" t="24765" r="38735" b="51435"/>
                <wp:wrapNone/>
                <wp:docPr id="147932894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195" cy="638175"/>
                        </a:xfrm>
                        <a:prstGeom prst="rect">
                          <a:avLst/>
                        </a:prstGeom>
                        <a:solidFill>
                          <a:schemeClr val="accent1">
                            <a:lumMod val="100000"/>
                            <a:lumOff val="0"/>
                          </a:schemeClr>
                        </a:solidFill>
                        <a:ln w="38100">
                          <a:solidFill>
                            <a:schemeClr val="lt1">
                              <a:lumMod val="95000"/>
                              <a:lumOff val="0"/>
                            </a:schemeClr>
                          </a:solidFill>
                          <a:miter lim="800000"/>
                        </a:ln>
                        <a:effectLst>
                          <a:outerShdw dist="28398" dir="3806097" algn="ctr" rotWithShape="0">
                            <a:schemeClr val="accent1">
                              <a:lumMod val="50000"/>
                              <a:lumOff val="0"/>
                              <a:alpha val="50000"/>
                            </a:schemeClr>
                          </a:outerShdw>
                        </a:effectLst>
                      </wps:spPr>
                      <wps:txbx>
                        <w:txbxContent>
                          <w:p w14:paraId="2C3CD34D" w14:textId="77777777" w:rsidR="00FD7E85" w:rsidRDefault="00F456FA">
                            <w:pPr>
                              <w:jc w:val="center"/>
                              <w:rPr>
                                <w:rFonts w:ascii="Arial" w:hAnsi="Arial" w:cs="Arial"/>
                              </w:rPr>
                            </w:pPr>
                            <w:r>
                              <w:rPr>
                                <w:rFonts w:ascii="Arial" w:hAnsi="Arial" w:cs="Arial"/>
                              </w:rPr>
                              <w:t xml:space="preserve">Four (4) Excluded due Intrauterine fetal death </w:t>
                            </w:r>
                          </w:p>
                        </w:txbxContent>
                      </wps:txbx>
                      <wps:bodyPr rot="0" vert="horz" wrap="square" lIns="91440" tIns="45720" rIns="91440" bIns="45720" anchor="ctr" anchorCtr="0" upright="1">
                        <a:noAutofit/>
                      </wps:bodyPr>
                    </wps:wsp>
                  </a:graphicData>
                </a:graphic>
              </wp:anchor>
            </w:drawing>
          </mc:Choice>
          <mc:Fallback>
            <w:pict>
              <v:rect w14:anchorId="3942D753" id="Rectangle 11" o:spid="_x0000_s1028" style="position:absolute;left:0;text-align:left;margin-left:18.8pt;margin-top:5.45pt;width:112.85pt;height:50.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" fillcolor="#e32d91 [3204]" strokecolor="#f2f2f2 [3041]" strokeweight="3pt">
                <v:shadow on="t" color="#771048 [1604]" opacity=".5" offset="1pt"/>
                <v:textbox>
                  <w:txbxContent>
                    <w:p w14:paraId="2C3CD34D" w14:textId="77777777" w:rsidR="00FD7E85" w:rsidRDefault="00F456FA">
                      <w:pPr>
                        <w:jc w:val="center"/>
                        <w:rPr>
                          <w:rFonts w:ascii="Arial" w:hAnsi="Arial" w:cs="Arial"/>
                        </w:rPr>
                      </w:pPr>
                      <w:r>
                        <w:rPr>
                          <w:rFonts w:ascii="Arial" w:hAnsi="Arial" w:cs="Arial"/>
                        </w:rPr>
                        <w:t xml:space="preserve">Four (4) Excluded due Intrauterine fetal death </w:t>
                      </w:r>
                    </w:p>
                  </w:txbxContent>
                </v:textbox>
              </v:rect>
            </w:pict>
          </mc:Fallback>
        </mc:AlternateContent>
      </w:r>
    </w:p>
    <w:p w14:paraId="651C978D" w14:textId="77777777" w:rsidR="00FD7E85" w:rsidRDefault="00F456FA">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6C96489F" wp14:editId="5C6CF90A">
                <wp:simplePos x="0" y="0"/>
                <wp:positionH relativeFrom="column">
                  <wp:posOffset>1251585</wp:posOffset>
                </wp:positionH>
                <wp:positionV relativeFrom="paragraph">
                  <wp:posOffset>139065</wp:posOffset>
                </wp:positionV>
                <wp:extent cx="954405" cy="45720"/>
                <wp:effectExtent l="0" t="0" r="0" b="0"/>
                <wp:wrapNone/>
                <wp:docPr id="1327569160" name="Arrow: Left 5"/>
                <wp:cNvGraphicFramePr/>
                <a:graphic xmlns:a="http://schemas.openxmlformats.org/drawingml/2006/main">
                  <a:graphicData uri="http://schemas.microsoft.com/office/word/2010/wordprocessingShape">
                    <wps:wsp>
                      <wps:cNvSpPr/>
                      <wps:spPr>
                        <a:xfrm>
                          <a:off x="0" y="0"/>
                          <a:ext cx="954405" cy="4572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shape id="Arrow: Left 5" o:spid="_x0000_s1026" o:spt="66" type="#_x0000_t66" style="position:absolute;left:0pt;margin-left:98.55pt;margin-top:10.95pt;height:3.6pt;width:75.15pt;z-index:251665408;v-text-anchor:middle;mso-width-relative:page;mso-height-relative:page;" fillcolor="#E32D91 [3204]" filled="t" stroked="t" coordsize="21600,21600" o:gfxdata="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nppFxdYAAAAJAQAADwAAAAAAAAABACAAAAAiAAAAZHJzL2Rv&#10;d25yZXYueG1sUEsBAhQAFAAAAAgAh07iQGH9lFF1AgAADwUAAA4AAAAAAAAAAQAgAAAAJQEAAGRy&#10;cy9lMm9Eb2MueG1sUEsFBgAAAAAGAAYAWQEAAAwGAAAAAA==&#10;" adj="517,5400">
                <v:fill on="t" focussize="0,0"/>
                <v:stroke weight="2pt" color="#5F0D3A [3204]" joinstyle="round"/>
                <v:imagedata o:title=""/>
                <o:lock v:ext="edit" aspectratio="f"/>
              </v:shape>
            </w:pict>
          </mc:Fallback>
        </mc:AlternateContent>
      </w:r>
    </w:p>
    <w:p w14:paraId="14EEF7B5" w14:textId="77777777" w:rsidR="00FD7E85" w:rsidRDefault="00F456FA">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14:anchorId="5B9AE972" wp14:editId="60FA9B12">
                <wp:simplePos x="0" y="0"/>
                <wp:positionH relativeFrom="column">
                  <wp:posOffset>2297430</wp:posOffset>
                </wp:positionH>
                <wp:positionV relativeFrom="paragraph">
                  <wp:posOffset>73660</wp:posOffset>
                </wp:positionV>
                <wp:extent cx="655955" cy="45720"/>
                <wp:effectExtent l="0" t="19050" r="10795" b="11430"/>
                <wp:wrapNone/>
                <wp:docPr id="797762951" name="Arrow: Right 4"/>
                <wp:cNvGraphicFramePr/>
                <a:graphic xmlns:a="http://schemas.openxmlformats.org/drawingml/2006/main">
                  <a:graphicData uri="http://schemas.microsoft.com/office/word/2010/wordprocessingShape">
                    <wps:wsp>
                      <wps:cNvSpPr/>
                      <wps:spPr>
                        <a:xfrm>
                          <a:off x="0" y="0"/>
                          <a:ext cx="655955" cy="4572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shape id="Arrow: Right 4" o:spid="_x0000_s1026" o:spt="13" type="#_x0000_t13" style="position:absolute;left:0pt;margin-left:180.9pt;margin-top:5.8pt;height:3.6pt;width:51.65pt;z-index:251663360;v-text-anchor:middle;mso-width-relative:page;mso-height-relative:page;" fillcolor="#E32D91 [3204]" filled="t" stroked="t" coordsize="21600,21600" o:gfxdata="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Unpc62gAAAAkBAAAPAAAAAAAAAAEAIAAAACIAAABk&#10;cnMvZG93bnJldi54bWxQSwECFAAUAAAACACHTuJAo+9UEHYCAAAQBQAADgAAAAAAAAABACAAAAAp&#10;AQAAZHJzL2Uyb0RvYy54bWxQSwUGAAAAAAYABgBZAQAAEQYAAAAA&#10;" adj="20848,5400">
                <v:fill on="t" focussize="0,0"/>
                <v:stroke weight="2pt" color="#5F0D3A [3204]" joinstyle="round"/>
                <v:imagedata o:title=""/>
                <o:lock v:ext="edit" aspectratio="f"/>
              </v:shape>
            </w:pict>
          </mc:Fallback>
        </mc:AlternateContent>
      </w:r>
    </w:p>
    <w:p w14:paraId="2EA19B6B" w14:textId="77777777" w:rsidR="00FD7E85" w:rsidRDefault="00FD7E85">
      <w:pPr>
        <w:pStyle w:val="Body"/>
        <w:spacing w:after="0"/>
        <w:rPr>
          <w:rFonts w:ascii="Arial" w:hAnsi="Arial" w:cs="Arial"/>
        </w:rPr>
      </w:pPr>
    </w:p>
    <w:p w14:paraId="08D42859" w14:textId="77777777" w:rsidR="00FD7E85" w:rsidRDefault="00FD7E85">
      <w:pPr>
        <w:pStyle w:val="Body"/>
        <w:spacing w:after="0"/>
        <w:rPr>
          <w:rFonts w:ascii="Arial" w:hAnsi="Arial" w:cs="Arial"/>
        </w:rPr>
      </w:pPr>
    </w:p>
    <w:p w14:paraId="4E1C94F4" w14:textId="77777777" w:rsidR="00FD7E85" w:rsidRDefault="00F456FA">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670528" behindDoc="0" locked="0" layoutInCell="1" allowOverlap="1" wp14:anchorId="091BE785" wp14:editId="0E8D94F6">
                <wp:simplePos x="0" y="0"/>
                <wp:positionH relativeFrom="column">
                  <wp:posOffset>2814955</wp:posOffset>
                </wp:positionH>
                <wp:positionV relativeFrom="paragraph">
                  <wp:posOffset>43815</wp:posOffset>
                </wp:positionV>
                <wp:extent cx="2115185" cy="467995"/>
                <wp:effectExtent l="27940" t="24765" r="38100" b="50165"/>
                <wp:wrapNone/>
                <wp:docPr id="63764607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467995"/>
                        </a:xfrm>
                        <a:prstGeom prst="rect">
                          <a:avLst/>
                        </a:prstGeom>
                        <a:solidFill>
                          <a:schemeClr val="accent1">
                            <a:lumMod val="100000"/>
                            <a:lumOff val="0"/>
                          </a:schemeClr>
                        </a:solidFill>
                        <a:ln w="38100">
                          <a:solidFill>
                            <a:schemeClr val="lt1">
                              <a:lumMod val="95000"/>
                              <a:lumOff val="0"/>
                            </a:schemeClr>
                          </a:solidFill>
                          <a:miter lim="800000"/>
                        </a:ln>
                        <a:effectLst>
                          <a:outerShdw dist="28398" dir="3806097" algn="ctr" rotWithShape="0">
                            <a:schemeClr val="accent1">
                              <a:lumMod val="50000"/>
                              <a:lumOff val="0"/>
                              <a:alpha val="50000"/>
                            </a:schemeClr>
                          </a:outerShdw>
                        </a:effectLst>
                      </wps:spPr>
                      <wps:txbx>
                        <w:txbxContent>
                          <w:p w14:paraId="2026378D" w14:textId="77777777" w:rsidR="00FD7E85" w:rsidRDefault="00F456FA">
                            <w:r>
                              <w:t>Two (2) excluded due to history of alcohol use during pregnant period</w:t>
                            </w:r>
                          </w:p>
                        </w:txbxContent>
                      </wps:txbx>
                      <wps:bodyPr rot="0" vert="horz" wrap="square" lIns="91440" tIns="45720" rIns="91440" bIns="45720" anchor="t" anchorCtr="0" upright="1">
                        <a:noAutofit/>
                      </wps:bodyPr>
                    </wps:wsp>
                  </a:graphicData>
                </a:graphic>
              </wp:anchor>
            </w:drawing>
          </mc:Choice>
          <mc:Fallback>
            <w:pict>
              <v:shapetype w14:anchorId="091BE785" id="_x0000_t202" coordsize="21600,21600" o:spt="202" path="m,l,21600r21600,l21600,xe">
                <v:stroke joinstyle="miter"/>
                <v:path gradientshapeok="t" o:connecttype="rect"/>
              </v:shapetype>
              <v:shape id="Text Box 24" o:spid="_x0000_s1029" type="#_x0000_t202" style="position:absolute;left:0;text-align:left;margin-left:221.65pt;margin-top:3.45pt;width:166.55pt;height:36.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" fillcolor="#e32d91 [3204]" strokecolor="#f2f2f2 [3041]" strokeweight="3pt">
                <v:shadow on="t" color="#771048 [1604]" opacity=".5" offset="1pt"/>
                <v:textbox>
                  <w:txbxContent>
                    <w:p w14:paraId="2026378D" w14:textId="77777777" w:rsidR="00FD7E85" w:rsidRDefault="00F456FA">
                      <w:r>
                        <w:t>Two (2) excluded due to history of alcohol use during pregnant period</w:t>
                      </w:r>
                    </w:p>
                  </w:txbxContent>
                </v:textbox>
              </v:shape>
            </w:pict>
          </mc:Fallback>
        </mc:AlternateContent>
      </w:r>
    </w:p>
    <w:p w14:paraId="398B3E71" w14:textId="77777777" w:rsidR="00FD7E85" w:rsidRDefault="00F456FA">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671552" behindDoc="0" locked="0" layoutInCell="1" allowOverlap="1" wp14:anchorId="68986B52" wp14:editId="3A5A0D58">
                <wp:simplePos x="0" y="0"/>
                <wp:positionH relativeFrom="column">
                  <wp:posOffset>2263140</wp:posOffset>
                </wp:positionH>
                <wp:positionV relativeFrom="paragraph">
                  <wp:posOffset>127635</wp:posOffset>
                </wp:positionV>
                <wp:extent cx="551815" cy="90805"/>
                <wp:effectExtent l="9525" t="16510" r="29210" b="6985"/>
                <wp:wrapNone/>
                <wp:docPr id="166835721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90805"/>
                        </a:xfrm>
                        <a:prstGeom prst="rightArrow">
                          <a:avLst>
                            <a:gd name="adj1" fmla="val 50000"/>
                            <a:gd name="adj2" fmla="val 151923"/>
                          </a:avLst>
                        </a:prstGeom>
                        <a:solidFill>
                          <a:schemeClr val="tx1">
                            <a:lumMod val="100000"/>
                            <a:lumOff val="0"/>
                          </a:schemeClr>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shape id="AutoShape 25" o:spid="_x0000_s1026" o:spt="13" type="#_x0000_t13" style="position:absolute;left:0pt;margin-left:178.2pt;margin-top:10.05pt;height:7.15pt;width:43.45pt;z-index:251671552;mso-width-relative:page;mso-height-relative:page;" fillcolor="#000000 [3229]" filled="t" stroked="t" coordsize="21600,21600" o:gfxdata="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aj2yQ9kAAAAJAQAADwAAAAAAAAABACAAAAAiAAAAZHJzL2Rvd25yZXYueG1sUEsBAhQA&#10;FAAAAAgAh07iQHPebpdjAgAACAUAAA4AAAAAAAAAAQAgAAAAKAEAAGRycy9lMm9Eb2MueG1sUEsF&#10;BgAAAAAGAAYAWQEAAP0FAAAAAA==&#10;" adj="16201,5400">
                <v:fill on="t" focussize="0,0"/>
                <v:stroke color="#000000" miterlimit="8" joinstyle="miter"/>
                <v:imagedata o:title=""/>
                <o:lock v:ext="edit" aspectratio="f"/>
              </v:shape>
            </w:pict>
          </mc:Fallback>
        </mc:AlternateContent>
      </w:r>
    </w:p>
    <w:p w14:paraId="2DE73ACF" w14:textId="77777777" w:rsidR="00FD7E85" w:rsidRDefault="00FD7E85">
      <w:pPr>
        <w:pStyle w:val="Body"/>
        <w:spacing w:after="0"/>
        <w:rPr>
          <w:rFonts w:ascii="Arial" w:hAnsi="Arial" w:cs="Arial"/>
        </w:rPr>
      </w:pPr>
    </w:p>
    <w:p w14:paraId="1AC7F529" w14:textId="77777777" w:rsidR="00FD7E85" w:rsidRDefault="00FD7E85">
      <w:pPr>
        <w:pStyle w:val="Body"/>
        <w:spacing w:after="0"/>
        <w:rPr>
          <w:rFonts w:ascii="Arial" w:hAnsi="Arial" w:cs="Arial"/>
        </w:rPr>
      </w:pPr>
    </w:p>
    <w:p w14:paraId="0414F732" w14:textId="77777777" w:rsidR="00FD7E85" w:rsidRDefault="00F456FA">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2BBEB9AB" wp14:editId="4EE5A0A6">
                <wp:simplePos x="0" y="0"/>
                <wp:positionH relativeFrom="column">
                  <wp:posOffset>472440</wp:posOffset>
                </wp:positionH>
                <wp:positionV relativeFrom="paragraph">
                  <wp:posOffset>112395</wp:posOffset>
                </wp:positionV>
                <wp:extent cx="3677285" cy="615950"/>
                <wp:effectExtent l="19050" t="20320" r="37465" b="49530"/>
                <wp:wrapNone/>
                <wp:docPr id="197061914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7285" cy="615950"/>
                        </a:xfrm>
                        <a:prstGeom prst="rect">
                          <a:avLst/>
                        </a:prstGeom>
                        <a:solidFill>
                          <a:schemeClr val="accent1">
                            <a:lumMod val="100000"/>
                            <a:lumOff val="0"/>
                          </a:schemeClr>
                        </a:solidFill>
                        <a:ln w="38100">
                          <a:solidFill>
                            <a:schemeClr val="lt1">
                              <a:lumMod val="95000"/>
                              <a:lumOff val="0"/>
                            </a:schemeClr>
                          </a:solidFill>
                          <a:miter lim="800000"/>
                        </a:ln>
                        <a:effectLst>
                          <a:outerShdw dist="28398" dir="3806097" algn="ctr" rotWithShape="0">
                            <a:schemeClr val="accent1">
                              <a:lumMod val="50000"/>
                              <a:lumOff val="0"/>
                              <a:alpha val="50000"/>
                            </a:schemeClr>
                          </a:outerShdw>
                        </a:effectLst>
                      </wps:spPr>
                      <wps:txbx>
                        <w:txbxContent>
                          <w:p w14:paraId="7A940B8A" w14:textId="77777777" w:rsidR="00FD7E85" w:rsidRDefault="00F456FA">
                            <w:pPr>
                              <w:jc w:val="center"/>
                              <w:rPr>
                                <w:rFonts w:ascii="Arial" w:hAnsi="Arial" w:cs="Arial"/>
                              </w:rPr>
                            </w:pPr>
                            <w:r>
                              <w:rPr>
                                <w:rFonts w:ascii="Arial" w:hAnsi="Arial" w:cs="Arial"/>
                              </w:rPr>
                              <w:t xml:space="preserve">124 pregnant women were qualified for follow up and second ultrasound examination </w:t>
                            </w:r>
                          </w:p>
                        </w:txbxContent>
                      </wps:txbx>
                      <wps:bodyPr rot="0" vert="horz" wrap="square" lIns="91440" tIns="45720" rIns="91440" bIns="45720" anchor="ctr" anchorCtr="0" upright="1">
                        <a:noAutofit/>
                      </wps:bodyPr>
                    </wps:wsp>
                  </a:graphicData>
                </a:graphic>
              </wp:anchor>
            </w:drawing>
          </mc:Choice>
          <mc:Fallback>
            <w:pict>
              <v:rect w14:anchorId="2BBEB9AB" id="Rectangle 7" o:spid="_x0000_s1030" style="position:absolute;left:0;text-align:left;margin-left:37.2pt;margin-top:8.85pt;width:289.55pt;height:4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" fillcolor="#e32d91 [3204]" strokecolor="#f2f2f2 [3041]" strokeweight="3pt">
                <v:shadow on="t" color="#771048 [1604]" opacity=".5" offset="1pt"/>
                <v:textbox>
                  <w:txbxContent>
                    <w:p w14:paraId="7A940B8A" w14:textId="77777777" w:rsidR="00FD7E85" w:rsidRDefault="00F456FA">
                      <w:pPr>
                        <w:jc w:val="center"/>
                        <w:rPr>
                          <w:rFonts w:ascii="Arial" w:hAnsi="Arial" w:cs="Arial"/>
                        </w:rPr>
                      </w:pPr>
                      <w:r>
                        <w:rPr>
                          <w:rFonts w:ascii="Arial" w:hAnsi="Arial" w:cs="Arial"/>
                        </w:rPr>
                        <w:t xml:space="preserve">124 pregnant women were qualified for follow up and second ultrasound examination </w:t>
                      </w:r>
                    </w:p>
                  </w:txbxContent>
                </v:textbox>
              </v:rect>
            </w:pict>
          </mc:Fallback>
        </mc:AlternateContent>
      </w:r>
    </w:p>
    <w:p w14:paraId="335BEFB7" w14:textId="77777777" w:rsidR="00FD7E85" w:rsidRDefault="00FD7E85">
      <w:pPr>
        <w:pStyle w:val="Body"/>
        <w:spacing w:after="0"/>
        <w:rPr>
          <w:rFonts w:ascii="Arial" w:hAnsi="Arial" w:cs="Arial"/>
        </w:rPr>
      </w:pPr>
    </w:p>
    <w:p w14:paraId="6907FBF2" w14:textId="77777777" w:rsidR="00FD7E85" w:rsidRDefault="00FD7E85">
      <w:pPr>
        <w:pStyle w:val="Body"/>
        <w:spacing w:after="0"/>
        <w:rPr>
          <w:rFonts w:ascii="Arial" w:hAnsi="Arial" w:cs="Arial"/>
        </w:rPr>
      </w:pPr>
    </w:p>
    <w:p w14:paraId="72596327" w14:textId="77777777" w:rsidR="00FD7E85" w:rsidRDefault="00F456FA">
      <w:pPr>
        <w:pStyle w:val="Body"/>
        <w:spacing w:after="0"/>
        <w:rPr>
          <w:rFonts w:ascii="Arial" w:hAnsi="Arial" w:cs="Arial"/>
        </w:rPr>
      </w:pPr>
      <w:r>
        <w:rPr>
          <w:rFonts w:ascii="Arial" w:hAnsi="Arial" w:cs="Arial"/>
        </w:rPr>
        <w:t xml:space="preserve"> </w:t>
      </w:r>
    </w:p>
    <w:p w14:paraId="6A3DD31D" w14:textId="77777777" w:rsidR="00FD7E85" w:rsidRDefault="00FD7E85">
      <w:pPr>
        <w:pStyle w:val="Body"/>
        <w:spacing w:after="0"/>
        <w:rPr>
          <w:rFonts w:ascii="Arial" w:hAnsi="Arial" w:cs="Arial"/>
        </w:rPr>
      </w:pPr>
    </w:p>
    <w:p w14:paraId="60D8FACA" w14:textId="77777777" w:rsidR="00FD7E85" w:rsidRDefault="00F456FA">
      <w:pPr>
        <w:pStyle w:val="Body"/>
        <w:rPr>
          <w:rFonts w:ascii="Arial" w:hAnsi="Arial" w:cs="Arial"/>
        </w:rPr>
      </w:pPr>
      <w:r>
        <w:rPr>
          <w:rFonts w:ascii="Arial" w:hAnsi="Arial" w:cs="Arial"/>
          <w:noProof/>
        </w:rPr>
        <mc:AlternateContent>
          <mc:Choice Requires="wps">
            <w:drawing>
              <wp:anchor distT="0" distB="0" distL="114300" distR="114300" simplePos="0" relativeHeight="251669504" behindDoc="0" locked="0" layoutInCell="1" allowOverlap="1" wp14:anchorId="5A50DDBD" wp14:editId="6B5788E7">
                <wp:simplePos x="0" y="0"/>
                <wp:positionH relativeFrom="margin">
                  <wp:posOffset>3209925</wp:posOffset>
                </wp:positionH>
                <wp:positionV relativeFrom="paragraph">
                  <wp:posOffset>217805</wp:posOffset>
                </wp:positionV>
                <wp:extent cx="1853565" cy="456565"/>
                <wp:effectExtent l="0" t="0" r="0" b="635"/>
                <wp:wrapNone/>
                <wp:docPr id="1569308338" name="Rectangle 3"/>
                <wp:cNvGraphicFramePr/>
                <a:graphic xmlns:a="http://schemas.openxmlformats.org/drawingml/2006/main">
                  <a:graphicData uri="http://schemas.microsoft.com/office/word/2010/wordprocessingShape">
                    <wps:wsp>
                      <wps:cNvSpPr/>
                      <wps:spPr>
                        <a:xfrm>
                          <a:off x="0" y="0"/>
                          <a:ext cx="1853565" cy="45656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4E4953B" w14:textId="77777777" w:rsidR="00FD7E85" w:rsidRDefault="00F456FA">
                            <w:pPr>
                              <w:jc w:val="center"/>
                              <w:rPr>
                                <w:rFonts w:ascii="Times New Roman" w:hAnsi="Times New Roman"/>
                                <w:sz w:val="24"/>
                                <w:szCs w:val="24"/>
                              </w:rPr>
                            </w:pPr>
                            <w:r>
                              <w:rPr>
                                <w:rFonts w:ascii="Times New Roman" w:hAnsi="Times New Roman"/>
                                <w:sz w:val="24"/>
                                <w:szCs w:val="24"/>
                              </w:rPr>
                              <w:t>8 Lost follow up</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A50DDBD" id="Rectangle 3" o:spid="_x0000_s1031" style="position:absolute;left:0;text-align:left;margin-left:252.75pt;margin-top:17.15pt;width:145.95pt;height:35.95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" fillcolor="#e32d91 [3204]" strokecolor="#230415 [484]" strokeweight="2pt">
                <v:textbox>
                  <w:txbxContent>
                    <w:p w14:paraId="34E4953B" w14:textId="77777777" w:rsidR="00FD7E85" w:rsidRDefault="00F456FA">
                      <w:pPr>
                        <w:jc w:val="center"/>
                        <w:rPr>
                          <w:rFonts w:ascii="Times New Roman" w:hAnsi="Times New Roman"/>
                          <w:sz w:val="24"/>
                          <w:szCs w:val="24"/>
                        </w:rPr>
                      </w:pPr>
                      <w:r>
                        <w:rPr>
                          <w:rFonts w:ascii="Times New Roman" w:hAnsi="Times New Roman"/>
                          <w:sz w:val="24"/>
                          <w:szCs w:val="24"/>
                        </w:rPr>
                        <w:t>8 Lost follow up</w:t>
                      </w: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667456" behindDoc="0" locked="0" layoutInCell="1" allowOverlap="1" wp14:anchorId="182BFFAE" wp14:editId="6AFC7021">
                <wp:simplePos x="0" y="0"/>
                <wp:positionH relativeFrom="column">
                  <wp:posOffset>2251710</wp:posOffset>
                </wp:positionH>
                <wp:positionV relativeFrom="paragraph">
                  <wp:posOffset>36830</wp:posOffset>
                </wp:positionV>
                <wp:extent cx="45720" cy="785495"/>
                <wp:effectExtent l="19050" t="0" r="11430" b="14605"/>
                <wp:wrapNone/>
                <wp:docPr id="1136881310" name="Arrow: Down 2"/>
                <wp:cNvGraphicFramePr/>
                <a:graphic xmlns:a="http://schemas.openxmlformats.org/drawingml/2006/main">
                  <a:graphicData uri="http://schemas.microsoft.com/office/word/2010/wordprocessingShape">
                    <wps:wsp>
                      <wps:cNvSpPr/>
                      <wps:spPr>
                        <a:xfrm>
                          <a:off x="0" y="0"/>
                          <a:ext cx="45720" cy="78549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shape id="Arrow: Down 2" o:spid="_x0000_s1026" o:spt="67" type="#_x0000_t67" style="position:absolute;left:0pt;margin-left:177.3pt;margin-top:2.9pt;height:61.85pt;width:3.6pt;z-index:251667456;v-text-anchor:middle;mso-width-relative:page;mso-height-relative:page;" fillcolor="#E32D91 [3204]" filled="t" stroked="t" coordsize="21600,21600" o:gfxdata="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B5P7WPYAAAACQEAAA8AAAAAAAAAAQAgAAAAIgAAAGRycy9k&#10;b3ducmV2LnhtbFBLAQIUABQAAAAIAIdO4kATphY8dAIAAA8FAAAOAAAAAAAAAAEAIAAAACcBAABk&#10;cnMvZTJvRG9jLnhtbFBLBQYAAAAABgAGAFkBAAANBgAAAAA=&#10;" adj="20972,5400">
                <v:fill on="t" focussize="0,0"/>
                <v:stroke weight="2pt" color="#5F0D3A [3204]" joinstyle="round"/>
                <v:imagedata o:title=""/>
                <o:lock v:ext="edit" aspectratio="f"/>
              </v:shape>
            </w:pict>
          </mc:Fallback>
        </mc:AlternateContent>
      </w:r>
    </w:p>
    <w:p w14:paraId="7F1A0FDD" w14:textId="77777777" w:rsidR="00FD7E85" w:rsidRDefault="00F456FA">
      <w:pPr>
        <w:pStyle w:val="Body"/>
        <w:rPr>
          <w:rFonts w:ascii="Arial" w:hAnsi="Arial" w:cs="Arial"/>
        </w:rPr>
      </w:pPr>
      <w:r>
        <w:rPr>
          <w:rFonts w:ascii="Arial" w:hAnsi="Arial" w:cs="Arial"/>
          <w:noProof/>
        </w:rPr>
        <mc:AlternateContent>
          <mc:Choice Requires="wps">
            <w:drawing>
              <wp:anchor distT="0" distB="0" distL="114300" distR="114300" simplePos="0" relativeHeight="251672576" behindDoc="0" locked="0" layoutInCell="1" allowOverlap="1" wp14:anchorId="71668B7C" wp14:editId="06020AAA">
                <wp:simplePos x="0" y="0"/>
                <wp:positionH relativeFrom="column">
                  <wp:posOffset>2320290</wp:posOffset>
                </wp:positionH>
                <wp:positionV relativeFrom="paragraph">
                  <wp:posOffset>104140</wp:posOffset>
                </wp:positionV>
                <wp:extent cx="876300" cy="71755"/>
                <wp:effectExtent l="9525" t="12065" r="38100" b="11430"/>
                <wp:wrapNone/>
                <wp:docPr id="98860227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1755"/>
                        </a:xfrm>
                        <a:prstGeom prst="rightArrow">
                          <a:avLst>
                            <a:gd name="adj1" fmla="val 50000"/>
                            <a:gd name="adj2" fmla="val 305310"/>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shape id="AutoShape 26" o:spid="_x0000_s1026" o:spt="13" type="#_x0000_t13" style="position:absolute;left:0pt;margin-left:182.7pt;margin-top:8.2pt;height:5.65pt;width:69pt;z-index:251672576;mso-width-relative:page;mso-height-relative:page;" fillcolor="#FFFFFF" filled="t" stroked="t" coordsize="21600,21600" o:gfxdata="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z+ebi1wAAAAkBAAAPAAAA&#10;AAAAAAEAIAAAACIAAABkcnMvZG93bnJldi54bWxQSwECFAAUAAAACACHTuJAQs6xxU8CAADRBAAA&#10;DgAAAAAAAAABACAAAAAmAQAAZHJzL2Uyb0RvYy54bWxQSwUGAAAAAAYABgBZAQAA5wUAAAAA&#10;" adj="16200,5400">
                <v:fill on="t" focussize="0,0"/>
                <v:stroke color="#000000" miterlimit="8" joinstyle="miter"/>
                <v:imagedata o:title=""/>
                <o:lock v:ext="edit" aspectratio="f"/>
              </v:shape>
            </w:pict>
          </mc:Fallback>
        </mc:AlternateContent>
      </w:r>
    </w:p>
    <w:p w14:paraId="25DF947D" w14:textId="77777777" w:rsidR="00FD7E85" w:rsidRDefault="00F456FA">
      <w:pPr>
        <w:pStyle w:val="Body"/>
        <w:rPr>
          <w:rFonts w:ascii="Arial" w:hAnsi="Arial" w:cs="Arial"/>
        </w:rPr>
      </w:pPr>
      <w:r>
        <w:rPr>
          <w:rFonts w:ascii="Arial" w:hAnsi="Arial" w:cs="Arial"/>
          <w:noProof/>
        </w:rPr>
        <mc:AlternateContent>
          <mc:Choice Requires="wps">
            <w:drawing>
              <wp:anchor distT="0" distB="0" distL="114300" distR="114300" simplePos="0" relativeHeight="251668480" behindDoc="0" locked="0" layoutInCell="1" allowOverlap="1" wp14:anchorId="175FBD8E" wp14:editId="4EF7A0FD">
                <wp:simplePos x="0" y="0"/>
                <wp:positionH relativeFrom="column">
                  <wp:posOffset>1178560</wp:posOffset>
                </wp:positionH>
                <wp:positionV relativeFrom="paragraph">
                  <wp:posOffset>225425</wp:posOffset>
                </wp:positionV>
                <wp:extent cx="2256155" cy="457200"/>
                <wp:effectExtent l="0" t="0" r="0" b="0"/>
                <wp:wrapNone/>
                <wp:docPr id="1929157092" name="Rectangle 1"/>
                <wp:cNvGraphicFramePr/>
                <a:graphic xmlns:a="http://schemas.openxmlformats.org/drawingml/2006/main">
                  <a:graphicData uri="http://schemas.microsoft.com/office/word/2010/wordprocessingShape">
                    <wps:wsp>
                      <wps:cNvSpPr/>
                      <wps:spPr>
                        <a:xfrm>
                          <a:off x="0" y="0"/>
                          <a:ext cx="2256155" cy="4572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FC9ACD1" w14:textId="77777777" w:rsidR="00FD7E85" w:rsidRDefault="00F456FA">
                            <w:pPr>
                              <w:jc w:val="center"/>
                              <w:rPr>
                                <w:rFonts w:ascii="Arial" w:hAnsi="Arial" w:cs="Arial"/>
                              </w:rPr>
                            </w:pPr>
                            <w:r>
                              <w:rPr>
                                <w:rFonts w:ascii="Arial" w:hAnsi="Arial" w:cs="Arial"/>
                              </w:rPr>
                              <w:t>116 qualified for analysis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75FBD8E" id="Rectangle 1" o:spid="_x0000_s1032" style="position:absolute;left:0;text-align:left;margin-left:92.8pt;margin-top:17.75pt;width:177.6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" fillcolor="#e32d91 [3204]" strokecolor="#230415 [484]" strokeweight="2pt">
                <v:textbox>
                  <w:txbxContent>
                    <w:p w14:paraId="1FC9ACD1" w14:textId="77777777" w:rsidR="00FD7E85" w:rsidRDefault="00F456FA">
                      <w:pPr>
                        <w:jc w:val="center"/>
                        <w:rPr>
                          <w:rFonts w:ascii="Arial" w:hAnsi="Arial" w:cs="Arial"/>
                        </w:rPr>
                      </w:pPr>
                      <w:r>
                        <w:rPr>
                          <w:rFonts w:ascii="Arial" w:hAnsi="Arial" w:cs="Arial"/>
                        </w:rPr>
                        <w:t>116 qualified for analysis</w:t>
                      </w:r>
                    </w:p>
                  </w:txbxContent>
                </v:textbox>
              </v:rect>
            </w:pict>
          </mc:Fallback>
        </mc:AlternateContent>
      </w:r>
    </w:p>
    <w:p w14:paraId="0D5034FD" w14:textId="77777777" w:rsidR="00FD7E85" w:rsidRDefault="00FD7E85">
      <w:pPr>
        <w:pStyle w:val="Body"/>
        <w:rPr>
          <w:rFonts w:ascii="Arial" w:hAnsi="Arial" w:cs="Arial"/>
        </w:rPr>
      </w:pPr>
    </w:p>
    <w:p w14:paraId="590D7C84" w14:textId="77777777" w:rsidR="00FD7E85" w:rsidRDefault="00FD7E85">
      <w:pPr>
        <w:pStyle w:val="Body"/>
        <w:rPr>
          <w:rFonts w:ascii="Arial" w:hAnsi="Arial" w:cs="Arial"/>
        </w:rPr>
      </w:pPr>
    </w:p>
    <w:p w14:paraId="756EAD0A" w14:textId="77777777" w:rsidR="00FD7E85" w:rsidRDefault="00F456FA">
      <w:pPr>
        <w:pStyle w:val="Body"/>
        <w:jc w:val="center"/>
        <w:rPr>
          <w:rFonts w:ascii="Arial" w:hAnsi="Arial" w:cs="Arial"/>
        </w:rPr>
      </w:pPr>
      <w:r>
        <w:rPr>
          <w:rFonts w:ascii="Arial" w:hAnsi="Arial" w:cs="Arial"/>
        </w:rPr>
        <w:t>Figure 1: Participants enrolment flow chart.</w:t>
      </w:r>
    </w:p>
    <w:p w14:paraId="31F157B6" w14:textId="77777777" w:rsidR="00FD7E85" w:rsidRDefault="00FD7E85">
      <w:pPr>
        <w:pStyle w:val="Body"/>
        <w:spacing w:after="0"/>
        <w:rPr>
          <w:rFonts w:ascii="Arial" w:hAnsi="Arial" w:cs="Arial"/>
        </w:rPr>
      </w:pPr>
    </w:p>
    <w:p w14:paraId="12BEBD5B" w14:textId="77777777" w:rsidR="00FD7E85" w:rsidRDefault="00FD7E85">
      <w:pPr>
        <w:pStyle w:val="Body"/>
        <w:spacing w:after="0"/>
        <w:rPr>
          <w:rFonts w:ascii="Arial" w:hAnsi="Arial" w:cs="Arial"/>
        </w:rPr>
      </w:pPr>
    </w:p>
    <w:p w14:paraId="3A73168A" w14:textId="77777777" w:rsidR="00FD7E85" w:rsidRDefault="00FD7E85">
      <w:pPr>
        <w:jc w:val="both"/>
        <w:rPr>
          <w:rFonts w:ascii="Arial" w:hAnsi="Arial" w:cs="Arial"/>
          <w:u w:val="single"/>
          <w:lang w:val="en-GB" w:eastAsia="en-GB"/>
        </w:rPr>
      </w:pPr>
    </w:p>
    <w:p w14:paraId="6C3474BC" w14:textId="77777777" w:rsidR="00FD7E85" w:rsidRDefault="00FD7E85">
      <w:pPr>
        <w:jc w:val="both"/>
        <w:rPr>
          <w:rFonts w:ascii="Arial" w:hAnsi="Arial" w:cs="Arial"/>
          <w:u w:val="single"/>
          <w:lang w:val="en-GB" w:eastAsia="en-GB"/>
        </w:rPr>
      </w:pPr>
    </w:p>
    <w:p w14:paraId="336F50E0" w14:textId="77777777" w:rsidR="00FD7E85" w:rsidRDefault="00FD7E85">
      <w:pPr>
        <w:jc w:val="both"/>
        <w:rPr>
          <w:rFonts w:ascii="Arial" w:hAnsi="Arial" w:cs="Arial"/>
          <w:u w:val="single"/>
          <w:lang w:val="en-GB" w:eastAsia="en-GB"/>
        </w:rPr>
      </w:pPr>
    </w:p>
    <w:p w14:paraId="507E6F86" w14:textId="77777777" w:rsidR="00FD7E85" w:rsidRDefault="00FD7E85">
      <w:pPr>
        <w:jc w:val="both"/>
        <w:rPr>
          <w:rFonts w:ascii="Arial" w:hAnsi="Arial" w:cs="Arial"/>
          <w:u w:val="single"/>
          <w:lang w:val="en-GB" w:eastAsia="en-GB"/>
        </w:rPr>
      </w:pPr>
    </w:p>
    <w:p w14:paraId="1D8952D4" w14:textId="77777777" w:rsidR="00FD7E85" w:rsidRDefault="00FD7E85">
      <w:pPr>
        <w:jc w:val="both"/>
        <w:rPr>
          <w:rFonts w:ascii="Arial" w:hAnsi="Arial" w:cs="Arial"/>
          <w:u w:val="single"/>
          <w:lang w:val="en-GB" w:eastAsia="en-GB"/>
        </w:rPr>
      </w:pPr>
    </w:p>
    <w:p w14:paraId="383B5F1D" w14:textId="77777777" w:rsidR="00FD7E85" w:rsidRDefault="00FD7E85">
      <w:pPr>
        <w:jc w:val="both"/>
        <w:rPr>
          <w:rFonts w:ascii="Arial" w:hAnsi="Arial" w:cs="Arial"/>
          <w:u w:val="single"/>
          <w:lang w:val="en-GB" w:eastAsia="en-GB"/>
        </w:rPr>
      </w:pPr>
    </w:p>
    <w:p w14:paraId="31658383" w14:textId="77777777" w:rsidR="00A14A28" w:rsidRDefault="00A14A28">
      <w:pPr>
        <w:jc w:val="both"/>
        <w:rPr>
          <w:rFonts w:ascii="Arial" w:hAnsi="Arial" w:cs="Arial"/>
          <w:b/>
          <w:u w:val="single"/>
          <w:lang w:eastAsia="en-GB"/>
        </w:rPr>
      </w:pPr>
    </w:p>
    <w:p w14:paraId="2337A886" w14:textId="1676114D" w:rsidR="00FD7E85" w:rsidRDefault="00F456FA">
      <w:pPr>
        <w:jc w:val="both"/>
        <w:rPr>
          <w:rFonts w:ascii="Arial" w:hAnsi="Arial" w:cs="Arial"/>
          <w:b/>
          <w:u w:val="single"/>
          <w:lang w:eastAsia="en-GB"/>
        </w:rPr>
      </w:pPr>
      <w:r>
        <w:rPr>
          <w:rFonts w:ascii="Arial" w:hAnsi="Arial" w:cs="Arial"/>
          <w:b/>
          <w:u w:val="single"/>
          <w:lang w:eastAsia="en-GB"/>
        </w:rPr>
        <w:t>3.1.2 Maternal demographic, clinical and Doppler characteristics</w:t>
      </w:r>
    </w:p>
    <w:p w14:paraId="2948E1EA" w14:textId="77777777" w:rsidR="00FD7E85" w:rsidRDefault="00F456FA">
      <w:pPr>
        <w:jc w:val="both"/>
        <w:rPr>
          <w:rFonts w:ascii="Arial" w:hAnsi="Arial" w:cs="Arial"/>
          <w:lang w:eastAsia="en-GB"/>
        </w:rPr>
      </w:pPr>
      <w:r>
        <w:rPr>
          <w:rFonts w:ascii="Arial" w:hAnsi="Arial" w:cs="Arial"/>
          <w:lang w:eastAsia="en-GB"/>
        </w:rPr>
        <w:t xml:space="preserve">A total of 116 pregnant women with PIH were followed for their fetal outcome during prenatal and neonatal of period. The mean age was 26.7 (SD7.285), 81 (69.83%) were aged (15-25) years, 50 (43.10%) were attained primary level of education, 67(57.76%) were unemployed, 102 (87.93%) was attending ANC at primary level of health facility, 64 (55.17%) had primary level of education, 76 (65.52%) was multipara, 82(70.69%) was found with GA group of 34-39 weeks by date, 41 (31.34%) had normal systolic blood pressure,98(84.48%) had normal Doppler flow patten, 83(71.55) had normal S/D ratio, 90(77.59%) had normal PI while 71(61.21%) had normal RI,  91 (79.82%) newborns  had normal APGAR SCORE, 78(67.24%) of newborn had normal north weight. </w:t>
      </w:r>
      <w:r>
        <w:rPr>
          <w:rFonts w:ascii="Arial" w:hAnsi="Arial" w:cs="Arial"/>
          <w:b/>
          <w:bCs/>
          <w:lang w:eastAsia="en-GB"/>
        </w:rPr>
        <w:t>(Table1)</w:t>
      </w:r>
    </w:p>
    <w:p w14:paraId="6C0FA18D" w14:textId="77777777" w:rsidR="00FD7E85" w:rsidRDefault="00FD7E85">
      <w:pPr>
        <w:jc w:val="both"/>
        <w:rPr>
          <w:rFonts w:ascii="Arial" w:hAnsi="Arial" w:cs="Arial"/>
          <w:u w:val="single"/>
          <w:lang w:val="en-GB" w:eastAsia="en-GB"/>
        </w:rPr>
      </w:pPr>
      <w:bookmarkStart w:id="23" w:name="_Toc202853583"/>
      <w:bookmarkStart w:id="24" w:name="_Toc202852556"/>
      <w:bookmarkStart w:id="25" w:name="_Toc202869683"/>
    </w:p>
    <w:p w14:paraId="2EB58C5E" w14:textId="77777777" w:rsidR="00FD7E85" w:rsidRDefault="00F456FA">
      <w:pPr>
        <w:jc w:val="both"/>
        <w:rPr>
          <w:rFonts w:ascii="Arial" w:hAnsi="Arial" w:cs="Arial"/>
          <w:b/>
          <w:lang w:eastAsia="en-GB"/>
        </w:rPr>
      </w:pPr>
      <w:r>
        <w:rPr>
          <w:rFonts w:ascii="Arial" w:hAnsi="Arial" w:cs="Arial"/>
          <w:b/>
          <w:lang w:eastAsia="en-GB"/>
        </w:rPr>
        <w:t>Table 1: Maternal, Clinical, and Doppler Characteristics (N = 116)</w:t>
      </w:r>
      <w:bookmarkEnd w:id="23"/>
      <w:bookmarkEnd w:id="24"/>
      <w:bookmarkEnd w:id="25"/>
    </w:p>
    <w:p w14:paraId="05D6CC97" w14:textId="77777777" w:rsidR="00FD7E85" w:rsidRDefault="00FD7E85">
      <w:pPr>
        <w:jc w:val="both"/>
        <w:rPr>
          <w:rFonts w:ascii="Arial" w:hAnsi="Arial" w:cs="Arial"/>
          <w:b/>
          <w:u w:val="single"/>
          <w:lang w:eastAsia="en-GB"/>
        </w:rPr>
      </w:pPr>
    </w:p>
    <w:tbl>
      <w:tblPr>
        <w:tblW w:w="10098" w:type="dxa"/>
        <w:tblLook w:val="04A0" w:firstRow="1" w:lastRow="0" w:firstColumn="1" w:lastColumn="0" w:noHBand="0" w:noVBand="1"/>
      </w:tblPr>
      <w:tblGrid>
        <w:gridCol w:w="3247"/>
        <w:gridCol w:w="3071"/>
        <w:gridCol w:w="1800"/>
        <w:gridCol w:w="1980"/>
      </w:tblGrid>
      <w:tr w:rsidR="00FD7E85" w14:paraId="292CB17B" w14:textId="77777777">
        <w:tc>
          <w:tcPr>
            <w:tcW w:w="0" w:type="auto"/>
            <w:tcBorders>
              <w:top w:val="single" w:sz="4" w:space="0" w:color="auto"/>
              <w:bottom w:val="single" w:sz="4" w:space="0" w:color="auto"/>
            </w:tcBorders>
          </w:tcPr>
          <w:p w14:paraId="1C73798D" w14:textId="77777777" w:rsidR="00FD7E85" w:rsidRDefault="00F456FA">
            <w:pPr>
              <w:jc w:val="both"/>
              <w:rPr>
                <w:rFonts w:ascii="Arial" w:hAnsi="Arial" w:cs="Arial"/>
                <w:b/>
                <w:bCs/>
                <w:lang w:eastAsia="en-GB"/>
              </w:rPr>
            </w:pPr>
            <w:r>
              <w:rPr>
                <w:rFonts w:ascii="Arial" w:hAnsi="Arial" w:cs="Arial"/>
                <w:b/>
                <w:bCs/>
                <w:lang w:eastAsia="en-GB"/>
              </w:rPr>
              <w:t>Characteristic</w:t>
            </w:r>
          </w:p>
        </w:tc>
        <w:tc>
          <w:tcPr>
            <w:tcW w:w="3071" w:type="dxa"/>
            <w:tcBorders>
              <w:top w:val="single" w:sz="4" w:space="0" w:color="auto"/>
              <w:bottom w:val="single" w:sz="4" w:space="0" w:color="auto"/>
            </w:tcBorders>
          </w:tcPr>
          <w:p w14:paraId="150ACEA6" w14:textId="77777777" w:rsidR="00FD7E85" w:rsidRDefault="00F456FA">
            <w:pPr>
              <w:jc w:val="both"/>
              <w:rPr>
                <w:rFonts w:ascii="Arial" w:hAnsi="Arial" w:cs="Arial"/>
                <w:lang w:eastAsia="en-GB"/>
              </w:rPr>
            </w:pPr>
            <w:r>
              <w:rPr>
                <w:rFonts w:ascii="Arial" w:hAnsi="Arial" w:cs="Arial"/>
                <w:lang w:eastAsia="en-GB"/>
              </w:rPr>
              <w:t>Category</w:t>
            </w:r>
          </w:p>
        </w:tc>
        <w:tc>
          <w:tcPr>
            <w:tcW w:w="1800" w:type="dxa"/>
            <w:tcBorders>
              <w:top w:val="single" w:sz="4" w:space="0" w:color="auto"/>
              <w:bottom w:val="single" w:sz="4" w:space="0" w:color="auto"/>
            </w:tcBorders>
          </w:tcPr>
          <w:p w14:paraId="5AA6612A" w14:textId="77777777" w:rsidR="00FD7E85" w:rsidRDefault="00F456FA">
            <w:pPr>
              <w:jc w:val="both"/>
              <w:rPr>
                <w:rFonts w:ascii="Arial" w:hAnsi="Arial" w:cs="Arial"/>
                <w:lang w:eastAsia="en-GB"/>
              </w:rPr>
            </w:pPr>
            <w:r>
              <w:rPr>
                <w:rFonts w:ascii="Arial" w:hAnsi="Arial" w:cs="Arial"/>
                <w:lang w:eastAsia="en-GB"/>
              </w:rPr>
              <w:t>Frequency (n)</w:t>
            </w:r>
          </w:p>
        </w:tc>
        <w:tc>
          <w:tcPr>
            <w:tcW w:w="1980" w:type="dxa"/>
            <w:tcBorders>
              <w:top w:val="single" w:sz="4" w:space="0" w:color="auto"/>
              <w:bottom w:val="single" w:sz="4" w:space="0" w:color="auto"/>
            </w:tcBorders>
          </w:tcPr>
          <w:p w14:paraId="3BEA5E33" w14:textId="77777777" w:rsidR="00FD7E85" w:rsidRDefault="00F456FA">
            <w:pPr>
              <w:jc w:val="both"/>
              <w:rPr>
                <w:rFonts w:ascii="Arial" w:hAnsi="Arial" w:cs="Arial"/>
                <w:lang w:eastAsia="en-GB"/>
              </w:rPr>
            </w:pPr>
            <w:r>
              <w:rPr>
                <w:rFonts w:ascii="Arial" w:hAnsi="Arial" w:cs="Arial"/>
                <w:lang w:eastAsia="en-GB"/>
              </w:rPr>
              <w:t>Percentage (%)</w:t>
            </w:r>
          </w:p>
        </w:tc>
      </w:tr>
      <w:tr w:rsidR="00FD7E85" w14:paraId="5833C486" w14:textId="77777777">
        <w:tc>
          <w:tcPr>
            <w:tcW w:w="0" w:type="auto"/>
            <w:tcBorders>
              <w:top w:val="single" w:sz="4" w:space="0" w:color="auto"/>
            </w:tcBorders>
          </w:tcPr>
          <w:p w14:paraId="32A18530" w14:textId="77777777" w:rsidR="00FD7E85" w:rsidRDefault="00F456FA">
            <w:pPr>
              <w:jc w:val="both"/>
              <w:rPr>
                <w:rFonts w:ascii="Arial" w:hAnsi="Arial" w:cs="Arial"/>
                <w:b/>
                <w:bCs/>
                <w:lang w:eastAsia="en-GB"/>
              </w:rPr>
            </w:pPr>
            <w:r>
              <w:rPr>
                <w:rFonts w:ascii="Arial" w:hAnsi="Arial" w:cs="Arial"/>
                <w:b/>
                <w:bCs/>
                <w:lang w:eastAsia="en-GB"/>
              </w:rPr>
              <w:t>Maternal Age (years)</w:t>
            </w:r>
          </w:p>
        </w:tc>
        <w:tc>
          <w:tcPr>
            <w:tcW w:w="3071" w:type="dxa"/>
            <w:tcBorders>
              <w:top w:val="single" w:sz="4" w:space="0" w:color="auto"/>
            </w:tcBorders>
          </w:tcPr>
          <w:p w14:paraId="797F638B" w14:textId="77777777" w:rsidR="00FD7E85" w:rsidRDefault="00F456FA">
            <w:pPr>
              <w:jc w:val="both"/>
              <w:rPr>
                <w:rFonts w:ascii="Arial" w:hAnsi="Arial" w:cs="Arial"/>
                <w:lang w:eastAsia="en-GB"/>
              </w:rPr>
            </w:pPr>
            <w:r>
              <w:rPr>
                <w:rFonts w:ascii="Arial" w:hAnsi="Arial" w:cs="Arial"/>
                <w:lang w:eastAsia="en-GB"/>
              </w:rPr>
              <w:t>15–25</w:t>
            </w:r>
          </w:p>
        </w:tc>
        <w:tc>
          <w:tcPr>
            <w:tcW w:w="1800" w:type="dxa"/>
            <w:tcBorders>
              <w:top w:val="single" w:sz="4" w:space="0" w:color="auto"/>
            </w:tcBorders>
          </w:tcPr>
          <w:p w14:paraId="271AB4EC" w14:textId="77777777" w:rsidR="00FD7E85" w:rsidRDefault="00F456FA">
            <w:pPr>
              <w:jc w:val="both"/>
              <w:rPr>
                <w:rFonts w:ascii="Arial" w:hAnsi="Arial" w:cs="Arial"/>
                <w:lang w:eastAsia="en-GB"/>
              </w:rPr>
            </w:pPr>
            <w:r>
              <w:rPr>
                <w:rFonts w:ascii="Arial" w:hAnsi="Arial" w:cs="Arial"/>
                <w:lang w:eastAsia="en-GB"/>
              </w:rPr>
              <w:t>81</w:t>
            </w:r>
          </w:p>
        </w:tc>
        <w:tc>
          <w:tcPr>
            <w:tcW w:w="1980" w:type="dxa"/>
            <w:tcBorders>
              <w:top w:val="single" w:sz="4" w:space="0" w:color="auto"/>
            </w:tcBorders>
          </w:tcPr>
          <w:p w14:paraId="469B8B17" w14:textId="77777777" w:rsidR="00FD7E85" w:rsidRDefault="00F456FA">
            <w:pPr>
              <w:jc w:val="both"/>
              <w:rPr>
                <w:rFonts w:ascii="Arial" w:hAnsi="Arial" w:cs="Arial"/>
                <w:lang w:eastAsia="en-GB"/>
              </w:rPr>
            </w:pPr>
            <w:r>
              <w:rPr>
                <w:rFonts w:ascii="Arial" w:hAnsi="Arial" w:cs="Arial"/>
                <w:lang w:eastAsia="en-GB"/>
              </w:rPr>
              <w:t>69.83</w:t>
            </w:r>
          </w:p>
        </w:tc>
      </w:tr>
      <w:tr w:rsidR="00FD7E85" w14:paraId="30F6879F" w14:textId="77777777">
        <w:tc>
          <w:tcPr>
            <w:tcW w:w="0" w:type="auto"/>
          </w:tcPr>
          <w:p w14:paraId="55073A58" w14:textId="77777777" w:rsidR="00FD7E85" w:rsidRDefault="00FD7E85">
            <w:pPr>
              <w:jc w:val="both"/>
              <w:rPr>
                <w:rFonts w:ascii="Arial" w:hAnsi="Arial" w:cs="Arial"/>
                <w:b/>
                <w:bCs/>
                <w:lang w:eastAsia="en-GB"/>
              </w:rPr>
            </w:pPr>
          </w:p>
        </w:tc>
        <w:tc>
          <w:tcPr>
            <w:tcW w:w="3071" w:type="dxa"/>
          </w:tcPr>
          <w:p w14:paraId="115630DE" w14:textId="77777777" w:rsidR="00FD7E85" w:rsidRDefault="00F456FA">
            <w:pPr>
              <w:jc w:val="both"/>
              <w:rPr>
                <w:rFonts w:ascii="Arial" w:hAnsi="Arial" w:cs="Arial"/>
                <w:lang w:eastAsia="en-GB"/>
              </w:rPr>
            </w:pPr>
            <w:r>
              <w:rPr>
                <w:rFonts w:ascii="Arial" w:hAnsi="Arial" w:cs="Arial"/>
                <w:lang w:eastAsia="en-GB"/>
              </w:rPr>
              <w:t>26–35</w:t>
            </w:r>
          </w:p>
        </w:tc>
        <w:tc>
          <w:tcPr>
            <w:tcW w:w="1800" w:type="dxa"/>
          </w:tcPr>
          <w:p w14:paraId="329D6188" w14:textId="77777777" w:rsidR="00FD7E85" w:rsidRDefault="00F456FA">
            <w:pPr>
              <w:jc w:val="both"/>
              <w:rPr>
                <w:rFonts w:ascii="Arial" w:hAnsi="Arial" w:cs="Arial"/>
                <w:lang w:eastAsia="en-GB"/>
              </w:rPr>
            </w:pPr>
            <w:r>
              <w:rPr>
                <w:rFonts w:ascii="Arial" w:hAnsi="Arial" w:cs="Arial"/>
                <w:lang w:eastAsia="en-GB"/>
              </w:rPr>
              <w:t>18</w:t>
            </w:r>
          </w:p>
        </w:tc>
        <w:tc>
          <w:tcPr>
            <w:tcW w:w="1980" w:type="dxa"/>
          </w:tcPr>
          <w:p w14:paraId="5AB370AD" w14:textId="77777777" w:rsidR="00FD7E85" w:rsidRDefault="00F456FA">
            <w:pPr>
              <w:jc w:val="both"/>
              <w:rPr>
                <w:rFonts w:ascii="Arial" w:hAnsi="Arial" w:cs="Arial"/>
                <w:lang w:eastAsia="en-GB"/>
              </w:rPr>
            </w:pPr>
            <w:r>
              <w:rPr>
                <w:rFonts w:ascii="Arial" w:hAnsi="Arial" w:cs="Arial"/>
                <w:lang w:eastAsia="en-GB"/>
              </w:rPr>
              <w:t>15.52</w:t>
            </w:r>
          </w:p>
        </w:tc>
      </w:tr>
      <w:tr w:rsidR="00FD7E85" w14:paraId="64DE90B0" w14:textId="77777777">
        <w:tc>
          <w:tcPr>
            <w:tcW w:w="0" w:type="auto"/>
          </w:tcPr>
          <w:p w14:paraId="7CBDB261" w14:textId="77777777" w:rsidR="00FD7E85" w:rsidRDefault="00FD7E85">
            <w:pPr>
              <w:jc w:val="both"/>
              <w:rPr>
                <w:rFonts w:ascii="Arial" w:hAnsi="Arial" w:cs="Arial"/>
                <w:b/>
                <w:bCs/>
                <w:lang w:eastAsia="en-GB"/>
              </w:rPr>
            </w:pPr>
          </w:p>
        </w:tc>
        <w:tc>
          <w:tcPr>
            <w:tcW w:w="3071" w:type="dxa"/>
          </w:tcPr>
          <w:p w14:paraId="1471285B" w14:textId="77777777" w:rsidR="00FD7E85" w:rsidRDefault="00F456FA">
            <w:pPr>
              <w:jc w:val="both"/>
              <w:rPr>
                <w:rFonts w:ascii="Arial" w:hAnsi="Arial" w:cs="Arial"/>
                <w:lang w:eastAsia="en-GB"/>
              </w:rPr>
            </w:pPr>
            <w:r>
              <w:rPr>
                <w:rFonts w:ascii="Arial" w:hAnsi="Arial" w:cs="Arial"/>
                <w:lang w:eastAsia="en-GB"/>
              </w:rPr>
              <w:t>≥36</w:t>
            </w:r>
          </w:p>
        </w:tc>
        <w:tc>
          <w:tcPr>
            <w:tcW w:w="1800" w:type="dxa"/>
          </w:tcPr>
          <w:p w14:paraId="5425DAF0" w14:textId="77777777" w:rsidR="00FD7E85" w:rsidRDefault="00F456FA">
            <w:pPr>
              <w:jc w:val="both"/>
              <w:rPr>
                <w:rFonts w:ascii="Arial" w:hAnsi="Arial" w:cs="Arial"/>
                <w:lang w:eastAsia="en-GB"/>
              </w:rPr>
            </w:pPr>
            <w:r>
              <w:rPr>
                <w:rFonts w:ascii="Arial" w:hAnsi="Arial" w:cs="Arial"/>
                <w:lang w:eastAsia="en-GB"/>
              </w:rPr>
              <w:t>17</w:t>
            </w:r>
          </w:p>
        </w:tc>
        <w:tc>
          <w:tcPr>
            <w:tcW w:w="1980" w:type="dxa"/>
          </w:tcPr>
          <w:p w14:paraId="4B4D05A6" w14:textId="77777777" w:rsidR="00FD7E85" w:rsidRDefault="00F456FA">
            <w:pPr>
              <w:jc w:val="both"/>
              <w:rPr>
                <w:rFonts w:ascii="Arial" w:hAnsi="Arial" w:cs="Arial"/>
                <w:lang w:eastAsia="en-GB"/>
              </w:rPr>
            </w:pPr>
            <w:r>
              <w:rPr>
                <w:rFonts w:ascii="Arial" w:hAnsi="Arial" w:cs="Arial"/>
                <w:lang w:eastAsia="en-GB"/>
              </w:rPr>
              <w:t>14.66</w:t>
            </w:r>
          </w:p>
        </w:tc>
      </w:tr>
      <w:tr w:rsidR="00FD7E85" w14:paraId="13474957" w14:textId="77777777">
        <w:tc>
          <w:tcPr>
            <w:tcW w:w="0" w:type="auto"/>
          </w:tcPr>
          <w:p w14:paraId="4961928B" w14:textId="77777777" w:rsidR="00FD7E85" w:rsidRDefault="00FD7E85">
            <w:pPr>
              <w:jc w:val="both"/>
              <w:rPr>
                <w:rFonts w:ascii="Arial" w:hAnsi="Arial" w:cs="Arial"/>
                <w:b/>
                <w:bCs/>
                <w:lang w:eastAsia="en-GB"/>
              </w:rPr>
            </w:pPr>
          </w:p>
        </w:tc>
        <w:tc>
          <w:tcPr>
            <w:tcW w:w="3071" w:type="dxa"/>
          </w:tcPr>
          <w:p w14:paraId="3F3FB9D6" w14:textId="77777777" w:rsidR="00FD7E85" w:rsidRDefault="00F456FA">
            <w:pPr>
              <w:jc w:val="both"/>
              <w:rPr>
                <w:rFonts w:ascii="Arial" w:hAnsi="Arial" w:cs="Arial"/>
                <w:lang w:eastAsia="en-GB"/>
              </w:rPr>
            </w:pPr>
            <w:r>
              <w:rPr>
                <w:rFonts w:ascii="Arial" w:hAnsi="Arial" w:cs="Arial"/>
                <w:lang w:eastAsia="en-GB"/>
              </w:rPr>
              <w:t>Mean ± SD</w:t>
            </w:r>
          </w:p>
        </w:tc>
        <w:tc>
          <w:tcPr>
            <w:tcW w:w="1800" w:type="dxa"/>
          </w:tcPr>
          <w:p w14:paraId="0AC90A55" w14:textId="77777777" w:rsidR="00FD7E85" w:rsidRDefault="00F456FA">
            <w:pPr>
              <w:jc w:val="both"/>
              <w:rPr>
                <w:rFonts w:ascii="Arial" w:hAnsi="Arial" w:cs="Arial"/>
                <w:lang w:eastAsia="en-GB"/>
              </w:rPr>
            </w:pPr>
            <w:r>
              <w:rPr>
                <w:rFonts w:ascii="Arial" w:hAnsi="Arial" w:cs="Arial"/>
                <w:lang w:eastAsia="en-GB"/>
              </w:rPr>
              <w:t>—</w:t>
            </w:r>
          </w:p>
        </w:tc>
        <w:tc>
          <w:tcPr>
            <w:tcW w:w="1980" w:type="dxa"/>
          </w:tcPr>
          <w:p w14:paraId="5D9E0C36" w14:textId="77777777" w:rsidR="00FD7E85" w:rsidRDefault="00F456FA">
            <w:pPr>
              <w:jc w:val="both"/>
              <w:rPr>
                <w:rFonts w:ascii="Arial" w:hAnsi="Arial" w:cs="Arial"/>
                <w:lang w:eastAsia="en-GB"/>
              </w:rPr>
            </w:pPr>
            <w:r>
              <w:rPr>
                <w:rFonts w:ascii="Arial" w:hAnsi="Arial" w:cs="Arial"/>
                <w:lang w:eastAsia="en-GB"/>
              </w:rPr>
              <w:t>26.74± 7.29</w:t>
            </w:r>
          </w:p>
        </w:tc>
      </w:tr>
      <w:tr w:rsidR="00FD7E85" w14:paraId="5FD11656" w14:textId="77777777">
        <w:tc>
          <w:tcPr>
            <w:tcW w:w="0" w:type="auto"/>
          </w:tcPr>
          <w:p w14:paraId="30D53A4A" w14:textId="77777777" w:rsidR="00FD7E85" w:rsidRDefault="00F456FA">
            <w:pPr>
              <w:jc w:val="both"/>
              <w:rPr>
                <w:rFonts w:ascii="Arial" w:hAnsi="Arial" w:cs="Arial"/>
                <w:b/>
                <w:bCs/>
                <w:lang w:eastAsia="en-GB"/>
              </w:rPr>
            </w:pPr>
            <w:r>
              <w:rPr>
                <w:rFonts w:ascii="Arial" w:hAnsi="Arial" w:cs="Arial"/>
                <w:b/>
                <w:bCs/>
                <w:lang w:eastAsia="en-GB"/>
              </w:rPr>
              <w:t>Education Level</w:t>
            </w:r>
          </w:p>
        </w:tc>
        <w:tc>
          <w:tcPr>
            <w:tcW w:w="3071" w:type="dxa"/>
          </w:tcPr>
          <w:p w14:paraId="7F29FEBF" w14:textId="77777777" w:rsidR="00FD7E85" w:rsidRDefault="00F456FA">
            <w:pPr>
              <w:jc w:val="both"/>
              <w:rPr>
                <w:rFonts w:ascii="Arial" w:hAnsi="Arial" w:cs="Arial"/>
                <w:lang w:eastAsia="en-GB"/>
              </w:rPr>
            </w:pPr>
            <w:r>
              <w:rPr>
                <w:rFonts w:ascii="Arial" w:hAnsi="Arial" w:cs="Arial"/>
                <w:lang w:eastAsia="en-GB"/>
              </w:rPr>
              <w:t>Primary</w:t>
            </w:r>
          </w:p>
        </w:tc>
        <w:tc>
          <w:tcPr>
            <w:tcW w:w="1800" w:type="dxa"/>
          </w:tcPr>
          <w:p w14:paraId="091EEBBD" w14:textId="77777777" w:rsidR="00FD7E85" w:rsidRDefault="00F456FA">
            <w:pPr>
              <w:jc w:val="both"/>
              <w:rPr>
                <w:rFonts w:ascii="Arial" w:hAnsi="Arial" w:cs="Arial"/>
                <w:lang w:eastAsia="en-GB"/>
              </w:rPr>
            </w:pPr>
            <w:r>
              <w:rPr>
                <w:rFonts w:ascii="Arial" w:hAnsi="Arial" w:cs="Arial"/>
                <w:lang w:eastAsia="en-GB"/>
              </w:rPr>
              <w:t>50</w:t>
            </w:r>
          </w:p>
        </w:tc>
        <w:tc>
          <w:tcPr>
            <w:tcW w:w="1980" w:type="dxa"/>
          </w:tcPr>
          <w:p w14:paraId="02465900" w14:textId="77777777" w:rsidR="00FD7E85" w:rsidRDefault="00F456FA">
            <w:pPr>
              <w:jc w:val="both"/>
              <w:rPr>
                <w:rFonts w:ascii="Arial" w:hAnsi="Arial" w:cs="Arial"/>
                <w:lang w:eastAsia="en-GB"/>
              </w:rPr>
            </w:pPr>
            <w:r>
              <w:rPr>
                <w:rFonts w:ascii="Arial" w:hAnsi="Arial" w:cs="Arial"/>
                <w:lang w:eastAsia="en-GB"/>
              </w:rPr>
              <w:t>43.10</w:t>
            </w:r>
          </w:p>
        </w:tc>
      </w:tr>
      <w:tr w:rsidR="00FD7E85" w14:paraId="05B757C9" w14:textId="77777777">
        <w:tc>
          <w:tcPr>
            <w:tcW w:w="0" w:type="auto"/>
          </w:tcPr>
          <w:p w14:paraId="7352CA11" w14:textId="77777777" w:rsidR="00FD7E85" w:rsidRDefault="00FD7E85">
            <w:pPr>
              <w:jc w:val="both"/>
              <w:rPr>
                <w:rFonts w:ascii="Arial" w:hAnsi="Arial" w:cs="Arial"/>
                <w:b/>
                <w:bCs/>
                <w:lang w:eastAsia="en-GB"/>
              </w:rPr>
            </w:pPr>
          </w:p>
        </w:tc>
        <w:tc>
          <w:tcPr>
            <w:tcW w:w="3071" w:type="dxa"/>
          </w:tcPr>
          <w:p w14:paraId="4A1EE370" w14:textId="77777777" w:rsidR="00FD7E85" w:rsidRDefault="00F456FA">
            <w:pPr>
              <w:jc w:val="both"/>
              <w:rPr>
                <w:rFonts w:ascii="Arial" w:hAnsi="Arial" w:cs="Arial"/>
                <w:lang w:eastAsia="en-GB"/>
              </w:rPr>
            </w:pPr>
            <w:r>
              <w:rPr>
                <w:rFonts w:ascii="Arial" w:hAnsi="Arial" w:cs="Arial"/>
                <w:lang w:eastAsia="en-GB"/>
              </w:rPr>
              <w:t>Secondary</w:t>
            </w:r>
          </w:p>
        </w:tc>
        <w:tc>
          <w:tcPr>
            <w:tcW w:w="1800" w:type="dxa"/>
          </w:tcPr>
          <w:p w14:paraId="1E0823DE" w14:textId="77777777" w:rsidR="00FD7E85" w:rsidRDefault="00F456FA">
            <w:pPr>
              <w:jc w:val="both"/>
              <w:rPr>
                <w:rFonts w:ascii="Arial" w:hAnsi="Arial" w:cs="Arial"/>
                <w:lang w:eastAsia="en-GB"/>
              </w:rPr>
            </w:pPr>
            <w:r>
              <w:rPr>
                <w:rFonts w:ascii="Arial" w:hAnsi="Arial" w:cs="Arial"/>
                <w:lang w:eastAsia="en-GB"/>
              </w:rPr>
              <w:t>30</w:t>
            </w:r>
          </w:p>
        </w:tc>
        <w:tc>
          <w:tcPr>
            <w:tcW w:w="1980" w:type="dxa"/>
          </w:tcPr>
          <w:p w14:paraId="3954CFDE" w14:textId="77777777" w:rsidR="00FD7E85" w:rsidRDefault="00F456FA">
            <w:pPr>
              <w:jc w:val="both"/>
              <w:rPr>
                <w:rFonts w:ascii="Arial" w:hAnsi="Arial" w:cs="Arial"/>
                <w:lang w:eastAsia="en-GB"/>
              </w:rPr>
            </w:pPr>
            <w:r>
              <w:rPr>
                <w:rFonts w:ascii="Arial" w:hAnsi="Arial" w:cs="Arial"/>
                <w:lang w:eastAsia="en-GB"/>
              </w:rPr>
              <w:t>25.86</w:t>
            </w:r>
          </w:p>
        </w:tc>
      </w:tr>
      <w:tr w:rsidR="00FD7E85" w14:paraId="296E25DF" w14:textId="77777777">
        <w:tc>
          <w:tcPr>
            <w:tcW w:w="0" w:type="auto"/>
          </w:tcPr>
          <w:p w14:paraId="65AF6F37" w14:textId="77777777" w:rsidR="00FD7E85" w:rsidRDefault="00FD7E85">
            <w:pPr>
              <w:jc w:val="both"/>
              <w:rPr>
                <w:rFonts w:ascii="Arial" w:hAnsi="Arial" w:cs="Arial"/>
                <w:b/>
                <w:bCs/>
                <w:lang w:eastAsia="en-GB"/>
              </w:rPr>
            </w:pPr>
          </w:p>
        </w:tc>
        <w:tc>
          <w:tcPr>
            <w:tcW w:w="3071" w:type="dxa"/>
          </w:tcPr>
          <w:p w14:paraId="164A8FD6" w14:textId="77777777" w:rsidR="00FD7E85" w:rsidRDefault="00F456FA">
            <w:pPr>
              <w:jc w:val="both"/>
              <w:rPr>
                <w:rFonts w:ascii="Arial" w:hAnsi="Arial" w:cs="Arial"/>
                <w:lang w:eastAsia="en-GB"/>
              </w:rPr>
            </w:pPr>
            <w:r>
              <w:rPr>
                <w:rFonts w:ascii="Arial" w:hAnsi="Arial" w:cs="Arial"/>
                <w:lang w:eastAsia="en-GB"/>
              </w:rPr>
              <w:t>Higher</w:t>
            </w:r>
          </w:p>
        </w:tc>
        <w:tc>
          <w:tcPr>
            <w:tcW w:w="1800" w:type="dxa"/>
          </w:tcPr>
          <w:p w14:paraId="457CCC13" w14:textId="77777777" w:rsidR="00FD7E85" w:rsidRDefault="00F456FA">
            <w:pPr>
              <w:jc w:val="both"/>
              <w:rPr>
                <w:rFonts w:ascii="Arial" w:hAnsi="Arial" w:cs="Arial"/>
                <w:lang w:eastAsia="en-GB"/>
              </w:rPr>
            </w:pPr>
            <w:r>
              <w:rPr>
                <w:rFonts w:ascii="Arial" w:hAnsi="Arial" w:cs="Arial"/>
                <w:lang w:eastAsia="en-GB"/>
              </w:rPr>
              <w:t>36</w:t>
            </w:r>
          </w:p>
        </w:tc>
        <w:tc>
          <w:tcPr>
            <w:tcW w:w="1980" w:type="dxa"/>
          </w:tcPr>
          <w:p w14:paraId="5FADCBBE" w14:textId="77777777" w:rsidR="00FD7E85" w:rsidRDefault="00F456FA">
            <w:pPr>
              <w:jc w:val="both"/>
              <w:rPr>
                <w:rFonts w:ascii="Arial" w:hAnsi="Arial" w:cs="Arial"/>
                <w:lang w:eastAsia="en-GB"/>
              </w:rPr>
            </w:pPr>
            <w:r>
              <w:rPr>
                <w:rFonts w:ascii="Arial" w:hAnsi="Arial" w:cs="Arial"/>
                <w:lang w:eastAsia="en-GB"/>
              </w:rPr>
              <w:t>31.03</w:t>
            </w:r>
          </w:p>
        </w:tc>
      </w:tr>
      <w:tr w:rsidR="00FD7E85" w14:paraId="54B10AEB" w14:textId="77777777">
        <w:tc>
          <w:tcPr>
            <w:tcW w:w="0" w:type="auto"/>
          </w:tcPr>
          <w:p w14:paraId="01AF9A6E" w14:textId="77777777" w:rsidR="00FD7E85" w:rsidRDefault="00F456FA">
            <w:pPr>
              <w:jc w:val="both"/>
              <w:rPr>
                <w:rFonts w:ascii="Arial" w:hAnsi="Arial" w:cs="Arial"/>
                <w:b/>
                <w:bCs/>
                <w:lang w:eastAsia="en-GB"/>
              </w:rPr>
            </w:pPr>
            <w:r>
              <w:rPr>
                <w:rFonts w:ascii="Arial" w:hAnsi="Arial" w:cs="Arial"/>
                <w:b/>
                <w:bCs/>
                <w:lang w:eastAsia="en-GB"/>
              </w:rPr>
              <w:t>Occupation</w:t>
            </w:r>
          </w:p>
        </w:tc>
        <w:tc>
          <w:tcPr>
            <w:tcW w:w="3071" w:type="dxa"/>
          </w:tcPr>
          <w:p w14:paraId="48C42D33" w14:textId="77777777" w:rsidR="00FD7E85" w:rsidRDefault="00F456FA">
            <w:pPr>
              <w:jc w:val="both"/>
              <w:rPr>
                <w:rFonts w:ascii="Arial" w:hAnsi="Arial" w:cs="Arial"/>
                <w:lang w:eastAsia="en-GB"/>
              </w:rPr>
            </w:pPr>
            <w:r>
              <w:rPr>
                <w:rFonts w:ascii="Arial" w:hAnsi="Arial" w:cs="Arial"/>
                <w:lang w:eastAsia="en-GB"/>
              </w:rPr>
              <w:t>Not Employed</w:t>
            </w:r>
          </w:p>
        </w:tc>
        <w:tc>
          <w:tcPr>
            <w:tcW w:w="1800" w:type="dxa"/>
          </w:tcPr>
          <w:p w14:paraId="2906E30F" w14:textId="77777777" w:rsidR="00FD7E85" w:rsidRDefault="00F456FA">
            <w:pPr>
              <w:jc w:val="both"/>
              <w:rPr>
                <w:rFonts w:ascii="Arial" w:hAnsi="Arial" w:cs="Arial"/>
                <w:lang w:eastAsia="en-GB"/>
              </w:rPr>
            </w:pPr>
            <w:r>
              <w:rPr>
                <w:rFonts w:ascii="Arial" w:hAnsi="Arial" w:cs="Arial"/>
                <w:lang w:eastAsia="en-GB"/>
              </w:rPr>
              <w:t>67</w:t>
            </w:r>
          </w:p>
        </w:tc>
        <w:tc>
          <w:tcPr>
            <w:tcW w:w="1980" w:type="dxa"/>
          </w:tcPr>
          <w:p w14:paraId="084185A7" w14:textId="77777777" w:rsidR="00FD7E85" w:rsidRDefault="00F456FA">
            <w:pPr>
              <w:jc w:val="both"/>
              <w:rPr>
                <w:rFonts w:ascii="Arial" w:hAnsi="Arial" w:cs="Arial"/>
                <w:lang w:eastAsia="en-GB"/>
              </w:rPr>
            </w:pPr>
            <w:r>
              <w:rPr>
                <w:rFonts w:ascii="Arial" w:hAnsi="Arial" w:cs="Arial"/>
                <w:lang w:eastAsia="en-GB"/>
              </w:rPr>
              <w:t>57.76</w:t>
            </w:r>
          </w:p>
        </w:tc>
      </w:tr>
      <w:tr w:rsidR="00FD7E85" w14:paraId="6865A989" w14:textId="77777777">
        <w:tc>
          <w:tcPr>
            <w:tcW w:w="0" w:type="auto"/>
          </w:tcPr>
          <w:p w14:paraId="26FCBC81" w14:textId="77777777" w:rsidR="00FD7E85" w:rsidRDefault="00FD7E85">
            <w:pPr>
              <w:jc w:val="both"/>
              <w:rPr>
                <w:rFonts w:ascii="Arial" w:hAnsi="Arial" w:cs="Arial"/>
                <w:b/>
                <w:bCs/>
                <w:lang w:eastAsia="en-GB"/>
              </w:rPr>
            </w:pPr>
          </w:p>
        </w:tc>
        <w:tc>
          <w:tcPr>
            <w:tcW w:w="3071" w:type="dxa"/>
          </w:tcPr>
          <w:p w14:paraId="48D86041" w14:textId="77777777" w:rsidR="00FD7E85" w:rsidRDefault="00F456FA">
            <w:pPr>
              <w:jc w:val="both"/>
              <w:rPr>
                <w:rFonts w:ascii="Arial" w:hAnsi="Arial" w:cs="Arial"/>
                <w:lang w:eastAsia="en-GB"/>
              </w:rPr>
            </w:pPr>
            <w:r>
              <w:rPr>
                <w:rFonts w:ascii="Arial" w:hAnsi="Arial" w:cs="Arial"/>
                <w:lang w:eastAsia="en-GB"/>
              </w:rPr>
              <w:t>Employed</w:t>
            </w:r>
          </w:p>
        </w:tc>
        <w:tc>
          <w:tcPr>
            <w:tcW w:w="1800" w:type="dxa"/>
          </w:tcPr>
          <w:p w14:paraId="2FF16AB7" w14:textId="77777777" w:rsidR="00FD7E85" w:rsidRDefault="00F456FA">
            <w:pPr>
              <w:jc w:val="both"/>
              <w:rPr>
                <w:rFonts w:ascii="Arial" w:hAnsi="Arial" w:cs="Arial"/>
                <w:lang w:eastAsia="en-GB"/>
              </w:rPr>
            </w:pPr>
            <w:r>
              <w:rPr>
                <w:rFonts w:ascii="Arial" w:hAnsi="Arial" w:cs="Arial"/>
                <w:lang w:eastAsia="en-GB"/>
              </w:rPr>
              <w:t>49</w:t>
            </w:r>
          </w:p>
        </w:tc>
        <w:tc>
          <w:tcPr>
            <w:tcW w:w="1980" w:type="dxa"/>
          </w:tcPr>
          <w:p w14:paraId="5B97C4CC" w14:textId="77777777" w:rsidR="00FD7E85" w:rsidRDefault="00F456FA">
            <w:pPr>
              <w:jc w:val="both"/>
              <w:rPr>
                <w:rFonts w:ascii="Arial" w:hAnsi="Arial" w:cs="Arial"/>
                <w:lang w:eastAsia="en-GB"/>
              </w:rPr>
            </w:pPr>
            <w:r>
              <w:rPr>
                <w:rFonts w:ascii="Arial" w:hAnsi="Arial" w:cs="Arial"/>
                <w:lang w:eastAsia="en-GB"/>
              </w:rPr>
              <w:t>42.24</w:t>
            </w:r>
          </w:p>
        </w:tc>
      </w:tr>
      <w:tr w:rsidR="00FD7E85" w14:paraId="4232F0FE" w14:textId="77777777">
        <w:tc>
          <w:tcPr>
            <w:tcW w:w="0" w:type="auto"/>
          </w:tcPr>
          <w:p w14:paraId="1F25EE66" w14:textId="77777777" w:rsidR="00FD7E85" w:rsidRDefault="00F456FA">
            <w:pPr>
              <w:jc w:val="both"/>
              <w:rPr>
                <w:rFonts w:ascii="Arial" w:hAnsi="Arial" w:cs="Arial"/>
                <w:b/>
                <w:bCs/>
                <w:lang w:eastAsia="en-GB"/>
              </w:rPr>
            </w:pPr>
            <w:r>
              <w:rPr>
                <w:rFonts w:ascii="Arial" w:hAnsi="Arial" w:cs="Arial"/>
                <w:b/>
                <w:bCs/>
                <w:lang w:eastAsia="en-GB"/>
              </w:rPr>
              <w:t>ANC Facility Level</w:t>
            </w:r>
          </w:p>
        </w:tc>
        <w:tc>
          <w:tcPr>
            <w:tcW w:w="3071" w:type="dxa"/>
          </w:tcPr>
          <w:p w14:paraId="0D377BAD" w14:textId="77777777" w:rsidR="00FD7E85" w:rsidRDefault="00F456FA">
            <w:pPr>
              <w:jc w:val="both"/>
              <w:rPr>
                <w:rFonts w:ascii="Arial" w:hAnsi="Arial" w:cs="Arial"/>
                <w:lang w:eastAsia="en-GB"/>
              </w:rPr>
            </w:pPr>
            <w:r>
              <w:rPr>
                <w:rFonts w:ascii="Arial" w:hAnsi="Arial" w:cs="Arial"/>
                <w:lang w:eastAsia="en-GB"/>
              </w:rPr>
              <w:t>Primary</w:t>
            </w:r>
          </w:p>
        </w:tc>
        <w:tc>
          <w:tcPr>
            <w:tcW w:w="1800" w:type="dxa"/>
          </w:tcPr>
          <w:p w14:paraId="24904D4D" w14:textId="77777777" w:rsidR="00FD7E85" w:rsidRDefault="00F456FA">
            <w:pPr>
              <w:jc w:val="both"/>
              <w:rPr>
                <w:rFonts w:ascii="Arial" w:hAnsi="Arial" w:cs="Arial"/>
                <w:lang w:eastAsia="en-GB"/>
              </w:rPr>
            </w:pPr>
            <w:r>
              <w:rPr>
                <w:rFonts w:ascii="Arial" w:hAnsi="Arial" w:cs="Arial"/>
                <w:lang w:eastAsia="en-GB"/>
              </w:rPr>
              <w:t>102</w:t>
            </w:r>
          </w:p>
        </w:tc>
        <w:tc>
          <w:tcPr>
            <w:tcW w:w="1980" w:type="dxa"/>
          </w:tcPr>
          <w:p w14:paraId="4EF25851" w14:textId="77777777" w:rsidR="00FD7E85" w:rsidRDefault="00F456FA">
            <w:pPr>
              <w:jc w:val="both"/>
              <w:rPr>
                <w:rFonts w:ascii="Arial" w:hAnsi="Arial" w:cs="Arial"/>
                <w:lang w:eastAsia="en-GB"/>
              </w:rPr>
            </w:pPr>
            <w:r>
              <w:rPr>
                <w:rFonts w:ascii="Arial" w:hAnsi="Arial" w:cs="Arial"/>
                <w:lang w:eastAsia="en-GB"/>
              </w:rPr>
              <w:t>87.93</w:t>
            </w:r>
          </w:p>
        </w:tc>
      </w:tr>
      <w:tr w:rsidR="00FD7E85" w14:paraId="6C1A0F4A" w14:textId="77777777">
        <w:tc>
          <w:tcPr>
            <w:tcW w:w="0" w:type="auto"/>
          </w:tcPr>
          <w:p w14:paraId="37542ABF" w14:textId="77777777" w:rsidR="00FD7E85" w:rsidRDefault="00FD7E85">
            <w:pPr>
              <w:jc w:val="both"/>
              <w:rPr>
                <w:rFonts w:ascii="Arial" w:hAnsi="Arial" w:cs="Arial"/>
                <w:b/>
                <w:bCs/>
                <w:lang w:eastAsia="en-GB"/>
              </w:rPr>
            </w:pPr>
          </w:p>
        </w:tc>
        <w:tc>
          <w:tcPr>
            <w:tcW w:w="3071" w:type="dxa"/>
          </w:tcPr>
          <w:p w14:paraId="32F8BF7F" w14:textId="77777777" w:rsidR="00FD7E85" w:rsidRDefault="00F456FA">
            <w:pPr>
              <w:jc w:val="both"/>
              <w:rPr>
                <w:rFonts w:ascii="Arial" w:hAnsi="Arial" w:cs="Arial"/>
                <w:lang w:eastAsia="en-GB"/>
              </w:rPr>
            </w:pPr>
            <w:r>
              <w:rPr>
                <w:rFonts w:ascii="Arial" w:hAnsi="Arial" w:cs="Arial"/>
                <w:lang w:eastAsia="en-GB"/>
              </w:rPr>
              <w:t>Tertiary</w:t>
            </w:r>
          </w:p>
        </w:tc>
        <w:tc>
          <w:tcPr>
            <w:tcW w:w="1800" w:type="dxa"/>
          </w:tcPr>
          <w:p w14:paraId="0BD74A60" w14:textId="77777777" w:rsidR="00FD7E85" w:rsidRDefault="00F456FA">
            <w:pPr>
              <w:jc w:val="both"/>
              <w:rPr>
                <w:rFonts w:ascii="Arial" w:hAnsi="Arial" w:cs="Arial"/>
                <w:lang w:eastAsia="en-GB"/>
              </w:rPr>
            </w:pPr>
            <w:r>
              <w:rPr>
                <w:rFonts w:ascii="Arial" w:hAnsi="Arial" w:cs="Arial"/>
                <w:lang w:eastAsia="en-GB"/>
              </w:rPr>
              <w:t>14</w:t>
            </w:r>
          </w:p>
        </w:tc>
        <w:tc>
          <w:tcPr>
            <w:tcW w:w="1980" w:type="dxa"/>
          </w:tcPr>
          <w:p w14:paraId="5D4CF32E" w14:textId="77777777" w:rsidR="00FD7E85" w:rsidRDefault="00F456FA">
            <w:pPr>
              <w:jc w:val="both"/>
              <w:rPr>
                <w:rFonts w:ascii="Arial" w:hAnsi="Arial" w:cs="Arial"/>
                <w:lang w:eastAsia="en-GB"/>
              </w:rPr>
            </w:pPr>
            <w:r>
              <w:rPr>
                <w:rFonts w:ascii="Arial" w:hAnsi="Arial" w:cs="Arial"/>
                <w:lang w:eastAsia="en-GB"/>
              </w:rPr>
              <w:t>12.07</w:t>
            </w:r>
          </w:p>
        </w:tc>
      </w:tr>
      <w:tr w:rsidR="00FD7E85" w14:paraId="644A9E60" w14:textId="77777777">
        <w:tc>
          <w:tcPr>
            <w:tcW w:w="0" w:type="auto"/>
          </w:tcPr>
          <w:p w14:paraId="3EC97315" w14:textId="77777777" w:rsidR="00FD7E85" w:rsidRDefault="00F456FA">
            <w:pPr>
              <w:jc w:val="both"/>
              <w:rPr>
                <w:rFonts w:ascii="Arial" w:hAnsi="Arial" w:cs="Arial"/>
                <w:b/>
                <w:bCs/>
                <w:lang w:eastAsia="en-GB"/>
              </w:rPr>
            </w:pPr>
            <w:r>
              <w:rPr>
                <w:rFonts w:ascii="Arial" w:hAnsi="Arial" w:cs="Arial"/>
                <w:b/>
                <w:bCs/>
                <w:lang w:eastAsia="en-GB"/>
              </w:rPr>
              <w:t>Delivery Facility Level</w:t>
            </w:r>
          </w:p>
        </w:tc>
        <w:tc>
          <w:tcPr>
            <w:tcW w:w="3071" w:type="dxa"/>
          </w:tcPr>
          <w:p w14:paraId="5150C75E" w14:textId="77777777" w:rsidR="00FD7E85" w:rsidRDefault="00F456FA">
            <w:pPr>
              <w:jc w:val="both"/>
              <w:rPr>
                <w:rFonts w:ascii="Arial" w:hAnsi="Arial" w:cs="Arial"/>
                <w:lang w:eastAsia="en-GB"/>
              </w:rPr>
            </w:pPr>
            <w:r>
              <w:rPr>
                <w:rFonts w:ascii="Arial" w:hAnsi="Arial" w:cs="Arial"/>
                <w:lang w:eastAsia="en-GB"/>
              </w:rPr>
              <w:t>Primary</w:t>
            </w:r>
          </w:p>
        </w:tc>
        <w:tc>
          <w:tcPr>
            <w:tcW w:w="1800" w:type="dxa"/>
          </w:tcPr>
          <w:p w14:paraId="22FD39B7" w14:textId="77777777" w:rsidR="00FD7E85" w:rsidRDefault="00F456FA">
            <w:pPr>
              <w:jc w:val="both"/>
              <w:rPr>
                <w:rFonts w:ascii="Arial" w:hAnsi="Arial" w:cs="Arial"/>
                <w:lang w:eastAsia="en-GB"/>
              </w:rPr>
            </w:pPr>
            <w:r>
              <w:rPr>
                <w:rFonts w:ascii="Arial" w:hAnsi="Arial" w:cs="Arial"/>
                <w:lang w:eastAsia="en-GB"/>
              </w:rPr>
              <w:t>64</w:t>
            </w:r>
          </w:p>
        </w:tc>
        <w:tc>
          <w:tcPr>
            <w:tcW w:w="1980" w:type="dxa"/>
          </w:tcPr>
          <w:p w14:paraId="679BEFC7" w14:textId="77777777" w:rsidR="00FD7E85" w:rsidRDefault="00F456FA">
            <w:pPr>
              <w:jc w:val="both"/>
              <w:rPr>
                <w:rFonts w:ascii="Arial" w:hAnsi="Arial" w:cs="Arial"/>
                <w:lang w:eastAsia="en-GB"/>
              </w:rPr>
            </w:pPr>
            <w:r>
              <w:rPr>
                <w:rFonts w:ascii="Arial" w:hAnsi="Arial" w:cs="Arial"/>
                <w:lang w:eastAsia="en-GB"/>
              </w:rPr>
              <w:t>55.17</w:t>
            </w:r>
          </w:p>
        </w:tc>
      </w:tr>
      <w:tr w:rsidR="00FD7E85" w14:paraId="655F9B77" w14:textId="77777777">
        <w:tc>
          <w:tcPr>
            <w:tcW w:w="0" w:type="auto"/>
          </w:tcPr>
          <w:p w14:paraId="1DAAB719" w14:textId="77777777" w:rsidR="00FD7E85" w:rsidRDefault="00FD7E85">
            <w:pPr>
              <w:jc w:val="both"/>
              <w:rPr>
                <w:rFonts w:ascii="Arial" w:hAnsi="Arial" w:cs="Arial"/>
                <w:b/>
                <w:bCs/>
                <w:lang w:eastAsia="en-GB"/>
              </w:rPr>
            </w:pPr>
          </w:p>
        </w:tc>
        <w:tc>
          <w:tcPr>
            <w:tcW w:w="3071" w:type="dxa"/>
          </w:tcPr>
          <w:p w14:paraId="393EF4FA" w14:textId="77777777" w:rsidR="00FD7E85" w:rsidRDefault="00F456FA">
            <w:pPr>
              <w:jc w:val="both"/>
              <w:rPr>
                <w:rFonts w:ascii="Arial" w:hAnsi="Arial" w:cs="Arial"/>
                <w:lang w:eastAsia="en-GB"/>
              </w:rPr>
            </w:pPr>
            <w:r>
              <w:rPr>
                <w:rFonts w:ascii="Arial" w:hAnsi="Arial" w:cs="Arial"/>
                <w:lang w:eastAsia="en-GB"/>
              </w:rPr>
              <w:t>Tertiary</w:t>
            </w:r>
          </w:p>
        </w:tc>
        <w:tc>
          <w:tcPr>
            <w:tcW w:w="1800" w:type="dxa"/>
          </w:tcPr>
          <w:p w14:paraId="3F48EBD1" w14:textId="77777777" w:rsidR="00FD7E85" w:rsidRDefault="00F456FA">
            <w:pPr>
              <w:jc w:val="both"/>
              <w:rPr>
                <w:rFonts w:ascii="Arial" w:hAnsi="Arial" w:cs="Arial"/>
                <w:lang w:eastAsia="en-GB"/>
              </w:rPr>
            </w:pPr>
            <w:r>
              <w:rPr>
                <w:rFonts w:ascii="Arial" w:hAnsi="Arial" w:cs="Arial"/>
                <w:lang w:eastAsia="en-GB"/>
              </w:rPr>
              <w:t>52</w:t>
            </w:r>
          </w:p>
        </w:tc>
        <w:tc>
          <w:tcPr>
            <w:tcW w:w="1980" w:type="dxa"/>
          </w:tcPr>
          <w:p w14:paraId="6B8B9853" w14:textId="77777777" w:rsidR="00FD7E85" w:rsidRDefault="00F456FA">
            <w:pPr>
              <w:jc w:val="both"/>
              <w:rPr>
                <w:rFonts w:ascii="Arial" w:hAnsi="Arial" w:cs="Arial"/>
                <w:lang w:eastAsia="en-GB"/>
              </w:rPr>
            </w:pPr>
            <w:r>
              <w:rPr>
                <w:rFonts w:ascii="Arial" w:hAnsi="Arial" w:cs="Arial"/>
                <w:lang w:eastAsia="en-GB"/>
              </w:rPr>
              <w:t>44.83</w:t>
            </w:r>
          </w:p>
        </w:tc>
      </w:tr>
      <w:tr w:rsidR="00FD7E85" w14:paraId="615388B6" w14:textId="77777777">
        <w:tc>
          <w:tcPr>
            <w:tcW w:w="0" w:type="auto"/>
          </w:tcPr>
          <w:p w14:paraId="1FDC130D" w14:textId="77777777" w:rsidR="00FD7E85" w:rsidRDefault="00F456FA">
            <w:pPr>
              <w:jc w:val="both"/>
              <w:rPr>
                <w:rFonts w:ascii="Arial" w:hAnsi="Arial" w:cs="Arial"/>
                <w:b/>
                <w:bCs/>
                <w:lang w:eastAsia="en-GB"/>
              </w:rPr>
            </w:pPr>
            <w:r>
              <w:rPr>
                <w:rFonts w:ascii="Arial" w:hAnsi="Arial" w:cs="Arial"/>
                <w:b/>
                <w:bCs/>
                <w:lang w:eastAsia="en-GB"/>
              </w:rPr>
              <w:t>Residence</w:t>
            </w:r>
          </w:p>
        </w:tc>
        <w:tc>
          <w:tcPr>
            <w:tcW w:w="3071" w:type="dxa"/>
          </w:tcPr>
          <w:p w14:paraId="58D3A600" w14:textId="77777777" w:rsidR="00FD7E85" w:rsidRDefault="00F456FA">
            <w:pPr>
              <w:jc w:val="both"/>
              <w:rPr>
                <w:rFonts w:ascii="Arial" w:hAnsi="Arial" w:cs="Arial"/>
                <w:lang w:eastAsia="en-GB"/>
              </w:rPr>
            </w:pPr>
            <w:r>
              <w:rPr>
                <w:rFonts w:ascii="Arial" w:hAnsi="Arial" w:cs="Arial"/>
                <w:lang w:eastAsia="en-GB"/>
              </w:rPr>
              <w:t>Urban</w:t>
            </w:r>
          </w:p>
        </w:tc>
        <w:tc>
          <w:tcPr>
            <w:tcW w:w="1800" w:type="dxa"/>
          </w:tcPr>
          <w:p w14:paraId="4A942464" w14:textId="77777777" w:rsidR="00FD7E85" w:rsidRDefault="00F456FA">
            <w:pPr>
              <w:jc w:val="both"/>
              <w:rPr>
                <w:rFonts w:ascii="Arial" w:hAnsi="Arial" w:cs="Arial"/>
                <w:lang w:eastAsia="en-GB"/>
              </w:rPr>
            </w:pPr>
            <w:r>
              <w:rPr>
                <w:rFonts w:ascii="Arial" w:hAnsi="Arial" w:cs="Arial"/>
                <w:lang w:eastAsia="en-GB"/>
              </w:rPr>
              <w:t>70</w:t>
            </w:r>
          </w:p>
        </w:tc>
        <w:tc>
          <w:tcPr>
            <w:tcW w:w="1980" w:type="dxa"/>
          </w:tcPr>
          <w:p w14:paraId="3044FABA" w14:textId="77777777" w:rsidR="00FD7E85" w:rsidRDefault="00F456FA">
            <w:pPr>
              <w:jc w:val="both"/>
              <w:rPr>
                <w:rFonts w:ascii="Arial" w:hAnsi="Arial" w:cs="Arial"/>
                <w:lang w:eastAsia="en-GB"/>
              </w:rPr>
            </w:pPr>
            <w:r>
              <w:rPr>
                <w:rFonts w:ascii="Arial" w:hAnsi="Arial" w:cs="Arial"/>
                <w:lang w:eastAsia="en-GB"/>
              </w:rPr>
              <w:t>60.34</w:t>
            </w:r>
          </w:p>
        </w:tc>
      </w:tr>
      <w:tr w:rsidR="00FD7E85" w14:paraId="0E11B895" w14:textId="77777777">
        <w:tc>
          <w:tcPr>
            <w:tcW w:w="0" w:type="auto"/>
          </w:tcPr>
          <w:p w14:paraId="5CB09178" w14:textId="77777777" w:rsidR="00FD7E85" w:rsidRDefault="00FD7E85">
            <w:pPr>
              <w:jc w:val="both"/>
              <w:rPr>
                <w:rFonts w:ascii="Arial" w:hAnsi="Arial" w:cs="Arial"/>
                <w:b/>
                <w:bCs/>
                <w:lang w:eastAsia="en-GB"/>
              </w:rPr>
            </w:pPr>
          </w:p>
        </w:tc>
        <w:tc>
          <w:tcPr>
            <w:tcW w:w="3071" w:type="dxa"/>
          </w:tcPr>
          <w:p w14:paraId="7CC9A33F" w14:textId="77777777" w:rsidR="00FD7E85" w:rsidRDefault="00F456FA">
            <w:pPr>
              <w:jc w:val="both"/>
              <w:rPr>
                <w:rFonts w:ascii="Arial" w:hAnsi="Arial" w:cs="Arial"/>
                <w:lang w:eastAsia="en-GB"/>
              </w:rPr>
            </w:pPr>
            <w:r>
              <w:rPr>
                <w:rFonts w:ascii="Arial" w:hAnsi="Arial" w:cs="Arial"/>
                <w:lang w:eastAsia="en-GB"/>
              </w:rPr>
              <w:t>Rural</w:t>
            </w:r>
          </w:p>
        </w:tc>
        <w:tc>
          <w:tcPr>
            <w:tcW w:w="1800" w:type="dxa"/>
          </w:tcPr>
          <w:p w14:paraId="5E88B55A" w14:textId="77777777" w:rsidR="00FD7E85" w:rsidRDefault="00F456FA">
            <w:pPr>
              <w:jc w:val="both"/>
              <w:rPr>
                <w:rFonts w:ascii="Arial" w:hAnsi="Arial" w:cs="Arial"/>
                <w:lang w:eastAsia="en-GB"/>
              </w:rPr>
            </w:pPr>
            <w:r>
              <w:rPr>
                <w:rFonts w:ascii="Arial" w:hAnsi="Arial" w:cs="Arial"/>
                <w:lang w:eastAsia="en-GB"/>
              </w:rPr>
              <w:t>46</w:t>
            </w:r>
          </w:p>
        </w:tc>
        <w:tc>
          <w:tcPr>
            <w:tcW w:w="1980" w:type="dxa"/>
          </w:tcPr>
          <w:p w14:paraId="3DA21523" w14:textId="77777777" w:rsidR="00FD7E85" w:rsidRDefault="00F456FA">
            <w:pPr>
              <w:jc w:val="both"/>
              <w:rPr>
                <w:rFonts w:ascii="Arial" w:hAnsi="Arial" w:cs="Arial"/>
                <w:lang w:eastAsia="en-GB"/>
              </w:rPr>
            </w:pPr>
            <w:r>
              <w:rPr>
                <w:rFonts w:ascii="Arial" w:hAnsi="Arial" w:cs="Arial"/>
                <w:lang w:eastAsia="en-GB"/>
              </w:rPr>
              <w:t>39.66</w:t>
            </w:r>
          </w:p>
        </w:tc>
      </w:tr>
      <w:tr w:rsidR="00FD7E85" w14:paraId="675B9FAE" w14:textId="77777777">
        <w:tc>
          <w:tcPr>
            <w:tcW w:w="0" w:type="auto"/>
          </w:tcPr>
          <w:p w14:paraId="58E2EFF0" w14:textId="77777777" w:rsidR="00FD7E85" w:rsidRDefault="00F456FA">
            <w:pPr>
              <w:jc w:val="both"/>
              <w:rPr>
                <w:rFonts w:ascii="Arial" w:hAnsi="Arial" w:cs="Arial"/>
                <w:b/>
                <w:bCs/>
                <w:lang w:eastAsia="en-GB"/>
              </w:rPr>
            </w:pPr>
            <w:r>
              <w:rPr>
                <w:rFonts w:ascii="Arial" w:hAnsi="Arial" w:cs="Arial"/>
                <w:b/>
                <w:bCs/>
                <w:lang w:eastAsia="en-GB"/>
              </w:rPr>
              <w:t>Parity</w:t>
            </w:r>
          </w:p>
        </w:tc>
        <w:tc>
          <w:tcPr>
            <w:tcW w:w="3071" w:type="dxa"/>
          </w:tcPr>
          <w:p w14:paraId="151BB2CA" w14:textId="77777777" w:rsidR="00FD7E85" w:rsidRDefault="00F456FA">
            <w:pPr>
              <w:jc w:val="both"/>
              <w:rPr>
                <w:rFonts w:ascii="Arial" w:hAnsi="Arial" w:cs="Arial"/>
                <w:lang w:eastAsia="en-GB"/>
              </w:rPr>
            </w:pPr>
            <w:r>
              <w:rPr>
                <w:rFonts w:ascii="Arial" w:hAnsi="Arial" w:cs="Arial"/>
                <w:lang w:eastAsia="en-GB"/>
              </w:rPr>
              <w:t>Primipara</w:t>
            </w:r>
          </w:p>
        </w:tc>
        <w:tc>
          <w:tcPr>
            <w:tcW w:w="1800" w:type="dxa"/>
          </w:tcPr>
          <w:p w14:paraId="62A6B8BC" w14:textId="77777777" w:rsidR="00FD7E85" w:rsidRDefault="00F456FA">
            <w:pPr>
              <w:jc w:val="both"/>
              <w:rPr>
                <w:rFonts w:ascii="Arial" w:hAnsi="Arial" w:cs="Arial"/>
                <w:lang w:eastAsia="en-GB"/>
              </w:rPr>
            </w:pPr>
            <w:r>
              <w:rPr>
                <w:rFonts w:ascii="Arial" w:hAnsi="Arial" w:cs="Arial"/>
                <w:lang w:eastAsia="en-GB"/>
              </w:rPr>
              <w:t>40</w:t>
            </w:r>
          </w:p>
        </w:tc>
        <w:tc>
          <w:tcPr>
            <w:tcW w:w="1980" w:type="dxa"/>
          </w:tcPr>
          <w:p w14:paraId="3109FDD5" w14:textId="77777777" w:rsidR="00FD7E85" w:rsidRDefault="00F456FA">
            <w:pPr>
              <w:jc w:val="both"/>
              <w:rPr>
                <w:rFonts w:ascii="Arial" w:hAnsi="Arial" w:cs="Arial"/>
                <w:lang w:eastAsia="en-GB"/>
              </w:rPr>
            </w:pPr>
            <w:r>
              <w:rPr>
                <w:rFonts w:ascii="Arial" w:hAnsi="Arial" w:cs="Arial"/>
                <w:lang w:eastAsia="en-GB"/>
              </w:rPr>
              <w:t>34.48</w:t>
            </w:r>
          </w:p>
        </w:tc>
      </w:tr>
      <w:tr w:rsidR="00FD7E85" w14:paraId="25BEAB00" w14:textId="77777777">
        <w:tc>
          <w:tcPr>
            <w:tcW w:w="0" w:type="auto"/>
          </w:tcPr>
          <w:p w14:paraId="4109C51B" w14:textId="77777777" w:rsidR="00FD7E85" w:rsidRDefault="00FD7E85">
            <w:pPr>
              <w:jc w:val="both"/>
              <w:rPr>
                <w:rFonts w:ascii="Arial" w:hAnsi="Arial" w:cs="Arial"/>
                <w:b/>
                <w:bCs/>
                <w:lang w:eastAsia="en-GB"/>
              </w:rPr>
            </w:pPr>
          </w:p>
        </w:tc>
        <w:tc>
          <w:tcPr>
            <w:tcW w:w="3071" w:type="dxa"/>
          </w:tcPr>
          <w:p w14:paraId="2EDB700E" w14:textId="77777777" w:rsidR="00FD7E85" w:rsidRDefault="00F456FA">
            <w:pPr>
              <w:jc w:val="both"/>
              <w:rPr>
                <w:rFonts w:ascii="Arial" w:hAnsi="Arial" w:cs="Arial"/>
                <w:lang w:eastAsia="en-GB"/>
              </w:rPr>
            </w:pPr>
            <w:r>
              <w:rPr>
                <w:rFonts w:ascii="Arial" w:hAnsi="Arial" w:cs="Arial"/>
                <w:lang w:eastAsia="en-GB"/>
              </w:rPr>
              <w:t>Multipara</w:t>
            </w:r>
          </w:p>
        </w:tc>
        <w:tc>
          <w:tcPr>
            <w:tcW w:w="1800" w:type="dxa"/>
          </w:tcPr>
          <w:p w14:paraId="33669B5C" w14:textId="77777777" w:rsidR="00FD7E85" w:rsidRDefault="00F456FA">
            <w:pPr>
              <w:jc w:val="both"/>
              <w:rPr>
                <w:rFonts w:ascii="Arial" w:hAnsi="Arial" w:cs="Arial"/>
                <w:lang w:eastAsia="en-GB"/>
              </w:rPr>
            </w:pPr>
            <w:r>
              <w:rPr>
                <w:rFonts w:ascii="Arial" w:hAnsi="Arial" w:cs="Arial"/>
                <w:lang w:eastAsia="en-GB"/>
              </w:rPr>
              <w:t>76</w:t>
            </w:r>
          </w:p>
        </w:tc>
        <w:tc>
          <w:tcPr>
            <w:tcW w:w="1980" w:type="dxa"/>
          </w:tcPr>
          <w:p w14:paraId="0262DCD6" w14:textId="77777777" w:rsidR="00FD7E85" w:rsidRDefault="00F456FA">
            <w:pPr>
              <w:jc w:val="both"/>
              <w:rPr>
                <w:rFonts w:ascii="Arial" w:hAnsi="Arial" w:cs="Arial"/>
                <w:lang w:eastAsia="en-GB"/>
              </w:rPr>
            </w:pPr>
            <w:r>
              <w:rPr>
                <w:rFonts w:ascii="Arial" w:hAnsi="Arial" w:cs="Arial"/>
                <w:lang w:eastAsia="en-GB"/>
              </w:rPr>
              <w:t>65.52</w:t>
            </w:r>
          </w:p>
        </w:tc>
      </w:tr>
      <w:tr w:rsidR="00FD7E85" w14:paraId="0077A2DE" w14:textId="77777777">
        <w:tc>
          <w:tcPr>
            <w:tcW w:w="0" w:type="auto"/>
          </w:tcPr>
          <w:p w14:paraId="1EB2EDC1" w14:textId="77777777" w:rsidR="00FD7E85" w:rsidRDefault="00FD7E85">
            <w:pPr>
              <w:jc w:val="both"/>
              <w:rPr>
                <w:rFonts w:ascii="Arial" w:hAnsi="Arial" w:cs="Arial"/>
                <w:b/>
                <w:bCs/>
                <w:lang w:eastAsia="en-GB"/>
              </w:rPr>
            </w:pPr>
          </w:p>
        </w:tc>
        <w:tc>
          <w:tcPr>
            <w:tcW w:w="3071" w:type="dxa"/>
          </w:tcPr>
          <w:p w14:paraId="5157CBEB" w14:textId="77777777" w:rsidR="00FD7E85" w:rsidRDefault="00F456FA">
            <w:pPr>
              <w:jc w:val="both"/>
              <w:rPr>
                <w:rFonts w:ascii="Arial" w:hAnsi="Arial" w:cs="Arial"/>
                <w:lang w:eastAsia="en-GB"/>
              </w:rPr>
            </w:pPr>
            <w:r>
              <w:rPr>
                <w:rFonts w:ascii="Arial" w:hAnsi="Arial" w:cs="Arial"/>
                <w:lang w:eastAsia="en-GB"/>
              </w:rPr>
              <w:t>Mean ± SD</w:t>
            </w:r>
          </w:p>
        </w:tc>
        <w:tc>
          <w:tcPr>
            <w:tcW w:w="1800" w:type="dxa"/>
          </w:tcPr>
          <w:p w14:paraId="3036E92A" w14:textId="77777777" w:rsidR="00FD7E85" w:rsidRDefault="00F456FA">
            <w:pPr>
              <w:jc w:val="both"/>
              <w:rPr>
                <w:rFonts w:ascii="Arial" w:hAnsi="Arial" w:cs="Arial"/>
                <w:lang w:eastAsia="en-GB"/>
              </w:rPr>
            </w:pPr>
            <w:r>
              <w:rPr>
                <w:rFonts w:ascii="Arial" w:hAnsi="Arial" w:cs="Arial"/>
                <w:lang w:eastAsia="en-GB"/>
              </w:rPr>
              <w:t>—</w:t>
            </w:r>
          </w:p>
        </w:tc>
        <w:tc>
          <w:tcPr>
            <w:tcW w:w="1980" w:type="dxa"/>
          </w:tcPr>
          <w:p w14:paraId="459BAE39" w14:textId="77777777" w:rsidR="00FD7E85" w:rsidRDefault="00F456FA">
            <w:pPr>
              <w:jc w:val="both"/>
              <w:rPr>
                <w:rFonts w:ascii="Arial" w:hAnsi="Arial" w:cs="Arial"/>
                <w:lang w:eastAsia="en-GB"/>
              </w:rPr>
            </w:pPr>
            <w:r>
              <w:rPr>
                <w:rFonts w:ascii="Arial" w:hAnsi="Arial" w:cs="Arial"/>
                <w:lang w:eastAsia="en-GB"/>
              </w:rPr>
              <w:t>2.21 ± 1.28</w:t>
            </w:r>
          </w:p>
        </w:tc>
      </w:tr>
      <w:tr w:rsidR="00FD7E85" w14:paraId="3C4DC962" w14:textId="77777777">
        <w:tc>
          <w:tcPr>
            <w:tcW w:w="0" w:type="auto"/>
          </w:tcPr>
          <w:p w14:paraId="08AFD02E" w14:textId="77777777" w:rsidR="00FD7E85" w:rsidRDefault="00F456FA">
            <w:pPr>
              <w:jc w:val="both"/>
              <w:rPr>
                <w:rFonts w:ascii="Arial" w:hAnsi="Arial" w:cs="Arial"/>
                <w:b/>
                <w:bCs/>
                <w:lang w:eastAsia="en-GB"/>
              </w:rPr>
            </w:pPr>
            <w:r>
              <w:rPr>
                <w:rFonts w:ascii="Arial" w:hAnsi="Arial" w:cs="Arial"/>
                <w:b/>
                <w:bCs/>
                <w:lang w:eastAsia="en-GB"/>
              </w:rPr>
              <w:t>Gestational Age (weeks)</w:t>
            </w:r>
          </w:p>
        </w:tc>
        <w:tc>
          <w:tcPr>
            <w:tcW w:w="3071" w:type="dxa"/>
          </w:tcPr>
          <w:p w14:paraId="5BD22AA9" w14:textId="77777777" w:rsidR="00FD7E85" w:rsidRDefault="00F456FA">
            <w:pPr>
              <w:jc w:val="both"/>
              <w:rPr>
                <w:rFonts w:ascii="Arial" w:hAnsi="Arial" w:cs="Arial"/>
                <w:lang w:eastAsia="en-GB"/>
              </w:rPr>
            </w:pPr>
            <w:r>
              <w:rPr>
                <w:rFonts w:ascii="Arial" w:hAnsi="Arial" w:cs="Arial"/>
                <w:lang w:eastAsia="en-GB"/>
              </w:rPr>
              <w:t>28–33</w:t>
            </w:r>
          </w:p>
        </w:tc>
        <w:tc>
          <w:tcPr>
            <w:tcW w:w="1800" w:type="dxa"/>
          </w:tcPr>
          <w:p w14:paraId="28BB7258" w14:textId="77777777" w:rsidR="00FD7E85" w:rsidRDefault="00F456FA">
            <w:pPr>
              <w:jc w:val="both"/>
              <w:rPr>
                <w:rFonts w:ascii="Arial" w:hAnsi="Arial" w:cs="Arial"/>
                <w:lang w:eastAsia="en-GB"/>
              </w:rPr>
            </w:pPr>
            <w:r>
              <w:rPr>
                <w:rFonts w:ascii="Arial" w:hAnsi="Arial" w:cs="Arial"/>
                <w:lang w:eastAsia="en-GB"/>
              </w:rPr>
              <w:t>31</w:t>
            </w:r>
          </w:p>
        </w:tc>
        <w:tc>
          <w:tcPr>
            <w:tcW w:w="1980" w:type="dxa"/>
          </w:tcPr>
          <w:p w14:paraId="3A1E6D24" w14:textId="77777777" w:rsidR="00FD7E85" w:rsidRDefault="00F456FA">
            <w:pPr>
              <w:jc w:val="both"/>
              <w:rPr>
                <w:rFonts w:ascii="Arial" w:hAnsi="Arial" w:cs="Arial"/>
                <w:lang w:eastAsia="en-GB"/>
              </w:rPr>
            </w:pPr>
            <w:r>
              <w:rPr>
                <w:rFonts w:ascii="Arial" w:hAnsi="Arial" w:cs="Arial"/>
                <w:lang w:eastAsia="en-GB"/>
              </w:rPr>
              <w:t>26.72</w:t>
            </w:r>
          </w:p>
        </w:tc>
      </w:tr>
      <w:tr w:rsidR="00FD7E85" w14:paraId="6B38B9B6" w14:textId="77777777">
        <w:tc>
          <w:tcPr>
            <w:tcW w:w="0" w:type="auto"/>
          </w:tcPr>
          <w:p w14:paraId="0F337D23" w14:textId="77777777" w:rsidR="00FD7E85" w:rsidRDefault="00FD7E85">
            <w:pPr>
              <w:jc w:val="both"/>
              <w:rPr>
                <w:rFonts w:ascii="Arial" w:hAnsi="Arial" w:cs="Arial"/>
                <w:b/>
                <w:bCs/>
                <w:lang w:eastAsia="en-GB"/>
              </w:rPr>
            </w:pPr>
          </w:p>
        </w:tc>
        <w:tc>
          <w:tcPr>
            <w:tcW w:w="3071" w:type="dxa"/>
          </w:tcPr>
          <w:p w14:paraId="45545499" w14:textId="77777777" w:rsidR="00FD7E85" w:rsidRDefault="00F456FA">
            <w:pPr>
              <w:jc w:val="both"/>
              <w:rPr>
                <w:rFonts w:ascii="Arial" w:hAnsi="Arial" w:cs="Arial"/>
                <w:lang w:eastAsia="en-GB"/>
              </w:rPr>
            </w:pPr>
            <w:r>
              <w:rPr>
                <w:rFonts w:ascii="Arial" w:hAnsi="Arial" w:cs="Arial"/>
                <w:lang w:eastAsia="en-GB"/>
              </w:rPr>
              <w:t>34–39</w:t>
            </w:r>
          </w:p>
        </w:tc>
        <w:tc>
          <w:tcPr>
            <w:tcW w:w="1800" w:type="dxa"/>
          </w:tcPr>
          <w:p w14:paraId="4F3E43DA" w14:textId="77777777" w:rsidR="00FD7E85" w:rsidRDefault="00F456FA">
            <w:pPr>
              <w:jc w:val="both"/>
              <w:rPr>
                <w:rFonts w:ascii="Arial" w:hAnsi="Arial" w:cs="Arial"/>
                <w:lang w:eastAsia="en-GB"/>
              </w:rPr>
            </w:pPr>
            <w:r>
              <w:rPr>
                <w:rFonts w:ascii="Arial" w:hAnsi="Arial" w:cs="Arial"/>
                <w:lang w:eastAsia="en-GB"/>
              </w:rPr>
              <w:t>82</w:t>
            </w:r>
          </w:p>
        </w:tc>
        <w:tc>
          <w:tcPr>
            <w:tcW w:w="1980" w:type="dxa"/>
          </w:tcPr>
          <w:p w14:paraId="22BDECF8" w14:textId="77777777" w:rsidR="00FD7E85" w:rsidRDefault="00F456FA">
            <w:pPr>
              <w:jc w:val="both"/>
              <w:rPr>
                <w:rFonts w:ascii="Arial" w:hAnsi="Arial" w:cs="Arial"/>
                <w:lang w:eastAsia="en-GB"/>
              </w:rPr>
            </w:pPr>
            <w:r>
              <w:rPr>
                <w:rFonts w:ascii="Arial" w:hAnsi="Arial" w:cs="Arial"/>
                <w:lang w:eastAsia="en-GB"/>
              </w:rPr>
              <w:t>70.69</w:t>
            </w:r>
          </w:p>
        </w:tc>
      </w:tr>
      <w:tr w:rsidR="00FD7E85" w14:paraId="69B6321F" w14:textId="77777777">
        <w:tc>
          <w:tcPr>
            <w:tcW w:w="0" w:type="auto"/>
          </w:tcPr>
          <w:p w14:paraId="7A39703A" w14:textId="77777777" w:rsidR="00FD7E85" w:rsidRDefault="00FD7E85">
            <w:pPr>
              <w:jc w:val="both"/>
              <w:rPr>
                <w:rFonts w:ascii="Arial" w:hAnsi="Arial" w:cs="Arial"/>
                <w:b/>
                <w:bCs/>
                <w:lang w:eastAsia="en-GB"/>
              </w:rPr>
            </w:pPr>
          </w:p>
        </w:tc>
        <w:tc>
          <w:tcPr>
            <w:tcW w:w="3071" w:type="dxa"/>
          </w:tcPr>
          <w:p w14:paraId="08935DAE" w14:textId="77777777" w:rsidR="00FD7E85" w:rsidRDefault="00F456FA">
            <w:pPr>
              <w:jc w:val="both"/>
              <w:rPr>
                <w:rFonts w:ascii="Arial" w:hAnsi="Arial" w:cs="Arial"/>
                <w:lang w:eastAsia="en-GB"/>
              </w:rPr>
            </w:pPr>
            <w:r>
              <w:rPr>
                <w:rFonts w:ascii="Arial" w:hAnsi="Arial" w:cs="Arial"/>
                <w:lang w:eastAsia="en-GB"/>
              </w:rPr>
              <w:t>≥40</w:t>
            </w:r>
          </w:p>
        </w:tc>
        <w:tc>
          <w:tcPr>
            <w:tcW w:w="1800" w:type="dxa"/>
          </w:tcPr>
          <w:p w14:paraId="187D9263" w14:textId="77777777" w:rsidR="00FD7E85" w:rsidRDefault="00F456FA">
            <w:pPr>
              <w:jc w:val="both"/>
              <w:rPr>
                <w:rFonts w:ascii="Arial" w:hAnsi="Arial" w:cs="Arial"/>
                <w:lang w:eastAsia="en-GB"/>
              </w:rPr>
            </w:pPr>
            <w:r>
              <w:rPr>
                <w:rFonts w:ascii="Arial" w:hAnsi="Arial" w:cs="Arial"/>
                <w:lang w:eastAsia="en-GB"/>
              </w:rPr>
              <w:t>3</w:t>
            </w:r>
          </w:p>
        </w:tc>
        <w:tc>
          <w:tcPr>
            <w:tcW w:w="1980" w:type="dxa"/>
          </w:tcPr>
          <w:p w14:paraId="24659FF5" w14:textId="77777777" w:rsidR="00FD7E85" w:rsidRDefault="00F456FA">
            <w:pPr>
              <w:jc w:val="both"/>
              <w:rPr>
                <w:rFonts w:ascii="Arial" w:hAnsi="Arial" w:cs="Arial"/>
                <w:lang w:eastAsia="en-GB"/>
              </w:rPr>
            </w:pPr>
            <w:r>
              <w:rPr>
                <w:rFonts w:ascii="Arial" w:hAnsi="Arial" w:cs="Arial"/>
                <w:lang w:eastAsia="en-GB"/>
              </w:rPr>
              <w:t>2.59</w:t>
            </w:r>
          </w:p>
        </w:tc>
      </w:tr>
      <w:tr w:rsidR="00FD7E85" w14:paraId="31C89814" w14:textId="77777777">
        <w:tc>
          <w:tcPr>
            <w:tcW w:w="0" w:type="auto"/>
          </w:tcPr>
          <w:p w14:paraId="0DADD157" w14:textId="77777777" w:rsidR="00FD7E85" w:rsidRDefault="00FD7E85">
            <w:pPr>
              <w:jc w:val="both"/>
              <w:rPr>
                <w:rFonts w:ascii="Arial" w:hAnsi="Arial" w:cs="Arial"/>
                <w:b/>
                <w:bCs/>
                <w:lang w:eastAsia="en-GB"/>
              </w:rPr>
            </w:pPr>
          </w:p>
        </w:tc>
        <w:tc>
          <w:tcPr>
            <w:tcW w:w="3071" w:type="dxa"/>
          </w:tcPr>
          <w:p w14:paraId="6044B6AB" w14:textId="77777777" w:rsidR="00FD7E85" w:rsidRDefault="00F456FA">
            <w:pPr>
              <w:jc w:val="both"/>
              <w:rPr>
                <w:rFonts w:ascii="Arial" w:hAnsi="Arial" w:cs="Arial"/>
                <w:lang w:eastAsia="en-GB"/>
              </w:rPr>
            </w:pPr>
            <w:r>
              <w:rPr>
                <w:rFonts w:ascii="Arial" w:hAnsi="Arial" w:cs="Arial"/>
                <w:lang w:eastAsia="en-GB"/>
              </w:rPr>
              <w:t>Mean ± SD</w:t>
            </w:r>
          </w:p>
        </w:tc>
        <w:tc>
          <w:tcPr>
            <w:tcW w:w="1800" w:type="dxa"/>
          </w:tcPr>
          <w:p w14:paraId="4720A393" w14:textId="77777777" w:rsidR="00FD7E85" w:rsidRDefault="00F456FA">
            <w:pPr>
              <w:jc w:val="both"/>
              <w:rPr>
                <w:rFonts w:ascii="Arial" w:hAnsi="Arial" w:cs="Arial"/>
                <w:lang w:eastAsia="en-GB"/>
              </w:rPr>
            </w:pPr>
            <w:r>
              <w:rPr>
                <w:rFonts w:ascii="Arial" w:hAnsi="Arial" w:cs="Arial"/>
                <w:lang w:eastAsia="en-GB"/>
              </w:rPr>
              <w:t>—</w:t>
            </w:r>
          </w:p>
        </w:tc>
        <w:tc>
          <w:tcPr>
            <w:tcW w:w="1980" w:type="dxa"/>
          </w:tcPr>
          <w:p w14:paraId="4A3015FE" w14:textId="77777777" w:rsidR="00FD7E85" w:rsidRDefault="00F456FA">
            <w:pPr>
              <w:jc w:val="both"/>
              <w:rPr>
                <w:rFonts w:ascii="Arial" w:hAnsi="Arial" w:cs="Arial"/>
                <w:lang w:eastAsia="en-GB"/>
              </w:rPr>
            </w:pPr>
            <w:r>
              <w:rPr>
                <w:rFonts w:ascii="Arial" w:hAnsi="Arial" w:cs="Arial"/>
                <w:lang w:eastAsia="en-GB"/>
              </w:rPr>
              <w:t>34.84 ± 3.12</w:t>
            </w:r>
          </w:p>
        </w:tc>
      </w:tr>
      <w:tr w:rsidR="00FD7E85" w14:paraId="6E8C1572" w14:textId="77777777">
        <w:tc>
          <w:tcPr>
            <w:tcW w:w="0" w:type="auto"/>
          </w:tcPr>
          <w:p w14:paraId="777EF2D5" w14:textId="77777777" w:rsidR="00FD7E85" w:rsidRDefault="00F456FA">
            <w:pPr>
              <w:jc w:val="both"/>
              <w:rPr>
                <w:rFonts w:ascii="Arial" w:hAnsi="Arial" w:cs="Arial"/>
                <w:b/>
                <w:bCs/>
                <w:lang w:eastAsia="en-GB"/>
              </w:rPr>
            </w:pPr>
            <w:r>
              <w:rPr>
                <w:rFonts w:ascii="Arial" w:hAnsi="Arial" w:cs="Arial"/>
                <w:b/>
                <w:bCs/>
                <w:lang w:eastAsia="en-GB"/>
              </w:rPr>
              <w:t>Fetal Weight (Ultrasound)</w:t>
            </w:r>
          </w:p>
        </w:tc>
        <w:tc>
          <w:tcPr>
            <w:tcW w:w="3071" w:type="dxa"/>
          </w:tcPr>
          <w:p w14:paraId="5C36BEBA" w14:textId="77777777" w:rsidR="00FD7E85" w:rsidRDefault="00F456FA">
            <w:pPr>
              <w:jc w:val="both"/>
              <w:rPr>
                <w:rFonts w:ascii="Arial" w:hAnsi="Arial" w:cs="Arial"/>
                <w:lang w:eastAsia="en-GB"/>
              </w:rPr>
            </w:pPr>
            <w:r>
              <w:rPr>
                <w:rFonts w:ascii="Arial" w:hAnsi="Arial" w:cs="Arial"/>
                <w:lang w:eastAsia="en-GB"/>
              </w:rPr>
              <w:t>Appropriate for GA (AGA)</w:t>
            </w:r>
          </w:p>
        </w:tc>
        <w:tc>
          <w:tcPr>
            <w:tcW w:w="1800" w:type="dxa"/>
          </w:tcPr>
          <w:p w14:paraId="3B3FCE65" w14:textId="77777777" w:rsidR="00FD7E85" w:rsidRDefault="00F456FA">
            <w:pPr>
              <w:jc w:val="both"/>
              <w:rPr>
                <w:rFonts w:ascii="Arial" w:hAnsi="Arial" w:cs="Arial"/>
                <w:lang w:eastAsia="en-GB"/>
              </w:rPr>
            </w:pPr>
            <w:r>
              <w:rPr>
                <w:rFonts w:ascii="Arial" w:hAnsi="Arial" w:cs="Arial"/>
                <w:lang w:eastAsia="en-GB"/>
              </w:rPr>
              <w:t>109</w:t>
            </w:r>
          </w:p>
        </w:tc>
        <w:tc>
          <w:tcPr>
            <w:tcW w:w="1980" w:type="dxa"/>
          </w:tcPr>
          <w:p w14:paraId="19DDD6F4" w14:textId="77777777" w:rsidR="00FD7E85" w:rsidRDefault="00F456FA">
            <w:pPr>
              <w:jc w:val="both"/>
              <w:rPr>
                <w:rFonts w:ascii="Arial" w:hAnsi="Arial" w:cs="Arial"/>
                <w:lang w:eastAsia="en-GB"/>
              </w:rPr>
            </w:pPr>
            <w:r>
              <w:rPr>
                <w:rFonts w:ascii="Arial" w:hAnsi="Arial" w:cs="Arial"/>
                <w:lang w:eastAsia="en-GB"/>
              </w:rPr>
              <w:t>93.97</w:t>
            </w:r>
          </w:p>
        </w:tc>
      </w:tr>
      <w:tr w:rsidR="00FD7E85" w14:paraId="0BFB60A5" w14:textId="77777777">
        <w:tc>
          <w:tcPr>
            <w:tcW w:w="0" w:type="auto"/>
          </w:tcPr>
          <w:p w14:paraId="0F1FA935" w14:textId="77777777" w:rsidR="00FD7E85" w:rsidRDefault="00FD7E85">
            <w:pPr>
              <w:jc w:val="both"/>
              <w:rPr>
                <w:rFonts w:ascii="Arial" w:hAnsi="Arial" w:cs="Arial"/>
                <w:b/>
                <w:bCs/>
                <w:lang w:eastAsia="en-GB"/>
              </w:rPr>
            </w:pPr>
          </w:p>
        </w:tc>
        <w:tc>
          <w:tcPr>
            <w:tcW w:w="3071" w:type="dxa"/>
          </w:tcPr>
          <w:p w14:paraId="4CAB1438" w14:textId="77777777" w:rsidR="00FD7E85" w:rsidRDefault="00F456FA">
            <w:pPr>
              <w:jc w:val="both"/>
              <w:rPr>
                <w:rFonts w:ascii="Arial" w:hAnsi="Arial" w:cs="Arial"/>
                <w:lang w:eastAsia="en-GB"/>
              </w:rPr>
            </w:pPr>
            <w:r>
              <w:rPr>
                <w:rFonts w:ascii="Arial" w:hAnsi="Arial" w:cs="Arial"/>
                <w:lang w:eastAsia="en-GB"/>
              </w:rPr>
              <w:t>Small for GA (SGA)</w:t>
            </w:r>
          </w:p>
        </w:tc>
        <w:tc>
          <w:tcPr>
            <w:tcW w:w="1800" w:type="dxa"/>
          </w:tcPr>
          <w:p w14:paraId="5A338A80" w14:textId="77777777" w:rsidR="00FD7E85" w:rsidRDefault="00F456FA">
            <w:pPr>
              <w:jc w:val="both"/>
              <w:rPr>
                <w:rFonts w:ascii="Arial" w:hAnsi="Arial" w:cs="Arial"/>
                <w:lang w:eastAsia="en-GB"/>
              </w:rPr>
            </w:pPr>
            <w:r>
              <w:rPr>
                <w:rFonts w:ascii="Arial" w:hAnsi="Arial" w:cs="Arial"/>
                <w:lang w:eastAsia="en-GB"/>
              </w:rPr>
              <w:t>7</w:t>
            </w:r>
          </w:p>
        </w:tc>
        <w:tc>
          <w:tcPr>
            <w:tcW w:w="1980" w:type="dxa"/>
          </w:tcPr>
          <w:p w14:paraId="06552865" w14:textId="77777777" w:rsidR="00FD7E85" w:rsidRDefault="00F456FA">
            <w:pPr>
              <w:jc w:val="both"/>
              <w:rPr>
                <w:rFonts w:ascii="Arial" w:hAnsi="Arial" w:cs="Arial"/>
                <w:lang w:eastAsia="en-GB"/>
              </w:rPr>
            </w:pPr>
            <w:r>
              <w:rPr>
                <w:rFonts w:ascii="Arial" w:hAnsi="Arial" w:cs="Arial"/>
                <w:lang w:eastAsia="en-GB"/>
              </w:rPr>
              <w:t>6.03</w:t>
            </w:r>
          </w:p>
        </w:tc>
      </w:tr>
      <w:tr w:rsidR="00FD7E85" w14:paraId="4FA256BA" w14:textId="77777777">
        <w:tc>
          <w:tcPr>
            <w:tcW w:w="0" w:type="auto"/>
          </w:tcPr>
          <w:p w14:paraId="45B74506" w14:textId="77777777" w:rsidR="00FD7E85" w:rsidRDefault="00F456FA">
            <w:pPr>
              <w:jc w:val="both"/>
              <w:rPr>
                <w:rFonts w:ascii="Arial" w:hAnsi="Arial" w:cs="Arial"/>
                <w:b/>
                <w:bCs/>
                <w:lang w:eastAsia="en-GB"/>
              </w:rPr>
            </w:pPr>
            <w:r>
              <w:rPr>
                <w:rFonts w:ascii="Arial" w:hAnsi="Arial" w:cs="Arial"/>
                <w:b/>
                <w:bCs/>
                <w:lang w:eastAsia="en-GB"/>
              </w:rPr>
              <w:t>Gestational Age (Ultrasound)</w:t>
            </w:r>
          </w:p>
        </w:tc>
        <w:tc>
          <w:tcPr>
            <w:tcW w:w="3071" w:type="dxa"/>
          </w:tcPr>
          <w:p w14:paraId="22DFE208" w14:textId="77777777" w:rsidR="00FD7E85" w:rsidRDefault="00F456FA">
            <w:pPr>
              <w:jc w:val="both"/>
              <w:rPr>
                <w:rFonts w:ascii="Arial" w:hAnsi="Arial" w:cs="Arial"/>
                <w:lang w:eastAsia="en-GB"/>
              </w:rPr>
            </w:pPr>
            <w:r>
              <w:rPr>
                <w:rFonts w:ascii="Arial" w:hAnsi="Arial" w:cs="Arial"/>
                <w:lang w:eastAsia="en-GB"/>
              </w:rPr>
              <w:t>28–32</w:t>
            </w:r>
          </w:p>
        </w:tc>
        <w:tc>
          <w:tcPr>
            <w:tcW w:w="1800" w:type="dxa"/>
          </w:tcPr>
          <w:p w14:paraId="01EF0123" w14:textId="77777777" w:rsidR="00FD7E85" w:rsidRDefault="00F456FA">
            <w:pPr>
              <w:jc w:val="both"/>
              <w:rPr>
                <w:rFonts w:ascii="Arial" w:hAnsi="Arial" w:cs="Arial"/>
                <w:lang w:eastAsia="en-GB"/>
              </w:rPr>
            </w:pPr>
            <w:r>
              <w:rPr>
                <w:rFonts w:ascii="Arial" w:hAnsi="Arial" w:cs="Arial"/>
                <w:lang w:eastAsia="en-GB"/>
              </w:rPr>
              <w:t>27</w:t>
            </w:r>
          </w:p>
        </w:tc>
        <w:tc>
          <w:tcPr>
            <w:tcW w:w="1980" w:type="dxa"/>
          </w:tcPr>
          <w:p w14:paraId="490B3FFB" w14:textId="77777777" w:rsidR="00FD7E85" w:rsidRDefault="00F456FA">
            <w:pPr>
              <w:jc w:val="both"/>
              <w:rPr>
                <w:rFonts w:ascii="Arial" w:hAnsi="Arial" w:cs="Arial"/>
                <w:lang w:eastAsia="en-GB"/>
              </w:rPr>
            </w:pPr>
            <w:r>
              <w:rPr>
                <w:rFonts w:ascii="Arial" w:hAnsi="Arial" w:cs="Arial"/>
                <w:lang w:eastAsia="en-GB"/>
              </w:rPr>
              <w:t>23.28</w:t>
            </w:r>
          </w:p>
        </w:tc>
      </w:tr>
      <w:tr w:rsidR="00FD7E85" w14:paraId="08287AF6" w14:textId="77777777">
        <w:tc>
          <w:tcPr>
            <w:tcW w:w="0" w:type="auto"/>
          </w:tcPr>
          <w:p w14:paraId="21E6068C" w14:textId="77777777" w:rsidR="00FD7E85" w:rsidRDefault="00FD7E85">
            <w:pPr>
              <w:jc w:val="both"/>
              <w:rPr>
                <w:rFonts w:ascii="Arial" w:hAnsi="Arial" w:cs="Arial"/>
                <w:b/>
                <w:bCs/>
                <w:lang w:eastAsia="en-GB"/>
              </w:rPr>
            </w:pPr>
          </w:p>
        </w:tc>
        <w:tc>
          <w:tcPr>
            <w:tcW w:w="3071" w:type="dxa"/>
          </w:tcPr>
          <w:p w14:paraId="1095EEB2" w14:textId="77777777" w:rsidR="00FD7E85" w:rsidRDefault="00F456FA">
            <w:pPr>
              <w:jc w:val="both"/>
              <w:rPr>
                <w:rFonts w:ascii="Arial" w:hAnsi="Arial" w:cs="Arial"/>
                <w:lang w:eastAsia="en-GB"/>
              </w:rPr>
            </w:pPr>
            <w:r>
              <w:rPr>
                <w:rFonts w:ascii="Arial" w:hAnsi="Arial" w:cs="Arial"/>
                <w:lang w:eastAsia="en-GB"/>
              </w:rPr>
              <w:t>33–36</w:t>
            </w:r>
          </w:p>
        </w:tc>
        <w:tc>
          <w:tcPr>
            <w:tcW w:w="1800" w:type="dxa"/>
          </w:tcPr>
          <w:p w14:paraId="62F2E13A" w14:textId="77777777" w:rsidR="00FD7E85" w:rsidRDefault="00F456FA">
            <w:pPr>
              <w:jc w:val="both"/>
              <w:rPr>
                <w:rFonts w:ascii="Arial" w:hAnsi="Arial" w:cs="Arial"/>
                <w:lang w:eastAsia="en-GB"/>
              </w:rPr>
            </w:pPr>
            <w:r>
              <w:rPr>
                <w:rFonts w:ascii="Arial" w:hAnsi="Arial" w:cs="Arial"/>
                <w:lang w:eastAsia="en-GB"/>
              </w:rPr>
              <w:t>44</w:t>
            </w:r>
          </w:p>
        </w:tc>
        <w:tc>
          <w:tcPr>
            <w:tcW w:w="1980" w:type="dxa"/>
          </w:tcPr>
          <w:p w14:paraId="1AB7619D" w14:textId="77777777" w:rsidR="00FD7E85" w:rsidRDefault="00F456FA">
            <w:pPr>
              <w:jc w:val="both"/>
              <w:rPr>
                <w:rFonts w:ascii="Arial" w:hAnsi="Arial" w:cs="Arial"/>
                <w:lang w:eastAsia="en-GB"/>
              </w:rPr>
            </w:pPr>
            <w:r>
              <w:rPr>
                <w:rFonts w:ascii="Arial" w:hAnsi="Arial" w:cs="Arial"/>
                <w:lang w:eastAsia="en-GB"/>
              </w:rPr>
              <w:t>37.93</w:t>
            </w:r>
          </w:p>
        </w:tc>
      </w:tr>
      <w:tr w:rsidR="00FD7E85" w14:paraId="2300D2FB" w14:textId="77777777">
        <w:tc>
          <w:tcPr>
            <w:tcW w:w="0" w:type="auto"/>
          </w:tcPr>
          <w:p w14:paraId="1401E851" w14:textId="77777777" w:rsidR="00FD7E85" w:rsidRDefault="00FD7E85">
            <w:pPr>
              <w:jc w:val="both"/>
              <w:rPr>
                <w:rFonts w:ascii="Arial" w:hAnsi="Arial" w:cs="Arial"/>
                <w:b/>
                <w:bCs/>
                <w:lang w:eastAsia="en-GB"/>
              </w:rPr>
            </w:pPr>
          </w:p>
        </w:tc>
        <w:tc>
          <w:tcPr>
            <w:tcW w:w="3071" w:type="dxa"/>
          </w:tcPr>
          <w:p w14:paraId="283A20B4" w14:textId="77777777" w:rsidR="00FD7E85" w:rsidRDefault="00F456FA">
            <w:pPr>
              <w:jc w:val="both"/>
              <w:rPr>
                <w:rFonts w:ascii="Arial" w:hAnsi="Arial" w:cs="Arial"/>
                <w:lang w:eastAsia="en-GB"/>
              </w:rPr>
            </w:pPr>
            <w:r>
              <w:rPr>
                <w:rFonts w:ascii="Arial" w:hAnsi="Arial" w:cs="Arial"/>
                <w:lang w:eastAsia="en-GB"/>
              </w:rPr>
              <w:t>≥37</w:t>
            </w:r>
          </w:p>
        </w:tc>
        <w:tc>
          <w:tcPr>
            <w:tcW w:w="1800" w:type="dxa"/>
          </w:tcPr>
          <w:p w14:paraId="5905527C" w14:textId="77777777" w:rsidR="00FD7E85" w:rsidRDefault="00F456FA">
            <w:pPr>
              <w:jc w:val="both"/>
              <w:rPr>
                <w:rFonts w:ascii="Arial" w:hAnsi="Arial" w:cs="Arial"/>
                <w:lang w:eastAsia="en-GB"/>
              </w:rPr>
            </w:pPr>
            <w:r>
              <w:rPr>
                <w:rFonts w:ascii="Arial" w:hAnsi="Arial" w:cs="Arial"/>
                <w:lang w:eastAsia="en-GB"/>
              </w:rPr>
              <w:t>45</w:t>
            </w:r>
          </w:p>
        </w:tc>
        <w:tc>
          <w:tcPr>
            <w:tcW w:w="1980" w:type="dxa"/>
          </w:tcPr>
          <w:p w14:paraId="3C3A489F" w14:textId="77777777" w:rsidR="00FD7E85" w:rsidRDefault="00F456FA">
            <w:pPr>
              <w:jc w:val="both"/>
              <w:rPr>
                <w:rFonts w:ascii="Arial" w:hAnsi="Arial" w:cs="Arial"/>
                <w:lang w:eastAsia="en-GB"/>
              </w:rPr>
            </w:pPr>
            <w:r>
              <w:rPr>
                <w:rFonts w:ascii="Arial" w:hAnsi="Arial" w:cs="Arial"/>
                <w:lang w:eastAsia="en-GB"/>
              </w:rPr>
              <w:t>38.79</w:t>
            </w:r>
          </w:p>
        </w:tc>
      </w:tr>
      <w:tr w:rsidR="00FD7E85" w14:paraId="213C7AC8" w14:textId="77777777">
        <w:tc>
          <w:tcPr>
            <w:tcW w:w="0" w:type="auto"/>
          </w:tcPr>
          <w:p w14:paraId="71AAAB24" w14:textId="77777777" w:rsidR="00FD7E85" w:rsidRDefault="00F456FA">
            <w:pPr>
              <w:jc w:val="both"/>
              <w:rPr>
                <w:rFonts w:ascii="Arial" w:hAnsi="Arial" w:cs="Arial"/>
                <w:b/>
                <w:bCs/>
                <w:lang w:eastAsia="en-GB"/>
              </w:rPr>
            </w:pPr>
            <w:r>
              <w:rPr>
                <w:rFonts w:ascii="Arial" w:hAnsi="Arial" w:cs="Arial"/>
                <w:b/>
                <w:bCs/>
                <w:lang w:eastAsia="en-GB"/>
              </w:rPr>
              <w:t>Birth Weight</w:t>
            </w:r>
          </w:p>
        </w:tc>
        <w:tc>
          <w:tcPr>
            <w:tcW w:w="3071" w:type="dxa"/>
          </w:tcPr>
          <w:p w14:paraId="3B747A9E" w14:textId="77777777" w:rsidR="00FD7E85" w:rsidRDefault="00F456FA">
            <w:pPr>
              <w:jc w:val="both"/>
              <w:rPr>
                <w:rFonts w:ascii="Arial" w:hAnsi="Arial" w:cs="Arial"/>
                <w:lang w:eastAsia="en-GB"/>
              </w:rPr>
            </w:pPr>
            <w:r>
              <w:rPr>
                <w:rFonts w:ascii="Arial" w:hAnsi="Arial" w:cs="Arial"/>
                <w:lang w:eastAsia="en-GB"/>
              </w:rPr>
              <w:t>Normal</w:t>
            </w:r>
          </w:p>
        </w:tc>
        <w:tc>
          <w:tcPr>
            <w:tcW w:w="1800" w:type="dxa"/>
          </w:tcPr>
          <w:p w14:paraId="7E90C0A8" w14:textId="77777777" w:rsidR="00FD7E85" w:rsidRDefault="00F456FA">
            <w:pPr>
              <w:jc w:val="both"/>
              <w:rPr>
                <w:rFonts w:ascii="Arial" w:hAnsi="Arial" w:cs="Arial"/>
                <w:lang w:eastAsia="en-GB"/>
              </w:rPr>
            </w:pPr>
            <w:r>
              <w:rPr>
                <w:rFonts w:ascii="Arial" w:hAnsi="Arial" w:cs="Arial"/>
                <w:lang w:eastAsia="en-GB"/>
              </w:rPr>
              <w:t>78</w:t>
            </w:r>
          </w:p>
        </w:tc>
        <w:tc>
          <w:tcPr>
            <w:tcW w:w="1980" w:type="dxa"/>
          </w:tcPr>
          <w:p w14:paraId="123BF541" w14:textId="77777777" w:rsidR="00FD7E85" w:rsidRDefault="00F456FA">
            <w:pPr>
              <w:jc w:val="both"/>
              <w:rPr>
                <w:rFonts w:ascii="Arial" w:hAnsi="Arial" w:cs="Arial"/>
                <w:lang w:eastAsia="en-GB"/>
              </w:rPr>
            </w:pPr>
            <w:r>
              <w:rPr>
                <w:rFonts w:ascii="Arial" w:hAnsi="Arial" w:cs="Arial"/>
                <w:lang w:eastAsia="en-GB"/>
              </w:rPr>
              <w:t>67.24</w:t>
            </w:r>
          </w:p>
        </w:tc>
      </w:tr>
      <w:tr w:rsidR="00FD7E85" w14:paraId="3712C972" w14:textId="77777777">
        <w:tc>
          <w:tcPr>
            <w:tcW w:w="0" w:type="auto"/>
          </w:tcPr>
          <w:p w14:paraId="283F1F07" w14:textId="77777777" w:rsidR="00FD7E85" w:rsidRDefault="00FD7E85">
            <w:pPr>
              <w:jc w:val="both"/>
              <w:rPr>
                <w:rFonts w:ascii="Arial" w:hAnsi="Arial" w:cs="Arial"/>
                <w:b/>
                <w:bCs/>
                <w:lang w:eastAsia="en-GB"/>
              </w:rPr>
            </w:pPr>
          </w:p>
        </w:tc>
        <w:tc>
          <w:tcPr>
            <w:tcW w:w="3071" w:type="dxa"/>
          </w:tcPr>
          <w:p w14:paraId="18961741" w14:textId="77777777" w:rsidR="00FD7E85" w:rsidRDefault="00F456FA">
            <w:pPr>
              <w:jc w:val="both"/>
              <w:rPr>
                <w:rFonts w:ascii="Arial" w:hAnsi="Arial" w:cs="Arial"/>
                <w:lang w:eastAsia="en-GB"/>
              </w:rPr>
            </w:pPr>
            <w:r>
              <w:rPr>
                <w:rFonts w:ascii="Arial" w:hAnsi="Arial" w:cs="Arial"/>
                <w:lang w:eastAsia="en-GB"/>
              </w:rPr>
              <w:t>Low Birth Weight (LBW)</w:t>
            </w:r>
          </w:p>
        </w:tc>
        <w:tc>
          <w:tcPr>
            <w:tcW w:w="1800" w:type="dxa"/>
          </w:tcPr>
          <w:p w14:paraId="5106C592" w14:textId="77777777" w:rsidR="00FD7E85" w:rsidRDefault="00F456FA">
            <w:pPr>
              <w:jc w:val="both"/>
              <w:rPr>
                <w:rFonts w:ascii="Arial" w:hAnsi="Arial" w:cs="Arial"/>
                <w:lang w:eastAsia="en-GB"/>
              </w:rPr>
            </w:pPr>
            <w:r>
              <w:rPr>
                <w:rFonts w:ascii="Arial" w:hAnsi="Arial" w:cs="Arial"/>
                <w:lang w:eastAsia="en-GB"/>
              </w:rPr>
              <w:t>26</w:t>
            </w:r>
          </w:p>
        </w:tc>
        <w:tc>
          <w:tcPr>
            <w:tcW w:w="1980" w:type="dxa"/>
          </w:tcPr>
          <w:p w14:paraId="0BD64B48" w14:textId="77777777" w:rsidR="00FD7E85" w:rsidRDefault="00F456FA">
            <w:pPr>
              <w:jc w:val="both"/>
              <w:rPr>
                <w:rFonts w:ascii="Arial" w:hAnsi="Arial" w:cs="Arial"/>
                <w:lang w:eastAsia="en-GB"/>
              </w:rPr>
            </w:pPr>
            <w:r>
              <w:rPr>
                <w:rFonts w:ascii="Arial" w:hAnsi="Arial" w:cs="Arial"/>
                <w:lang w:eastAsia="en-GB"/>
              </w:rPr>
              <w:t>22.41</w:t>
            </w:r>
          </w:p>
        </w:tc>
      </w:tr>
      <w:tr w:rsidR="00FD7E85" w14:paraId="50A91FDA" w14:textId="77777777">
        <w:tc>
          <w:tcPr>
            <w:tcW w:w="0" w:type="auto"/>
          </w:tcPr>
          <w:p w14:paraId="66C6EE68" w14:textId="77777777" w:rsidR="00FD7E85" w:rsidRDefault="00FD7E85">
            <w:pPr>
              <w:jc w:val="both"/>
              <w:rPr>
                <w:rFonts w:ascii="Arial" w:hAnsi="Arial" w:cs="Arial"/>
                <w:b/>
                <w:bCs/>
                <w:lang w:eastAsia="en-GB"/>
              </w:rPr>
            </w:pPr>
          </w:p>
        </w:tc>
        <w:tc>
          <w:tcPr>
            <w:tcW w:w="3071" w:type="dxa"/>
          </w:tcPr>
          <w:p w14:paraId="78B4FD5F" w14:textId="77777777" w:rsidR="00FD7E85" w:rsidRDefault="00F456FA">
            <w:pPr>
              <w:jc w:val="both"/>
              <w:rPr>
                <w:rFonts w:ascii="Arial" w:hAnsi="Arial" w:cs="Arial"/>
                <w:lang w:eastAsia="en-GB"/>
              </w:rPr>
            </w:pPr>
            <w:r>
              <w:rPr>
                <w:rFonts w:ascii="Arial" w:hAnsi="Arial" w:cs="Arial"/>
                <w:lang w:eastAsia="en-GB"/>
              </w:rPr>
              <w:t>Very Low Birth Weight (VLBW)</w:t>
            </w:r>
          </w:p>
        </w:tc>
        <w:tc>
          <w:tcPr>
            <w:tcW w:w="1800" w:type="dxa"/>
          </w:tcPr>
          <w:p w14:paraId="52690D70" w14:textId="77777777" w:rsidR="00FD7E85" w:rsidRDefault="00F456FA">
            <w:pPr>
              <w:jc w:val="both"/>
              <w:rPr>
                <w:rFonts w:ascii="Arial" w:hAnsi="Arial" w:cs="Arial"/>
                <w:lang w:eastAsia="en-GB"/>
              </w:rPr>
            </w:pPr>
            <w:r>
              <w:rPr>
                <w:rFonts w:ascii="Arial" w:hAnsi="Arial" w:cs="Arial"/>
                <w:lang w:eastAsia="en-GB"/>
              </w:rPr>
              <w:t>12</w:t>
            </w:r>
          </w:p>
        </w:tc>
        <w:tc>
          <w:tcPr>
            <w:tcW w:w="1980" w:type="dxa"/>
          </w:tcPr>
          <w:p w14:paraId="23355922" w14:textId="77777777" w:rsidR="00FD7E85" w:rsidRDefault="00F456FA">
            <w:pPr>
              <w:jc w:val="both"/>
              <w:rPr>
                <w:rFonts w:ascii="Arial" w:hAnsi="Arial" w:cs="Arial"/>
                <w:lang w:eastAsia="en-GB"/>
              </w:rPr>
            </w:pPr>
            <w:r>
              <w:rPr>
                <w:rFonts w:ascii="Arial" w:hAnsi="Arial" w:cs="Arial"/>
                <w:lang w:eastAsia="en-GB"/>
              </w:rPr>
              <w:t>10.34</w:t>
            </w:r>
          </w:p>
        </w:tc>
      </w:tr>
      <w:tr w:rsidR="00FD7E85" w14:paraId="38641BC9" w14:textId="77777777">
        <w:tc>
          <w:tcPr>
            <w:tcW w:w="0" w:type="auto"/>
          </w:tcPr>
          <w:p w14:paraId="0337D85F" w14:textId="77777777" w:rsidR="00FD7E85" w:rsidRDefault="00F456FA">
            <w:pPr>
              <w:jc w:val="both"/>
              <w:rPr>
                <w:rFonts w:ascii="Arial" w:hAnsi="Arial" w:cs="Arial"/>
                <w:b/>
                <w:bCs/>
                <w:lang w:eastAsia="en-GB"/>
              </w:rPr>
            </w:pPr>
            <w:r>
              <w:rPr>
                <w:rFonts w:ascii="Arial" w:hAnsi="Arial" w:cs="Arial"/>
                <w:b/>
                <w:bCs/>
                <w:lang w:eastAsia="en-GB"/>
              </w:rPr>
              <w:t>Fetal status at delivery</w:t>
            </w:r>
          </w:p>
        </w:tc>
        <w:tc>
          <w:tcPr>
            <w:tcW w:w="3071" w:type="dxa"/>
          </w:tcPr>
          <w:p w14:paraId="107476C0" w14:textId="77777777" w:rsidR="00FD7E85" w:rsidRDefault="00F456FA">
            <w:pPr>
              <w:jc w:val="both"/>
              <w:rPr>
                <w:rFonts w:ascii="Arial" w:hAnsi="Arial" w:cs="Arial"/>
                <w:lang w:eastAsia="en-GB"/>
              </w:rPr>
            </w:pPr>
            <w:r>
              <w:rPr>
                <w:rFonts w:ascii="Arial" w:hAnsi="Arial" w:cs="Arial"/>
                <w:lang w:eastAsia="en-GB"/>
              </w:rPr>
              <w:t>Live Birth</w:t>
            </w:r>
          </w:p>
        </w:tc>
        <w:tc>
          <w:tcPr>
            <w:tcW w:w="1800" w:type="dxa"/>
          </w:tcPr>
          <w:p w14:paraId="5EFC6D1B" w14:textId="77777777" w:rsidR="00FD7E85" w:rsidRDefault="00F456FA">
            <w:pPr>
              <w:jc w:val="both"/>
              <w:rPr>
                <w:rFonts w:ascii="Arial" w:hAnsi="Arial" w:cs="Arial"/>
                <w:lang w:eastAsia="en-GB"/>
              </w:rPr>
            </w:pPr>
            <w:r>
              <w:rPr>
                <w:rFonts w:ascii="Arial" w:hAnsi="Arial" w:cs="Arial"/>
                <w:lang w:eastAsia="en-GB"/>
              </w:rPr>
              <w:t>108</w:t>
            </w:r>
          </w:p>
        </w:tc>
        <w:tc>
          <w:tcPr>
            <w:tcW w:w="1980" w:type="dxa"/>
          </w:tcPr>
          <w:p w14:paraId="14F28EFC" w14:textId="77777777" w:rsidR="00FD7E85" w:rsidRDefault="00F456FA">
            <w:pPr>
              <w:jc w:val="both"/>
              <w:rPr>
                <w:rFonts w:ascii="Arial" w:hAnsi="Arial" w:cs="Arial"/>
                <w:lang w:eastAsia="en-GB"/>
              </w:rPr>
            </w:pPr>
            <w:r>
              <w:rPr>
                <w:rFonts w:ascii="Arial" w:hAnsi="Arial" w:cs="Arial"/>
                <w:lang w:eastAsia="en-GB"/>
              </w:rPr>
              <w:t>93.10</w:t>
            </w:r>
          </w:p>
        </w:tc>
      </w:tr>
      <w:tr w:rsidR="00FD7E85" w14:paraId="7EDEBBE8" w14:textId="77777777">
        <w:tc>
          <w:tcPr>
            <w:tcW w:w="0" w:type="auto"/>
          </w:tcPr>
          <w:p w14:paraId="738AB75F" w14:textId="77777777" w:rsidR="00FD7E85" w:rsidRDefault="00FD7E85">
            <w:pPr>
              <w:jc w:val="both"/>
              <w:rPr>
                <w:rFonts w:ascii="Arial" w:hAnsi="Arial" w:cs="Arial"/>
                <w:b/>
                <w:bCs/>
                <w:lang w:eastAsia="en-GB"/>
              </w:rPr>
            </w:pPr>
          </w:p>
        </w:tc>
        <w:tc>
          <w:tcPr>
            <w:tcW w:w="3071" w:type="dxa"/>
          </w:tcPr>
          <w:p w14:paraId="2BA9B10C" w14:textId="77777777" w:rsidR="00FD7E85" w:rsidRDefault="00F456FA">
            <w:pPr>
              <w:jc w:val="both"/>
              <w:rPr>
                <w:rFonts w:ascii="Arial" w:hAnsi="Arial" w:cs="Arial"/>
                <w:lang w:eastAsia="en-GB"/>
              </w:rPr>
            </w:pPr>
            <w:r>
              <w:rPr>
                <w:rFonts w:ascii="Arial" w:hAnsi="Arial" w:cs="Arial"/>
                <w:lang w:eastAsia="en-GB"/>
              </w:rPr>
              <w:t>Fresh Stillbirth</w:t>
            </w:r>
          </w:p>
        </w:tc>
        <w:tc>
          <w:tcPr>
            <w:tcW w:w="1800" w:type="dxa"/>
          </w:tcPr>
          <w:p w14:paraId="27F9E4D0" w14:textId="77777777" w:rsidR="00FD7E85" w:rsidRDefault="00F456FA">
            <w:pPr>
              <w:jc w:val="both"/>
              <w:rPr>
                <w:rFonts w:ascii="Arial" w:hAnsi="Arial" w:cs="Arial"/>
                <w:lang w:eastAsia="en-GB"/>
              </w:rPr>
            </w:pPr>
            <w:r>
              <w:rPr>
                <w:rFonts w:ascii="Arial" w:hAnsi="Arial" w:cs="Arial"/>
                <w:lang w:eastAsia="en-GB"/>
              </w:rPr>
              <w:t>4</w:t>
            </w:r>
          </w:p>
        </w:tc>
        <w:tc>
          <w:tcPr>
            <w:tcW w:w="1980" w:type="dxa"/>
          </w:tcPr>
          <w:p w14:paraId="38CBD608" w14:textId="77777777" w:rsidR="00FD7E85" w:rsidRDefault="00F456FA">
            <w:pPr>
              <w:jc w:val="both"/>
              <w:rPr>
                <w:rFonts w:ascii="Arial" w:hAnsi="Arial" w:cs="Arial"/>
                <w:lang w:eastAsia="en-GB"/>
              </w:rPr>
            </w:pPr>
            <w:r>
              <w:rPr>
                <w:rFonts w:ascii="Arial" w:hAnsi="Arial" w:cs="Arial"/>
                <w:lang w:eastAsia="en-GB"/>
              </w:rPr>
              <w:t>3.45</w:t>
            </w:r>
          </w:p>
        </w:tc>
      </w:tr>
      <w:tr w:rsidR="00FD7E85" w14:paraId="3C3C2C5B" w14:textId="77777777">
        <w:tc>
          <w:tcPr>
            <w:tcW w:w="0" w:type="auto"/>
          </w:tcPr>
          <w:p w14:paraId="41DBACAA" w14:textId="77777777" w:rsidR="00FD7E85" w:rsidRDefault="00FD7E85">
            <w:pPr>
              <w:jc w:val="both"/>
              <w:rPr>
                <w:rFonts w:ascii="Arial" w:hAnsi="Arial" w:cs="Arial"/>
                <w:b/>
                <w:bCs/>
                <w:lang w:eastAsia="en-GB"/>
              </w:rPr>
            </w:pPr>
          </w:p>
        </w:tc>
        <w:tc>
          <w:tcPr>
            <w:tcW w:w="3071" w:type="dxa"/>
          </w:tcPr>
          <w:p w14:paraId="237BD97D" w14:textId="77777777" w:rsidR="00FD7E85" w:rsidRDefault="00F456FA">
            <w:pPr>
              <w:jc w:val="both"/>
              <w:rPr>
                <w:rFonts w:ascii="Arial" w:hAnsi="Arial" w:cs="Arial"/>
                <w:lang w:eastAsia="en-GB"/>
              </w:rPr>
            </w:pPr>
            <w:r>
              <w:rPr>
                <w:rFonts w:ascii="Arial" w:hAnsi="Arial" w:cs="Arial"/>
                <w:lang w:eastAsia="en-GB"/>
              </w:rPr>
              <w:t>Macerated Stillbirth</w:t>
            </w:r>
          </w:p>
        </w:tc>
        <w:tc>
          <w:tcPr>
            <w:tcW w:w="1800" w:type="dxa"/>
          </w:tcPr>
          <w:p w14:paraId="6153612E" w14:textId="77777777" w:rsidR="00FD7E85" w:rsidRDefault="00F456FA">
            <w:pPr>
              <w:jc w:val="both"/>
              <w:rPr>
                <w:rFonts w:ascii="Arial" w:hAnsi="Arial" w:cs="Arial"/>
                <w:lang w:eastAsia="en-GB"/>
              </w:rPr>
            </w:pPr>
            <w:r>
              <w:rPr>
                <w:rFonts w:ascii="Arial" w:hAnsi="Arial" w:cs="Arial"/>
                <w:lang w:eastAsia="en-GB"/>
              </w:rPr>
              <w:t>3</w:t>
            </w:r>
          </w:p>
        </w:tc>
        <w:tc>
          <w:tcPr>
            <w:tcW w:w="1980" w:type="dxa"/>
          </w:tcPr>
          <w:p w14:paraId="56C41A92" w14:textId="77777777" w:rsidR="00FD7E85" w:rsidRDefault="00F456FA">
            <w:pPr>
              <w:jc w:val="both"/>
              <w:rPr>
                <w:rFonts w:ascii="Arial" w:hAnsi="Arial" w:cs="Arial"/>
                <w:lang w:eastAsia="en-GB"/>
              </w:rPr>
            </w:pPr>
            <w:r>
              <w:rPr>
                <w:rFonts w:ascii="Arial" w:hAnsi="Arial" w:cs="Arial"/>
                <w:lang w:eastAsia="en-GB"/>
              </w:rPr>
              <w:t>2.58</w:t>
            </w:r>
          </w:p>
        </w:tc>
      </w:tr>
      <w:tr w:rsidR="00FD7E85" w14:paraId="55B89CB0" w14:textId="77777777">
        <w:tc>
          <w:tcPr>
            <w:tcW w:w="0" w:type="auto"/>
          </w:tcPr>
          <w:p w14:paraId="6B7E6650" w14:textId="77777777" w:rsidR="00FD7E85" w:rsidRDefault="00FD7E85">
            <w:pPr>
              <w:jc w:val="both"/>
              <w:rPr>
                <w:rFonts w:ascii="Arial" w:hAnsi="Arial" w:cs="Arial"/>
                <w:b/>
                <w:bCs/>
                <w:lang w:eastAsia="en-GB"/>
              </w:rPr>
            </w:pPr>
          </w:p>
        </w:tc>
        <w:tc>
          <w:tcPr>
            <w:tcW w:w="3071" w:type="dxa"/>
          </w:tcPr>
          <w:p w14:paraId="6B28014C" w14:textId="77777777" w:rsidR="00FD7E85" w:rsidRDefault="00F456FA">
            <w:pPr>
              <w:jc w:val="both"/>
              <w:rPr>
                <w:rFonts w:ascii="Arial" w:hAnsi="Arial" w:cs="Arial"/>
                <w:lang w:eastAsia="en-GB"/>
              </w:rPr>
            </w:pPr>
            <w:r>
              <w:rPr>
                <w:rFonts w:ascii="Arial" w:hAnsi="Arial" w:cs="Arial"/>
                <w:lang w:eastAsia="en-GB"/>
              </w:rPr>
              <w:t>Postnatal Death</w:t>
            </w:r>
          </w:p>
        </w:tc>
        <w:tc>
          <w:tcPr>
            <w:tcW w:w="1800" w:type="dxa"/>
          </w:tcPr>
          <w:p w14:paraId="78C6B2B9" w14:textId="77777777" w:rsidR="00FD7E85" w:rsidRDefault="00F456FA">
            <w:pPr>
              <w:jc w:val="both"/>
              <w:rPr>
                <w:rFonts w:ascii="Arial" w:hAnsi="Arial" w:cs="Arial"/>
                <w:lang w:eastAsia="en-GB"/>
              </w:rPr>
            </w:pPr>
            <w:r>
              <w:rPr>
                <w:rFonts w:ascii="Arial" w:hAnsi="Arial" w:cs="Arial"/>
                <w:lang w:eastAsia="en-GB"/>
              </w:rPr>
              <w:t>1</w:t>
            </w:r>
          </w:p>
        </w:tc>
        <w:tc>
          <w:tcPr>
            <w:tcW w:w="1980" w:type="dxa"/>
          </w:tcPr>
          <w:p w14:paraId="79C3559F" w14:textId="77777777" w:rsidR="00FD7E85" w:rsidRDefault="00F456FA">
            <w:pPr>
              <w:jc w:val="both"/>
              <w:rPr>
                <w:rFonts w:ascii="Arial" w:hAnsi="Arial" w:cs="Arial"/>
                <w:lang w:eastAsia="en-GB"/>
              </w:rPr>
            </w:pPr>
            <w:r>
              <w:rPr>
                <w:rFonts w:ascii="Arial" w:hAnsi="Arial" w:cs="Arial"/>
                <w:lang w:eastAsia="en-GB"/>
              </w:rPr>
              <w:t>0.86</w:t>
            </w:r>
          </w:p>
        </w:tc>
      </w:tr>
      <w:tr w:rsidR="00FD7E85" w14:paraId="7A570B5A" w14:textId="77777777">
        <w:tc>
          <w:tcPr>
            <w:tcW w:w="0" w:type="auto"/>
          </w:tcPr>
          <w:p w14:paraId="265FE361" w14:textId="77777777" w:rsidR="00FD7E85" w:rsidRDefault="00F456FA">
            <w:pPr>
              <w:jc w:val="both"/>
              <w:rPr>
                <w:rFonts w:ascii="Arial" w:hAnsi="Arial" w:cs="Arial"/>
                <w:b/>
                <w:bCs/>
                <w:lang w:eastAsia="en-GB"/>
              </w:rPr>
            </w:pPr>
            <w:r>
              <w:rPr>
                <w:rFonts w:ascii="Arial" w:hAnsi="Arial" w:cs="Arial"/>
                <w:b/>
                <w:bCs/>
                <w:lang w:eastAsia="en-GB"/>
              </w:rPr>
              <w:t>Systolic Blood Pressure</w:t>
            </w:r>
          </w:p>
        </w:tc>
        <w:tc>
          <w:tcPr>
            <w:tcW w:w="3071" w:type="dxa"/>
          </w:tcPr>
          <w:p w14:paraId="47A2D91A" w14:textId="77777777" w:rsidR="00FD7E85" w:rsidRDefault="00F456FA">
            <w:pPr>
              <w:jc w:val="both"/>
              <w:rPr>
                <w:rFonts w:ascii="Arial" w:hAnsi="Arial" w:cs="Arial"/>
                <w:lang w:eastAsia="en-GB"/>
              </w:rPr>
            </w:pPr>
            <w:r>
              <w:rPr>
                <w:rFonts w:ascii="Arial" w:hAnsi="Arial" w:cs="Arial"/>
                <w:lang w:eastAsia="en-GB"/>
              </w:rPr>
              <w:t>Normal</w:t>
            </w:r>
          </w:p>
        </w:tc>
        <w:tc>
          <w:tcPr>
            <w:tcW w:w="1800" w:type="dxa"/>
          </w:tcPr>
          <w:p w14:paraId="4D6FA49E" w14:textId="77777777" w:rsidR="00FD7E85" w:rsidRDefault="00F456FA">
            <w:pPr>
              <w:jc w:val="both"/>
              <w:rPr>
                <w:rFonts w:ascii="Arial" w:hAnsi="Arial" w:cs="Arial"/>
                <w:lang w:eastAsia="en-GB"/>
              </w:rPr>
            </w:pPr>
            <w:r>
              <w:rPr>
                <w:rFonts w:ascii="Arial" w:hAnsi="Arial" w:cs="Arial"/>
                <w:lang w:eastAsia="en-GB"/>
              </w:rPr>
              <w:t>41</w:t>
            </w:r>
          </w:p>
        </w:tc>
        <w:tc>
          <w:tcPr>
            <w:tcW w:w="1980" w:type="dxa"/>
          </w:tcPr>
          <w:p w14:paraId="4F0B29FF" w14:textId="77777777" w:rsidR="00FD7E85" w:rsidRDefault="00F456FA">
            <w:pPr>
              <w:jc w:val="both"/>
              <w:rPr>
                <w:rFonts w:ascii="Arial" w:hAnsi="Arial" w:cs="Arial"/>
                <w:lang w:eastAsia="en-GB"/>
              </w:rPr>
            </w:pPr>
            <w:r>
              <w:rPr>
                <w:rFonts w:ascii="Arial" w:hAnsi="Arial" w:cs="Arial"/>
                <w:lang w:eastAsia="en-GB"/>
              </w:rPr>
              <w:t>35.34</w:t>
            </w:r>
          </w:p>
        </w:tc>
      </w:tr>
      <w:tr w:rsidR="00FD7E85" w14:paraId="58922A13" w14:textId="77777777">
        <w:tc>
          <w:tcPr>
            <w:tcW w:w="0" w:type="auto"/>
          </w:tcPr>
          <w:p w14:paraId="785B753A" w14:textId="77777777" w:rsidR="00FD7E85" w:rsidRDefault="00FD7E85">
            <w:pPr>
              <w:jc w:val="both"/>
              <w:rPr>
                <w:rFonts w:ascii="Arial" w:hAnsi="Arial" w:cs="Arial"/>
                <w:b/>
                <w:bCs/>
                <w:lang w:eastAsia="en-GB"/>
              </w:rPr>
            </w:pPr>
          </w:p>
        </w:tc>
        <w:tc>
          <w:tcPr>
            <w:tcW w:w="3071" w:type="dxa"/>
          </w:tcPr>
          <w:p w14:paraId="67AD23E2" w14:textId="77777777" w:rsidR="00FD7E85" w:rsidRDefault="00F456FA">
            <w:pPr>
              <w:jc w:val="both"/>
              <w:rPr>
                <w:rFonts w:ascii="Arial" w:hAnsi="Arial" w:cs="Arial"/>
                <w:lang w:eastAsia="en-GB"/>
              </w:rPr>
            </w:pPr>
            <w:r>
              <w:rPr>
                <w:rFonts w:ascii="Arial" w:hAnsi="Arial" w:cs="Arial"/>
                <w:lang w:eastAsia="en-GB"/>
              </w:rPr>
              <w:t>Mild High</w:t>
            </w:r>
          </w:p>
        </w:tc>
        <w:tc>
          <w:tcPr>
            <w:tcW w:w="1800" w:type="dxa"/>
          </w:tcPr>
          <w:p w14:paraId="78469201" w14:textId="77777777" w:rsidR="00FD7E85" w:rsidRDefault="00F456FA">
            <w:pPr>
              <w:jc w:val="both"/>
              <w:rPr>
                <w:rFonts w:ascii="Arial" w:hAnsi="Arial" w:cs="Arial"/>
                <w:lang w:eastAsia="en-GB"/>
              </w:rPr>
            </w:pPr>
            <w:r>
              <w:rPr>
                <w:rFonts w:ascii="Arial" w:hAnsi="Arial" w:cs="Arial"/>
                <w:lang w:eastAsia="en-GB"/>
              </w:rPr>
              <w:t>34</w:t>
            </w:r>
          </w:p>
        </w:tc>
        <w:tc>
          <w:tcPr>
            <w:tcW w:w="1980" w:type="dxa"/>
          </w:tcPr>
          <w:p w14:paraId="465C28B3" w14:textId="77777777" w:rsidR="00FD7E85" w:rsidRDefault="00F456FA">
            <w:pPr>
              <w:jc w:val="both"/>
              <w:rPr>
                <w:rFonts w:ascii="Arial" w:hAnsi="Arial" w:cs="Arial"/>
                <w:lang w:eastAsia="en-GB"/>
              </w:rPr>
            </w:pPr>
            <w:r>
              <w:rPr>
                <w:rFonts w:ascii="Arial" w:hAnsi="Arial" w:cs="Arial"/>
                <w:lang w:eastAsia="en-GB"/>
              </w:rPr>
              <w:t>29.31</w:t>
            </w:r>
          </w:p>
        </w:tc>
      </w:tr>
      <w:tr w:rsidR="00FD7E85" w14:paraId="3D2EB5E4" w14:textId="77777777">
        <w:tc>
          <w:tcPr>
            <w:tcW w:w="0" w:type="auto"/>
          </w:tcPr>
          <w:p w14:paraId="7A650CF1" w14:textId="77777777" w:rsidR="00FD7E85" w:rsidRDefault="00FD7E85">
            <w:pPr>
              <w:jc w:val="both"/>
              <w:rPr>
                <w:rFonts w:ascii="Arial" w:hAnsi="Arial" w:cs="Arial"/>
                <w:b/>
                <w:bCs/>
                <w:lang w:eastAsia="en-GB"/>
              </w:rPr>
            </w:pPr>
          </w:p>
        </w:tc>
        <w:tc>
          <w:tcPr>
            <w:tcW w:w="3071" w:type="dxa"/>
          </w:tcPr>
          <w:p w14:paraId="11AE64ED" w14:textId="77777777" w:rsidR="00FD7E85" w:rsidRDefault="00F456FA">
            <w:pPr>
              <w:jc w:val="both"/>
              <w:rPr>
                <w:rFonts w:ascii="Arial" w:hAnsi="Arial" w:cs="Arial"/>
                <w:lang w:eastAsia="en-GB"/>
              </w:rPr>
            </w:pPr>
            <w:r>
              <w:rPr>
                <w:rFonts w:ascii="Arial" w:hAnsi="Arial" w:cs="Arial"/>
                <w:lang w:eastAsia="en-GB"/>
              </w:rPr>
              <w:t>Moderate High</w:t>
            </w:r>
          </w:p>
        </w:tc>
        <w:tc>
          <w:tcPr>
            <w:tcW w:w="1800" w:type="dxa"/>
          </w:tcPr>
          <w:p w14:paraId="6A6296CF" w14:textId="77777777" w:rsidR="00FD7E85" w:rsidRDefault="00F456FA">
            <w:pPr>
              <w:jc w:val="both"/>
              <w:rPr>
                <w:rFonts w:ascii="Arial" w:hAnsi="Arial" w:cs="Arial"/>
                <w:lang w:eastAsia="en-GB"/>
              </w:rPr>
            </w:pPr>
            <w:r>
              <w:rPr>
                <w:rFonts w:ascii="Arial" w:hAnsi="Arial" w:cs="Arial"/>
                <w:lang w:eastAsia="en-GB"/>
              </w:rPr>
              <w:t>17</w:t>
            </w:r>
          </w:p>
        </w:tc>
        <w:tc>
          <w:tcPr>
            <w:tcW w:w="1980" w:type="dxa"/>
          </w:tcPr>
          <w:p w14:paraId="634084AC" w14:textId="77777777" w:rsidR="00FD7E85" w:rsidRDefault="00F456FA">
            <w:pPr>
              <w:jc w:val="both"/>
              <w:rPr>
                <w:rFonts w:ascii="Arial" w:hAnsi="Arial" w:cs="Arial"/>
                <w:lang w:eastAsia="en-GB"/>
              </w:rPr>
            </w:pPr>
            <w:r>
              <w:rPr>
                <w:rFonts w:ascii="Arial" w:hAnsi="Arial" w:cs="Arial"/>
                <w:lang w:eastAsia="en-GB"/>
              </w:rPr>
              <w:t>14.66</w:t>
            </w:r>
          </w:p>
        </w:tc>
      </w:tr>
      <w:tr w:rsidR="00FD7E85" w14:paraId="4CC74FEE" w14:textId="77777777">
        <w:tc>
          <w:tcPr>
            <w:tcW w:w="0" w:type="auto"/>
          </w:tcPr>
          <w:p w14:paraId="4404CBE3" w14:textId="77777777" w:rsidR="00FD7E85" w:rsidRDefault="00FD7E85">
            <w:pPr>
              <w:jc w:val="both"/>
              <w:rPr>
                <w:rFonts w:ascii="Arial" w:hAnsi="Arial" w:cs="Arial"/>
                <w:b/>
                <w:bCs/>
                <w:lang w:eastAsia="en-GB"/>
              </w:rPr>
            </w:pPr>
          </w:p>
        </w:tc>
        <w:tc>
          <w:tcPr>
            <w:tcW w:w="3071" w:type="dxa"/>
          </w:tcPr>
          <w:p w14:paraId="070E9810" w14:textId="77777777" w:rsidR="00FD7E85" w:rsidRDefault="00F456FA">
            <w:pPr>
              <w:jc w:val="both"/>
              <w:rPr>
                <w:rFonts w:ascii="Arial" w:hAnsi="Arial" w:cs="Arial"/>
                <w:lang w:eastAsia="en-GB"/>
              </w:rPr>
            </w:pPr>
            <w:r>
              <w:rPr>
                <w:rFonts w:ascii="Arial" w:hAnsi="Arial" w:cs="Arial"/>
                <w:lang w:eastAsia="en-GB"/>
              </w:rPr>
              <w:t>Severe</w:t>
            </w:r>
          </w:p>
        </w:tc>
        <w:tc>
          <w:tcPr>
            <w:tcW w:w="1800" w:type="dxa"/>
          </w:tcPr>
          <w:p w14:paraId="55EC540F" w14:textId="77777777" w:rsidR="00FD7E85" w:rsidRDefault="00F456FA">
            <w:pPr>
              <w:jc w:val="both"/>
              <w:rPr>
                <w:rFonts w:ascii="Arial" w:hAnsi="Arial" w:cs="Arial"/>
                <w:lang w:eastAsia="en-GB"/>
              </w:rPr>
            </w:pPr>
            <w:r>
              <w:rPr>
                <w:rFonts w:ascii="Arial" w:hAnsi="Arial" w:cs="Arial"/>
                <w:lang w:eastAsia="en-GB"/>
              </w:rPr>
              <w:t>24</w:t>
            </w:r>
          </w:p>
        </w:tc>
        <w:tc>
          <w:tcPr>
            <w:tcW w:w="1980" w:type="dxa"/>
          </w:tcPr>
          <w:p w14:paraId="6661B0C4" w14:textId="77777777" w:rsidR="00FD7E85" w:rsidRDefault="00F456FA">
            <w:pPr>
              <w:jc w:val="both"/>
              <w:rPr>
                <w:rFonts w:ascii="Arial" w:hAnsi="Arial" w:cs="Arial"/>
                <w:lang w:eastAsia="en-GB"/>
              </w:rPr>
            </w:pPr>
            <w:r>
              <w:rPr>
                <w:rFonts w:ascii="Arial" w:hAnsi="Arial" w:cs="Arial"/>
                <w:lang w:eastAsia="en-GB"/>
              </w:rPr>
              <w:t>20.69</w:t>
            </w:r>
          </w:p>
        </w:tc>
      </w:tr>
      <w:tr w:rsidR="00FD7E85" w14:paraId="2BACACC8" w14:textId="77777777">
        <w:tc>
          <w:tcPr>
            <w:tcW w:w="0" w:type="auto"/>
          </w:tcPr>
          <w:p w14:paraId="1552398D" w14:textId="77777777" w:rsidR="00FD7E85" w:rsidRDefault="00F456FA">
            <w:pPr>
              <w:jc w:val="both"/>
              <w:rPr>
                <w:rFonts w:ascii="Arial" w:hAnsi="Arial" w:cs="Arial"/>
                <w:b/>
                <w:bCs/>
                <w:lang w:eastAsia="en-GB"/>
              </w:rPr>
            </w:pPr>
            <w:r>
              <w:rPr>
                <w:rFonts w:ascii="Arial" w:hAnsi="Arial" w:cs="Arial"/>
                <w:b/>
                <w:bCs/>
                <w:lang w:eastAsia="en-GB"/>
              </w:rPr>
              <w:t>Diastolic Blood Pressure</w:t>
            </w:r>
          </w:p>
        </w:tc>
        <w:tc>
          <w:tcPr>
            <w:tcW w:w="3071" w:type="dxa"/>
          </w:tcPr>
          <w:p w14:paraId="0E7692C5" w14:textId="77777777" w:rsidR="00FD7E85" w:rsidRDefault="00F456FA">
            <w:pPr>
              <w:jc w:val="both"/>
              <w:rPr>
                <w:rFonts w:ascii="Arial" w:hAnsi="Arial" w:cs="Arial"/>
                <w:lang w:eastAsia="en-GB"/>
              </w:rPr>
            </w:pPr>
            <w:r>
              <w:rPr>
                <w:rFonts w:ascii="Arial" w:hAnsi="Arial" w:cs="Arial"/>
                <w:lang w:eastAsia="en-GB"/>
              </w:rPr>
              <w:t>Normal</w:t>
            </w:r>
          </w:p>
        </w:tc>
        <w:tc>
          <w:tcPr>
            <w:tcW w:w="1800" w:type="dxa"/>
          </w:tcPr>
          <w:p w14:paraId="75E93A0C" w14:textId="77777777" w:rsidR="00FD7E85" w:rsidRDefault="00F456FA">
            <w:pPr>
              <w:jc w:val="both"/>
              <w:rPr>
                <w:rFonts w:ascii="Arial" w:hAnsi="Arial" w:cs="Arial"/>
                <w:lang w:eastAsia="en-GB"/>
              </w:rPr>
            </w:pPr>
            <w:r>
              <w:rPr>
                <w:rFonts w:ascii="Arial" w:hAnsi="Arial" w:cs="Arial"/>
                <w:lang w:eastAsia="en-GB"/>
              </w:rPr>
              <w:t>79</w:t>
            </w:r>
          </w:p>
        </w:tc>
        <w:tc>
          <w:tcPr>
            <w:tcW w:w="1980" w:type="dxa"/>
          </w:tcPr>
          <w:p w14:paraId="0F64DE31" w14:textId="77777777" w:rsidR="00FD7E85" w:rsidRDefault="00F456FA">
            <w:pPr>
              <w:jc w:val="both"/>
              <w:rPr>
                <w:rFonts w:ascii="Arial" w:hAnsi="Arial" w:cs="Arial"/>
                <w:lang w:eastAsia="en-GB"/>
              </w:rPr>
            </w:pPr>
            <w:r>
              <w:rPr>
                <w:rFonts w:ascii="Arial" w:hAnsi="Arial" w:cs="Arial"/>
                <w:lang w:eastAsia="en-GB"/>
              </w:rPr>
              <w:t>68.10</w:t>
            </w:r>
          </w:p>
        </w:tc>
      </w:tr>
      <w:tr w:rsidR="00FD7E85" w14:paraId="2BB6895A" w14:textId="77777777">
        <w:tc>
          <w:tcPr>
            <w:tcW w:w="0" w:type="auto"/>
          </w:tcPr>
          <w:p w14:paraId="1A6D4A3A" w14:textId="77777777" w:rsidR="00FD7E85" w:rsidRDefault="00FD7E85">
            <w:pPr>
              <w:jc w:val="both"/>
              <w:rPr>
                <w:rFonts w:ascii="Arial" w:hAnsi="Arial" w:cs="Arial"/>
                <w:b/>
                <w:bCs/>
                <w:lang w:eastAsia="en-GB"/>
              </w:rPr>
            </w:pPr>
          </w:p>
        </w:tc>
        <w:tc>
          <w:tcPr>
            <w:tcW w:w="3071" w:type="dxa"/>
          </w:tcPr>
          <w:p w14:paraId="6DC5572D" w14:textId="77777777" w:rsidR="00FD7E85" w:rsidRDefault="00F456FA">
            <w:pPr>
              <w:jc w:val="both"/>
              <w:rPr>
                <w:rFonts w:ascii="Arial" w:hAnsi="Arial" w:cs="Arial"/>
                <w:lang w:eastAsia="en-GB"/>
              </w:rPr>
            </w:pPr>
            <w:r>
              <w:rPr>
                <w:rFonts w:ascii="Arial" w:hAnsi="Arial" w:cs="Arial"/>
                <w:lang w:eastAsia="en-GB"/>
              </w:rPr>
              <w:t>Mild High</w:t>
            </w:r>
          </w:p>
        </w:tc>
        <w:tc>
          <w:tcPr>
            <w:tcW w:w="1800" w:type="dxa"/>
          </w:tcPr>
          <w:p w14:paraId="46AE5DD2" w14:textId="77777777" w:rsidR="00FD7E85" w:rsidRDefault="00F456FA">
            <w:pPr>
              <w:jc w:val="both"/>
              <w:rPr>
                <w:rFonts w:ascii="Arial" w:hAnsi="Arial" w:cs="Arial"/>
                <w:lang w:eastAsia="en-GB"/>
              </w:rPr>
            </w:pPr>
            <w:r>
              <w:rPr>
                <w:rFonts w:ascii="Arial" w:hAnsi="Arial" w:cs="Arial"/>
                <w:lang w:eastAsia="en-GB"/>
              </w:rPr>
              <w:t>9</w:t>
            </w:r>
          </w:p>
        </w:tc>
        <w:tc>
          <w:tcPr>
            <w:tcW w:w="1980" w:type="dxa"/>
          </w:tcPr>
          <w:p w14:paraId="2A522086" w14:textId="77777777" w:rsidR="00FD7E85" w:rsidRDefault="00F456FA">
            <w:pPr>
              <w:jc w:val="both"/>
              <w:rPr>
                <w:rFonts w:ascii="Arial" w:hAnsi="Arial" w:cs="Arial"/>
                <w:lang w:eastAsia="en-GB"/>
              </w:rPr>
            </w:pPr>
            <w:r>
              <w:rPr>
                <w:rFonts w:ascii="Arial" w:hAnsi="Arial" w:cs="Arial"/>
                <w:lang w:eastAsia="en-GB"/>
              </w:rPr>
              <w:t>7.76</w:t>
            </w:r>
          </w:p>
        </w:tc>
      </w:tr>
      <w:tr w:rsidR="00FD7E85" w14:paraId="05DD8998" w14:textId="77777777">
        <w:tc>
          <w:tcPr>
            <w:tcW w:w="0" w:type="auto"/>
          </w:tcPr>
          <w:p w14:paraId="14BFFEEA" w14:textId="77777777" w:rsidR="00FD7E85" w:rsidRDefault="00FD7E85">
            <w:pPr>
              <w:jc w:val="both"/>
              <w:rPr>
                <w:rFonts w:ascii="Arial" w:hAnsi="Arial" w:cs="Arial"/>
                <w:b/>
                <w:bCs/>
                <w:lang w:eastAsia="en-GB"/>
              </w:rPr>
            </w:pPr>
          </w:p>
        </w:tc>
        <w:tc>
          <w:tcPr>
            <w:tcW w:w="3071" w:type="dxa"/>
          </w:tcPr>
          <w:p w14:paraId="24A319D9" w14:textId="77777777" w:rsidR="00FD7E85" w:rsidRDefault="00F456FA">
            <w:pPr>
              <w:jc w:val="both"/>
              <w:rPr>
                <w:rFonts w:ascii="Arial" w:hAnsi="Arial" w:cs="Arial"/>
                <w:lang w:eastAsia="en-GB"/>
              </w:rPr>
            </w:pPr>
            <w:r>
              <w:rPr>
                <w:rFonts w:ascii="Arial" w:hAnsi="Arial" w:cs="Arial"/>
                <w:lang w:eastAsia="en-GB"/>
              </w:rPr>
              <w:t>Moderate High</w:t>
            </w:r>
          </w:p>
        </w:tc>
        <w:tc>
          <w:tcPr>
            <w:tcW w:w="1800" w:type="dxa"/>
          </w:tcPr>
          <w:p w14:paraId="20234E36" w14:textId="77777777" w:rsidR="00FD7E85" w:rsidRDefault="00F456FA">
            <w:pPr>
              <w:jc w:val="both"/>
              <w:rPr>
                <w:rFonts w:ascii="Arial" w:hAnsi="Arial" w:cs="Arial"/>
                <w:lang w:eastAsia="en-GB"/>
              </w:rPr>
            </w:pPr>
            <w:r>
              <w:rPr>
                <w:rFonts w:ascii="Arial" w:hAnsi="Arial" w:cs="Arial"/>
                <w:lang w:eastAsia="en-GB"/>
              </w:rPr>
              <w:t>20</w:t>
            </w:r>
          </w:p>
        </w:tc>
        <w:tc>
          <w:tcPr>
            <w:tcW w:w="1980" w:type="dxa"/>
          </w:tcPr>
          <w:p w14:paraId="057C1FD3" w14:textId="77777777" w:rsidR="00FD7E85" w:rsidRDefault="00F456FA">
            <w:pPr>
              <w:jc w:val="both"/>
              <w:rPr>
                <w:rFonts w:ascii="Arial" w:hAnsi="Arial" w:cs="Arial"/>
                <w:lang w:eastAsia="en-GB"/>
              </w:rPr>
            </w:pPr>
            <w:r>
              <w:rPr>
                <w:rFonts w:ascii="Arial" w:hAnsi="Arial" w:cs="Arial"/>
                <w:lang w:eastAsia="en-GB"/>
              </w:rPr>
              <w:t>17.24</w:t>
            </w:r>
          </w:p>
        </w:tc>
      </w:tr>
      <w:tr w:rsidR="00FD7E85" w14:paraId="34ED00F7" w14:textId="77777777">
        <w:tc>
          <w:tcPr>
            <w:tcW w:w="0" w:type="auto"/>
          </w:tcPr>
          <w:p w14:paraId="1EF43894" w14:textId="77777777" w:rsidR="00FD7E85" w:rsidRDefault="00FD7E85">
            <w:pPr>
              <w:jc w:val="both"/>
              <w:rPr>
                <w:rFonts w:ascii="Arial" w:hAnsi="Arial" w:cs="Arial"/>
                <w:b/>
                <w:bCs/>
                <w:lang w:eastAsia="en-GB"/>
              </w:rPr>
            </w:pPr>
          </w:p>
        </w:tc>
        <w:tc>
          <w:tcPr>
            <w:tcW w:w="3071" w:type="dxa"/>
          </w:tcPr>
          <w:p w14:paraId="1A2B4DA0" w14:textId="77777777" w:rsidR="00FD7E85" w:rsidRDefault="00F456FA">
            <w:pPr>
              <w:jc w:val="both"/>
              <w:rPr>
                <w:rFonts w:ascii="Arial" w:hAnsi="Arial" w:cs="Arial"/>
                <w:lang w:eastAsia="en-GB"/>
              </w:rPr>
            </w:pPr>
            <w:r>
              <w:rPr>
                <w:rFonts w:ascii="Arial" w:hAnsi="Arial" w:cs="Arial"/>
                <w:lang w:eastAsia="en-GB"/>
              </w:rPr>
              <w:t>Severe</w:t>
            </w:r>
          </w:p>
        </w:tc>
        <w:tc>
          <w:tcPr>
            <w:tcW w:w="1800" w:type="dxa"/>
          </w:tcPr>
          <w:p w14:paraId="0A4DAE06" w14:textId="77777777" w:rsidR="00FD7E85" w:rsidRDefault="00F456FA">
            <w:pPr>
              <w:jc w:val="both"/>
              <w:rPr>
                <w:rFonts w:ascii="Arial" w:hAnsi="Arial" w:cs="Arial"/>
                <w:lang w:eastAsia="en-GB"/>
              </w:rPr>
            </w:pPr>
            <w:r>
              <w:rPr>
                <w:rFonts w:ascii="Arial" w:hAnsi="Arial" w:cs="Arial"/>
                <w:lang w:eastAsia="en-GB"/>
              </w:rPr>
              <w:t>8</w:t>
            </w:r>
          </w:p>
        </w:tc>
        <w:tc>
          <w:tcPr>
            <w:tcW w:w="1980" w:type="dxa"/>
          </w:tcPr>
          <w:p w14:paraId="6119C6D0" w14:textId="77777777" w:rsidR="00FD7E85" w:rsidRDefault="00F456FA">
            <w:pPr>
              <w:jc w:val="both"/>
              <w:rPr>
                <w:rFonts w:ascii="Arial" w:hAnsi="Arial" w:cs="Arial"/>
                <w:lang w:eastAsia="en-GB"/>
              </w:rPr>
            </w:pPr>
            <w:r>
              <w:rPr>
                <w:rFonts w:ascii="Arial" w:hAnsi="Arial" w:cs="Arial"/>
                <w:lang w:eastAsia="en-GB"/>
              </w:rPr>
              <w:t>6.90</w:t>
            </w:r>
          </w:p>
        </w:tc>
      </w:tr>
      <w:tr w:rsidR="00FD7E85" w14:paraId="2A3AB5B9" w14:textId="77777777">
        <w:tc>
          <w:tcPr>
            <w:tcW w:w="0" w:type="auto"/>
          </w:tcPr>
          <w:p w14:paraId="034AD0B0" w14:textId="77777777" w:rsidR="00FD7E85" w:rsidRDefault="00F456FA">
            <w:pPr>
              <w:jc w:val="both"/>
              <w:rPr>
                <w:rFonts w:ascii="Arial" w:hAnsi="Arial" w:cs="Arial"/>
                <w:b/>
                <w:bCs/>
                <w:lang w:eastAsia="en-GB"/>
              </w:rPr>
            </w:pPr>
            <w:bookmarkStart w:id="26" w:name="_Hlk202204158"/>
            <w:r>
              <w:rPr>
                <w:rFonts w:ascii="Arial" w:hAnsi="Arial" w:cs="Arial"/>
                <w:b/>
                <w:bCs/>
                <w:lang w:eastAsia="en-GB"/>
              </w:rPr>
              <w:t>Apgar Score at 5 Minutes</w:t>
            </w:r>
          </w:p>
        </w:tc>
        <w:tc>
          <w:tcPr>
            <w:tcW w:w="3071" w:type="dxa"/>
          </w:tcPr>
          <w:p w14:paraId="683491F4" w14:textId="77777777" w:rsidR="00FD7E85" w:rsidRDefault="00F456FA">
            <w:pPr>
              <w:jc w:val="both"/>
              <w:rPr>
                <w:rFonts w:ascii="Arial" w:hAnsi="Arial" w:cs="Arial"/>
                <w:lang w:eastAsia="en-GB"/>
              </w:rPr>
            </w:pPr>
            <w:r>
              <w:rPr>
                <w:rFonts w:ascii="Arial" w:hAnsi="Arial" w:cs="Arial"/>
                <w:lang w:eastAsia="en-GB"/>
              </w:rPr>
              <w:t>Normal (&gt;7)</w:t>
            </w:r>
          </w:p>
        </w:tc>
        <w:tc>
          <w:tcPr>
            <w:tcW w:w="1800" w:type="dxa"/>
          </w:tcPr>
          <w:p w14:paraId="43D02951" w14:textId="77777777" w:rsidR="00FD7E85" w:rsidRDefault="00F456FA">
            <w:pPr>
              <w:jc w:val="both"/>
              <w:rPr>
                <w:rFonts w:ascii="Arial" w:hAnsi="Arial" w:cs="Arial"/>
                <w:lang w:eastAsia="en-GB"/>
              </w:rPr>
            </w:pPr>
            <w:r>
              <w:rPr>
                <w:rFonts w:ascii="Arial" w:hAnsi="Arial" w:cs="Arial"/>
                <w:lang w:eastAsia="en-GB"/>
              </w:rPr>
              <w:t>91</w:t>
            </w:r>
          </w:p>
        </w:tc>
        <w:tc>
          <w:tcPr>
            <w:tcW w:w="1980" w:type="dxa"/>
          </w:tcPr>
          <w:p w14:paraId="23CDD395" w14:textId="562A13D5" w:rsidR="00FD7E85" w:rsidRDefault="00F456FA">
            <w:pPr>
              <w:jc w:val="both"/>
              <w:rPr>
                <w:rFonts w:ascii="Arial" w:hAnsi="Arial" w:cs="Arial"/>
                <w:lang w:eastAsia="en-GB"/>
              </w:rPr>
            </w:pPr>
            <w:r>
              <w:rPr>
                <w:rFonts w:ascii="Arial" w:hAnsi="Arial" w:cs="Arial"/>
                <w:lang w:eastAsia="en-GB"/>
              </w:rPr>
              <w:t>79.8</w:t>
            </w:r>
          </w:p>
        </w:tc>
      </w:tr>
      <w:bookmarkEnd w:id="26"/>
      <w:tr w:rsidR="00FD7E85" w14:paraId="7436429C" w14:textId="77777777">
        <w:tc>
          <w:tcPr>
            <w:tcW w:w="0" w:type="auto"/>
          </w:tcPr>
          <w:p w14:paraId="295A55B2" w14:textId="77777777" w:rsidR="00FD7E85" w:rsidRDefault="00FD7E85">
            <w:pPr>
              <w:jc w:val="both"/>
              <w:rPr>
                <w:rFonts w:ascii="Arial" w:hAnsi="Arial" w:cs="Arial"/>
                <w:b/>
                <w:bCs/>
                <w:lang w:eastAsia="en-GB"/>
              </w:rPr>
            </w:pPr>
          </w:p>
        </w:tc>
        <w:tc>
          <w:tcPr>
            <w:tcW w:w="3071" w:type="dxa"/>
          </w:tcPr>
          <w:p w14:paraId="09965F31" w14:textId="77777777" w:rsidR="00FD7E85" w:rsidRDefault="00F456FA">
            <w:pPr>
              <w:jc w:val="both"/>
              <w:rPr>
                <w:rFonts w:ascii="Arial" w:hAnsi="Arial" w:cs="Arial"/>
                <w:lang w:eastAsia="en-GB"/>
              </w:rPr>
            </w:pPr>
            <w:r>
              <w:rPr>
                <w:rFonts w:ascii="Arial" w:hAnsi="Arial" w:cs="Arial"/>
                <w:lang w:eastAsia="en-GB"/>
              </w:rPr>
              <w:t>Moderate Asphyxia (4–6)</w:t>
            </w:r>
          </w:p>
        </w:tc>
        <w:tc>
          <w:tcPr>
            <w:tcW w:w="1800" w:type="dxa"/>
          </w:tcPr>
          <w:p w14:paraId="68CE7FE3" w14:textId="77777777" w:rsidR="00FD7E85" w:rsidRDefault="00F456FA">
            <w:pPr>
              <w:jc w:val="both"/>
              <w:rPr>
                <w:rFonts w:ascii="Arial" w:hAnsi="Arial" w:cs="Arial"/>
                <w:lang w:eastAsia="en-GB"/>
              </w:rPr>
            </w:pPr>
            <w:r>
              <w:rPr>
                <w:rFonts w:ascii="Arial" w:hAnsi="Arial" w:cs="Arial"/>
                <w:lang w:eastAsia="en-GB"/>
              </w:rPr>
              <w:t>16</w:t>
            </w:r>
          </w:p>
        </w:tc>
        <w:tc>
          <w:tcPr>
            <w:tcW w:w="1980" w:type="dxa"/>
          </w:tcPr>
          <w:p w14:paraId="550D244B" w14:textId="0533602C" w:rsidR="00FD7E85" w:rsidRDefault="00F456FA">
            <w:pPr>
              <w:jc w:val="both"/>
              <w:rPr>
                <w:rFonts w:ascii="Arial" w:hAnsi="Arial" w:cs="Arial"/>
                <w:lang w:eastAsia="en-GB"/>
              </w:rPr>
            </w:pPr>
            <w:r>
              <w:rPr>
                <w:rFonts w:ascii="Arial" w:hAnsi="Arial" w:cs="Arial"/>
                <w:lang w:eastAsia="en-GB"/>
              </w:rPr>
              <w:t>14.</w:t>
            </w:r>
            <w:r w:rsidR="00225572">
              <w:rPr>
                <w:rFonts w:ascii="Arial" w:hAnsi="Arial" w:cs="Arial"/>
                <w:lang w:eastAsia="en-GB"/>
              </w:rPr>
              <w:t>1</w:t>
            </w:r>
          </w:p>
        </w:tc>
      </w:tr>
      <w:tr w:rsidR="00FD7E85" w14:paraId="678810FE" w14:textId="77777777">
        <w:tc>
          <w:tcPr>
            <w:tcW w:w="0" w:type="auto"/>
          </w:tcPr>
          <w:p w14:paraId="60A6540E" w14:textId="77777777" w:rsidR="00FD7E85" w:rsidRDefault="00FD7E85">
            <w:pPr>
              <w:jc w:val="both"/>
              <w:rPr>
                <w:rFonts w:ascii="Arial" w:hAnsi="Arial" w:cs="Arial"/>
                <w:b/>
                <w:bCs/>
                <w:lang w:eastAsia="en-GB"/>
              </w:rPr>
            </w:pPr>
          </w:p>
        </w:tc>
        <w:tc>
          <w:tcPr>
            <w:tcW w:w="3071" w:type="dxa"/>
          </w:tcPr>
          <w:p w14:paraId="67F380D0" w14:textId="77777777" w:rsidR="00FD7E85" w:rsidRDefault="00F456FA">
            <w:pPr>
              <w:jc w:val="both"/>
              <w:rPr>
                <w:rFonts w:ascii="Arial" w:hAnsi="Arial" w:cs="Arial"/>
                <w:lang w:eastAsia="en-GB"/>
              </w:rPr>
            </w:pPr>
            <w:r>
              <w:rPr>
                <w:rFonts w:ascii="Arial" w:hAnsi="Arial" w:cs="Arial"/>
                <w:lang w:eastAsia="en-GB"/>
              </w:rPr>
              <w:t>Severe Asphyxia (&lt;3)</w:t>
            </w:r>
          </w:p>
        </w:tc>
        <w:tc>
          <w:tcPr>
            <w:tcW w:w="1800" w:type="dxa"/>
          </w:tcPr>
          <w:p w14:paraId="03A1A2B4" w14:textId="77777777" w:rsidR="00FD7E85" w:rsidRDefault="00F456FA">
            <w:pPr>
              <w:jc w:val="both"/>
              <w:rPr>
                <w:rFonts w:ascii="Arial" w:hAnsi="Arial" w:cs="Arial"/>
                <w:lang w:eastAsia="en-GB"/>
              </w:rPr>
            </w:pPr>
            <w:r>
              <w:rPr>
                <w:rFonts w:ascii="Arial" w:hAnsi="Arial" w:cs="Arial"/>
                <w:lang w:eastAsia="en-GB"/>
              </w:rPr>
              <w:t>7</w:t>
            </w:r>
          </w:p>
        </w:tc>
        <w:tc>
          <w:tcPr>
            <w:tcW w:w="1980" w:type="dxa"/>
          </w:tcPr>
          <w:p w14:paraId="6AEB7F85" w14:textId="0DBE3CAB" w:rsidR="00FD7E85" w:rsidRDefault="00F456FA">
            <w:pPr>
              <w:jc w:val="both"/>
              <w:rPr>
                <w:rFonts w:ascii="Arial" w:hAnsi="Arial" w:cs="Arial"/>
                <w:lang w:eastAsia="en-GB"/>
              </w:rPr>
            </w:pPr>
            <w:r>
              <w:rPr>
                <w:rFonts w:ascii="Arial" w:hAnsi="Arial" w:cs="Arial"/>
                <w:lang w:eastAsia="en-GB"/>
              </w:rPr>
              <w:t>6.1</w:t>
            </w:r>
          </w:p>
        </w:tc>
      </w:tr>
      <w:tr w:rsidR="00FD7E85" w14:paraId="55CC04CA" w14:textId="77777777">
        <w:tc>
          <w:tcPr>
            <w:tcW w:w="0" w:type="auto"/>
          </w:tcPr>
          <w:p w14:paraId="6A00CDE4" w14:textId="77777777" w:rsidR="00FD7E85" w:rsidRDefault="00F456FA">
            <w:pPr>
              <w:jc w:val="both"/>
              <w:rPr>
                <w:rFonts w:ascii="Arial" w:hAnsi="Arial" w:cs="Arial"/>
                <w:b/>
                <w:bCs/>
                <w:lang w:eastAsia="en-GB"/>
              </w:rPr>
            </w:pPr>
            <w:r>
              <w:rPr>
                <w:rFonts w:ascii="Arial" w:hAnsi="Arial" w:cs="Arial"/>
                <w:b/>
                <w:bCs/>
                <w:lang w:eastAsia="en-GB"/>
              </w:rPr>
              <w:t>Doppler Flow Pattern</w:t>
            </w:r>
          </w:p>
        </w:tc>
        <w:tc>
          <w:tcPr>
            <w:tcW w:w="3071" w:type="dxa"/>
          </w:tcPr>
          <w:p w14:paraId="3BE79A11" w14:textId="77777777" w:rsidR="00FD7E85" w:rsidRDefault="00F456FA">
            <w:pPr>
              <w:jc w:val="both"/>
              <w:rPr>
                <w:rFonts w:ascii="Arial" w:hAnsi="Arial" w:cs="Arial"/>
                <w:lang w:eastAsia="en-GB"/>
              </w:rPr>
            </w:pPr>
            <w:r>
              <w:rPr>
                <w:rFonts w:ascii="Arial" w:hAnsi="Arial" w:cs="Arial"/>
                <w:lang w:eastAsia="en-GB"/>
              </w:rPr>
              <w:t>Normal</w:t>
            </w:r>
          </w:p>
        </w:tc>
        <w:tc>
          <w:tcPr>
            <w:tcW w:w="1800" w:type="dxa"/>
          </w:tcPr>
          <w:p w14:paraId="3F0E49C7" w14:textId="77777777" w:rsidR="00FD7E85" w:rsidRDefault="00F456FA">
            <w:pPr>
              <w:jc w:val="both"/>
              <w:rPr>
                <w:rFonts w:ascii="Arial" w:hAnsi="Arial" w:cs="Arial"/>
                <w:lang w:eastAsia="en-GB"/>
              </w:rPr>
            </w:pPr>
            <w:r>
              <w:rPr>
                <w:rFonts w:ascii="Arial" w:hAnsi="Arial" w:cs="Arial"/>
                <w:lang w:eastAsia="en-GB"/>
              </w:rPr>
              <w:t>98</w:t>
            </w:r>
          </w:p>
        </w:tc>
        <w:tc>
          <w:tcPr>
            <w:tcW w:w="1980" w:type="dxa"/>
          </w:tcPr>
          <w:p w14:paraId="22313BB3" w14:textId="77777777" w:rsidR="00FD7E85" w:rsidRDefault="00F456FA">
            <w:pPr>
              <w:jc w:val="both"/>
              <w:rPr>
                <w:rFonts w:ascii="Arial" w:hAnsi="Arial" w:cs="Arial"/>
                <w:lang w:eastAsia="en-GB"/>
              </w:rPr>
            </w:pPr>
            <w:r>
              <w:rPr>
                <w:rFonts w:ascii="Arial" w:hAnsi="Arial" w:cs="Arial"/>
                <w:lang w:eastAsia="en-GB"/>
              </w:rPr>
              <w:t>84.48</w:t>
            </w:r>
          </w:p>
        </w:tc>
      </w:tr>
      <w:tr w:rsidR="00FD7E85" w14:paraId="63A44A58" w14:textId="77777777">
        <w:tc>
          <w:tcPr>
            <w:tcW w:w="0" w:type="auto"/>
          </w:tcPr>
          <w:p w14:paraId="0EE08D28" w14:textId="77777777" w:rsidR="00FD7E85" w:rsidRDefault="00FD7E85">
            <w:pPr>
              <w:jc w:val="both"/>
              <w:rPr>
                <w:rFonts w:ascii="Arial" w:hAnsi="Arial" w:cs="Arial"/>
                <w:b/>
                <w:bCs/>
                <w:lang w:eastAsia="en-GB"/>
              </w:rPr>
            </w:pPr>
          </w:p>
        </w:tc>
        <w:tc>
          <w:tcPr>
            <w:tcW w:w="3071" w:type="dxa"/>
          </w:tcPr>
          <w:p w14:paraId="5793EDDA" w14:textId="77777777" w:rsidR="00FD7E85" w:rsidRDefault="00F456FA">
            <w:pPr>
              <w:jc w:val="both"/>
              <w:rPr>
                <w:rFonts w:ascii="Arial" w:hAnsi="Arial" w:cs="Arial"/>
                <w:lang w:eastAsia="en-GB"/>
              </w:rPr>
            </w:pPr>
            <w:r>
              <w:rPr>
                <w:rFonts w:ascii="Arial" w:hAnsi="Arial" w:cs="Arial"/>
                <w:lang w:eastAsia="en-GB"/>
              </w:rPr>
              <w:t>AEDF</w:t>
            </w:r>
          </w:p>
        </w:tc>
        <w:tc>
          <w:tcPr>
            <w:tcW w:w="1800" w:type="dxa"/>
          </w:tcPr>
          <w:p w14:paraId="6118B87B" w14:textId="77777777" w:rsidR="00FD7E85" w:rsidRDefault="00F456FA">
            <w:pPr>
              <w:jc w:val="both"/>
              <w:rPr>
                <w:rFonts w:ascii="Arial" w:hAnsi="Arial" w:cs="Arial"/>
                <w:lang w:eastAsia="en-GB"/>
              </w:rPr>
            </w:pPr>
            <w:r>
              <w:rPr>
                <w:rFonts w:ascii="Arial" w:hAnsi="Arial" w:cs="Arial"/>
                <w:lang w:eastAsia="en-GB"/>
              </w:rPr>
              <w:t>13</w:t>
            </w:r>
          </w:p>
        </w:tc>
        <w:tc>
          <w:tcPr>
            <w:tcW w:w="1980" w:type="dxa"/>
          </w:tcPr>
          <w:p w14:paraId="0C6A434B" w14:textId="77777777" w:rsidR="00FD7E85" w:rsidRDefault="00F456FA">
            <w:pPr>
              <w:jc w:val="both"/>
              <w:rPr>
                <w:rFonts w:ascii="Arial" w:hAnsi="Arial" w:cs="Arial"/>
                <w:lang w:eastAsia="en-GB"/>
              </w:rPr>
            </w:pPr>
            <w:r>
              <w:rPr>
                <w:rFonts w:ascii="Arial" w:hAnsi="Arial" w:cs="Arial"/>
                <w:lang w:eastAsia="en-GB"/>
              </w:rPr>
              <w:t>11.21</w:t>
            </w:r>
          </w:p>
        </w:tc>
      </w:tr>
      <w:tr w:rsidR="00FD7E85" w14:paraId="5FD75CFF" w14:textId="77777777">
        <w:tc>
          <w:tcPr>
            <w:tcW w:w="0" w:type="auto"/>
          </w:tcPr>
          <w:p w14:paraId="30C4F15B" w14:textId="77777777" w:rsidR="00FD7E85" w:rsidRDefault="00FD7E85">
            <w:pPr>
              <w:jc w:val="both"/>
              <w:rPr>
                <w:rFonts w:ascii="Arial" w:hAnsi="Arial" w:cs="Arial"/>
                <w:b/>
                <w:bCs/>
                <w:lang w:eastAsia="en-GB"/>
              </w:rPr>
            </w:pPr>
          </w:p>
        </w:tc>
        <w:tc>
          <w:tcPr>
            <w:tcW w:w="3071" w:type="dxa"/>
          </w:tcPr>
          <w:p w14:paraId="0E6BEC4E" w14:textId="77777777" w:rsidR="00FD7E85" w:rsidRDefault="00F456FA">
            <w:pPr>
              <w:jc w:val="both"/>
              <w:rPr>
                <w:rFonts w:ascii="Arial" w:hAnsi="Arial" w:cs="Arial"/>
                <w:lang w:eastAsia="en-GB"/>
              </w:rPr>
            </w:pPr>
            <w:r>
              <w:rPr>
                <w:rFonts w:ascii="Arial" w:hAnsi="Arial" w:cs="Arial"/>
                <w:lang w:eastAsia="en-GB"/>
              </w:rPr>
              <w:t>REDF</w:t>
            </w:r>
          </w:p>
        </w:tc>
        <w:tc>
          <w:tcPr>
            <w:tcW w:w="1800" w:type="dxa"/>
          </w:tcPr>
          <w:p w14:paraId="5D55214F" w14:textId="77777777" w:rsidR="00FD7E85" w:rsidRDefault="00F456FA">
            <w:pPr>
              <w:jc w:val="both"/>
              <w:rPr>
                <w:rFonts w:ascii="Arial" w:hAnsi="Arial" w:cs="Arial"/>
                <w:lang w:eastAsia="en-GB"/>
              </w:rPr>
            </w:pPr>
            <w:r>
              <w:rPr>
                <w:rFonts w:ascii="Arial" w:hAnsi="Arial" w:cs="Arial"/>
                <w:lang w:eastAsia="en-GB"/>
              </w:rPr>
              <w:t>5</w:t>
            </w:r>
          </w:p>
        </w:tc>
        <w:tc>
          <w:tcPr>
            <w:tcW w:w="1980" w:type="dxa"/>
          </w:tcPr>
          <w:p w14:paraId="25EBBDA6" w14:textId="77777777" w:rsidR="00FD7E85" w:rsidRDefault="00F456FA">
            <w:pPr>
              <w:jc w:val="both"/>
              <w:rPr>
                <w:rFonts w:ascii="Arial" w:hAnsi="Arial" w:cs="Arial"/>
                <w:lang w:eastAsia="en-GB"/>
              </w:rPr>
            </w:pPr>
            <w:r>
              <w:rPr>
                <w:rFonts w:ascii="Arial" w:hAnsi="Arial" w:cs="Arial"/>
                <w:lang w:eastAsia="en-GB"/>
              </w:rPr>
              <w:t>4.31</w:t>
            </w:r>
          </w:p>
        </w:tc>
      </w:tr>
      <w:tr w:rsidR="00FD7E85" w14:paraId="4CE3BC92" w14:textId="77777777">
        <w:tc>
          <w:tcPr>
            <w:tcW w:w="0" w:type="auto"/>
          </w:tcPr>
          <w:p w14:paraId="64179EB7" w14:textId="77777777" w:rsidR="00FD7E85" w:rsidRDefault="00F456FA">
            <w:pPr>
              <w:jc w:val="both"/>
              <w:rPr>
                <w:rFonts w:ascii="Arial" w:hAnsi="Arial" w:cs="Arial"/>
                <w:b/>
                <w:bCs/>
                <w:lang w:eastAsia="en-GB"/>
              </w:rPr>
            </w:pPr>
            <w:r>
              <w:rPr>
                <w:rFonts w:ascii="Arial" w:hAnsi="Arial" w:cs="Arial"/>
                <w:b/>
                <w:bCs/>
                <w:lang w:eastAsia="en-GB"/>
              </w:rPr>
              <w:t>Doppler indices</w:t>
            </w:r>
          </w:p>
          <w:p w14:paraId="7930CAE3" w14:textId="77777777" w:rsidR="00FD7E85" w:rsidRDefault="00F456FA">
            <w:pPr>
              <w:jc w:val="both"/>
              <w:rPr>
                <w:rFonts w:ascii="Arial" w:hAnsi="Arial" w:cs="Arial"/>
                <w:b/>
                <w:bCs/>
                <w:lang w:eastAsia="en-GB"/>
              </w:rPr>
            </w:pPr>
            <w:r>
              <w:rPr>
                <w:rFonts w:ascii="Arial" w:hAnsi="Arial" w:cs="Arial"/>
                <w:b/>
                <w:bCs/>
                <w:lang w:eastAsia="en-GB"/>
              </w:rPr>
              <w:t>S/D Ratio</w:t>
            </w:r>
          </w:p>
        </w:tc>
        <w:tc>
          <w:tcPr>
            <w:tcW w:w="3071" w:type="dxa"/>
          </w:tcPr>
          <w:p w14:paraId="5FE462B2" w14:textId="77777777" w:rsidR="00FD7E85" w:rsidRDefault="00FD7E85">
            <w:pPr>
              <w:jc w:val="both"/>
              <w:rPr>
                <w:rFonts w:ascii="Arial" w:hAnsi="Arial" w:cs="Arial"/>
                <w:lang w:eastAsia="en-GB"/>
              </w:rPr>
            </w:pPr>
          </w:p>
          <w:p w14:paraId="57AB26CC" w14:textId="77777777" w:rsidR="00FD7E85" w:rsidRDefault="00F456FA">
            <w:pPr>
              <w:jc w:val="both"/>
              <w:rPr>
                <w:rFonts w:ascii="Arial" w:hAnsi="Arial" w:cs="Arial"/>
                <w:lang w:eastAsia="en-GB"/>
              </w:rPr>
            </w:pPr>
            <w:r>
              <w:rPr>
                <w:rFonts w:ascii="Arial" w:hAnsi="Arial" w:cs="Arial"/>
                <w:lang w:eastAsia="en-GB"/>
              </w:rPr>
              <w:t>Normal</w:t>
            </w:r>
          </w:p>
        </w:tc>
        <w:tc>
          <w:tcPr>
            <w:tcW w:w="1800" w:type="dxa"/>
          </w:tcPr>
          <w:p w14:paraId="5BFC3BAC" w14:textId="77777777" w:rsidR="00FD7E85" w:rsidRDefault="00FD7E85">
            <w:pPr>
              <w:jc w:val="both"/>
              <w:rPr>
                <w:rFonts w:ascii="Arial" w:hAnsi="Arial" w:cs="Arial"/>
                <w:lang w:eastAsia="en-GB"/>
              </w:rPr>
            </w:pPr>
          </w:p>
          <w:p w14:paraId="768A0DF9" w14:textId="77777777" w:rsidR="00FD7E85" w:rsidRDefault="00F456FA">
            <w:pPr>
              <w:jc w:val="both"/>
              <w:rPr>
                <w:rFonts w:ascii="Arial" w:hAnsi="Arial" w:cs="Arial"/>
                <w:lang w:eastAsia="en-GB"/>
              </w:rPr>
            </w:pPr>
            <w:r>
              <w:rPr>
                <w:rFonts w:ascii="Arial" w:hAnsi="Arial" w:cs="Arial"/>
                <w:lang w:eastAsia="en-GB"/>
              </w:rPr>
              <w:t>83</w:t>
            </w:r>
          </w:p>
        </w:tc>
        <w:tc>
          <w:tcPr>
            <w:tcW w:w="1980" w:type="dxa"/>
          </w:tcPr>
          <w:p w14:paraId="2946F727" w14:textId="77777777" w:rsidR="00FD7E85" w:rsidRDefault="00FD7E85">
            <w:pPr>
              <w:jc w:val="both"/>
              <w:rPr>
                <w:rFonts w:ascii="Arial" w:hAnsi="Arial" w:cs="Arial"/>
                <w:lang w:eastAsia="en-GB"/>
              </w:rPr>
            </w:pPr>
          </w:p>
          <w:p w14:paraId="22846A03" w14:textId="77777777" w:rsidR="00FD7E85" w:rsidRDefault="00F456FA">
            <w:pPr>
              <w:jc w:val="both"/>
              <w:rPr>
                <w:rFonts w:ascii="Arial" w:hAnsi="Arial" w:cs="Arial"/>
                <w:lang w:eastAsia="en-GB"/>
              </w:rPr>
            </w:pPr>
            <w:r>
              <w:rPr>
                <w:rFonts w:ascii="Arial" w:hAnsi="Arial" w:cs="Arial"/>
                <w:lang w:eastAsia="en-GB"/>
              </w:rPr>
              <w:t>71.55</w:t>
            </w:r>
          </w:p>
        </w:tc>
      </w:tr>
      <w:tr w:rsidR="00FD7E85" w14:paraId="221F4744" w14:textId="77777777">
        <w:tc>
          <w:tcPr>
            <w:tcW w:w="0" w:type="auto"/>
          </w:tcPr>
          <w:p w14:paraId="57C611D1" w14:textId="77777777" w:rsidR="00FD7E85" w:rsidRDefault="00FD7E85">
            <w:pPr>
              <w:jc w:val="both"/>
              <w:rPr>
                <w:rFonts w:ascii="Arial" w:hAnsi="Arial" w:cs="Arial"/>
                <w:b/>
                <w:bCs/>
                <w:lang w:eastAsia="en-GB"/>
              </w:rPr>
            </w:pPr>
          </w:p>
        </w:tc>
        <w:tc>
          <w:tcPr>
            <w:tcW w:w="3071" w:type="dxa"/>
          </w:tcPr>
          <w:p w14:paraId="64A66487" w14:textId="77777777" w:rsidR="00FD7E85" w:rsidRDefault="00F456FA">
            <w:pPr>
              <w:jc w:val="both"/>
              <w:rPr>
                <w:rFonts w:ascii="Arial" w:hAnsi="Arial" w:cs="Arial"/>
                <w:lang w:eastAsia="en-GB"/>
              </w:rPr>
            </w:pPr>
            <w:r>
              <w:rPr>
                <w:rFonts w:ascii="Arial" w:hAnsi="Arial" w:cs="Arial"/>
                <w:lang w:eastAsia="en-GB"/>
              </w:rPr>
              <w:t>Abnormal</w:t>
            </w:r>
          </w:p>
        </w:tc>
        <w:tc>
          <w:tcPr>
            <w:tcW w:w="1800" w:type="dxa"/>
          </w:tcPr>
          <w:p w14:paraId="5E6B7492" w14:textId="77777777" w:rsidR="00FD7E85" w:rsidRDefault="00F456FA">
            <w:pPr>
              <w:jc w:val="both"/>
              <w:rPr>
                <w:rFonts w:ascii="Arial" w:hAnsi="Arial" w:cs="Arial"/>
                <w:lang w:eastAsia="en-GB"/>
              </w:rPr>
            </w:pPr>
            <w:r>
              <w:rPr>
                <w:rFonts w:ascii="Arial" w:hAnsi="Arial" w:cs="Arial"/>
                <w:lang w:eastAsia="en-GB"/>
              </w:rPr>
              <w:t>33</w:t>
            </w:r>
          </w:p>
        </w:tc>
        <w:tc>
          <w:tcPr>
            <w:tcW w:w="1980" w:type="dxa"/>
          </w:tcPr>
          <w:p w14:paraId="5B63E399" w14:textId="77777777" w:rsidR="00FD7E85" w:rsidRDefault="00F456FA">
            <w:pPr>
              <w:jc w:val="both"/>
              <w:rPr>
                <w:rFonts w:ascii="Arial" w:hAnsi="Arial" w:cs="Arial"/>
                <w:lang w:eastAsia="en-GB"/>
              </w:rPr>
            </w:pPr>
            <w:r>
              <w:rPr>
                <w:rFonts w:ascii="Arial" w:hAnsi="Arial" w:cs="Arial"/>
                <w:lang w:eastAsia="en-GB"/>
              </w:rPr>
              <w:t>28.45</w:t>
            </w:r>
          </w:p>
        </w:tc>
      </w:tr>
      <w:tr w:rsidR="00FD7E85" w14:paraId="1EAAE607" w14:textId="77777777">
        <w:tc>
          <w:tcPr>
            <w:tcW w:w="0" w:type="auto"/>
          </w:tcPr>
          <w:p w14:paraId="24FDB7A6" w14:textId="77777777" w:rsidR="00FD7E85" w:rsidRDefault="00F456FA">
            <w:pPr>
              <w:jc w:val="both"/>
              <w:rPr>
                <w:rFonts w:ascii="Arial" w:hAnsi="Arial" w:cs="Arial"/>
                <w:b/>
                <w:bCs/>
                <w:lang w:eastAsia="en-GB"/>
              </w:rPr>
            </w:pPr>
            <w:r>
              <w:rPr>
                <w:rFonts w:ascii="Arial" w:hAnsi="Arial" w:cs="Arial"/>
                <w:b/>
                <w:bCs/>
                <w:lang w:eastAsia="en-GB"/>
              </w:rPr>
              <w:t>Pulsatility Index</w:t>
            </w:r>
          </w:p>
        </w:tc>
        <w:tc>
          <w:tcPr>
            <w:tcW w:w="3071" w:type="dxa"/>
          </w:tcPr>
          <w:p w14:paraId="347B1AC5" w14:textId="77777777" w:rsidR="00FD7E85" w:rsidRDefault="00F456FA">
            <w:pPr>
              <w:jc w:val="both"/>
              <w:rPr>
                <w:rFonts w:ascii="Arial" w:hAnsi="Arial" w:cs="Arial"/>
                <w:lang w:eastAsia="en-GB"/>
              </w:rPr>
            </w:pPr>
            <w:r>
              <w:rPr>
                <w:rFonts w:ascii="Arial" w:hAnsi="Arial" w:cs="Arial"/>
                <w:lang w:eastAsia="en-GB"/>
              </w:rPr>
              <w:t>Normal</w:t>
            </w:r>
          </w:p>
        </w:tc>
        <w:tc>
          <w:tcPr>
            <w:tcW w:w="1800" w:type="dxa"/>
          </w:tcPr>
          <w:p w14:paraId="71BECBA2" w14:textId="77777777" w:rsidR="00FD7E85" w:rsidRDefault="00F456FA">
            <w:pPr>
              <w:jc w:val="both"/>
              <w:rPr>
                <w:rFonts w:ascii="Arial" w:hAnsi="Arial" w:cs="Arial"/>
                <w:lang w:eastAsia="en-GB"/>
              </w:rPr>
            </w:pPr>
            <w:r>
              <w:rPr>
                <w:rFonts w:ascii="Arial" w:hAnsi="Arial" w:cs="Arial"/>
                <w:lang w:eastAsia="en-GB"/>
              </w:rPr>
              <w:t>90</w:t>
            </w:r>
          </w:p>
        </w:tc>
        <w:tc>
          <w:tcPr>
            <w:tcW w:w="1980" w:type="dxa"/>
          </w:tcPr>
          <w:p w14:paraId="3F96FE69" w14:textId="77777777" w:rsidR="00FD7E85" w:rsidRDefault="00F456FA">
            <w:pPr>
              <w:jc w:val="both"/>
              <w:rPr>
                <w:rFonts w:ascii="Arial" w:hAnsi="Arial" w:cs="Arial"/>
                <w:lang w:eastAsia="en-GB"/>
              </w:rPr>
            </w:pPr>
            <w:r>
              <w:rPr>
                <w:rFonts w:ascii="Arial" w:hAnsi="Arial" w:cs="Arial"/>
                <w:lang w:eastAsia="en-GB"/>
              </w:rPr>
              <w:t>77.59</w:t>
            </w:r>
          </w:p>
        </w:tc>
      </w:tr>
      <w:tr w:rsidR="00FD7E85" w14:paraId="21E5B2C4" w14:textId="77777777">
        <w:tc>
          <w:tcPr>
            <w:tcW w:w="0" w:type="auto"/>
          </w:tcPr>
          <w:p w14:paraId="1D4752E4" w14:textId="77777777" w:rsidR="00FD7E85" w:rsidRDefault="00FD7E85">
            <w:pPr>
              <w:jc w:val="both"/>
              <w:rPr>
                <w:rFonts w:ascii="Arial" w:hAnsi="Arial" w:cs="Arial"/>
                <w:b/>
                <w:bCs/>
                <w:lang w:eastAsia="en-GB"/>
              </w:rPr>
            </w:pPr>
          </w:p>
        </w:tc>
        <w:tc>
          <w:tcPr>
            <w:tcW w:w="3071" w:type="dxa"/>
          </w:tcPr>
          <w:p w14:paraId="5443BF15" w14:textId="77777777" w:rsidR="00FD7E85" w:rsidRDefault="00F456FA">
            <w:pPr>
              <w:jc w:val="both"/>
              <w:rPr>
                <w:rFonts w:ascii="Arial" w:hAnsi="Arial" w:cs="Arial"/>
                <w:lang w:eastAsia="en-GB"/>
              </w:rPr>
            </w:pPr>
            <w:r>
              <w:rPr>
                <w:rFonts w:ascii="Arial" w:hAnsi="Arial" w:cs="Arial"/>
                <w:lang w:eastAsia="en-GB"/>
              </w:rPr>
              <w:t>Abnormal</w:t>
            </w:r>
          </w:p>
        </w:tc>
        <w:tc>
          <w:tcPr>
            <w:tcW w:w="1800" w:type="dxa"/>
          </w:tcPr>
          <w:p w14:paraId="460662B1" w14:textId="77777777" w:rsidR="00FD7E85" w:rsidRDefault="00F456FA">
            <w:pPr>
              <w:jc w:val="both"/>
              <w:rPr>
                <w:rFonts w:ascii="Arial" w:hAnsi="Arial" w:cs="Arial"/>
                <w:lang w:eastAsia="en-GB"/>
              </w:rPr>
            </w:pPr>
            <w:r>
              <w:rPr>
                <w:rFonts w:ascii="Arial" w:hAnsi="Arial" w:cs="Arial"/>
                <w:lang w:eastAsia="en-GB"/>
              </w:rPr>
              <w:t>26</w:t>
            </w:r>
          </w:p>
        </w:tc>
        <w:tc>
          <w:tcPr>
            <w:tcW w:w="1980" w:type="dxa"/>
          </w:tcPr>
          <w:p w14:paraId="7E0506E0" w14:textId="77777777" w:rsidR="00FD7E85" w:rsidRDefault="00F456FA">
            <w:pPr>
              <w:jc w:val="both"/>
              <w:rPr>
                <w:rFonts w:ascii="Arial" w:hAnsi="Arial" w:cs="Arial"/>
                <w:lang w:eastAsia="en-GB"/>
              </w:rPr>
            </w:pPr>
            <w:r>
              <w:rPr>
                <w:rFonts w:ascii="Arial" w:hAnsi="Arial" w:cs="Arial"/>
                <w:lang w:eastAsia="en-GB"/>
              </w:rPr>
              <w:t>22.41</w:t>
            </w:r>
          </w:p>
        </w:tc>
      </w:tr>
      <w:tr w:rsidR="00FD7E85" w14:paraId="66085004" w14:textId="77777777">
        <w:tc>
          <w:tcPr>
            <w:tcW w:w="0" w:type="auto"/>
          </w:tcPr>
          <w:p w14:paraId="0407D88E" w14:textId="77777777" w:rsidR="00FD7E85" w:rsidRDefault="00F456FA">
            <w:pPr>
              <w:jc w:val="both"/>
              <w:rPr>
                <w:rFonts w:ascii="Arial" w:hAnsi="Arial" w:cs="Arial"/>
                <w:b/>
                <w:bCs/>
                <w:lang w:eastAsia="en-GB"/>
              </w:rPr>
            </w:pPr>
            <w:r>
              <w:rPr>
                <w:rFonts w:ascii="Arial" w:hAnsi="Arial" w:cs="Arial"/>
                <w:b/>
                <w:bCs/>
                <w:lang w:eastAsia="en-GB"/>
              </w:rPr>
              <w:t>Resistive Index</w:t>
            </w:r>
          </w:p>
        </w:tc>
        <w:tc>
          <w:tcPr>
            <w:tcW w:w="3071" w:type="dxa"/>
          </w:tcPr>
          <w:p w14:paraId="3C0B80C6" w14:textId="77777777" w:rsidR="00FD7E85" w:rsidRDefault="00F456FA">
            <w:pPr>
              <w:jc w:val="both"/>
              <w:rPr>
                <w:rFonts w:ascii="Arial" w:hAnsi="Arial" w:cs="Arial"/>
                <w:lang w:eastAsia="en-GB"/>
              </w:rPr>
            </w:pPr>
            <w:r>
              <w:rPr>
                <w:rFonts w:ascii="Arial" w:hAnsi="Arial" w:cs="Arial"/>
                <w:lang w:eastAsia="en-GB"/>
              </w:rPr>
              <w:t>Normal</w:t>
            </w:r>
          </w:p>
        </w:tc>
        <w:tc>
          <w:tcPr>
            <w:tcW w:w="1800" w:type="dxa"/>
          </w:tcPr>
          <w:p w14:paraId="205806D2" w14:textId="77777777" w:rsidR="00FD7E85" w:rsidRDefault="00F456FA">
            <w:pPr>
              <w:jc w:val="both"/>
              <w:rPr>
                <w:rFonts w:ascii="Arial" w:hAnsi="Arial" w:cs="Arial"/>
                <w:lang w:eastAsia="en-GB"/>
              </w:rPr>
            </w:pPr>
            <w:r>
              <w:rPr>
                <w:rFonts w:ascii="Arial" w:hAnsi="Arial" w:cs="Arial"/>
                <w:lang w:eastAsia="en-GB"/>
              </w:rPr>
              <w:t>71</w:t>
            </w:r>
          </w:p>
        </w:tc>
        <w:tc>
          <w:tcPr>
            <w:tcW w:w="1980" w:type="dxa"/>
          </w:tcPr>
          <w:p w14:paraId="6C0A666D" w14:textId="77777777" w:rsidR="00FD7E85" w:rsidRDefault="00F456FA">
            <w:pPr>
              <w:jc w:val="both"/>
              <w:rPr>
                <w:rFonts w:ascii="Arial" w:hAnsi="Arial" w:cs="Arial"/>
                <w:lang w:eastAsia="en-GB"/>
              </w:rPr>
            </w:pPr>
            <w:r>
              <w:rPr>
                <w:rFonts w:ascii="Arial" w:hAnsi="Arial" w:cs="Arial"/>
                <w:lang w:eastAsia="en-GB"/>
              </w:rPr>
              <w:t>61.21</w:t>
            </w:r>
          </w:p>
        </w:tc>
      </w:tr>
      <w:tr w:rsidR="00FD7E85" w14:paraId="3BECBDDC" w14:textId="77777777">
        <w:tc>
          <w:tcPr>
            <w:tcW w:w="0" w:type="auto"/>
          </w:tcPr>
          <w:p w14:paraId="67F2A35C" w14:textId="77777777" w:rsidR="00FD7E85" w:rsidRDefault="00FD7E85">
            <w:pPr>
              <w:jc w:val="both"/>
              <w:rPr>
                <w:rFonts w:ascii="Arial" w:hAnsi="Arial" w:cs="Arial"/>
                <w:b/>
                <w:bCs/>
                <w:lang w:eastAsia="en-GB"/>
              </w:rPr>
            </w:pPr>
          </w:p>
        </w:tc>
        <w:tc>
          <w:tcPr>
            <w:tcW w:w="3071" w:type="dxa"/>
          </w:tcPr>
          <w:p w14:paraId="6271EE91" w14:textId="77777777" w:rsidR="00FD7E85" w:rsidRDefault="00F456FA">
            <w:pPr>
              <w:jc w:val="both"/>
              <w:rPr>
                <w:rFonts w:ascii="Arial" w:hAnsi="Arial" w:cs="Arial"/>
                <w:lang w:eastAsia="en-GB"/>
              </w:rPr>
            </w:pPr>
            <w:r>
              <w:rPr>
                <w:rFonts w:ascii="Arial" w:hAnsi="Arial" w:cs="Arial"/>
                <w:lang w:eastAsia="en-GB"/>
              </w:rPr>
              <w:t>Abnormal</w:t>
            </w:r>
          </w:p>
        </w:tc>
        <w:tc>
          <w:tcPr>
            <w:tcW w:w="1800" w:type="dxa"/>
          </w:tcPr>
          <w:p w14:paraId="47DA0AF7" w14:textId="77777777" w:rsidR="00FD7E85" w:rsidRDefault="00F456FA">
            <w:pPr>
              <w:jc w:val="both"/>
              <w:rPr>
                <w:rFonts w:ascii="Arial" w:hAnsi="Arial" w:cs="Arial"/>
                <w:lang w:eastAsia="en-GB"/>
              </w:rPr>
            </w:pPr>
            <w:r>
              <w:rPr>
                <w:rFonts w:ascii="Arial" w:hAnsi="Arial" w:cs="Arial"/>
                <w:lang w:eastAsia="en-GB"/>
              </w:rPr>
              <w:t>45</w:t>
            </w:r>
          </w:p>
        </w:tc>
        <w:tc>
          <w:tcPr>
            <w:tcW w:w="1980" w:type="dxa"/>
          </w:tcPr>
          <w:p w14:paraId="12E37ADA" w14:textId="77777777" w:rsidR="00FD7E85" w:rsidRDefault="00F456FA">
            <w:pPr>
              <w:jc w:val="both"/>
              <w:rPr>
                <w:rFonts w:ascii="Arial" w:hAnsi="Arial" w:cs="Arial"/>
                <w:lang w:eastAsia="en-GB"/>
              </w:rPr>
            </w:pPr>
            <w:r>
              <w:rPr>
                <w:rFonts w:ascii="Arial" w:hAnsi="Arial" w:cs="Arial"/>
                <w:lang w:eastAsia="en-GB"/>
              </w:rPr>
              <w:t>38.79</w:t>
            </w:r>
          </w:p>
        </w:tc>
      </w:tr>
      <w:tr w:rsidR="00FD7E85" w14:paraId="306FD3C6" w14:textId="77777777">
        <w:trPr>
          <w:trHeight w:val="80"/>
        </w:trPr>
        <w:tc>
          <w:tcPr>
            <w:tcW w:w="0" w:type="auto"/>
          </w:tcPr>
          <w:p w14:paraId="043C7166" w14:textId="77777777" w:rsidR="00FD7E85" w:rsidRDefault="00F456FA">
            <w:pPr>
              <w:jc w:val="both"/>
              <w:rPr>
                <w:rFonts w:ascii="Arial" w:hAnsi="Arial" w:cs="Arial"/>
                <w:b/>
                <w:bCs/>
                <w:lang w:eastAsia="en-GB"/>
              </w:rPr>
            </w:pPr>
            <w:r>
              <w:rPr>
                <w:rFonts w:ascii="Arial" w:hAnsi="Arial" w:cs="Arial"/>
                <w:b/>
                <w:bCs/>
                <w:lang w:eastAsia="en-GB"/>
              </w:rPr>
              <w:t>Delivery GA</w:t>
            </w:r>
          </w:p>
        </w:tc>
        <w:tc>
          <w:tcPr>
            <w:tcW w:w="3071" w:type="dxa"/>
          </w:tcPr>
          <w:p w14:paraId="1DD70CAE" w14:textId="77777777" w:rsidR="00FD7E85" w:rsidRDefault="00F456FA">
            <w:pPr>
              <w:jc w:val="both"/>
              <w:rPr>
                <w:rFonts w:ascii="Arial" w:hAnsi="Arial" w:cs="Arial"/>
                <w:lang w:eastAsia="en-GB"/>
              </w:rPr>
            </w:pPr>
            <w:r>
              <w:rPr>
                <w:rFonts w:ascii="Arial" w:hAnsi="Arial" w:cs="Arial"/>
                <w:lang w:eastAsia="en-GB"/>
              </w:rPr>
              <w:t>Term</w:t>
            </w:r>
          </w:p>
        </w:tc>
        <w:tc>
          <w:tcPr>
            <w:tcW w:w="1800" w:type="dxa"/>
          </w:tcPr>
          <w:p w14:paraId="5E0E32A5" w14:textId="77777777" w:rsidR="00FD7E85" w:rsidRDefault="00F456FA">
            <w:pPr>
              <w:jc w:val="both"/>
              <w:rPr>
                <w:rFonts w:ascii="Arial" w:hAnsi="Arial" w:cs="Arial"/>
                <w:lang w:eastAsia="en-GB"/>
              </w:rPr>
            </w:pPr>
            <w:r>
              <w:rPr>
                <w:rFonts w:ascii="Arial" w:hAnsi="Arial" w:cs="Arial"/>
                <w:lang w:eastAsia="en-GB"/>
              </w:rPr>
              <w:t>78</w:t>
            </w:r>
          </w:p>
        </w:tc>
        <w:tc>
          <w:tcPr>
            <w:tcW w:w="1980" w:type="dxa"/>
          </w:tcPr>
          <w:p w14:paraId="61B9D010" w14:textId="77777777" w:rsidR="00FD7E85" w:rsidRDefault="00F456FA">
            <w:pPr>
              <w:jc w:val="both"/>
              <w:rPr>
                <w:rFonts w:ascii="Arial" w:hAnsi="Arial" w:cs="Arial"/>
                <w:lang w:eastAsia="en-GB"/>
              </w:rPr>
            </w:pPr>
            <w:r>
              <w:rPr>
                <w:rFonts w:ascii="Arial" w:hAnsi="Arial" w:cs="Arial"/>
                <w:lang w:eastAsia="en-GB"/>
              </w:rPr>
              <w:t>67.2</w:t>
            </w:r>
          </w:p>
        </w:tc>
      </w:tr>
      <w:tr w:rsidR="00FD7E85" w14:paraId="69D83676" w14:textId="77777777">
        <w:tc>
          <w:tcPr>
            <w:tcW w:w="0" w:type="auto"/>
            <w:tcBorders>
              <w:bottom w:val="single" w:sz="4" w:space="0" w:color="auto"/>
            </w:tcBorders>
          </w:tcPr>
          <w:p w14:paraId="4D1C243A" w14:textId="77777777" w:rsidR="00FD7E85" w:rsidRDefault="00FD7E85">
            <w:pPr>
              <w:jc w:val="both"/>
              <w:rPr>
                <w:rFonts w:ascii="Arial" w:hAnsi="Arial" w:cs="Arial"/>
                <w:b/>
                <w:bCs/>
                <w:lang w:eastAsia="en-GB"/>
              </w:rPr>
            </w:pPr>
          </w:p>
        </w:tc>
        <w:tc>
          <w:tcPr>
            <w:tcW w:w="3071" w:type="dxa"/>
            <w:tcBorders>
              <w:bottom w:val="single" w:sz="4" w:space="0" w:color="auto"/>
            </w:tcBorders>
          </w:tcPr>
          <w:p w14:paraId="4BA6A1FB" w14:textId="77777777" w:rsidR="00FD7E85" w:rsidRDefault="00F456FA">
            <w:pPr>
              <w:jc w:val="both"/>
              <w:rPr>
                <w:rFonts w:ascii="Arial" w:hAnsi="Arial" w:cs="Arial"/>
                <w:lang w:eastAsia="en-GB"/>
              </w:rPr>
            </w:pPr>
            <w:r>
              <w:rPr>
                <w:rFonts w:ascii="Arial" w:hAnsi="Arial" w:cs="Arial"/>
                <w:lang w:eastAsia="en-GB"/>
              </w:rPr>
              <w:t>Preterm</w:t>
            </w:r>
          </w:p>
        </w:tc>
        <w:tc>
          <w:tcPr>
            <w:tcW w:w="1800" w:type="dxa"/>
            <w:tcBorders>
              <w:bottom w:val="single" w:sz="4" w:space="0" w:color="auto"/>
            </w:tcBorders>
          </w:tcPr>
          <w:p w14:paraId="52A0FD03" w14:textId="77777777" w:rsidR="00FD7E85" w:rsidRDefault="00F456FA">
            <w:pPr>
              <w:jc w:val="both"/>
              <w:rPr>
                <w:rFonts w:ascii="Arial" w:hAnsi="Arial" w:cs="Arial"/>
                <w:lang w:eastAsia="en-GB"/>
              </w:rPr>
            </w:pPr>
            <w:r>
              <w:rPr>
                <w:rFonts w:ascii="Arial" w:hAnsi="Arial" w:cs="Arial"/>
                <w:lang w:eastAsia="en-GB"/>
              </w:rPr>
              <w:t>38</w:t>
            </w:r>
          </w:p>
        </w:tc>
        <w:tc>
          <w:tcPr>
            <w:tcW w:w="1980" w:type="dxa"/>
            <w:tcBorders>
              <w:bottom w:val="single" w:sz="4" w:space="0" w:color="auto"/>
            </w:tcBorders>
          </w:tcPr>
          <w:p w14:paraId="05174C56" w14:textId="77777777" w:rsidR="00FD7E85" w:rsidRDefault="00F456FA">
            <w:pPr>
              <w:jc w:val="both"/>
              <w:rPr>
                <w:rFonts w:ascii="Arial" w:hAnsi="Arial" w:cs="Arial"/>
                <w:lang w:eastAsia="en-GB"/>
              </w:rPr>
            </w:pPr>
            <w:r>
              <w:rPr>
                <w:rFonts w:ascii="Arial" w:hAnsi="Arial" w:cs="Arial"/>
                <w:lang w:eastAsia="en-GB"/>
              </w:rPr>
              <w:t>32.8</w:t>
            </w:r>
          </w:p>
        </w:tc>
      </w:tr>
    </w:tbl>
    <w:p w14:paraId="26AE480D" w14:textId="77777777" w:rsidR="00FD7E85" w:rsidRDefault="00F456FA">
      <w:pPr>
        <w:jc w:val="both"/>
        <w:rPr>
          <w:rFonts w:ascii="Arial" w:hAnsi="Arial" w:cs="Arial"/>
          <w:lang w:val="en-GB" w:eastAsia="en-GB"/>
        </w:rPr>
      </w:pPr>
      <w:r>
        <w:rPr>
          <w:rFonts w:ascii="Arial" w:hAnsi="Arial" w:cs="Arial"/>
          <w:lang w:val="en-GB" w:eastAsia="en-GB"/>
        </w:rPr>
        <w:t>GA=Gestation age, SD=Standard deviation, ANC=Antenatal Care Clinic</w:t>
      </w:r>
    </w:p>
    <w:p w14:paraId="070EE5E1" w14:textId="77777777" w:rsidR="00FD7E85" w:rsidRDefault="00FD7E85">
      <w:pPr>
        <w:jc w:val="both"/>
        <w:rPr>
          <w:rFonts w:ascii="Arial" w:hAnsi="Arial" w:cs="Arial"/>
          <w:i/>
          <w:iCs/>
          <w:lang w:val="en-GB" w:eastAsia="en-GB"/>
        </w:rPr>
      </w:pPr>
    </w:p>
    <w:p w14:paraId="6195A355" w14:textId="77777777" w:rsidR="00FD7E85" w:rsidRDefault="00FD7E85">
      <w:pPr>
        <w:jc w:val="both"/>
        <w:rPr>
          <w:rFonts w:ascii="Arial" w:hAnsi="Arial" w:cs="Arial"/>
          <w:u w:val="single"/>
          <w:lang w:val="en-GB" w:eastAsia="en-GB"/>
        </w:rPr>
      </w:pPr>
    </w:p>
    <w:p w14:paraId="44A7CF5E" w14:textId="77777777" w:rsidR="00FD7E85" w:rsidRDefault="00FD7E85">
      <w:pPr>
        <w:jc w:val="both"/>
        <w:rPr>
          <w:rFonts w:ascii="Arial" w:hAnsi="Arial" w:cs="Arial"/>
          <w:u w:val="single"/>
          <w:lang w:val="en-GB" w:eastAsia="en-GB"/>
        </w:rPr>
      </w:pPr>
    </w:p>
    <w:p w14:paraId="74CB1AAB" w14:textId="77777777" w:rsidR="00FD7E85" w:rsidRDefault="00F456FA">
      <w:pPr>
        <w:jc w:val="both"/>
        <w:rPr>
          <w:rFonts w:ascii="Arial" w:hAnsi="Arial" w:cs="Arial"/>
          <w:u w:val="single"/>
          <w:lang w:eastAsia="en-GB"/>
        </w:rPr>
      </w:pPr>
      <w:r>
        <w:rPr>
          <w:rFonts w:ascii="Arial" w:hAnsi="Arial" w:cs="Arial"/>
          <w:b/>
          <w:bCs/>
          <w:u w:val="single"/>
          <w:lang w:eastAsia="en-GB"/>
        </w:rPr>
        <w:t>3.1.3 Prevalence of abnormal umbilical artery Doppler ultrasound</w:t>
      </w:r>
    </w:p>
    <w:p w14:paraId="2ECB03F0" w14:textId="59A0BF79" w:rsidR="00FD7E85" w:rsidRDefault="00F456FA">
      <w:pPr>
        <w:jc w:val="both"/>
        <w:rPr>
          <w:rFonts w:ascii="Arial" w:hAnsi="Arial" w:cs="Arial"/>
          <w:lang w:eastAsia="en-GB"/>
        </w:rPr>
      </w:pPr>
      <w:r>
        <w:rPr>
          <w:rFonts w:ascii="Arial" w:hAnsi="Arial" w:cs="Arial"/>
          <w:lang w:eastAsia="en-GB"/>
        </w:rPr>
        <w:t xml:space="preserve">Overall prevalence of abnormal umbilical artery Doppler ultrasound was 47.42% </w:t>
      </w:r>
      <w:r>
        <w:rPr>
          <w:rFonts w:ascii="Arial" w:hAnsi="Arial" w:cs="Arial"/>
          <w:b/>
          <w:bCs/>
          <w:lang w:eastAsia="en-GB"/>
        </w:rPr>
        <w:t xml:space="preserve">(Figure </w:t>
      </w:r>
      <w:r w:rsidR="00634DDF">
        <w:rPr>
          <w:rFonts w:ascii="Arial" w:hAnsi="Arial" w:cs="Arial"/>
          <w:b/>
          <w:bCs/>
          <w:lang w:eastAsia="en-GB"/>
        </w:rPr>
        <w:t>2</w:t>
      </w:r>
      <w:r>
        <w:rPr>
          <w:rFonts w:ascii="Arial" w:hAnsi="Arial" w:cs="Arial"/>
          <w:b/>
          <w:bCs/>
          <w:lang w:eastAsia="en-GB"/>
        </w:rPr>
        <w:t>)</w:t>
      </w:r>
    </w:p>
    <w:p w14:paraId="3D62E4BB" w14:textId="77777777" w:rsidR="00FD7E85" w:rsidRDefault="00F456FA">
      <w:pPr>
        <w:jc w:val="both"/>
        <w:rPr>
          <w:rFonts w:ascii="Arial" w:hAnsi="Arial" w:cs="Arial"/>
          <w:lang w:eastAsia="en-GB"/>
        </w:rPr>
      </w:pPr>
      <w:r>
        <w:rPr>
          <w:rFonts w:ascii="Arial" w:hAnsi="Arial" w:cs="Arial"/>
          <w:noProof/>
          <w:lang w:eastAsia="en-GB"/>
        </w:rPr>
        <w:drawing>
          <wp:inline distT="0" distB="0" distL="0" distR="0" wp14:anchorId="0CE7F0CA" wp14:editId="390D37EB">
            <wp:extent cx="4124325" cy="2533650"/>
            <wp:effectExtent l="4445" t="4445" r="11430" b="14605"/>
            <wp:docPr id="999268687" name="Chart 9992686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5EDABE8" w14:textId="561B8C4B" w:rsidR="00FD7E85" w:rsidRDefault="00F456FA">
      <w:pPr>
        <w:jc w:val="both"/>
        <w:rPr>
          <w:rFonts w:ascii="Arial" w:hAnsi="Arial" w:cs="Arial"/>
          <w:b/>
          <w:lang w:eastAsia="en-GB"/>
        </w:rPr>
      </w:pPr>
      <w:bookmarkStart w:id="27" w:name="_Toc202852558"/>
      <w:bookmarkStart w:id="28" w:name="_Toc202853585"/>
      <w:bookmarkStart w:id="29" w:name="_Toc202869685"/>
      <w:r>
        <w:rPr>
          <w:rFonts w:ascii="Arial" w:hAnsi="Arial" w:cs="Arial"/>
          <w:b/>
          <w:lang w:eastAsia="en-GB"/>
        </w:rPr>
        <w:t>Figure</w:t>
      </w:r>
      <w:r w:rsidR="00634DDF">
        <w:rPr>
          <w:rFonts w:ascii="Arial" w:hAnsi="Arial" w:cs="Arial"/>
          <w:b/>
          <w:lang w:eastAsia="en-GB"/>
        </w:rPr>
        <w:t xml:space="preserve"> 2</w:t>
      </w:r>
      <w:r>
        <w:rPr>
          <w:rFonts w:ascii="Arial" w:hAnsi="Arial" w:cs="Arial"/>
          <w:b/>
          <w:lang w:eastAsia="en-GB"/>
        </w:rPr>
        <w:t>. Prevalence of abnormal umbilical artery Doppler ultrasound.</w:t>
      </w:r>
      <w:bookmarkEnd w:id="27"/>
      <w:bookmarkEnd w:id="28"/>
      <w:bookmarkEnd w:id="29"/>
    </w:p>
    <w:p w14:paraId="59E8B22E" w14:textId="77777777" w:rsidR="00FD7E85" w:rsidRDefault="00FD7E85">
      <w:pPr>
        <w:jc w:val="both"/>
        <w:rPr>
          <w:rFonts w:ascii="Arial" w:hAnsi="Arial" w:cs="Arial"/>
          <w:u w:val="single"/>
          <w:lang w:val="en-GB" w:eastAsia="en-GB"/>
        </w:rPr>
      </w:pPr>
    </w:p>
    <w:p w14:paraId="4F0872D1" w14:textId="77777777" w:rsidR="00FD7E85" w:rsidRDefault="00FD7E85">
      <w:pPr>
        <w:jc w:val="both"/>
        <w:rPr>
          <w:rFonts w:ascii="Arial" w:hAnsi="Arial" w:cs="Arial"/>
          <w:b/>
          <w:bCs/>
          <w:i/>
          <w:iCs/>
          <w:u w:val="single"/>
          <w:lang w:eastAsia="en-GB"/>
        </w:rPr>
      </w:pPr>
      <w:bookmarkStart w:id="30" w:name="_Toc202869686"/>
    </w:p>
    <w:p w14:paraId="1229892E" w14:textId="77777777" w:rsidR="00FD7E85" w:rsidRDefault="00FD7E85">
      <w:pPr>
        <w:jc w:val="both"/>
        <w:rPr>
          <w:rFonts w:ascii="Arial" w:hAnsi="Arial" w:cs="Arial"/>
          <w:b/>
          <w:bCs/>
          <w:i/>
          <w:iCs/>
          <w:u w:val="single"/>
          <w:lang w:eastAsia="en-GB"/>
        </w:rPr>
      </w:pPr>
    </w:p>
    <w:p w14:paraId="5E80679A" w14:textId="77777777" w:rsidR="00FD7E85" w:rsidRDefault="00FD7E85">
      <w:pPr>
        <w:jc w:val="both"/>
        <w:rPr>
          <w:rFonts w:ascii="Arial" w:hAnsi="Arial" w:cs="Arial"/>
          <w:b/>
          <w:bCs/>
          <w:i/>
          <w:iCs/>
          <w:u w:val="single"/>
          <w:lang w:eastAsia="en-GB"/>
        </w:rPr>
      </w:pPr>
    </w:p>
    <w:p w14:paraId="7F135A21" w14:textId="77777777" w:rsidR="00FD7E85" w:rsidRDefault="00FD7E85">
      <w:pPr>
        <w:jc w:val="both"/>
        <w:rPr>
          <w:rFonts w:ascii="Arial" w:hAnsi="Arial" w:cs="Arial"/>
          <w:b/>
          <w:bCs/>
          <w:i/>
          <w:iCs/>
          <w:u w:val="single"/>
          <w:lang w:eastAsia="en-GB"/>
        </w:rPr>
      </w:pPr>
    </w:p>
    <w:p w14:paraId="2475A65E" w14:textId="77777777" w:rsidR="00FD7E85" w:rsidRDefault="00FD7E85">
      <w:pPr>
        <w:jc w:val="both"/>
        <w:rPr>
          <w:rFonts w:ascii="Arial" w:hAnsi="Arial" w:cs="Arial"/>
          <w:b/>
          <w:bCs/>
          <w:i/>
          <w:iCs/>
          <w:u w:val="single"/>
          <w:lang w:eastAsia="en-GB"/>
        </w:rPr>
      </w:pPr>
    </w:p>
    <w:p w14:paraId="507C19B9" w14:textId="77777777" w:rsidR="00FD7E85" w:rsidRDefault="00FD7E85">
      <w:pPr>
        <w:jc w:val="both"/>
        <w:rPr>
          <w:rFonts w:ascii="Arial" w:hAnsi="Arial" w:cs="Arial"/>
          <w:b/>
          <w:bCs/>
          <w:i/>
          <w:iCs/>
          <w:u w:val="single"/>
          <w:lang w:eastAsia="en-GB"/>
        </w:rPr>
      </w:pPr>
    </w:p>
    <w:p w14:paraId="43F3A32D" w14:textId="77777777" w:rsidR="00FD7E85" w:rsidRDefault="00FD7E85">
      <w:pPr>
        <w:jc w:val="both"/>
        <w:rPr>
          <w:rFonts w:ascii="Arial" w:hAnsi="Arial" w:cs="Arial"/>
          <w:b/>
          <w:bCs/>
          <w:i/>
          <w:iCs/>
          <w:u w:val="single"/>
          <w:lang w:eastAsia="en-GB"/>
        </w:rPr>
      </w:pPr>
    </w:p>
    <w:p w14:paraId="74C7CE6F" w14:textId="77777777" w:rsidR="00FD7E85" w:rsidRDefault="00FD7E85">
      <w:pPr>
        <w:jc w:val="both"/>
        <w:rPr>
          <w:rFonts w:ascii="Arial" w:hAnsi="Arial" w:cs="Arial"/>
          <w:b/>
          <w:bCs/>
          <w:i/>
          <w:iCs/>
          <w:u w:val="single"/>
          <w:lang w:eastAsia="en-GB"/>
        </w:rPr>
      </w:pPr>
    </w:p>
    <w:p w14:paraId="30477767" w14:textId="77777777" w:rsidR="00FD7E85" w:rsidRDefault="00FD7E85">
      <w:pPr>
        <w:jc w:val="both"/>
        <w:rPr>
          <w:rFonts w:ascii="Arial" w:hAnsi="Arial" w:cs="Arial"/>
          <w:b/>
          <w:bCs/>
          <w:i/>
          <w:iCs/>
          <w:u w:val="single"/>
          <w:lang w:eastAsia="en-GB"/>
        </w:rPr>
      </w:pPr>
    </w:p>
    <w:p w14:paraId="40BC86A8" w14:textId="77777777" w:rsidR="00FD7E85" w:rsidRDefault="00FD7E85">
      <w:pPr>
        <w:jc w:val="both"/>
        <w:rPr>
          <w:rFonts w:ascii="Arial" w:hAnsi="Arial" w:cs="Arial"/>
          <w:b/>
          <w:bCs/>
          <w:i/>
          <w:iCs/>
          <w:u w:val="single"/>
          <w:lang w:eastAsia="en-GB"/>
        </w:rPr>
      </w:pPr>
    </w:p>
    <w:p w14:paraId="1B86A583" w14:textId="77777777" w:rsidR="00FD7E85" w:rsidRDefault="00F456FA">
      <w:pPr>
        <w:jc w:val="both"/>
        <w:rPr>
          <w:rFonts w:ascii="Arial" w:hAnsi="Arial" w:cs="Arial"/>
          <w:b/>
          <w:bCs/>
          <w:i/>
          <w:iCs/>
          <w:u w:val="single"/>
          <w:lang w:eastAsia="en-GB"/>
        </w:rPr>
      </w:pPr>
      <w:r>
        <w:rPr>
          <w:rFonts w:ascii="Arial" w:hAnsi="Arial" w:cs="Arial"/>
          <w:b/>
          <w:bCs/>
          <w:i/>
          <w:iCs/>
          <w:u w:val="single"/>
          <w:lang w:eastAsia="en-GB"/>
        </w:rPr>
        <w:t>3.</w:t>
      </w:r>
      <w:r>
        <w:rPr>
          <w:rFonts w:ascii="Arial" w:hAnsi="Arial" w:cs="Arial"/>
          <w:b/>
          <w:bCs/>
          <w:u w:val="single"/>
          <w:lang w:eastAsia="en-GB"/>
        </w:rPr>
        <w:t>1.4. Factors associated with abnormal umbilical artery Doppler ultrasound among women diagnosed with PIH.</w:t>
      </w:r>
      <w:bookmarkEnd w:id="30"/>
    </w:p>
    <w:p w14:paraId="17885B33" w14:textId="022C6A63" w:rsidR="00FD7E85" w:rsidRDefault="00F456FA">
      <w:pPr>
        <w:jc w:val="both"/>
        <w:rPr>
          <w:rFonts w:ascii="Arial" w:hAnsi="Arial" w:cs="Arial"/>
          <w:lang w:eastAsia="en-GB"/>
        </w:rPr>
      </w:pPr>
      <w:r>
        <w:rPr>
          <w:rFonts w:ascii="Arial" w:hAnsi="Arial" w:cs="Arial"/>
          <w:lang w:eastAsia="en-GB"/>
        </w:rPr>
        <w:t>In crude analysis there w</w:t>
      </w:r>
      <w:r w:rsidR="005D6B64">
        <w:rPr>
          <w:rFonts w:ascii="Arial" w:hAnsi="Arial" w:cs="Arial"/>
          <w:lang w:eastAsia="en-GB"/>
        </w:rPr>
        <w:t xml:space="preserve">as </w:t>
      </w:r>
      <w:r>
        <w:rPr>
          <w:rFonts w:ascii="Arial" w:hAnsi="Arial" w:cs="Arial"/>
          <w:lang w:eastAsia="en-GB"/>
        </w:rPr>
        <w:t xml:space="preserve">association of maternal age group and abnormal umbilical artery doppler ultrasound; this was observed in maternal age groups </w:t>
      </w:r>
      <w:r>
        <w:rPr>
          <w:rFonts w:ascii="Arial" w:hAnsi="Arial" w:cs="Arial"/>
          <w:b/>
          <w:bCs/>
          <w:lang w:eastAsia="en-GB"/>
        </w:rPr>
        <w:t>25-35 COR=0.928, P=0.029, CI= (0.482-3.758).</w:t>
      </w:r>
      <w:r>
        <w:rPr>
          <w:rFonts w:ascii="Arial" w:hAnsi="Arial" w:cs="Arial"/>
          <w:lang w:eastAsia="en-GB"/>
        </w:rPr>
        <w:t xml:space="preserve"> Also, age group above 36year </w:t>
      </w:r>
      <w:r>
        <w:rPr>
          <w:rFonts w:ascii="Arial" w:hAnsi="Arial" w:cs="Arial"/>
          <w:b/>
          <w:bCs/>
          <w:lang w:eastAsia="en-GB"/>
        </w:rPr>
        <w:t>COR= 0.928, P=0.039, CI= (0.198-1.74)</w:t>
      </w:r>
    </w:p>
    <w:p w14:paraId="651F6760" w14:textId="77777777" w:rsidR="00FD7E85" w:rsidRDefault="00F456FA">
      <w:pPr>
        <w:jc w:val="both"/>
        <w:rPr>
          <w:rFonts w:ascii="Arial" w:hAnsi="Arial" w:cs="Arial"/>
          <w:b/>
          <w:bCs/>
          <w:lang w:eastAsia="en-GB"/>
        </w:rPr>
      </w:pPr>
      <w:r>
        <w:rPr>
          <w:rFonts w:ascii="Arial" w:hAnsi="Arial" w:cs="Arial"/>
          <w:lang w:eastAsia="en-GB"/>
        </w:rPr>
        <w:t xml:space="preserve">There was also association of blood pressure and abnormal umbilical artery doppler ultrasound. This was observed in moderate systolic blood pressure with </w:t>
      </w:r>
      <w:r>
        <w:rPr>
          <w:rFonts w:ascii="Arial" w:hAnsi="Arial" w:cs="Arial"/>
          <w:b/>
          <w:bCs/>
          <w:lang w:eastAsia="en-GB"/>
        </w:rPr>
        <w:t>COR= 1.302, P= 0.047 CI=0.047-0.419,</w:t>
      </w:r>
      <w:r>
        <w:rPr>
          <w:rFonts w:ascii="Arial" w:hAnsi="Arial" w:cs="Arial"/>
          <w:lang w:eastAsia="en-GB"/>
        </w:rPr>
        <w:t xml:space="preserve"> severe systolic blood pressure with </w:t>
      </w:r>
      <w:r>
        <w:rPr>
          <w:rFonts w:ascii="Arial" w:hAnsi="Arial" w:cs="Arial"/>
          <w:b/>
          <w:bCs/>
          <w:i/>
          <w:iCs/>
          <w:lang w:eastAsia="en-GB"/>
        </w:rPr>
        <w:t>COR =1.368, P=0.033, CI= 0.534-0.498</w:t>
      </w:r>
      <w:r>
        <w:rPr>
          <w:rFonts w:ascii="Arial" w:hAnsi="Arial" w:cs="Arial"/>
          <w:b/>
          <w:bCs/>
          <w:lang w:eastAsia="en-GB"/>
        </w:rPr>
        <w:t>.</w:t>
      </w:r>
      <w:r>
        <w:rPr>
          <w:rFonts w:ascii="Arial" w:hAnsi="Arial" w:cs="Arial"/>
          <w:lang w:eastAsia="en-GB"/>
        </w:rPr>
        <w:t xml:space="preserve"> Moderate diastolic blood pressure with</w:t>
      </w:r>
      <w:r>
        <w:rPr>
          <w:rFonts w:ascii="Arial" w:hAnsi="Arial" w:cs="Arial"/>
          <w:b/>
          <w:bCs/>
          <w:lang w:eastAsia="en-GB"/>
        </w:rPr>
        <w:t xml:space="preserve"> </w:t>
      </w:r>
      <w:r>
        <w:rPr>
          <w:rFonts w:ascii="Arial" w:hAnsi="Arial" w:cs="Arial"/>
          <w:b/>
          <w:bCs/>
          <w:i/>
          <w:iCs/>
          <w:lang w:eastAsia="en-GB"/>
        </w:rPr>
        <w:t>COR=1.402, P=0.041, CI= 0.081-1.325</w:t>
      </w:r>
      <w:r>
        <w:rPr>
          <w:rFonts w:ascii="Arial" w:hAnsi="Arial" w:cs="Arial"/>
          <w:b/>
          <w:bCs/>
          <w:lang w:eastAsia="en-GB"/>
        </w:rPr>
        <w:t xml:space="preserve"> </w:t>
      </w:r>
      <w:r>
        <w:rPr>
          <w:rFonts w:ascii="Arial" w:hAnsi="Arial" w:cs="Arial"/>
          <w:lang w:eastAsia="en-GB"/>
        </w:rPr>
        <w:t>and severe systolic blood pressure with</w:t>
      </w:r>
      <w:r>
        <w:rPr>
          <w:rFonts w:ascii="Arial" w:hAnsi="Arial" w:cs="Arial"/>
          <w:b/>
          <w:bCs/>
          <w:lang w:eastAsia="en-GB"/>
        </w:rPr>
        <w:t xml:space="preserve"> COR</w:t>
      </w:r>
      <w:r>
        <w:rPr>
          <w:rFonts w:ascii="Arial" w:hAnsi="Arial" w:cs="Arial"/>
          <w:lang w:eastAsia="en-GB"/>
        </w:rPr>
        <w:t>= 2.456, P=0.034, CI= 1.09-2.578</w:t>
      </w:r>
      <w:r>
        <w:rPr>
          <w:rFonts w:ascii="Arial" w:hAnsi="Arial" w:cs="Arial"/>
          <w:b/>
          <w:bCs/>
          <w:lang w:eastAsia="en-GB"/>
        </w:rPr>
        <w:t xml:space="preserve"> (Table 2.)</w:t>
      </w:r>
    </w:p>
    <w:p w14:paraId="00CDC265" w14:textId="77777777" w:rsidR="00FD7E85" w:rsidRDefault="00F456FA">
      <w:pPr>
        <w:jc w:val="both"/>
        <w:rPr>
          <w:rFonts w:ascii="Arial" w:hAnsi="Arial" w:cs="Arial"/>
          <w:b/>
          <w:bCs/>
          <w:lang w:eastAsia="en-GB"/>
        </w:rPr>
      </w:pPr>
      <w:r>
        <w:rPr>
          <w:rFonts w:ascii="Arial" w:hAnsi="Arial" w:cs="Arial"/>
          <w:b/>
          <w:bCs/>
          <w:lang w:val="en" w:eastAsia="en-GB"/>
        </w:rPr>
        <w:t>In adjusted</w:t>
      </w:r>
      <w:r>
        <w:rPr>
          <w:rFonts w:ascii="Arial" w:hAnsi="Arial" w:cs="Arial"/>
          <w:b/>
          <w:bCs/>
          <w:i/>
          <w:lang w:val="en" w:eastAsia="en-GB"/>
        </w:rPr>
        <w:t xml:space="preserve"> (</w:t>
      </w:r>
      <w:r>
        <w:rPr>
          <w:rFonts w:ascii="Arial" w:hAnsi="Arial" w:cs="Arial"/>
          <w:b/>
          <w:bCs/>
          <w:lang w:val="en" w:eastAsia="en-GB"/>
        </w:rPr>
        <w:t xml:space="preserve">Multivariable) Logistic Regression Analysis of Factors Associated with Abnormal Umbilical Artery Doppler Ultrasound among Women Diagnosed with </w:t>
      </w:r>
      <w:r>
        <w:rPr>
          <w:rFonts w:ascii="Arial" w:hAnsi="Arial" w:cs="Arial"/>
          <w:b/>
          <w:bCs/>
          <w:lang w:eastAsia="en-GB"/>
        </w:rPr>
        <w:t>Elevated blood pressure was strongly and independently associated with abnormal umbilical artery Doppler ultrasound findings. Participants with moderate systolic hypertension (AOR = 1.572;</w:t>
      </w:r>
      <w:r>
        <w:rPr>
          <w:rFonts w:ascii="Arial" w:hAnsi="Arial" w:cs="Arial"/>
          <w:b/>
          <w:bCs/>
          <w:i/>
          <w:iCs/>
          <w:lang w:eastAsia="en-GB"/>
        </w:rPr>
        <w:t xml:space="preserve"> P</w:t>
      </w:r>
      <w:r>
        <w:rPr>
          <w:rFonts w:ascii="Arial" w:hAnsi="Arial" w:cs="Arial"/>
          <w:b/>
          <w:bCs/>
          <w:lang w:eastAsia="en-GB"/>
        </w:rPr>
        <w:t xml:space="preserve"> = 0.047) and those with severe systolic hypertension </w:t>
      </w:r>
      <w:r>
        <w:rPr>
          <w:rFonts w:ascii="Arial" w:hAnsi="Arial" w:cs="Arial"/>
          <w:b/>
          <w:bCs/>
          <w:lang w:eastAsia="en-GB"/>
        </w:rPr>
        <w:lastRenderedPageBreak/>
        <w:t xml:space="preserve">(AOR = 1.759; </w:t>
      </w:r>
      <w:r>
        <w:rPr>
          <w:rFonts w:ascii="Arial" w:hAnsi="Arial" w:cs="Arial"/>
          <w:b/>
          <w:bCs/>
          <w:i/>
          <w:iCs/>
          <w:lang w:eastAsia="en-GB"/>
        </w:rPr>
        <w:t xml:space="preserve">P </w:t>
      </w:r>
      <w:r>
        <w:rPr>
          <w:rFonts w:ascii="Arial" w:hAnsi="Arial" w:cs="Arial"/>
          <w:b/>
          <w:bCs/>
          <w:lang w:eastAsia="en-GB"/>
        </w:rPr>
        <w:t>= 0.034) showed a statistically significant association with abnormal Doppler indices, indicating a dose-response relationship. Similarly, elevated diastolic blood pressure was significantly associated with abnormal Doppler results, particularly at moderate (AOR = 1.627;</w:t>
      </w:r>
      <w:r>
        <w:rPr>
          <w:rFonts w:ascii="Arial" w:hAnsi="Arial" w:cs="Arial"/>
          <w:b/>
          <w:bCs/>
          <w:i/>
          <w:iCs/>
          <w:lang w:eastAsia="en-GB"/>
        </w:rPr>
        <w:t xml:space="preserve"> P</w:t>
      </w:r>
      <w:r>
        <w:rPr>
          <w:rFonts w:ascii="Arial" w:hAnsi="Arial" w:cs="Arial"/>
          <w:b/>
          <w:bCs/>
          <w:lang w:eastAsia="en-GB"/>
        </w:rPr>
        <w:t xml:space="preserve"> = 0.038) and severe levels (AOR = 1.909; p = 0.021). However, there was no significant association between maternal age and abnormal Doppler findings; notably, participants aged above 36 years showed no statistical relationship with Doppler abnormalities (AOR = 0.253; </w:t>
      </w:r>
      <w:r>
        <w:rPr>
          <w:rFonts w:ascii="Arial" w:hAnsi="Arial" w:cs="Arial"/>
          <w:b/>
          <w:bCs/>
          <w:i/>
          <w:iCs/>
          <w:lang w:eastAsia="en-GB"/>
        </w:rPr>
        <w:t>P</w:t>
      </w:r>
      <w:r>
        <w:rPr>
          <w:rFonts w:ascii="Arial" w:hAnsi="Arial" w:cs="Arial"/>
          <w:b/>
          <w:bCs/>
          <w:lang w:eastAsia="en-GB"/>
        </w:rPr>
        <w:t xml:space="preserve"> = 0.09) (Table 3)</w:t>
      </w:r>
    </w:p>
    <w:p w14:paraId="70A73B1C" w14:textId="77777777" w:rsidR="00FD7E85" w:rsidRDefault="00FD7E85">
      <w:pPr>
        <w:jc w:val="both"/>
        <w:rPr>
          <w:rFonts w:ascii="Arial" w:hAnsi="Arial" w:cs="Arial"/>
          <w:b/>
          <w:bCs/>
          <w:lang w:eastAsia="en-GB"/>
        </w:rPr>
      </w:pPr>
    </w:p>
    <w:p w14:paraId="5A9397A2" w14:textId="77777777" w:rsidR="00FD7E85" w:rsidRDefault="00F456FA">
      <w:pPr>
        <w:jc w:val="both"/>
        <w:rPr>
          <w:rFonts w:ascii="Arial" w:hAnsi="Arial" w:cs="Arial"/>
          <w:b/>
          <w:lang w:val="en" w:eastAsia="en-GB"/>
        </w:rPr>
      </w:pPr>
      <w:bookmarkStart w:id="31" w:name="_Toc202853587"/>
      <w:bookmarkStart w:id="32" w:name="_Toc202869687"/>
      <w:bookmarkStart w:id="33" w:name="_Toc202852560"/>
      <w:r>
        <w:rPr>
          <w:rFonts w:ascii="Arial" w:hAnsi="Arial" w:cs="Arial"/>
          <w:b/>
          <w:lang w:val="en" w:eastAsia="en-GB"/>
        </w:rPr>
        <w:t xml:space="preserve">Table 2 </w:t>
      </w:r>
      <w:bookmarkStart w:id="34" w:name="_Hlk223174396"/>
      <w:r>
        <w:rPr>
          <w:rFonts w:ascii="Arial" w:hAnsi="Arial" w:cs="Arial"/>
          <w:b/>
          <w:lang w:val="en" w:eastAsia="en-GB"/>
        </w:rPr>
        <w:t>Crude (Bivariate) Analysis by logistic Regression of Factors Associated with Abnormal Umbilical Artery Doppler Ultrasound among Women Diagnosed with PIH.</w:t>
      </w:r>
      <w:bookmarkEnd w:id="31"/>
      <w:bookmarkEnd w:id="32"/>
      <w:bookmarkEnd w:id="33"/>
      <w:bookmarkEnd w:id="34"/>
    </w:p>
    <w:tbl>
      <w:tblPr>
        <w:tblW w:w="10080" w:type="dxa"/>
        <w:tblLayout w:type="fixed"/>
        <w:tblLook w:val="04A0" w:firstRow="1" w:lastRow="0" w:firstColumn="1" w:lastColumn="0" w:noHBand="0" w:noVBand="1"/>
      </w:tblPr>
      <w:tblGrid>
        <w:gridCol w:w="2970"/>
        <w:gridCol w:w="2070"/>
        <w:gridCol w:w="1980"/>
        <w:gridCol w:w="1800"/>
        <w:gridCol w:w="1260"/>
      </w:tblGrid>
      <w:tr w:rsidR="00FD7E85" w14:paraId="4DCC1B04" w14:textId="77777777">
        <w:trPr>
          <w:trHeight w:val="288"/>
        </w:trPr>
        <w:tc>
          <w:tcPr>
            <w:tcW w:w="2970" w:type="dxa"/>
            <w:tcBorders>
              <w:top w:val="single" w:sz="4" w:space="0" w:color="auto"/>
              <w:bottom w:val="single" w:sz="4" w:space="0" w:color="auto"/>
            </w:tcBorders>
          </w:tcPr>
          <w:p w14:paraId="6B2D0DF9" w14:textId="77777777" w:rsidR="00FD7E85" w:rsidRDefault="00F456FA">
            <w:pPr>
              <w:jc w:val="both"/>
              <w:rPr>
                <w:rFonts w:ascii="Arial" w:hAnsi="Arial" w:cs="Arial"/>
                <w:b/>
                <w:lang w:val="en" w:eastAsia="en-GB"/>
              </w:rPr>
            </w:pPr>
            <w:r>
              <w:rPr>
                <w:rFonts w:ascii="Arial" w:hAnsi="Arial" w:cs="Arial"/>
                <w:b/>
                <w:lang w:val="en" w:eastAsia="en-GB"/>
              </w:rPr>
              <w:t xml:space="preserve">Variable </w:t>
            </w:r>
          </w:p>
        </w:tc>
        <w:tc>
          <w:tcPr>
            <w:tcW w:w="2070" w:type="dxa"/>
            <w:tcBorders>
              <w:top w:val="single" w:sz="4" w:space="0" w:color="auto"/>
              <w:bottom w:val="single" w:sz="4" w:space="0" w:color="auto"/>
            </w:tcBorders>
          </w:tcPr>
          <w:p w14:paraId="3A7DE76B" w14:textId="77777777" w:rsidR="00FD7E85" w:rsidRDefault="00F456FA">
            <w:pPr>
              <w:jc w:val="both"/>
              <w:rPr>
                <w:rFonts w:ascii="Arial" w:hAnsi="Arial" w:cs="Arial"/>
                <w:b/>
                <w:lang w:val="en" w:eastAsia="en-GB"/>
              </w:rPr>
            </w:pPr>
            <w:r>
              <w:rPr>
                <w:rFonts w:ascii="Arial" w:hAnsi="Arial" w:cs="Arial"/>
                <w:b/>
                <w:lang w:val="en" w:eastAsia="en-GB"/>
              </w:rPr>
              <w:t>COR</w:t>
            </w:r>
          </w:p>
        </w:tc>
        <w:tc>
          <w:tcPr>
            <w:tcW w:w="1980" w:type="dxa"/>
            <w:tcBorders>
              <w:top w:val="single" w:sz="4" w:space="0" w:color="auto"/>
              <w:bottom w:val="single" w:sz="4" w:space="0" w:color="auto"/>
            </w:tcBorders>
          </w:tcPr>
          <w:p w14:paraId="0B23C552" w14:textId="77777777" w:rsidR="00FD7E85" w:rsidRDefault="00F456FA">
            <w:pPr>
              <w:jc w:val="both"/>
              <w:rPr>
                <w:rFonts w:ascii="Arial" w:hAnsi="Arial" w:cs="Arial"/>
                <w:b/>
                <w:lang w:val="en" w:eastAsia="en-GB"/>
              </w:rPr>
            </w:pPr>
            <w:r>
              <w:rPr>
                <w:rFonts w:ascii="Arial" w:hAnsi="Arial" w:cs="Arial"/>
                <w:b/>
                <w:lang w:val="en" w:eastAsia="en-GB"/>
              </w:rPr>
              <w:t>P-value</w:t>
            </w:r>
          </w:p>
        </w:tc>
        <w:tc>
          <w:tcPr>
            <w:tcW w:w="3060" w:type="dxa"/>
            <w:gridSpan w:val="2"/>
            <w:tcBorders>
              <w:top w:val="single" w:sz="4" w:space="0" w:color="auto"/>
              <w:bottom w:val="single" w:sz="4" w:space="0" w:color="auto"/>
            </w:tcBorders>
          </w:tcPr>
          <w:p w14:paraId="76559F45" w14:textId="77777777" w:rsidR="00FD7E85" w:rsidRDefault="00F456FA">
            <w:pPr>
              <w:jc w:val="both"/>
              <w:rPr>
                <w:rFonts w:ascii="Arial" w:hAnsi="Arial" w:cs="Arial"/>
                <w:b/>
                <w:lang w:val="en" w:eastAsia="en-GB"/>
              </w:rPr>
            </w:pPr>
            <w:r>
              <w:rPr>
                <w:rFonts w:ascii="Arial" w:hAnsi="Arial" w:cs="Arial"/>
                <w:b/>
                <w:lang w:val="en" w:eastAsia="en-GB"/>
              </w:rPr>
              <w:t xml:space="preserve">95% CI </w:t>
            </w:r>
          </w:p>
        </w:tc>
      </w:tr>
      <w:tr w:rsidR="00FD7E85" w14:paraId="53286D82" w14:textId="77777777">
        <w:trPr>
          <w:trHeight w:val="306"/>
        </w:trPr>
        <w:tc>
          <w:tcPr>
            <w:tcW w:w="2970" w:type="dxa"/>
            <w:tcBorders>
              <w:top w:val="single" w:sz="4" w:space="0" w:color="auto"/>
            </w:tcBorders>
          </w:tcPr>
          <w:p w14:paraId="2A355986" w14:textId="77777777" w:rsidR="00FD7E85" w:rsidRDefault="00F456FA">
            <w:pPr>
              <w:jc w:val="both"/>
              <w:rPr>
                <w:rFonts w:ascii="Arial" w:hAnsi="Arial" w:cs="Arial"/>
                <w:b/>
                <w:lang w:val="en" w:eastAsia="en-GB"/>
              </w:rPr>
            </w:pPr>
            <w:r>
              <w:rPr>
                <w:rFonts w:ascii="Arial" w:hAnsi="Arial" w:cs="Arial"/>
                <w:b/>
                <w:lang w:val="en" w:eastAsia="en-GB"/>
              </w:rPr>
              <w:t xml:space="preserve">Education </w:t>
            </w:r>
          </w:p>
        </w:tc>
        <w:tc>
          <w:tcPr>
            <w:tcW w:w="2070" w:type="dxa"/>
            <w:tcBorders>
              <w:top w:val="single" w:sz="4" w:space="0" w:color="auto"/>
            </w:tcBorders>
          </w:tcPr>
          <w:p w14:paraId="5BB820D3" w14:textId="77777777" w:rsidR="00FD7E85" w:rsidRDefault="00FD7E85">
            <w:pPr>
              <w:jc w:val="both"/>
              <w:rPr>
                <w:rFonts w:ascii="Arial" w:hAnsi="Arial" w:cs="Arial"/>
                <w:b/>
                <w:lang w:val="en" w:eastAsia="en-GB"/>
              </w:rPr>
            </w:pPr>
          </w:p>
        </w:tc>
        <w:tc>
          <w:tcPr>
            <w:tcW w:w="1980" w:type="dxa"/>
            <w:tcBorders>
              <w:top w:val="single" w:sz="4" w:space="0" w:color="auto"/>
            </w:tcBorders>
          </w:tcPr>
          <w:p w14:paraId="41D032DE" w14:textId="77777777" w:rsidR="00FD7E85" w:rsidRDefault="00FD7E85">
            <w:pPr>
              <w:jc w:val="both"/>
              <w:rPr>
                <w:rFonts w:ascii="Arial" w:hAnsi="Arial" w:cs="Arial"/>
                <w:b/>
                <w:lang w:val="en" w:eastAsia="en-GB"/>
              </w:rPr>
            </w:pPr>
          </w:p>
        </w:tc>
        <w:tc>
          <w:tcPr>
            <w:tcW w:w="1800" w:type="dxa"/>
            <w:tcBorders>
              <w:top w:val="single" w:sz="4" w:space="0" w:color="auto"/>
            </w:tcBorders>
          </w:tcPr>
          <w:p w14:paraId="6B3C3DEC" w14:textId="77777777" w:rsidR="00FD7E85" w:rsidRDefault="00FD7E85">
            <w:pPr>
              <w:jc w:val="both"/>
              <w:rPr>
                <w:rFonts w:ascii="Arial" w:hAnsi="Arial" w:cs="Arial"/>
                <w:b/>
                <w:lang w:val="en" w:eastAsia="en-GB"/>
              </w:rPr>
            </w:pPr>
          </w:p>
        </w:tc>
        <w:tc>
          <w:tcPr>
            <w:tcW w:w="1260" w:type="dxa"/>
            <w:tcBorders>
              <w:top w:val="single" w:sz="4" w:space="0" w:color="auto"/>
            </w:tcBorders>
          </w:tcPr>
          <w:p w14:paraId="01206752" w14:textId="77777777" w:rsidR="00FD7E85" w:rsidRDefault="00FD7E85">
            <w:pPr>
              <w:jc w:val="both"/>
              <w:rPr>
                <w:rFonts w:ascii="Arial" w:hAnsi="Arial" w:cs="Arial"/>
                <w:b/>
                <w:lang w:val="en" w:eastAsia="en-GB"/>
              </w:rPr>
            </w:pPr>
          </w:p>
        </w:tc>
      </w:tr>
      <w:tr w:rsidR="00FD7E85" w14:paraId="189DB928" w14:textId="77777777">
        <w:trPr>
          <w:trHeight w:val="89"/>
        </w:trPr>
        <w:tc>
          <w:tcPr>
            <w:tcW w:w="2970" w:type="dxa"/>
          </w:tcPr>
          <w:p w14:paraId="50FE0153" w14:textId="77777777" w:rsidR="00FD7E85" w:rsidRDefault="00F456FA">
            <w:pPr>
              <w:jc w:val="both"/>
              <w:rPr>
                <w:rFonts w:ascii="Arial" w:hAnsi="Arial" w:cs="Arial"/>
                <w:bCs/>
                <w:lang w:val="en" w:eastAsia="en-GB"/>
              </w:rPr>
            </w:pPr>
            <w:r>
              <w:rPr>
                <w:rFonts w:ascii="Arial" w:hAnsi="Arial" w:cs="Arial"/>
                <w:bCs/>
                <w:lang w:val="en" w:eastAsia="en-GB"/>
              </w:rPr>
              <w:t>Higher</w:t>
            </w:r>
          </w:p>
        </w:tc>
        <w:tc>
          <w:tcPr>
            <w:tcW w:w="2070" w:type="dxa"/>
          </w:tcPr>
          <w:p w14:paraId="3B859E13" w14:textId="77777777" w:rsidR="00FD7E85" w:rsidRDefault="00F456FA">
            <w:pPr>
              <w:jc w:val="both"/>
              <w:rPr>
                <w:rFonts w:ascii="Arial" w:hAnsi="Arial" w:cs="Arial"/>
                <w:bCs/>
                <w:lang w:val="en" w:eastAsia="en-GB"/>
              </w:rPr>
            </w:pPr>
            <w:r>
              <w:rPr>
                <w:rFonts w:ascii="Arial" w:hAnsi="Arial" w:cs="Arial"/>
                <w:bCs/>
                <w:lang w:val="en" w:eastAsia="en-GB"/>
              </w:rPr>
              <w:t>1</w:t>
            </w:r>
          </w:p>
        </w:tc>
        <w:tc>
          <w:tcPr>
            <w:tcW w:w="1980" w:type="dxa"/>
          </w:tcPr>
          <w:p w14:paraId="100E1F57" w14:textId="77777777" w:rsidR="00FD7E85" w:rsidRDefault="00FD7E85">
            <w:pPr>
              <w:jc w:val="both"/>
              <w:rPr>
                <w:rFonts w:ascii="Arial" w:hAnsi="Arial" w:cs="Arial"/>
                <w:bCs/>
                <w:lang w:val="en" w:eastAsia="en-GB"/>
              </w:rPr>
            </w:pPr>
          </w:p>
        </w:tc>
        <w:tc>
          <w:tcPr>
            <w:tcW w:w="1800" w:type="dxa"/>
          </w:tcPr>
          <w:p w14:paraId="08D4F751" w14:textId="77777777" w:rsidR="00FD7E85" w:rsidRDefault="00FD7E85">
            <w:pPr>
              <w:jc w:val="both"/>
              <w:rPr>
                <w:rFonts w:ascii="Arial" w:hAnsi="Arial" w:cs="Arial"/>
                <w:bCs/>
                <w:lang w:val="en" w:eastAsia="en-GB"/>
              </w:rPr>
            </w:pPr>
          </w:p>
        </w:tc>
        <w:tc>
          <w:tcPr>
            <w:tcW w:w="1260" w:type="dxa"/>
          </w:tcPr>
          <w:p w14:paraId="6D20A66E" w14:textId="77777777" w:rsidR="00FD7E85" w:rsidRDefault="00FD7E85">
            <w:pPr>
              <w:jc w:val="both"/>
              <w:rPr>
                <w:rFonts w:ascii="Arial" w:hAnsi="Arial" w:cs="Arial"/>
                <w:bCs/>
                <w:lang w:val="en" w:eastAsia="en-GB"/>
              </w:rPr>
            </w:pPr>
          </w:p>
        </w:tc>
      </w:tr>
      <w:tr w:rsidR="00FD7E85" w14:paraId="2A8223B1" w14:textId="77777777">
        <w:trPr>
          <w:trHeight w:val="306"/>
        </w:trPr>
        <w:tc>
          <w:tcPr>
            <w:tcW w:w="2970" w:type="dxa"/>
          </w:tcPr>
          <w:p w14:paraId="75D4FC49" w14:textId="77777777" w:rsidR="00FD7E85" w:rsidRDefault="00F456FA">
            <w:pPr>
              <w:jc w:val="both"/>
              <w:rPr>
                <w:rFonts w:ascii="Arial" w:hAnsi="Arial" w:cs="Arial"/>
                <w:bCs/>
                <w:lang w:val="en" w:eastAsia="en-GB"/>
              </w:rPr>
            </w:pPr>
            <w:r>
              <w:rPr>
                <w:rFonts w:ascii="Arial" w:hAnsi="Arial" w:cs="Arial"/>
                <w:bCs/>
                <w:lang w:val="en" w:eastAsia="en-GB"/>
              </w:rPr>
              <w:t>Secondary</w:t>
            </w:r>
          </w:p>
        </w:tc>
        <w:tc>
          <w:tcPr>
            <w:tcW w:w="2070" w:type="dxa"/>
          </w:tcPr>
          <w:p w14:paraId="06DF64AC" w14:textId="77777777" w:rsidR="00FD7E85" w:rsidRDefault="00F456FA">
            <w:pPr>
              <w:jc w:val="both"/>
              <w:rPr>
                <w:rFonts w:ascii="Arial" w:hAnsi="Arial" w:cs="Arial"/>
                <w:bCs/>
                <w:lang w:val="en" w:eastAsia="en-GB"/>
              </w:rPr>
            </w:pPr>
            <w:r>
              <w:rPr>
                <w:rFonts w:ascii="Arial" w:hAnsi="Arial" w:cs="Arial"/>
                <w:bCs/>
                <w:lang w:val="en" w:eastAsia="en-GB"/>
              </w:rPr>
              <w:t>0.213</w:t>
            </w:r>
          </w:p>
        </w:tc>
        <w:tc>
          <w:tcPr>
            <w:tcW w:w="1980" w:type="dxa"/>
          </w:tcPr>
          <w:p w14:paraId="4325E08B" w14:textId="77777777" w:rsidR="00FD7E85" w:rsidRDefault="00F456FA">
            <w:pPr>
              <w:jc w:val="both"/>
              <w:rPr>
                <w:rFonts w:ascii="Arial" w:hAnsi="Arial" w:cs="Arial"/>
                <w:bCs/>
                <w:lang w:val="en" w:eastAsia="en-GB"/>
              </w:rPr>
            </w:pPr>
            <w:r>
              <w:rPr>
                <w:rFonts w:ascii="Arial" w:hAnsi="Arial" w:cs="Arial"/>
                <w:bCs/>
                <w:lang w:val="en" w:eastAsia="en-GB"/>
              </w:rPr>
              <w:t>0.170</w:t>
            </w:r>
          </w:p>
        </w:tc>
        <w:tc>
          <w:tcPr>
            <w:tcW w:w="1800" w:type="dxa"/>
          </w:tcPr>
          <w:p w14:paraId="1F2407F8" w14:textId="77777777" w:rsidR="00FD7E85" w:rsidRDefault="00F456FA">
            <w:pPr>
              <w:jc w:val="both"/>
              <w:rPr>
                <w:rFonts w:ascii="Arial" w:hAnsi="Arial" w:cs="Arial"/>
                <w:bCs/>
                <w:lang w:val="en" w:eastAsia="en-GB"/>
              </w:rPr>
            </w:pPr>
            <w:r>
              <w:rPr>
                <w:rFonts w:ascii="Arial" w:hAnsi="Arial" w:cs="Arial"/>
                <w:bCs/>
                <w:lang w:val="en" w:eastAsia="en-GB"/>
              </w:rPr>
              <w:t>0.023</w:t>
            </w:r>
          </w:p>
        </w:tc>
        <w:tc>
          <w:tcPr>
            <w:tcW w:w="1260" w:type="dxa"/>
          </w:tcPr>
          <w:p w14:paraId="445275E8" w14:textId="77777777" w:rsidR="00FD7E85" w:rsidRDefault="00F456FA">
            <w:pPr>
              <w:jc w:val="both"/>
              <w:rPr>
                <w:rFonts w:ascii="Arial" w:hAnsi="Arial" w:cs="Arial"/>
                <w:bCs/>
                <w:lang w:val="en" w:eastAsia="en-GB"/>
              </w:rPr>
            </w:pPr>
            <w:r>
              <w:rPr>
                <w:rFonts w:ascii="Arial" w:hAnsi="Arial" w:cs="Arial"/>
                <w:bCs/>
                <w:lang w:val="en" w:eastAsia="en-GB"/>
              </w:rPr>
              <w:t>1.940</w:t>
            </w:r>
          </w:p>
        </w:tc>
      </w:tr>
      <w:tr w:rsidR="00FD7E85" w14:paraId="3EDE0BB2" w14:textId="77777777">
        <w:trPr>
          <w:trHeight w:val="288"/>
        </w:trPr>
        <w:tc>
          <w:tcPr>
            <w:tcW w:w="2970" w:type="dxa"/>
          </w:tcPr>
          <w:p w14:paraId="5DA0120B" w14:textId="77777777" w:rsidR="00FD7E85" w:rsidRDefault="00F456FA">
            <w:pPr>
              <w:jc w:val="both"/>
              <w:rPr>
                <w:rFonts w:ascii="Arial" w:hAnsi="Arial" w:cs="Arial"/>
                <w:bCs/>
                <w:lang w:val="en" w:eastAsia="en-GB"/>
              </w:rPr>
            </w:pPr>
            <w:r>
              <w:rPr>
                <w:rFonts w:ascii="Arial" w:hAnsi="Arial" w:cs="Arial"/>
                <w:bCs/>
                <w:lang w:val="en" w:eastAsia="en-GB"/>
              </w:rPr>
              <w:t>Primary</w:t>
            </w:r>
          </w:p>
        </w:tc>
        <w:tc>
          <w:tcPr>
            <w:tcW w:w="2070" w:type="dxa"/>
          </w:tcPr>
          <w:p w14:paraId="60E11A8B" w14:textId="77777777" w:rsidR="00FD7E85" w:rsidRDefault="00F456FA">
            <w:pPr>
              <w:jc w:val="both"/>
              <w:rPr>
                <w:rFonts w:ascii="Arial" w:hAnsi="Arial" w:cs="Arial"/>
                <w:bCs/>
                <w:lang w:val="en" w:eastAsia="en-GB"/>
              </w:rPr>
            </w:pPr>
            <w:r>
              <w:rPr>
                <w:rFonts w:ascii="Arial" w:hAnsi="Arial" w:cs="Arial"/>
                <w:bCs/>
                <w:lang w:val="en" w:eastAsia="en-GB"/>
              </w:rPr>
              <w:t>1.957</w:t>
            </w:r>
          </w:p>
        </w:tc>
        <w:tc>
          <w:tcPr>
            <w:tcW w:w="1980" w:type="dxa"/>
          </w:tcPr>
          <w:p w14:paraId="36C42B93" w14:textId="77777777" w:rsidR="00FD7E85" w:rsidRDefault="00F456FA">
            <w:pPr>
              <w:jc w:val="both"/>
              <w:rPr>
                <w:rFonts w:ascii="Arial" w:hAnsi="Arial" w:cs="Arial"/>
                <w:bCs/>
                <w:lang w:val="en" w:eastAsia="en-GB"/>
              </w:rPr>
            </w:pPr>
            <w:r>
              <w:rPr>
                <w:rFonts w:ascii="Arial" w:hAnsi="Arial" w:cs="Arial"/>
                <w:bCs/>
                <w:lang w:val="en" w:eastAsia="en-GB"/>
              </w:rPr>
              <w:t>0.251</w:t>
            </w:r>
          </w:p>
        </w:tc>
        <w:tc>
          <w:tcPr>
            <w:tcW w:w="1800" w:type="dxa"/>
          </w:tcPr>
          <w:p w14:paraId="1EC88184" w14:textId="77777777" w:rsidR="00FD7E85" w:rsidRDefault="00F456FA">
            <w:pPr>
              <w:jc w:val="both"/>
              <w:rPr>
                <w:rFonts w:ascii="Arial" w:hAnsi="Arial" w:cs="Arial"/>
                <w:bCs/>
                <w:lang w:val="en" w:eastAsia="en-GB"/>
              </w:rPr>
            </w:pPr>
            <w:r>
              <w:rPr>
                <w:rFonts w:ascii="Arial" w:hAnsi="Arial" w:cs="Arial"/>
                <w:bCs/>
                <w:lang w:val="en" w:eastAsia="en-GB"/>
              </w:rPr>
              <w:t>0.622</w:t>
            </w:r>
          </w:p>
        </w:tc>
        <w:tc>
          <w:tcPr>
            <w:tcW w:w="1260" w:type="dxa"/>
          </w:tcPr>
          <w:p w14:paraId="0D1D7A00" w14:textId="77777777" w:rsidR="00FD7E85" w:rsidRDefault="00F456FA">
            <w:pPr>
              <w:jc w:val="both"/>
              <w:rPr>
                <w:rFonts w:ascii="Arial" w:hAnsi="Arial" w:cs="Arial"/>
                <w:bCs/>
                <w:lang w:val="en" w:eastAsia="en-GB"/>
              </w:rPr>
            </w:pPr>
            <w:r>
              <w:rPr>
                <w:rFonts w:ascii="Arial" w:hAnsi="Arial" w:cs="Arial"/>
                <w:bCs/>
                <w:lang w:val="en" w:eastAsia="en-GB"/>
              </w:rPr>
              <w:t>6.159</w:t>
            </w:r>
          </w:p>
        </w:tc>
      </w:tr>
      <w:tr w:rsidR="00FD7E85" w14:paraId="2C10FDFB" w14:textId="77777777">
        <w:trPr>
          <w:trHeight w:val="306"/>
        </w:trPr>
        <w:tc>
          <w:tcPr>
            <w:tcW w:w="2970" w:type="dxa"/>
          </w:tcPr>
          <w:p w14:paraId="67738042" w14:textId="77777777" w:rsidR="00FD7E85" w:rsidRDefault="00F456FA">
            <w:pPr>
              <w:jc w:val="both"/>
              <w:rPr>
                <w:rFonts w:ascii="Arial" w:hAnsi="Arial" w:cs="Arial"/>
                <w:b/>
                <w:lang w:val="en" w:eastAsia="en-GB"/>
              </w:rPr>
            </w:pPr>
            <w:r>
              <w:rPr>
                <w:rFonts w:ascii="Arial" w:hAnsi="Arial" w:cs="Arial"/>
                <w:b/>
                <w:lang w:val="en" w:eastAsia="en-GB"/>
              </w:rPr>
              <w:t>Occupation</w:t>
            </w:r>
          </w:p>
        </w:tc>
        <w:tc>
          <w:tcPr>
            <w:tcW w:w="2070" w:type="dxa"/>
          </w:tcPr>
          <w:p w14:paraId="550C4096" w14:textId="77777777" w:rsidR="00FD7E85" w:rsidRDefault="00FD7E85">
            <w:pPr>
              <w:jc w:val="both"/>
              <w:rPr>
                <w:rFonts w:ascii="Arial" w:hAnsi="Arial" w:cs="Arial"/>
                <w:b/>
                <w:lang w:val="en" w:eastAsia="en-GB"/>
              </w:rPr>
            </w:pPr>
          </w:p>
        </w:tc>
        <w:tc>
          <w:tcPr>
            <w:tcW w:w="1980" w:type="dxa"/>
          </w:tcPr>
          <w:p w14:paraId="5216A7D0" w14:textId="77777777" w:rsidR="00FD7E85" w:rsidRDefault="00FD7E85">
            <w:pPr>
              <w:jc w:val="both"/>
              <w:rPr>
                <w:rFonts w:ascii="Arial" w:hAnsi="Arial" w:cs="Arial"/>
                <w:b/>
                <w:lang w:val="en" w:eastAsia="en-GB"/>
              </w:rPr>
            </w:pPr>
          </w:p>
        </w:tc>
        <w:tc>
          <w:tcPr>
            <w:tcW w:w="1800" w:type="dxa"/>
          </w:tcPr>
          <w:p w14:paraId="4A30B0ED" w14:textId="77777777" w:rsidR="00FD7E85" w:rsidRDefault="00FD7E85">
            <w:pPr>
              <w:jc w:val="both"/>
              <w:rPr>
                <w:rFonts w:ascii="Arial" w:hAnsi="Arial" w:cs="Arial"/>
                <w:b/>
                <w:lang w:val="en" w:eastAsia="en-GB"/>
              </w:rPr>
            </w:pPr>
          </w:p>
        </w:tc>
        <w:tc>
          <w:tcPr>
            <w:tcW w:w="1260" w:type="dxa"/>
          </w:tcPr>
          <w:p w14:paraId="4900502F" w14:textId="77777777" w:rsidR="00FD7E85" w:rsidRDefault="00FD7E85">
            <w:pPr>
              <w:jc w:val="both"/>
              <w:rPr>
                <w:rFonts w:ascii="Arial" w:hAnsi="Arial" w:cs="Arial"/>
                <w:b/>
                <w:lang w:val="en" w:eastAsia="en-GB"/>
              </w:rPr>
            </w:pPr>
          </w:p>
        </w:tc>
      </w:tr>
      <w:tr w:rsidR="00FD7E85" w14:paraId="22D9E5CA" w14:textId="77777777">
        <w:trPr>
          <w:trHeight w:val="288"/>
        </w:trPr>
        <w:tc>
          <w:tcPr>
            <w:tcW w:w="2970" w:type="dxa"/>
          </w:tcPr>
          <w:p w14:paraId="22EC5709" w14:textId="77777777" w:rsidR="00FD7E85" w:rsidRDefault="00F456FA">
            <w:pPr>
              <w:jc w:val="both"/>
              <w:rPr>
                <w:rFonts w:ascii="Arial" w:hAnsi="Arial" w:cs="Arial"/>
                <w:bCs/>
                <w:lang w:val="en" w:eastAsia="en-GB"/>
              </w:rPr>
            </w:pPr>
            <w:r>
              <w:rPr>
                <w:rFonts w:ascii="Arial" w:hAnsi="Arial" w:cs="Arial"/>
                <w:bCs/>
                <w:lang w:val="en" w:eastAsia="en-GB"/>
              </w:rPr>
              <w:t xml:space="preserve">Employed </w:t>
            </w:r>
          </w:p>
        </w:tc>
        <w:tc>
          <w:tcPr>
            <w:tcW w:w="2070" w:type="dxa"/>
          </w:tcPr>
          <w:p w14:paraId="5FD3A75E" w14:textId="77777777" w:rsidR="00FD7E85" w:rsidRDefault="00F456FA">
            <w:pPr>
              <w:jc w:val="both"/>
              <w:rPr>
                <w:rFonts w:ascii="Arial" w:hAnsi="Arial" w:cs="Arial"/>
                <w:bCs/>
                <w:lang w:val="en" w:eastAsia="en-GB"/>
              </w:rPr>
            </w:pPr>
            <w:r>
              <w:rPr>
                <w:rFonts w:ascii="Arial" w:hAnsi="Arial" w:cs="Arial"/>
                <w:bCs/>
                <w:lang w:val="en" w:eastAsia="en-GB"/>
              </w:rPr>
              <w:t>1</w:t>
            </w:r>
          </w:p>
        </w:tc>
        <w:tc>
          <w:tcPr>
            <w:tcW w:w="1980" w:type="dxa"/>
          </w:tcPr>
          <w:p w14:paraId="55C8BCB4" w14:textId="77777777" w:rsidR="00FD7E85" w:rsidRDefault="00FD7E85">
            <w:pPr>
              <w:jc w:val="both"/>
              <w:rPr>
                <w:rFonts w:ascii="Arial" w:hAnsi="Arial" w:cs="Arial"/>
                <w:bCs/>
                <w:lang w:val="en" w:eastAsia="en-GB"/>
              </w:rPr>
            </w:pPr>
          </w:p>
        </w:tc>
        <w:tc>
          <w:tcPr>
            <w:tcW w:w="1800" w:type="dxa"/>
          </w:tcPr>
          <w:p w14:paraId="10FC3363" w14:textId="77777777" w:rsidR="00FD7E85" w:rsidRDefault="00FD7E85">
            <w:pPr>
              <w:jc w:val="both"/>
              <w:rPr>
                <w:rFonts w:ascii="Arial" w:hAnsi="Arial" w:cs="Arial"/>
                <w:bCs/>
                <w:lang w:val="en" w:eastAsia="en-GB"/>
              </w:rPr>
            </w:pPr>
          </w:p>
        </w:tc>
        <w:tc>
          <w:tcPr>
            <w:tcW w:w="1260" w:type="dxa"/>
          </w:tcPr>
          <w:p w14:paraId="364C2951" w14:textId="77777777" w:rsidR="00FD7E85" w:rsidRDefault="00FD7E85">
            <w:pPr>
              <w:jc w:val="both"/>
              <w:rPr>
                <w:rFonts w:ascii="Arial" w:hAnsi="Arial" w:cs="Arial"/>
                <w:bCs/>
                <w:lang w:val="en" w:eastAsia="en-GB"/>
              </w:rPr>
            </w:pPr>
          </w:p>
        </w:tc>
      </w:tr>
      <w:tr w:rsidR="00FD7E85" w14:paraId="5F5B1209" w14:textId="77777777">
        <w:trPr>
          <w:trHeight w:val="306"/>
        </w:trPr>
        <w:tc>
          <w:tcPr>
            <w:tcW w:w="2970" w:type="dxa"/>
          </w:tcPr>
          <w:p w14:paraId="1C51364D" w14:textId="77777777" w:rsidR="00FD7E85" w:rsidRDefault="00F456FA">
            <w:pPr>
              <w:jc w:val="both"/>
              <w:rPr>
                <w:rFonts w:ascii="Arial" w:hAnsi="Arial" w:cs="Arial"/>
                <w:bCs/>
                <w:lang w:val="en" w:eastAsia="en-GB"/>
              </w:rPr>
            </w:pPr>
            <w:r>
              <w:rPr>
                <w:rFonts w:ascii="Arial" w:hAnsi="Arial" w:cs="Arial"/>
                <w:bCs/>
                <w:lang w:val="en" w:eastAsia="en-GB"/>
              </w:rPr>
              <w:t xml:space="preserve">Unemployed </w:t>
            </w:r>
          </w:p>
        </w:tc>
        <w:tc>
          <w:tcPr>
            <w:tcW w:w="2070" w:type="dxa"/>
          </w:tcPr>
          <w:p w14:paraId="729CD91F" w14:textId="77777777" w:rsidR="00FD7E85" w:rsidRDefault="00F456FA">
            <w:pPr>
              <w:jc w:val="both"/>
              <w:rPr>
                <w:rFonts w:ascii="Arial" w:hAnsi="Arial" w:cs="Arial"/>
                <w:bCs/>
                <w:lang w:val="en" w:eastAsia="en-GB"/>
              </w:rPr>
            </w:pPr>
            <w:r>
              <w:rPr>
                <w:rFonts w:ascii="Arial" w:hAnsi="Arial" w:cs="Arial"/>
                <w:bCs/>
                <w:lang w:val="en" w:eastAsia="en-GB"/>
              </w:rPr>
              <w:t>1.373</w:t>
            </w:r>
          </w:p>
        </w:tc>
        <w:tc>
          <w:tcPr>
            <w:tcW w:w="1980" w:type="dxa"/>
          </w:tcPr>
          <w:p w14:paraId="06428076" w14:textId="77777777" w:rsidR="00FD7E85" w:rsidRDefault="00F456FA">
            <w:pPr>
              <w:jc w:val="both"/>
              <w:rPr>
                <w:rFonts w:ascii="Arial" w:hAnsi="Arial" w:cs="Arial"/>
                <w:bCs/>
                <w:lang w:val="en" w:eastAsia="en-GB"/>
              </w:rPr>
            </w:pPr>
            <w:r>
              <w:rPr>
                <w:rFonts w:ascii="Arial" w:hAnsi="Arial" w:cs="Arial"/>
                <w:bCs/>
                <w:lang w:val="en" w:eastAsia="en-GB"/>
              </w:rPr>
              <w:t>0.401</w:t>
            </w:r>
          </w:p>
        </w:tc>
        <w:tc>
          <w:tcPr>
            <w:tcW w:w="1800" w:type="dxa"/>
          </w:tcPr>
          <w:p w14:paraId="4046EEA2" w14:textId="77777777" w:rsidR="00FD7E85" w:rsidRDefault="00F456FA">
            <w:pPr>
              <w:jc w:val="both"/>
              <w:rPr>
                <w:rFonts w:ascii="Arial" w:hAnsi="Arial" w:cs="Arial"/>
                <w:bCs/>
                <w:lang w:val="en" w:eastAsia="en-GB"/>
              </w:rPr>
            </w:pPr>
            <w:r>
              <w:rPr>
                <w:rFonts w:ascii="Arial" w:hAnsi="Arial" w:cs="Arial"/>
                <w:bCs/>
                <w:lang w:val="en" w:eastAsia="en-GB"/>
              </w:rPr>
              <w:t>0.654</w:t>
            </w:r>
          </w:p>
        </w:tc>
        <w:tc>
          <w:tcPr>
            <w:tcW w:w="1260" w:type="dxa"/>
          </w:tcPr>
          <w:p w14:paraId="7C3D866E" w14:textId="77777777" w:rsidR="00FD7E85" w:rsidRDefault="00F456FA">
            <w:pPr>
              <w:jc w:val="both"/>
              <w:rPr>
                <w:rFonts w:ascii="Arial" w:hAnsi="Arial" w:cs="Arial"/>
                <w:bCs/>
                <w:lang w:val="en" w:eastAsia="en-GB"/>
              </w:rPr>
            </w:pPr>
            <w:r>
              <w:rPr>
                <w:rFonts w:ascii="Arial" w:hAnsi="Arial" w:cs="Arial"/>
                <w:bCs/>
                <w:lang w:val="en" w:eastAsia="en-GB"/>
              </w:rPr>
              <w:t>2.882</w:t>
            </w:r>
          </w:p>
        </w:tc>
      </w:tr>
      <w:tr w:rsidR="00FD7E85" w14:paraId="66209742" w14:textId="77777777">
        <w:trPr>
          <w:trHeight w:val="306"/>
        </w:trPr>
        <w:tc>
          <w:tcPr>
            <w:tcW w:w="2970" w:type="dxa"/>
          </w:tcPr>
          <w:p w14:paraId="43CFC8A6" w14:textId="77777777" w:rsidR="00FD7E85" w:rsidRDefault="00F456FA">
            <w:pPr>
              <w:jc w:val="both"/>
              <w:rPr>
                <w:rFonts w:ascii="Arial" w:hAnsi="Arial" w:cs="Arial"/>
                <w:b/>
                <w:lang w:val="en" w:eastAsia="en-GB"/>
              </w:rPr>
            </w:pPr>
            <w:r>
              <w:rPr>
                <w:rFonts w:ascii="Arial" w:hAnsi="Arial" w:cs="Arial"/>
                <w:b/>
                <w:lang w:val="en" w:eastAsia="en-GB"/>
              </w:rPr>
              <w:t xml:space="preserve">Maternal age </w:t>
            </w:r>
          </w:p>
        </w:tc>
        <w:tc>
          <w:tcPr>
            <w:tcW w:w="2070" w:type="dxa"/>
          </w:tcPr>
          <w:p w14:paraId="155158EE" w14:textId="77777777" w:rsidR="00FD7E85" w:rsidRDefault="00FD7E85">
            <w:pPr>
              <w:jc w:val="both"/>
              <w:rPr>
                <w:rFonts w:ascii="Arial" w:hAnsi="Arial" w:cs="Arial"/>
                <w:b/>
                <w:lang w:val="en" w:eastAsia="en-GB"/>
              </w:rPr>
            </w:pPr>
          </w:p>
        </w:tc>
        <w:tc>
          <w:tcPr>
            <w:tcW w:w="1980" w:type="dxa"/>
          </w:tcPr>
          <w:p w14:paraId="6CCD6705" w14:textId="77777777" w:rsidR="00FD7E85" w:rsidRDefault="00FD7E85">
            <w:pPr>
              <w:jc w:val="both"/>
              <w:rPr>
                <w:rFonts w:ascii="Arial" w:hAnsi="Arial" w:cs="Arial"/>
                <w:b/>
                <w:lang w:val="en" w:eastAsia="en-GB"/>
              </w:rPr>
            </w:pPr>
          </w:p>
        </w:tc>
        <w:tc>
          <w:tcPr>
            <w:tcW w:w="1800" w:type="dxa"/>
          </w:tcPr>
          <w:p w14:paraId="1EF60C60" w14:textId="77777777" w:rsidR="00FD7E85" w:rsidRDefault="00FD7E85">
            <w:pPr>
              <w:jc w:val="both"/>
              <w:rPr>
                <w:rFonts w:ascii="Arial" w:hAnsi="Arial" w:cs="Arial"/>
                <w:b/>
                <w:lang w:val="en" w:eastAsia="en-GB"/>
              </w:rPr>
            </w:pPr>
          </w:p>
        </w:tc>
        <w:tc>
          <w:tcPr>
            <w:tcW w:w="1260" w:type="dxa"/>
          </w:tcPr>
          <w:p w14:paraId="60458588" w14:textId="77777777" w:rsidR="00FD7E85" w:rsidRDefault="00FD7E85">
            <w:pPr>
              <w:jc w:val="both"/>
              <w:rPr>
                <w:rFonts w:ascii="Arial" w:hAnsi="Arial" w:cs="Arial"/>
                <w:b/>
                <w:lang w:val="en" w:eastAsia="en-GB"/>
              </w:rPr>
            </w:pPr>
          </w:p>
        </w:tc>
      </w:tr>
      <w:tr w:rsidR="00FD7E85" w14:paraId="5499412D" w14:textId="77777777">
        <w:trPr>
          <w:trHeight w:val="306"/>
        </w:trPr>
        <w:tc>
          <w:tcPr>
            <w:tcW w:w="2970" w:type="dxa"/>
          </w:tcPr>
          <w:p w14:paraId="0B57AB8D" w14:textId="77777777" w:rsidR="00FD7E85" w:rsidRDefault="00F456FA">
            <w:pPr>
              <w:jc w:val="both"/>
              <w:rPr>
                <w:rFonts w:ascii="Arial" w:hAnsi="Arial" w:cs="Arial"/>
                <w:bCs/>
                <w:lang w:val="en" w:eastAsia="en-GB"/>
              </w:rPr>
            </w:pPr>
            <w:r>
              <w:rPr>
                <w:rFonts w:ascii="Arial" w:hAnsi="Arial" w:cs="Arial"/>
                <w:bCs/>
                <w:lang w:val="en" w:eastAsia="en-GB"/>
              </w:rPr>
              <w:t>15-25</w:t>
            </w:r>
          </w:p>
        </w:tc>
        <w:tc>
          <w:tcPr>
            <w:tcW w:w="2070" w:type="dxa"/>
          </w:tcPr>
          <w:p w14:paraId="3D5CFB44" w14:textId="77777777" w:rsidR="00FD7E85" w:rsidRDefault="00F456FA">
            <w:pPr>
              <w:jc w:val="both"/>
              <w:rPr>
                <w:rFonts w:ascii="Arial" w:hAnsi="Arial" w:cs="Arial"/>
                <w:bCs/>
                <w:lang w:val="en" w:eastAsia="en-GB"/>
              </w:rPr>
            </w:pPr>
            <w:r>
              <w:rPr>
                <w:rFonts w:ascii="Arial" w:hAnsi="Arial" w:cs="Arial"/>
                <w:bCs/>
                <w:lang w:val="en" w:eastAsia="en-GB"/>
              </w:rPr>
              <w:t>1</w:t>
            </w:r>
          </w:p>
        </w:tc>
        <w:tc>
          <w:tcPr>
            <w:tcW w:w="1980" w:type="dxa"/>
          </w:tcPr>
          <w:p w14:paraId="33203EA3" w14:textId="77777777" w:rsidR="00FD7E85" w:rsidRDefault="00FD7E85">
            <w:pPr>
              <w:jc w:val="both"/>
              <w:rPr>
                <w:rFonts w:ascii="Arial" w:hAnsi="Arial" w:cs="Arial"/>
                <w:bCs/>
                <w:lang w:val="en" w:eastAsia="en-GB"/>
              </w:rPr>
            </w:pPr>
          </w:p>
        </w:tc>
        <w:tc>
          <w:tcPr>
            <w:tcW w:w="1800" w:type="dxa"/>
          </w:tcPr>
          <w:p w14:paraId="770FD25F" w14:textId="77777777" w:rsidR="00FD7E85" w:rsidRDefault="00FD7E85">
            <w:pPr>
              <w:jc w:val="both"/>
              <w:rPr>
                <w:rFonts w:ascii="Arial" w:hAnsi="Arial" w:cs="Arial"/>
                <w:bCs/>
                <w:lang w:val="en" w:eastAsia="en-GB"/>
              </w:rPr>
            </w:pPr>
          </w:p>
        </w:tc>
        <w:tc>
          <w:tcPr>
            <w:tcW w:w="1260" w:type="dxa"/>
          </w:tcPr>
          <w:p w14:paraId="35067A94" w14:textId="77777777" w:rsidR="00FD7E85" w:rsidRDefault="00FD7E85">
            <w:pPr>
              <w:jc w:val="both"/>
              <w:rPr>
                <w:rFonts w:ascii="Arial" w:hAnsi="Arial" w:cs="Arial"/>
                <w:bCs/>
                <w:lang w:val="en" w:eastAsia="en-GB"/>
              </w:rPr>
            </w:pPr>
          </w:p>
        </w:tc>
      </w:tr>
      <w:tr w:rsidR="00FD7E85" w14:paraId="3941D9F6" w14:textId="77777777">
        <w:trPr>
          <w:trHeight w:val="306"/>
        </w:trPr>
        <w:tc>
          <w:tcPr>
            <w:tcW w:w="2970" w:type="dxa"/>
          </w:tcPr>
          <w:p w14:paraId="16664B25" w14:textId="77777777" w:rsidR="00FD7E85" w:rsidRDefault="00F456FA">
            <w:pPr>
              <w:jc w:val="both"/>
              <w:rPr>
                <w:rFonts w:ascii="Arial" w:hAnsi="Arial" w:cs="Arial"/>
                <w:bCs/>
                <w:lang w:val="en" w:eastAsia="en-GB"/>
              </w:rPr>
            </w:pPr>
            <w:r>
              <w:rPr>
                <w:rFonts w:ascii="Arial" w:hAnsi="Arial" w:cs="Arial"/>
                <w:bCs/>
                <w:lang w:val="en" w:eastAsia="en-GB"/>
              </w:rPr>
              <w:t>25-35</w:t>
            </w:r>
          </w:p>
        </w:tc>
        <w:tc>
          <w:tcPr>
            <w:tcW w:w="2070" w:type="dxa"/>
          </w:tcPr>
          <w:p w14:paraId="6D5D7E37" w14:textId="77777777" w:rsidR="00FD7E85" w:rsidRDefault="00F456FA">
            <w:pPr>
              <w:jc w:val="both"/>
              <w:rPr>
                <w:rFonts w:ascii="Arial" w:hAnsi="Arial" w:cs="Arial"/>
                <w:bCs/>
                <w:lang w:val="en" w:eastAsia="en-GB"/>
              </w:rPr>
            </w:pPr>
            <w:r>
              <w:rPr>
                <w:rFonts w:ascii="Arial" w:hAnsi="Arial" w:cs="Arial"/>
                <w:bCs/>
                <w:lang w:val="en" w:eastAsia="en-GB"/>
              </w:rPr>
              <w:t>1.346</w:t>
            </w:r>
          </w:p>
        </w:tc>
        <w:tc>
          <w:tcPr>
            <w:tcW w:w="1980" w:type="dxa"/>
          </w:tcPr>
          <w:p w14:paraId="36BFF187" w14:textId="77777777" w:rsidR="00FD7E85" w:rsidRDefault="00F456FA">
            <w:pPr>
              <w:jc w:val="both"/>
              <w:rPr>
                <w:rFonts w:ascii="Arial" w:hAnsi="Arial" w:cs="Arial"/>
                <w:bCs/>
                <w:lang w:val="en" w:eastAsia="en-GB"/>
              </w:rPr>
            </w:pPr>
            <w:r>
              <w:rPr>
                <w:rFonts w:ascii="Arial" w:hAnsi="Arial" w:cs="Arial"/>
                <w:bCs/>
                <w:lang w:val="en" w:eastAsia="en-GB"/>
              </w:rPr>
              <w:t>0.029</w:t>
            </w:r>
          </w:p>
        </w:tc>
        <w:tc>
          <w:tcPr>
            <w:tcW w:w="1800" w:type="dxa"/>
          </w:tcPr>
          <w:p w14:paraId="7CA19118" w14:textId="77777777" w:rsidR="00FD7E85" w:rsidRDefault="00F456FA">
            <w:pPr>
              <w:jc w:val="both"/>
              <w:rPr>
                <w:rFonts w:ascii="Arial" w:hAnsi="Arial" w:cs="Arial"/>
                <w:bCs/>
                <w:lang w:val="en" w:eastAsia="en-GB"/>
              </w:rPr>
            </w:pPr>
            <w:r>
              <w:rPr>
                <w:rFonts w:ascii="Arial" w:hAnsi="Arial" w:cs="Arial"/>
                <w:bCs/>
                <w:lang w:val="en" w:eastAsia="en-GB"/>
              </w:rPr>
              <w:t>0.482</w:t>
            </w:r>
          </w:p>
        </w:tc>
        <w:tc>
          <w:tcPr>
            <w:tcW w:w="1260" w:type="dxa"/>
          </w:tcPr>
          <w:p w14:paraId="5D4849BE" w14:textId="77777777" w:rsidR="00FD7E85" w:rsidRDefault="00F456FA">
            <w:pPr>
              <w:jc w:val="both"/>
              <w:rPr>
                <w:rFonts w:ascii="Arial" w:hAnsi="Arial" w:cs="Arial"/>
                <w:bCs/>
                <w:lang w:val="en" w:eastAsia="en-GB"/>
              </w:rPr>
            </w:pPr>
            <w:r>
              <w:rPr>
                <w:rFonts w:ascii="Arial" w:hAnsi="Arial" w:cs="Arial"/>
                <w:bCs/>
                <w:lang w:val="en" w:eastAsia="en-GB"/>
              </w:rPr>
              <w:t>3.758</w:t>
            </w:r>
          </w:p>
        </w:tc>
      </w:tr>
      <w:tr w:rsidR="00FD7E85" w14:paraId="7ABAB126" w14:textId="77777777">
        <w:trPr>
          <w:trHeight w:val="306"/>
        </w:trPr>
        <w:tc>
          <w:tcPr>
            <w:tcW w:w="2970" w:type="dxa"/>
          </w:tcPr>
          <w:p w14:paraId="2E538756" w14:textId="77777777" w:rsidR="00FD7E85" w:rsidRDefault="00F456FA">
            <w:pPr>
              <w:jc w:val="both"/>
              <w:rPr>
                <w:rFonts w:ascii="Arial" w:hAnsi="Arial" w:cs="Arial"/>
                <w:bCs/>
                <w:lang w:val="en" w:eastAsia="en-GB"/>
              </w:rPr>
            </w:pPr>
            <w:r>
              <w:rPr>
                <w:rFonts w:ascii="Arial" w:hAnsi="Arial" w:cs="Arial"/>
                <w:bCs/>
                <w:lang w:val="en" w:eastAsia="en-GB"/>
              </w:rPr>
              <w:t>Above 36</w:t>
            </w:r>
          </w:p>
        </w:tc>
        <w:tc>
          <w:tcPr>
            <w:tcW w:w="2070" w:type="dxa"/>
          </w:tcPr>
          <w:p w14:paraId="557BC755" w14:textId="77777777" w:rsidR="00FD7E85" w:rsidRDefault="00F456FA">
            <w:pPr>
              <w:jc w:val="both"/>
              <w:rPr>
                <w:rFonts w:ascii="Arial" w:hAnsi="Arial" w:cs="Arial"/>
                <w:bCs/>
                <w:lang w:val="en" w:eastAsia="en-GB"/>
              </w:rPr>
            </w:pPr>
            <w:r>
              <w:rPr>
                <w:rFonts w:ascii="Arial" w:hAnsi="Arial" w:cs="Arial"/>
                <w:bCs/>
                <w:lang w:val="en" w:eastAsia="en-GB"/>
              </w:rPr>
              <w:t>0.928</w:t>
            </w:r>
          </w:p>
        </w:tc>
        <w:tc>
          <w:tcPr>
            <w:tcW w:w="1980" w:type="dxa"/>
          </w:tcPr>
          <w:p w14:paraId="089AE099" w14:textId="77777777" w:rsidR="00FD7E85" w:rsidRDefault="00F456FA">
            <w:pPr>
              <w:jc w:val="both"/>
              <w:rPr>
                <w:rFonts w:ascii="Arial" w:hAnsi="Arial" w:cs="Arial"/>
                <w:bCs/>
                <w:lang w:val="en" w:eastAsia="en-GB"/>
              </w:rPr>
            </w:pPr>
            <w:r>
              <w:rPr>
                <w:rFonts w:ascii="Arial" w:hAnsi="Arial" w:cs="Arial"/>
                <w:bCs/>
                <w:lang w:val="en" w:eastAsia="en-GB"/>
              </w:rPr>
              <w:t>0.039</w:t>
            </w:r>
          </w:p>
        </w:tc>
        <w:tc>
          <w:tcPr>
            <w:tcW w:w="1800" w:type="dxa"/>
          </w:tcPr>
          <w:p w14:paraId="38A70375" w14:textId="77777777" w:rsidR="00FD7E85" w:rsidRDefault="00F456FA">
            <w:pPr>
              <w:jc w:val="both"/>
              <w:rPr>
                <w:rFonts w:ascii="Arial" w:hAnsi="Arial" w:cs="Arial"/>
                <w:bCs/>
                <w:lang w:val="en" w:eastAsia="en-GB"/>
              </w:rPr>
            </w:pPr>
            <w:r>
              <w:rPr>
                <w:rFonts w:ascii="Arial" w:hAnsi="Arial" w:cs="Arial"/>
                <w:bCs/>
                <w:lang w:val="en" w:eastAsia="en-GB"/>
              </w:rPr>
              <w:t>0.198</w:t>
            </w:r>
          </w:p>
        </w:tc>
        <w:tc>
          <w:tcPr>
            <w:tcW w:w="1260" w:type="dxa"/>
          </w:tcPr>
          <w:p w14:paraId="7A3C69FB" w14:textId="77777777" w:rsidR="00FD7E85" w:rsidRDefault="00F456FA">
            <w:pPr>
              <w:jc w:val="both"/>
              <w:rPr>
                <w:rFonts w:ascii="Arial" w:hAnsi="Arial" w:cs="Arial"/>
                <w:bCs/>
                <w:lang w:val="en" w:eastAsia="en-GB"/>
              </w:rPr>
            </w:pPr>
            <w:r>
              <w:rPr>
                <w:rFonts w:ascii="Arial" w:hAnsi="Arial" w:cs="Arial"/>
                <w:bCs/>
                <w:lang w:val="en" w:eastAsia="en-GB"/>
              </w:rPr>
              <w:t>1.740</w:t>
            </w:r>
          </w:p>
        </w:tc>
      </w:tr>
      <w:tr w:rsidR="00FD7E85" w14:paraId="01D4CA8A" w14:textId="77777777">
        <w:trPr>
          <w:trHeight w:val="458"/>
        </w:trPr>
        <w:tc>
          <w:tcPr>
            <w:tcW w:w="2970" w:type="dxa"/>
          </w:tcPr>
          <w:p w14:paraId="672AFF74" w14:textId="77777777" w:rsidR="00FD7E85" w:rsidRDefault="00F456FA">
            <w:pPr>
              <w:jc w:val="both"/>
              <w:rPr>
                <w:rFonts w:ascii="Arial" w:hAnsi="Arial" w:cs="Arial"/>
                <w:b/>
                <w:lang w:val="en" w:eastAsia="en-GB"/>
              </w:rPr>
            </w:pPr>
            <w:r>
              <w:rPr>
                <w:rFonts w:ascii="Arial" w:hAnsi="Arial" w:cs="Arial"/>
                <w:b/>
                <w:lang w:val="en" w:eastAsia="en-GB"/>
              </w:rPr>
              <w:t xml:space="preserve">Level of facility of delivery </w:t>
            </w:r>
          </w:p>
        </w:tc>
        <w:tc>
          <w:tcPr>
            <w:tcW w:w="2070" w:type="dxa"/>
          </w:tcPr>
          <w:p w14:paraId="779700B2" w14:textId="77777777" w:rsidR="00FD7E85" w:rsidRDefault="00FD7E85">
            <w:pPr>
              <w:jc w:val="both"/>
              <w:rPr>
                <w:rFonts w:ascii="Arial" w:hAnsi="Arial" w:cs="Arial"/>
                <w:b/>
                <w:lang w:val="en" w:eastAsia="en-GB"/>
              </w:rPr>
            </w:pPr>
          </w:p>
        </w:tc>
        <w:tc>
          <w:tcPr>
            <w:tcW w:w="1980" w:type="dxa"/>
          </w:tcPr>
          <w:p w14:paraId="77029AA8" w14:textId="77777777" w:rsidR="00FD7E85" w:rsidRDefault="00FD7E85">
            <w:pPr>
              <w:jc w:val="both"/>
              <w:rPr>
                <w:rFonts w:ascii="Arial" w:hAnsi="Arial" w:cs="Arial"/>
                <w:b/>
                <w:lang w:val="en" w:eastAsia="en-GB"/>
              </w:rPr>
            </w:pPr>
          </w:p>
        </w:tc>
        <w:tc>
          <w:tcPr>
            <w:tcW w:w="1800" w:type="dxa"/>
          </w:tcPr>
          <w:p w14:paraId="39F411BF" w14:textId="77777777" w:rsidR="00FD7E85" w:rsidRDefault="00FD7E85">
            <w:pPr>
              <w:jc w:val="both"/>
              <w:rPr>
                <w:rFonts w:ascii="Arial" w:hAnsi="Arial" w:cs="Arial"/>
                <w:b/>
                <w:lang w:val="en" w:eastAsia="en-GB"/>
              </w:rPr>
            </w:pPr>
          </w:p>
        </w:tc>
        <w:tc>
          <w:tcPr>
            <w:tcW w:w="1260" w:type="dxa"/>
          </w:tcPr>
          <w:p w14:paraId="6359A9D2" w14:textId="77777777" w:rsidR="00FD7E85" w:rsidRDefault="00FD7E85">
            <w:pPr>
              <w:jc w:val="both"/>
              <w:rPr>
                <w:rFonts w:ascii="Arial" w:hAnsi="Arial" w:cs="Arial"/>
                <w:b/>
                <w:lang w:val="en" w:eastAsia="en-GB"/>
              </w:rPr>
            </w:pPr>
          </w:p>
        </w:tc>
      </w:tr>
      <w:tr w:rsidR="00FD7E85" w14:paraId="190B50B9" w14:textId="77777777">
        <w:trPr>
          <w:trHeight w:val="270"/>
        </w:trPr>
        <w:tc>
          <w:tcPr>
            <w:tcW w:w="2970" w:type="dxa"/>
          </w:tcPr>
          <w:p w14:paraId="5B6ABD2A" w14:textId="77777777" w:rsidR="00FD7E85" w:rsidRDefault="00F456FA">
            <w:pPr>
              <w:jc w:val="both"/>
              <w:rPr>
                <w:rFonts w:ascii="Arial" w:hAnsi="Arial" w:cs="Arial"/>
                <w:bCs/>
                <w:lang w:val="en" w:eastAsia="en-GB"/>
              </w:rPr>
            </w:pPr>
            <w:r>
              <w:rPr>
                <w:rFonts w:ascii="Arial" w:hAnsi="Arial" w:cs="Arial"/>
                <w:bCs/>
                <w:lang w:val="en" w:eastAsia="en-GB"/>
              </w:rPr>
              <w:t>Tertiary</w:t>
            </w:r>
          </w:p>
        </w:tc>
        <w:tc>
          <w:tcPr>
            <w:tcW w:w="2070" w:type="dxa"/>
          </w:tcPr>
          <w:p w14:paraId="28E7D478" w14:textId="77777777" w:rsidR="00FD7E85" w:rsidRDefault="00F456FA">
            <w:pPr>
              <w:jc w:val="both"/>
              <w:rPr>
                <w:rFonts w:ascii="Arial" w:hAnsi="Arial" w:cs="Arial"/>
                <w:bCs/>
                <w:lang w:val="en" w:eastAsia="en-GB"/>
              </w:rPr>
            </w:pPr>
            <w:r>
              <w:rPr>
                <w:rFonts w:ascii="Arial" w:hAnsi="Arial" w:cs="Arial"/>
                <w:bCs/>
                <w:lang w:val="en" w:eastAsia="en-GB"/>
              </w:rPr>
              <w:t>1</w:t>
            </w:r>
          </w:p>
        </w:tc>
        <w:tc>
          <w:tcPr>
            <w:tcW w:w="1980" w:type="dxa"/>
          </w:tcPr>
          <w:p w14:paraId="60CED2C3" w14:textId="77777777" w:rsidR="00FD7E85" w:rsidRDefault="00FD7E85">
            <w:pPr>
              <w:jc w:val="both"/>
              <w:rPr>
                <w:rFonts w:ascii="Arial" w:hAnsi="Arial" w:cs="Arial"/>
                <w:bCs/>
                <w:lang w:val="en" w:eastAsia="en-GB"/>
              </w:rPr>
            </w:pPr>
          </w:p>
        </w:tc>
        <w:tc>
          <w:tcPr>
            <w:tcW w:w="1800" w:type="dxa"/>
          </w:tcPr>
          <w:p w14:paraId="79787481" w14:textId="77777777" w:rsidR="00FD7E85" w:rsidRDefault="00FD7E85">
            <w:pPr>
              <w:jc w:val="both"/>
              <w:rPr>
                <w:rFonts w:ascii="Arial" w:hAnsi="Arial" w:cs="Arial"/>
                <w:bCs/>
                <w:lang w:val="en" w:eastAsia="en-GB"/>
              </w:rPr>
            </w:pPr>
          </w:p>
        </w:tc>
        <w:tc>
          <w:tcPr>
            <w:tcW w:w="1260" w:type="dxa"/>
          </w:tcPr>
          <w:p w14:paraId="1D1A67C2" w14:textId="77777777" w:rsidR="00FD7E85" w:rsidRDefault="00FD7E85">
            <w:pPr>
              <w:jc w:val="both"/>
              <w:rPr>
                <w:rFonts w:ascii="Arial" w:hAnsi="Arial" w:cs="Arial"/>
                <w:bCs/>
                <w:lang w:val="en" w:eastAsia="en-GB"/>
              </w:rPr>
            </w:pPr>
          </w:p>
        </w:tc>
      </w:tr>
      <w:tr w:rsidR="00FD7E85" w14:paraId="3BECE4D1" w14:textId="77777777">
        <w:trPr>
          <w:trHeight w:val="296"/>
        </w:trPr>
        <w:tc>
          <w:tcPr>
            <w:tcW w:w="2970" w:type="dxa"/>
          </w:tcPr>
          <w:p w14:paraId="62249B7A" w14:textId="77777777" w:rsidR="00FD7E85" w:rsidRDefault="00F456FA">
            <w:pPr>
              <w:jc w:val="both"/>
              <w:rPr>
                <w:rFonts w:ascii="Arial" w:hAnsi="Arial" w:cs="Arial"/>
                <w:bCs/>
                <w:lang w:val="en" w:eastAsia="en-GB"/>
              </w:rPr>
            </w:pPr>
            <w:r>
              <w:rPr>
                <w:rFonts w:ascii="Arial" w:hAnsi="Arial" w:cs="Arial"/>
                <w:bCs/>
                <w:lang w:val="en" w:eastAsia="en-GB"/>
              </w:rPr>
              <w:t>Primary</w:t>
            </w:r>
          </w:p>
        </w:tc>
        <w:tc>
          <w:tcPr>
            <w:tcW w:w="2070" w:type="dxa"/>
          </w:tcPr>
          <w:p w14:paraId="316D8218" w14:textId="77777777" w:rsidR="00FD7E85" w:rsidRDefault="00F456FA">
            <w:pPr>
              <w:jc w:val="both"/>
              <w:rPr>
                <w:rFonts w:ascii="Arial" w:hAnsi="Arial" w:cs="Arial"/>
                <w:bCs/>
                <w:lang w:val="en" w:eastAsia="en-GB"/>
              </w:rPr>
            </w:pPr>
            <w:r>
              <w:rPr>
                <w:rFonts w:ascii="Arial" w:hAnsi="Arial" w:cs="Arial"/>
                <w:bCs/>
                <w:lang w:val="en" w:eastAsia="en-GB"/>
              </w:rPr>
              <w:t>1.451</w:t>
            </w:r>
          </w:p>
        </w:tc>
        <w:tc>
          <w:tcPr>
            <w:tcW w:w="1980" w:type="dxa"/>
          </w:tcPr>
          <w:p w14:paraId="5124A657" w14:textId="77777777" w:rsidR="00FD7E85" w:rsidRDefault="00F456FA">
            <w:pPr>
              <w:jc w:val="both"/>
              <w:rPr>
                <w:rFonts w:ascii="Arial" w:hAnsi="Arial" w:cs="Arial"/>
                <w:bCs/>
                <w:lang w:val="en" w:eastAsia="en-GB"/>
              </w:rPr>
            </w:pPr>
            <w:r>
              <w:rPr>
                <w:rFonts w:ascii="Arial" w:hAnsi="Arial" w:cs="Arial"/>
                <w:bCs/>
                <w:lang w:val="en" w:eastAsia="en-GB"/>
              </w:rPr>
              <w:t>0.332</w:t>
            </w:r>
          </w:p>
        </w:tc>
        <w:tc>
          <w:tcPr>
            <w:tcW w:w="1800" w:type="dxa"/>
          </w:tcPr>
          <w:p w14:paraId="060E265C" w14:textId="77777777" w:rsidR="00FD7E85" w:rsidRDefault="00F456FA">
            <w:pPr>
              <w:jc w:val="both"/>
              <w:rPr>
                <w:rFonts w:ascii="Arial" w:hAnsi="Arial" w:cs="Arial"/>
                <w:bCs/>
                <w:lang w:val="en" w:eastAsia="en-GB"/>
              </w:rPr>
            </w:pPr>
            <w:r>
              <w:rPr>
                <w:rFonts w:ascii="Arial" w:hAnsi="Arial" w:cs="Arial"/>
                <w:bCs/>
                <w:lang w:val="en" w:eastAsia="en-GB"/>
              </w:rPr>
              <w:t>0.694</w:t>
            </w:r>
          </w:p>
        </w:tc>
        <w:tc>
          <w:tcPr>
            <w:tcW w:w="1260" w:type="dxa"/>
          </w:tcPr>
          <w:p w14:paraId="67E24739" w14:textId="77777777" w:rsidR="00FD7E85" w:rsidRDefault="00F456FA">
            <w:pPr>
              <w:jc w:val="both"/>
              <w:rPr>
                <w:rFonts w:ascii="Arial" w:hAnsi="Arial" w:cs="Arial"/>
                <w:bCs/>
                <w:lang w:val="en" w:eastAsia="en-GB"/>
              </w:rPr>
            </w:pPr>
            <w:r>
              <w:rPr>
                <w:rFonts w:ascii="Arial" w:hAnsi="Arial" w:cs="Arial"/>
                <w:bCs/>
                <w:lang w:val="en" w:eastAsia="en-GB"/>
              </w:rPr>
              <w:t>3.032</w:t>
            </w:r>
          </w:p>
          <w:p w14:paraId="6ED35190" w14:textId="77777777" w:rsidR="00FD7E85" w:rsidRDefault="00FD7E85">
            <w:pPr>
              <w:jc w:val="both"/>
              <w:rPr>
                <w:rFonts w:ascii="Arial" w:hAnsi="Arial" w:cs="Arial"/>
                <w:bCs/>
                <w:lang w:val="en" w:eastAsia="en-GB"/>
              </w:rPr>
            </w:pPr>
          </w:p>
        </w:tc>
      </w:tr>
      <w:tr w:rsidR="00FD7E85" w14:paraId="6CBBF2FA" w14:textId="77777777">
        <w:trPr>
          <w:trHeight w:val="288"/>
        </w:trPr>
        <w:tc>
          <w:tcPr>
            <w:tcW w:w="2970" w:type="dxa"/>
          </w:tcPr>
          <w:p w14:paraId="0A130829" w14:textId="77777777" w:rsidR="00FD7E85" w:rsidRDefault="00F456FA">
            <w:pPr>
              <w:jc w:val="both"/>
              <w:rPr>
                <w:rFonts w:ascii="Arial" w:hAnsi="Arial" w:cs="Arial"/>
                <w:b/>
                <w:lang w:val="en" w:eastAsia="en-GB"/>
              </w:rPr>
            </w:pPr>
            <w:r>
              <w:rPr>
                <w:rFonts w:ascii="Arial" w:hAnsi="Arial" w:cs="Arial"/>
                <w:b/>
                <w:lang w:val="en" w:eastAsia="en-GB"/>
              </w:rPr>
              <w:t>Level of facility attended ANC</w:t>
            </w:r>
          </w:p>
        </w:tc>
        <w:tc>
          <w:tcPr>
            <w:tcW w:w="2070" w:type="dxa"/>
          </w:tcPr>
          <w:p w14:paraId="172CC565" w14:textId="77777777" w:rsidR="00FD7E85" w:rsidRDefault="00FD7E85">
            <w:pPr>
              <w:jc w:val="both"/>
              <w:rPr>
                <w:rFonts w:ascii="Arial" w:hAnsi="Arial" w:cs="Arial"/>
                <w:b/>
                <w:lang w:val="en" w:eastAsia="en-GB"/>
              </w:rPr>
            </w:pPr>
          </w:p>
        </w:tc>
        <w:tc>
          <w:tcPr>
            <w:tcW w:w="1980" w:type="dxa"/>
          </w:tcPr>
          <w:p w14:paraId="2B9D6585" w14:textId="77777777" w:rsidR="00FD7E85" w:rsidRDefault="00FD7E85">
            <w:pPr>
              <w:jc w:val="both"/>
              <w:rPr>
                <w:rFonts w:ascii="Arial" w:hAnsi="Arial" w:cs="Arial"/>
                <w:b/>
                <w:lang w:val="en" w:eastAsia="en-GB"/>
              </w:rPr>
            </w:pPr>
          </w:p>
        </w:tc>
        <w:tc>
          <w:tcPr>
            <w:tcW w:w="1800" w:type="dxa"/>
          </w:tcPr>
          <w:p w14:paraId="504C7123" w14:textId="77777777" w:rsidR="00FD7E85" w:rsidRDefault="00FD7E85">
            <w:pPr>
              <w:jc w:val="both"/>
              <w:rPr>
                <w:rFonts w:ascii="Arial" w:hAnsi="Arial" w:cs="Arial"/>
                <w:b/>
                <w:lang w:val="en" w:eastAsia="en-GB"/>
              </w:rPr>
            </w:pPr>
          </w:p>
        </w:tc>
        <w:tc>
          <w:tcPr>
            <w:tcW w:w="1260" w:type="dxa"/>
          </w:tcPr>
          <w:p w14:paraId="1F9D330B" w14:textId="77777777" w:rsidR="00FD7E85" w:rsidRDefault="00FD7E85">
            <w:pPr>
              <w:jc w:val="both"/>
              <w:rPr>
                <w:rFonts w:ascii="Arial" w:hAnsi="Arial" w:cs="Arial"/>
                <w:b/>
                <w:lang w:val="en" w:eastAsia="en-GB"/>
              </w:rPr>
            </w:pPr>
          </w:p>
        </w:tc>
      </w:tr>
      <w:tr w:rsidR="00FD7E85" w14:paraId="6249FFD6" w14:textId="77777777">
        <w:trPr>
          <w:trHeight w:val="288"/>
        </w:trPr>
        <w:tc>
          <w:tcPr>
            <w:tcW w:w="2970" w:type="dxa"/>
          </w:tcPr>
          <w:p w14:paraId="016553B1" w14:textId="77777777" w:rsidR="00FD7E85" w:rsidRDefault="00F456FA">
            <w:pPr>
              <w:jc w:val="both"/>
              <w:rPr>
                <w:rFonts w:ascii="Arial" w:hAnsi="Arial" w:cs="Arial"/>
                <w:bCs/>
                <w:lang w:val="en" w:eastAsia="en-GB"/>
              </w:rPr>
            </w:pPr>
            <w:r>
              <w:rPr>
                <w:rFonts w:ascii="Arial" w:hAnsi="Arial" w:cs="Arial"/>
                <w:bCs/>
                <w:lang w:val="en" w:eastAsia="en-GB"/>
              </w:rPr>
              <w:t>Tertiary</w:t>
            </w:r>
          </w:p>
        </w:tc>
        <w:tc>
          <w:tcPr>
            <w:tcW w:w="2070" w:type="dxa"/>
          </w:tcPr>
          <w:p w14:paraId="27484BF3" w14:textId="77777777" w:rsidR="00FD7E85" w:rsidRDefault="00F456FA">
            <w:pPr>
              <w:jc w:val="both"/>
              <w:rPr>
                <w:rFonts w:ascii="Arial" w:hAnsi="Arial" w:cs="Arial"/>
                <w:bCs/>
                <w:lang w:val="en" w:eastAsia="en-GB"/>
              </w:rPr>
            </w:pPr>
            <w:r>
              <w:rPr>
                <w:rFonts w:ascii="Arial" w:hAnsi="Arial" w:cs="Arial"/>
                <w:bCs/>
                <w:lang w:val="en" w:eastAsia="en-GB"/>
              </w:rPr>
              <w:t>1</w:t>
            </w:r>
          </w:p>
        </w:tc>
        <w:tc>
          <w:tcPr>
            <w:tcW w:w="1980" w:type="dxa"/>
          </w:tcPr>
          <w:p w14:paraId="1B9667EC" w14:textId="77777777" w:rsidR="00FD7E85" w:rsidRDefault="00FD7E85">
            <w:pPr>
              <w:jc w:val="both"/>
              <w:rPr>
                <w:rFonts w:ascii="Arial" w:hAnsi="Arial" w:cs="Arial"/>
                <w:bCs/>
                <w:lang w:val="en" w:eastAsia="en-GB"/>
              </w:rPr>
            </w:pPr>
          </w:p>
        </w:tc>
        <w:tc>
          <w:tcPr>
            <w:tcW w:w="1800" w:type="dxa"/>
          </w:tcPr>
          <w:p w14:paraId="741D8204" w14:textId="77777777" w:rsidR="00FD7E85" w:rsidRDefault="00FD7E85">
            <w:pPr>
              <w:jc w:val="both"/>
              <w:rPr>
                <w:rFonts w:ascii="Arial" w:hAnsi="Arial" w:cs="Arial"/>
                <w:bCs/>
                <w:lang w:val="en" w:eastAsia="en-GB"/>
              </w:rPr>
            </w:pPr>
          </w:p>
        </w:tc>
        <w:tc>
          <w:tcPr>
            <w:tcW w:w="1260" w:type="dxa"/>
          </w:tcPr>
          <w:p w14:paraId="2B11BB45" w14:textId="77777777" w:rsidR="00FD7E85" w:rsidRDefault="00FD7E85">
            <w:pPr>
              <w:jc w:val="both"/>
              <w:rPr>
                <w:rFonts w:ascii="Arial" w:hAnsi="Arial" w:cs="Arial"/>
                <w:bCs/>
                <w:lang w:val="en" w:eastAsia="en-GB"/>
              </w:rPr>
            </w:pPr>
          </w:p>
        </w:tc>
      </w:tr>
      <w:tr w:rsidR="00FD7E85" w14:paraId="2BD363CC" w14:textId="77777777">
        <w:trPr>
          <w:trHeight w:val="288"/>
        </w:trPr>
        <w:tc>
          <w:tcPr>
            <w:tcW w:w="2970" w:type="dxa"/>
          </w:tcPr>
          <w:p w14:paraId="4BE8904E" w14:textId="77777777" w:rsidR="00FD7E85" w:rsidRDefault="00F456FA">
            <w:pPr>
              <w:jc w:val="both"/>
              <w:rPr>
                <w:rFonts w:ascii="Arial" w:hAnsi="Arial" w:cs="Arial"/>
                <w:bCs/>
                <w:lang w:val="en" w:eastAsia="en-GB"/>
              </w:rPr>
            </w:pPr>
            <w:r>
              <w:rPr>
                <w:rFonts w:ascii="Arial" w:hAnsi="Arial" w:cs="Arial"/>
                <w:bCs/>
                <w:lang w:val="en" w:eastAsia="en-GB"/>
              </w:rPr>
              <w:t>Primary</w:t>
            </w:r>
          </w:p>
        </w:tc>
        <w:tc>
          <w:tcPr>
            <w:tcW w:w="2070" w:type="dxa"/>
          </w:tcPr>
          <w:p w14:paraId="33F4D8D4" w14:textId="77777777" w:rsidR="00FD7E85" w:rsidRDefault="00F456FA">
            <w:pPr>
              <w:jc w:val="both"/>
              <w:rPr>
                <w:rFonts w:ascii="Arial" w:hAnsi="Arial" w:cs="Arial"/>
                <w:bCs/>
                <w:lang w:val="en" w:eastAsia="en-GB"/>
              </w:rPr>
            </w:pPr>
            <w:r>
              <w:rPr>
                <w:rFonts w:ascii="Arial" w:hAnsi="Arial" w:cs="Arial"/>
                <w:bCs/>
                <w:lang w:val="en" w:eastAsia="en-GB"/>
              </w:rPr>
              <w:t>0400</w:t>
            </w:r>
          </w:p>
        </w:tc>
        <w:tc>
          <w:tcPr>
            <w:tcW w:w="1980" w:type="dxa"/>
          </w:tcPr>
          <w:p w14:paraId="532F0459" w14:textId="77777777" w:rsidR="00FD7E85" w:rsidRDefault="00F456FA">
            <w:pPr>
              <w:jc w:val="both"/>
              <w:rPr>
                <w:rFonts w:ascii="Arial" w:hAnsi="Arial" w:cs="Arial"/>
                <w:bCs/>
                <w:lang w:val="en" w:eastAsia="en-GB"/>
              </w:rPr>
            </w:pPr>
            <w:r>
              <w:rPr>
                <w:rFonts w:ascii="Arial" w:hAnsi="Arial" w:cs="Arial"/>
                <w:bCs/>
                <w:lang w:val="en" w:eastAsia="en-GB"/>
              </w:rPr>
              <w:t>0.142</w:t>
            </w:r>
          </w:p>
        </w:tc>
        <w:tc>
          <w:tcPr>
            <w:tcW w:w="1800" w:type="dxa"/>
          </w:tcPr>
          <w:p w14:paraId="4DC6A12C" w14:textId="77777777" w:rsidR="00FD7E85" w:rsidRDefault="00F456FA">
            <w:pPr>
              <w:jc w:val="both"/>
              <w:rPr>
                <w:rFonts w:ascii="Arial" w:hAnsi="Arial" w:cs="Arial"/>
                <w:bCs/>
                <w:lang w:val="en" w:eastAsia="en-GB"/>
              </w:rPr>
            </w:pPr>
            <w:r>
              <w:rPr>
                <w:rFonts w:ascii="Arial" w:hAnsi="Arial" w:cs="Arial"/>
                <w:bCs/>
                <w:lang w:val="en" w:eastAsia="en-GB"/>
              </w:rPr>
              <w:t>0.117</w:t>
            </w:r>
          </w:p>
        </w:tc>
        <w:tc>
          <w:tcPr>
            <w:tcW w:w="1260" w:type="dxa"/>
          </w:tcPr>
          <w:p w14:paraId="582202D4" w14:textId="77777777" w:rsidR="00FD7E85" w:rsidRDefault="00F456FA">
            <w:pPr>
              <w:jc w:val="both"/>
              <w:rPr>
                <w:rFonts w:ascii="Arial" w:hAnsi="Arial" w:cs="Arial"/>
                <w:bCs/>
                <w:lang w:val="en" w:eastAsia="en-GB"/>
              </w:rPr>
            </w:pPr>
            <w:r>
              <w:rPr>
                <w:rFonts w:ascii="Arial" w:hAnsi="Arial" w:cs="Arial"/>
                <w:bCs/>
                <w:lang w:val="en" w:eastAsia="en-GB"/>
              </w:rPr>
              <w:t>1.358</w:t>
            </w:r>
          </w:p>
        </w:tc>
      </w:tr>
      <w:tr w:rsidR="00FD7E85" w14:paraId="0B453C30" w14:textId="77777777">
        <w:trPr>
          <w:trHeight w:val="270"/>
        </w:trPr>
        <w:tc>
          <w:tcPr>
            <w:tcW w:w="2970" w:type="dxa"/>
          </w:tcPr>
          <w:p w14:paraId="67A84859" w14:textId="77777777" w:rsidR="00FD7E85" w:rsidRDefault="00F456FA">
            <w:pPr>
              <w:jc w:val="both"/>
              <w:rPr>
                <w:rFonts w:ascii="Arial" w:hAnsi="Arial" w:cs="Arial"/>
                <w:b/>
                <w:lang w:val="en" w:eastAsia="en-GB"/>
              </w:rPr>
            </w:pPr>
            <w:r>
              <w:rPr>
                <w:rFonts w:ascii="Arial" w:hAnsi="Arial" w:cs="Arial"/>
                <w:b/>
                <w:lang w:val="en" w:eastAsia="en-GB"/>
              </w:rPr>
              <w:t>Residence</w:t>
            </w:r>
          </w:p>
        </w:tc>
        <w:tc>
          <w:tcPr>
            <w:tcW w:w="2070" w:type="dxa"/>
          </w:tcPr>
          <w:p w14:paraId="3DEC63DC" w14:textId="77777777" w:rsidR="00FD7E85" w:rsidRDefault="00FD7E85">
            <w:pPr>
              <w:jc w:val="both"/>
              <w:rPr>
                <w:rFonts w:ascii="Arial" w:hAnsi="Arial" w:cs="Arial"/>
                <w:b/>
                <w:lang w:val="en" w:eastAsia="en-GB"/>
              </w:rPr>
            </w:pPr>
          </w:p>
        </w:tc>
        <w:tc>
          <w:tcPr>
            <w:tcW w:w="1980" w:type="dxa"/>
          </w:tcPr>
          <w:p w14:paraId="30BFCD7C" w14:textId="77777777" w:rsidR="00FD7E85" w:rsidRDefault="00FD7E85">
            <w:pPr>
              <w:jc w:val="both"/>
              <w:rPr>
                <w:rFonts w:ascii="Arial" w:hAnsi="Arial" w:cs="Arial"/>
                <w:b/>
                <w:lang w:val="en" w:eastAsia="en-GB"/>
              </w:rPr>
            </w:pPr>
          </w:p>
        </w:tc>
        <w:tc>
          <w:tcPr>
            <w:tcW w:w="1800" w:type="dxa"/>
          </w:tcPr>
          <w:p w14:paraId="493ACA5D" w14:textId="77777777" w:rsidR="00FD7E85" w:rsidRDefault="00FD7E85">
            <w:pPr>
              <w:jc w:val="both"/>
              <w:rPr>
                <w:rFonts w:ascii="Arial" w:hAnsi="Arial" w:cs="Arial"/>
                <w:b/>
                <w:lang w:val="en" w:eastAsia="en-GB"/>
              </w:rPr>
            </w:pPr>
          </w:p>
        </w:tc>
        <w:tc>
          <w:tcPr>
            <w:tcW w:w="1260" w:type="dxa"/>
          </w:tcPr>
          <w:p w14:paraId="6F723417" w14:textId="77777777" w:rsidR="00FD7E85" w:rsidRDefault="00FD7E85">
            <w:pPr>
              <w:jc w:val="both"/>
              <w:rPr>
                <w:rFonts w:ascii="Arial" w:hAnsi="Arial" w:cs="Arial"/>
                <w:b/>
                <w:lang w:val="en" w:eastAsia="en-GB"/>
              </w:rPr>
            </w:pPr>
          </w:p>
        </w:tc>
      </w:tr>
      <w:tr w:rsidR="00FD7E85" w14:paraId="1AAE5928" w14:textId="77777777">
        <w:trPr>
          <w:trHeight w:val="288"/>
        </w:trPr>
        <w:tc>
          <w:tcPr>
            <w:tcW w:w="2970" w:type="dxa"/>
          </w:tcPr>
          <w:p w14:paraId="7A22AB37" w14:textId="77777777" w:rsidR="00FD7E85" w:rsidRDefault="00F456FA">
            <w:pPr>
              <w:jc w:val="both"/>
              <w:rPr>
                <w:rFonts w:ascii="Arial" w:hAnsi="Arial" w:cs="Arial"/>
                <w:bCs/>
                <w:lang w:val="en" w:eastAsia="en-GB"/>
              </w:rPr>
            </w:pPr>
            <w:r>
              <w:rPr>
                <w:rFonts w:ascii="Arial" w:hAnsi="Arial" w:cs="Arial"/>
                <w:bCs/>
                <w:lang w:val="en" w:eastAsia="en-GB"/>
              </w:rPr>
              <w:t xml:space="preserve">Urban </w:t>
            </w:r>
          </w:p>
        </w:tc>
        <w:tc>
          <w:tcPr>
            <w:tcW w:w="2070" w:type="dxa"/>
          </w:tcPr>
          <w:p w14:paraId="1F0F5C83" w14:textId="77777777" w:rsidR="00FD7E85" w:rsidRDefault="00F456FA">
            <w:pPr>
              <w:jc w:val="both"/>
              <w:rPr>
                <w:rFonts w:ascii="Arial" w:hAnsi="Arial" w:cs="Arial"/>
                <w:bCs/>
                <w:lang w:val="en" w:eastAsia="en-GB"/>
              </w:rPr>
            </w:pPr>
            <w:r>
              <w:rPr>
                <w:rFonts w:ascii="Arial" w:hAnsi="Arial" w:cs="Arial"/>
                <w:bCs/>
                <w:lang w:val="en" w:eastAsia="en-GB"/>
              </w:rPr>
              <w:t>1</w:t>
            </w:r>
          </w:p>
        </w:tc>
        <w:tc>
          <w:tcPr>
            <w:tcW w:w="1980" w:type="dxa"/>
          </w:tcPr>
          <w:p w14:paraId="2B5CC710" w14:textId="77777777" w:rsidR="00FD7E85" w:rsidRDefault="00FD7E85">
            <w:pPr>
              <w:jc w:val="both"/>
              <w:rPr>
                <w:rFonts w:ascii="Arial" w:hAnsi="Arial" w:cs="Arial"/>
                <w:bCs/>
                <w:lang w:val="en" w:eastAsia="en-GB"/>
              </w:rPr>
            </w:pPr>
          </w:p>
        </w:tc>
        <w:tc>
          <w:tcPr>
            <w:tcW w:w="1800" w:type="dxa"/>
          </w:tcPr>
          <w:p w14:paraId="214D7081" w14:textId="77777777" w:rsidR="00FD7E85" w:rsidRDefault="00FD7E85">
            <w:pPr>
              <w:jc w:val="both"/>
              <w:rPr>
                <w:rFonts w:ascii="Arial" w:hAnsi="Arial" w:cs="Arial"/>
                <w:bCs/>
                <w:lang w:val="en" w:eastAsia="en-GB"/>
              </w:rPr>
            </w:pPr>
          </w:p>
        </w:tc>
        <w:tc>
          <w:tcPr>
            <w:tcW w:w="1260" w:type="dxa"/>
          </w:tcPr>
          <w:p w14:paraId="32E1C77A" w14:textId="77777777" w:rsidR="00FD7E85" w:rsidRDefault="00FD7E85">
            <w:pPr>
              <w:jc w:val="both"/>
              <w:rPr>
                <w:rFonts w:ascii="Arial" w:hAnsi="Arial" w:cs="Arial"/>
                <w:bCs/>
                <w:lang w:val="en" w:eastAsia="en-GB"/>
              </w:rPr>
            </w:pPr>
          </w:p>
        </w:tc>
      </w:tr>
      <w:tr w:rsidR="00FD7E85" w14:paraId="03359803" w14:textId="77777777">
        <w:trPr>
          <w:trHeight w:val="270"/>
        </w:trPr>
        <w:tc>
          <w:tcPr>
            <w:tcW w:w="2970" w:type="dxa"/>
          </w:tcPr>
          <w:p w14:paraId="2D9F1219" w14:textId="77777777" w:rsidR="00FD7E85" w:rsidRDefault="00F456FA">
            <w:pPr>
              <w:jc w:val="both"/>
              <w:rPr>
                <w:rFonts w:ascii="Arial" w:hAnsi="Arial" w:cs="Arial"/>
                <w:bCs/>
                <w:lang w:val="en" w:eastAsia="en-GB"/>
              </w:rPr>
            </w:pPr>
            <w:r>
              <w:rPr>
                <w:rFonts w:ascii="Arial" w:hAnsi="Arial" w:cs="Arial"/>
                <w:bCs/>
                <w:lang w:val="en" w:eastAsia="en-GB"/>
              </w:rPr>
              <w:t xml:space="preserve">Rural </w:t>
            </w:r>
          </w:p>
        </w:tc>
        <w:tc>
          <w:tcPr>
            <w:tcW w:w="2070" w:type="dxa"/>
          </w:tcPr>
          <w:p w14:paraId="4A861642" w14:textId="77777777" w:rsidR="00FD7E85" w:rsidRDefault="00F456FA">
            <w:pPr>
              <w:jc w:val="both"/>
              <w:rPr>
                <w:rFonts w:ascii="Arial" w:hAnsi="Arial" w:cs="Arial"/>
                <w:bCs/>
                <w:lang w:val="en" w:eastAsia="en-GB"/>
              </w:rPr>
            </w:pPr>
            <w:r>
              <w:rPr>
                <w:rFonts w:ascii="Arial" w:hAnsi="Arial" w:cs="Arial"/>
                <w:bCs/>
                <w:lang w:val="en" w:eastAsia="en-GB"/>
              </w:rPr>
              <w:t>1.187</w:t>
            </w:r>
          </w:p>
        </w:tc>
        <w:tc>
          <w:tcPr>
            <w:tcW w:w="1980" w:type="dxa"/>
          </w:tcPr>
          <w:p w14:paraId="1510BF44" w14:textId="77777777" w:rsidR="00FD7E85" w:rsidRDefault="00F456FA">
            <w:pPr>
              <w:jc w:val="both"/>
              <w:rPr>
                <w:rFonts w:ascii="Arial" w:hAnsi="Arial" w:cs="Arial"/>
                <w:bCs/>
                <w:lang w:val="en" w:eastAsia="en-GB"/>
              </w:rPr>
            </w:pPr>
            <w:r>
              <w:rPr>
                <w:rFonts w:ascii="Arial" w:hAnsi="Arial" w:cs="Arial"/>
                <w:bCs/>
                <w:lang w:val="en" w:eastAsia="en-GB"/>
              </w:rPr>
              <w:t>0.651</w:t>
            </w:r>
          </w:p>
        </w:tc>
        <w:tc>
          <w:tcPr>
            <w:tcW w:w="1800" w:type="dxa"/>
          </w:tcPr>
          <w:p w14:paraId="3E864CA6" w14:textId="77777777" w:rsidR="00FD7E85" w:rsidRDefault="00F456FA">
            <w:pPr>
              <w:jc w:val="both"/>
              <w:rPr>
                <w:rFonts w:ascii="Arial" w:hAnsi="Arial" w:cs="Arial"/>
                <w:bCs/>
                <w:lang w:val="en" w:eastAsia="en-GB"/>
              </w:rPr>
            </w:pPr>
            <w:r>
              <w:rPr>
                <w:rFonts w:ascii="Arial" w:hAnsi="Arial" w:cs="Arial"/>
                <w:bCs/>
                <w:lang w:val="en" w:eastAsia="en-GB"/>
              </w:rPr>
              <w:t>0.563</w:t>
            </w:r>
          </w:p>
        </w:tc>
        <w:tc>
          <w:tcPr>
            <w:tcW w:w="1260" w:type="dxa"/>
          </w:tcPr>
          <w:p w14:paraId="413757F1" w14:textId="77777777" w:rsidR="00FD7E85" w:rsidRDefault="00F456FA">
            <w:pPr>
              <w:jc w:val="both"/>
              <w:rPr>
                <w:rFonts w:ascii="Arial" w:hAnsi="Arial" w:cs="Arial"/>
                <w:bCs/>
                <w:lang w:val="en" w:eastAsia="en-GB"/>
              </w:rPr>
            </w:pPr>
            <w:r>
              <w:rPr>
                <w:rFonts w:ascii="Arial" w:hAnsi="Arial" w:cs="Arial"/>
                <w:bCs/>
                <w:lang w:val="en" w:eastAsia="en-GB"/>
              </w:rPr>
              <w:t>2.501</w:t>
            </w:r>
          </w:p>
        </w:tc>
      </w:tr>
      <w:tr w:rsidR="00FD7E85" w14:paraId="4BFBFB1F" w14:textId="77777777">
        <w:trPr>
          <w:trHeight w:val="288"/>
        </w:trPr>
        <w:tc>
          <w:tcPr>
            <w:tcW w:w="2970" w:type="dxa"/>
          </w:tcPr>
          <w:p w14:paraId="3A156E4D" w14:textId="77777777" w:rsidR="00FD7E85" w:rsidRDefault="00FD7E85">
            <w:pPr>
              <w:jc w:val="both"/>
              <w:rPr>
                <w:rFonts w:ascii="Arial" w:hAnsi="Arial" w:cs="Arial"/>
                <w:b/>
                <w:lang w:val="en" w:eastAsia="en-GB"/>
              </w:rPr>
            </w:pPr>
          </w:p>
          <w:p w14:paraId="63355731" w14:textId="77777777" w:rsidR="00FD7E85" w:rsidRDefault="00F456FA">
            <w:pPr>
              <w:jc w:val="both"/>
              <w:rPr>
                <w:rFonts w:ascii="Arial" w:hAnsi="Arial" w:cs="Arial"/>
                <w:b/>
                <w:lang w:val="en" w:eastAsia="en-GB"/>
              </w:rPr>
            </w:pPr>
            <w:r>
              <w:rPr>
                <w:rFonts w:ascii="Arial" w:hAnsi="Arial" w:cs="Arial"/>
                <w:b/>
                <w:lang w:val="en" w:eastAsia="en-GB"/>
              </w:rPr>
              <w:t>Parity</w:t>
            </w:r>
          </w:p>
        </w:tc>
        <w:tc>
          <w:tcPr>
            <w:tcW w:w="2070" w:type="dxa"/>
          </w:tcPr>
          <w:p w14:paraId="105ECDC4" w14:textId="77777777" w:rsidR="00FD7E85" w:rsidRDefault="00FD7E85">
            <w:pPr>
              <w:jc w:val="both"/>
              <w:rPr>
                <w:rFonts w:ascii="Arial" w:hAnsi="Arial" w:cs="Arial"/>
                <w:b/>
                <w:lang w:val="en" w:eastAsia="en-GB"/>
              </w:rPr>
            </w:pPr>
          </w:p>
        </w:tc>
        <w:tc>
          <w:tcPr>
            <w:tcW w:w="1980" w:type="dxa"/>
          </w:tcPr>
          <w:p w14:paraId="20089F50" w14:textId="77777777" w:rsidR="00FD7E85" w:rsidRDefault="00FD7E85">
            <w:pPr>
              <w:jc w:val="both"/>
              <w:rPr>
                <w:rFonts w:ascii="Arial" w:hAnsi="Arial" w:cs="Arial"/>
                <w:b/>
                <w:lang w:val="en" w:eastAsia="en-GB"/>
              </w:rPr>
            </w:pPr>
          </w:p>
        </w:tc>
        <w:tc>
          <w:tcPr>
            <w:tcW w:w="1800" w:type="dxa"/>
          </w:tcPr>
          <w:p w14:paraId="05D48201" w14:textId="77777777" w:rsidR="00FD7E85" w:rsidRDefault="00FD7E85">
            <w:pPr>
              <w:jc w:val="both"/>
              <w:rPr>
                <w:rFonts w:ascii="Arial" w:hAnsi="Arial" w:cs="Arial"/>
                <w:b/>
                <w:lang w:val="en" w:eastAsia="en-GB"/>
              </w:rPr>
            </w:pPr>
          </w:p>
        </w:tc>
        <w:tc>
          <w:tcPr>
            <w:tcW w:w="1260" w:type="dxa"/>
          </w:tcPr>
          <w:p w14:paraId="448C0DD8" w14:textId="77777777" w:rsidR="00FD7E85" w:rsidRDefault="00FD7E85">
            <w:pPr>
              <w:jc w:val="both"/>
              <w:rPr>
                <w:rFonts w:ascii="Arial" w:hAnsi="Arial" w:cs="Arial"/>
                <w:b/>
                <w:lang w:val="en" w:eastAsia="en-GB"/>
              </w:rPr>
            </w:pPr>
          </w:p>
        </w:tc>
      </w:tr>
      <w:tr w:rsidR="00FD7E85" w14:paraId="1C9C755D" w14:textId="77777777">
        <w:trPr>
          <w:trHeight w:val="270"/>
        </w:trPr>
        <w:tc>
          <w:tcPr>
            <w:tcW w:w="2970" w:type="dxa"/>
          </w:tcPr>
          <w:p w14:paraId="1CDDC46F" w14:textId="77777777" w:rsidR="00FD7E85" w:rsidRDefault="00F456FA">
            <w:pPr>
              <w:jc w:val="both"/>
              <w:rPr>
                <w:rFonts w:ascii="Arial" w:hAnsi="Arial" w:cs="Arial"/>
                <w:bCs/>
                <w:lang w:val="en" w:eastAsia="en-GB"/>
              </w:rPr>
            </w:pPr>
            <w:r>
              <w:rPr>
                <w:rFonts w:ascii="Arial" w:hAnsi="Arial" w:cs="Arial"/>
                <w:bCs/>
                <w:lang w:val="en" w:eastAsia="en-GB"/>
              </w:rPr>
              <w:t>Primipara</w:t>
            </w:r>
          </w:p>
        </w:tc>
        <w:tc>
          <w:tcPr>
            <w:tcW w:w="2070" w:type="dxa"/>
          </w:tcPr>
          <w:p w14:paraId="02C58695" w14:textId="77777777" w:rsidR="00FD7E85" w:rsidRDefault="00F456FA">
            <w:pPr>
              <w:jc w:val="both"/>
              <w:rPr>
                <w:rFonts w:ascii="Arial" w:hAnsi="Arial" w:cs="Arial"/>
                <w:bCs/>
                <w:lang w:val="en" w:eastAsia="en-GB"/>
              </w:rPr>
            </w:pPr>
            <w:r>
              <w:rPr>
                <w:rFonts w:ascii="Arial" w:hAnsi="Arial" w:cs="Arial"/>
                <w:bCs/>
                <w:lang w:val="en" w:eastAsia="en-GB"/>
              </w:rPr>
              <w:t>1</w:t>
            </w:r>
          </w:p>
        </w:tc>
        <w:tc>
          <w:tcPr>
            <w:tcW w:w="1980" w:type="dxa"/>
          </w:tcPr>
          <w:p w14:paraId="6EC8B4B4" w14:textId="77777777" w:rsidR="00FD7E85" w:rsidRDefault="00FD7E85">
            <w:pPr>
              <w:jc w:val="both"/>
              <w:rPr>
                <w:rFonts w:ascii="Arial" w:hAnsi="Arial" w:cs="Arial"/>
                <w:bCs/>
                <w:lang w:val="en" w:eastAsia="en-GB"/>
              </w:rPr>
            </w:pPr>
          </w:p>
        </w:tc>
        <w:tc>
          <w:tcPr>
            <w:tcW w:w="1800" w:type="dxa"/>
          </w:tcPr>
          <w:p w14:paraId="24C94E89" w14:textId="77777777" w:rsidR="00FD7E85" w:rsidRDefault="00FD7E85">
            <w:pPr>
              <w:jc w:val="both"/>
              <w:rPr>
                <w:rFonts w:ascii="Arial" w:hAnsi="Arial" w:cs="Arial"/>
                <w:bCs/>
                <w:lang w:val="en" w:eastAsia="en-GB"/>
              </w:rPr>
            </w:pPr>
          </w:p>
        </w:tc>
        <w:tc>
          <w:tcPr>
            <w:tcW w:w="1260" w:type="dxa"/>
          </w:tcPr>
          <w:p w14:paraId="59D6B2F6" w14:textId="77777777" w:rsidR="00FD7E85" w:rsidRDefault="00FD7E85">
            <w:pPr>
              <w:jc w:val="both"/>
              <w:rPr>
                <w:rFonts w:ascii="Arial" w:hAnsi="Arial" w:cs="Arial"/>
                <w:bCs/>
                <w:lang w:val="en" w:eastAsia="en-GB"/>
              </w:rPr>
            </w:pPr>
          </w:p>
        </w:tc>
      </w:tr>
      <w:tr w:rsidR="00FD7E85" w14:paraId="176A7FF9" w14:textId="77777777">
        <w:trPr>
          <w:trHeight w:val="288"/>
        </w:trPr>
        <w:tc>
          <w:tcPr>
            <w:tcW w:w="2970" w:type="dxa"/>
          </w:tcPr>
          <w:p w14:paraId="394F3D23" w14:textId="77777777" w:rsidR="00FD7E85" w:rsidRDefault="00F456FA">
            <w:pPr>
              <w:jc w:val="both"/>
              <w:rPr>
                <w:rFonts w:ascii="Arial" w:hAnsi="Arial" w:cs="Arial"/>
                <w:bCs/>
                <w:lang w:val="en" w:eastAsia="en-GB"/>
              </w:rPr>
            </w:pPr>
            <w:r>
              <w:rPr>
                <w:rFonts w:ascii="Arial" w:hAnsi="Arial" w:cs="Arial"/>
                <w:bCs/>
                <w:lang w:val="en" w:eastAsia="en-GB"/>
              </w:rPr>
              <w:t>Multipara</w:t>
            </w:r>
          </w:p>
        </w:tc>
        <w:tc>
          <w:tcPr>
            <w:tcW w:w="2070" w:type="dxa"/>
          </w:tcPr>
          <w:p w14:paraId="2FE94514" w14:textId="77777777" w:rsidR="00FD7E85" w:rsidRDefault="00F456FA">
            <w:pPr>
              <w:jc w:val="both"/>
              <w:rPr>
                <w:rFonts w:ascii="Arial" w:hAnsi="Arial" w:cs="Arial"/>
                <w:bCs/>
                <w:lang w:val="en" w:eastAsia="en-GB"/>
              </w:rPr>
            </w:pPr>
            <w:r>
              <w:rPr>
                <w:rFonts w:ascii="Arial" w:hAnsi="Arial" w:cs="Arial"/>
                <w:bCs/>
                <w:lang w:val="en" w:eastAsia="en-GB"/>
              </w:rPr>
              <w:t>1.159</w:t>
            </w:r>
          </w:p>
        </w:tc>
        <w:tc>
          <w:tcPr>
            <w:tcW w:w="1980" w:type="dxa"/>
          </w:tcPr>
          <w:p w14:paraId="230BD02E" w14:textId="77777777" w:rsidR="00FD7E85" w:rsidRDefault="00F456FA">
            <w:pPr>
              <w:jc w:val="both"/>
              <w:rPr>
                <w:rFonts w:ascii="Arial" w:hAnsi="Arial" w:cs="Arial"/>
                <w:bCs/>
                <w:lang w:val="en" w:eastAsia="en-GB"/>
              </w:rPr>
            </w:pPr>
            <w:r>
              <w:rPr>
                <w:rFonts w:ascii="Arial" w:hAnsi="Arial" w:cs="Arial"/>
                <w:bCs/>
                <w:lang w:val="en" w:eastAsia="en-GB"/>
              </w:rPr>
              <w:t>0.38</w:t>
            </w:r>
          </w:p>
        </w:tc>
        <w:tc>
          <w:tcPr>
            <w:tcW w:w="1800" w:type="dxa"/>
          </w:tcPr>
          <w:p w14:paraId="173E4C3B" w14:textId="77777777" w:rsidR="00FD7E85" w:rsidRDefault="00F456FA">
            <w:pPr>
              <w:jc w:val="both"/>
              <w:rPr>
                <w:rFonts w:ascii="Arial" w:hAnsi="Arial" w:cs="Arial"/>
                <w:bCs/>
                <w:lang w:val="en" w:eastAsia="en-GB"/>
              </w:rPr>
            </w:pPr>
            <w:r>
              <w:rPr>
                <w:rFonts w:ascii="Arial" w:hAnsi="Arial" w:cs="Arial"/>
                <w:bCs/>
                <w:lang w:val="en" w:eastAsia="en-GB"/>
              </w:rPr>
              <w:t>0.537</w:t>
            </w:r>
          </w:p>
        </w:tc>
        <w:tc>
          <w:tcPr>
            <w:tcW w:w="1260" w:type="dxa"/>
          </w:tcPr>
          <w:p w14:paraId="4BFF2CE7" w14:textId="77777777" w:rsidR="00FD7E85" w:rsidRDefault="00F456FA">
            <w:pPr>
              <w:jc w:val="both"/>
              <w:rPr>
                <w:rFonts w:ascii="Arial" w:hAnsi="Arial" w:cs="Arial"/>
                <w:bCs/>
                <w:lang w:val="en" w:eastAsia="en-GB"/>
              </w:rPr>
            </w:pPr>
            <w:r>
              <w:rPr>
                <w:rFonts w:ascii="Arial" w:hAnsi="Arial" w:cs="Arial"/>
                <w:bCs/>
                <w:lang w:val="en" w:eastAsia="en-GB"/>
              </w:rPr>
              <w:t>2.500</w:t>
            </w:r>
          </w:p>
        </w:tc>
      </w:tr>
      <w:tr w:rsidR="00FD7E85" w14:paraId="3941927B" w14:textId="77777777">
        <w:trPr>
          <w:trHeight w:val="323"/>
        </w:trPr>
        <w:tc>
          <w:tcPr>
            <w:tcW w:w="2970" w:type="dxa"/>
          </w:tcPr>
          <w:p w14:paraId="6BBC3611" w14:textId="77777777" w:rsidR="00FD7E85" w:rsidRDefault="00FD7E85">
            <w:pPr>
              <w:jc w:val="both"/>
              <w:rPr>
                <w:rFonts w:ascii="Arial" w:hAnsi="Arial" w:cs="Arial"/>
                <w:b/>
                <w:lang w:val="en" w:eastAsia="en-GB"/>
              </w:rPr>
            </w:pPr>
          </w:p>
          <w:p w14:paraId="2E731660" w14:textId="77777777" w:rsidR="00FD7E85" w:rsidRDefault="00F456FA">
            <w:pPr>
              <w:jc w:val="both"/>
              <w:rPr>
                <w:rFonts w:ascii="Arial" w:hAnsi="Arial" w:cs="Arial"/>
                <w:b/>
                <w:lang w:val="en" w:eastAsia="en-GB"/>
              </w:rPr>
            </w:pPr>
            <w:r>
              <w:rPr>
                <w:rFonts w:ascii="Arial" w:hAnsi="Arial" w:cs="Arial"/>
                <w:b/>
                <w:lang w:val="en" w:eastAsia="en-GB"/>
              </w:rPr>
              <w:t xml:space="preserve">Gestation age by date </w:t>
            </w:r>
          </w:p>
        </w:tc>
        <w:tc>
          <w:tcPr>
            <w:tcW w:w="2070" w:type="dxa"/>
          </w:tcPr>
          <w:p w14:paraId="102E1F72" w14:textId="77777777" w:rsidR="00FD7E85" w:rsidRDefault="00FD7E85">
            <w:pPr>
              <w:jc w:val="both"/>
              <w:rPr>
                <w:rFonts w:ascii="Arial" w:hAnsi="Arial" w:cs="Arial"/>
                <w:b/>
                <w:lang w:val="en" w:eastAsia="en-GB"/>
              </w:rPr>
            </w:pPr>
          </w:p>
        </w:tc>
        <w:tc>
          <w:tcPr>
            <w:tcW w:w="1980" w:type="dxa"/>
          </w:tcPr>
          <w:p w14:paraId="5478FF3A" w14:textId="77777777" w:rsidR="00FD7E85" w:rsidRDefault="00FD7E85">
            <w:pPr>
              <w:jc w:val="both"/>
              <w:rPr>
                <w:rFonts w:ascii="Arial" w:hAnsi="Arial" w:cs="Arial"/>
                <w:b/>
                <w:lang w:val="en" w:eastAsia="en-GB"/>
              </w:rPr>
            </w:pPr>
          </w:p>
        </w:tc>
        <w:tc>
          <w:tcPr>
            <w:tcW w:w="1800" w:type="dxa"/>
          </w:tcPr>
          <w:p w14:paraId="40E4315B" w14:textId="77777777" w:rsidR="00FD7E85" w:rsidRDefault="00FD7E85">
            <w:pPr>
              <w:jc w:val="both"/>
              <w:rPr>
                <w:rFonts w:ascii="Arial" w:hAnsi="Arial" w:cs="Arial"/>
                <w:b/>
                <w:lang w:val="en" w:eastAsia="en-GB"/>
              </w:rPr>
            </w:pPr>
          </w:p>
        </w:tc>
        <w:tc>
          <w:tcPr>
            <w:tcW w:w="1260" w:type="dxa"/>
          </w:tcPr>
          <w:p w14:paraId="0D464F5F" w14:textId="77777777" w:rsidR="00FD7E85" w:rsidRDefault="00FD7E85">
            <w:pPr>
              <w:jc w:val="both"/>
              <w:rPr>
                <w:rFonts w:ascii="Arial" w:hAnsi="Arial" w:cs="Arial"/>
                <w:b/>
                <w:lang w:val="en" w:eastAsia="en-GB"/>
              </w:rPr>
            </w:pPr>
          </w:p>
          <w:p w14:paraId="5D5FA4C9" w14:textId="77777777" w:rsidR="00FD7E85" w:rsidRDefault="00FD7E85">
            <w:pPr>
              <w:jc w:val="both"/>
              <w:rPr>
                <w:rFonts w:ascii="Arial" w:hAnsi="Arial" w:cs="Arial"/>
                <w:b/>
                <w:lang w:val="en" w:eastAsia="en-GB"/>
              </w:rPr>
            </w:pPr>
          </w:p>
        </w:tc>
      </w:tr>
      <w:tr w:rsidR="00FD7E85" w14:paraId="130CD551" w14:textId="77777777">
        <w:trPr>
          <w:trHeight w:val="288"/>
        </w:trPr>
        <w:tc>
          <w:tcPr>
            <w:tcW w:w="2970" w:type="dxa"/>
          </w:tcPr>
          <w:p w14:paraId="239D3BE5" w14:textId="77777777" w:rsidR="00FD7E85" w:rsidRDefault="00F456FA">
            <w:pPr>
              <w:jc w:val="both"/>
              <w:rPr>
                <w:rFonts w:ascii="Arial" w:hAnsi="Arial" w:cs="Arial"/>
                <w:bCs/>
                <w:lang w:val="en" w:eastAsia="en-GB"/>
              </w:rPr>
            </w:pPr>
            <w:r>
              <w:rPr>
                <w:rFonts w:ascii="Arial" w:hAnsi="Arial" w:cs="Arial"/>
                <w:bCs/>
                <w:lang w:val="en" w:eastAsia="en-GB"/>
              </w:rPr>
              <w:t>Below 34</w:t>
            </w:r>
          </w:p>
        </w:tc>
        <w:tc>
          <w:tcPr>
            <w:tcW w:w="2070" w:type="dxa"/>
          </w:tcPr>
          <w:p w14:paraId="620F9768" w14:textId="77777777" w:rsidR="00FD7E85" w:rsidRDefault="00F456FA">
            <w:pPr>
              <w:jc w:val="both"/>
              <w:rPr>
                <w:rFonts w:ascii="Arial" w:hAnsi="Arial" w:cs="Arial"/>
                <w:bCs/>
                <w:lang w:val="en" w:eastAsia="en-GB"/>
              </w:rPr>
            </w:pPr>
            <w:r>
              <w:rPr>
                <w:rFonts w:ascii="Arial" w:hAnsi="Arial" w:cs="Arial"/>
                <w:bCs/>
                <w:lang w:val="en" w:eastAsia="en-GB"/>
              </w:rPr>
              <w:t>1</w:t>
            </w:r>
          </w:p>
        </w:tc>
        <w:tc>
          <w:tcPr>
            <w:tcW w:w="1980" w:type="dxa"/>
          </w:tcPr>
          <w:p w14:paraId="0B305B1C" w14:textId="77777777" w:rsidR="00FD7E85" w:rsidRDefault="00FD7E85">
            <w:pPr>
              <w:jc w:val="both"/>
              <w:rPr>
                <w:rFonts w:ascii="Arial" w:hAnsi="Arial" w:cs="Arial"/>
                <w:bCs/>
                <w:lang w:val="en" w:eastAsia="en-GB"/>
              </w:rPr>
            </w:pPr>
          </w:p>
        </w:tc>
        <w:tc>
          <w:tcPr>
            <w:tcW w:w="1800" w:type="dxa"/>
          </w:tcPr>
          <w:p w14:paraId="5923EAFB" w14:textId="77777777" w:rsidR="00FD7E85" w:rsidRDefault="00FD7E85">
            <w:pPr>
              <w:jc w:val="both"/>
              <w:rPr>
                <w:rFonts w:ascii="Arial" w:hAnsi="Arial" w:cs="Arial"/>
                <w:bCs/>
                <w:lang w:val="en" w:eastAsia="en-GB"/>
              </w:rPr>
            </w:pPr>
          </w:p>
        </w:tc>
        <w:tc>
          <w:tcPr>
            <w:tcW w:w="1260" w:type="dxa"/>
          </w:tcPr>
          <w:p w14:paraId="51FA86A9" w14:textId="77777777" w:rsidR="00FD7E85" w:rsidRDefault="00FD7E85">
            <w:pPr>
              <w:jc w:val="both"/>
              <w:rPr>
                <w:rFonts w:ascii="Arial" w:hAnsi="Arial" w:cs="Arial"/>
                <w:bCs/>
                <w:lang w:val="en" w:eastAsia="en-GB"/>
              </w:rPr>
            </w:pPr>
          </w:p>
        </w:tc>
      </w:tr>
      <w:tr w:rsidR="00FD7E85" w14:paraId="29D8EF5A" w14:textId="77777777">
        <w:trPr>
          <w:trHeight w:val="270"/>
        </w:trPr>
        <w:tc>
          <w:tcPr>
            <w:tcW w:w="2970" w:type="dxa"/>
          </w:tcPr>
          <w:p w14:paraId="6E6048AF" w14:textId="77777777" w:rsidR="00FD7E85" w:rsidRDefault="00F456FA">
            <w:pPr>
              <w:jc w:val="both"/>
              <w:rPr>
                <w:rFonts w:ascii="Arial" w:hAnsi="Arial" w:cs="Arial"/>
                <w:bCs/>
                <w:lang w:val="en" w:eastAsia="en-GB"/>
              </w:rPr>
            </w:pPr>
            <w:r>
              <w:rPr>
                <w:rFonts w:ascii="Arial" w:hAnsi="Arial" w:cs="Arial"/>
                <w:bCs/>
                <w:lang w:val="en" w:eastAsia="en-GB"/>
              </w:rPr>
              <w:t>34-39</w:t>
            </w:r>
          </w:p>
        </w:tc>
        <w:tc>
          <w:tcPr>
            <w:tcW w:w="2070" w:type="dxa"/>
          </w:tcPr>
          <w:p w14:paraId="7ED14D9E" w14:textId="77777777" w:rsidR="00FD7E85" w:rsidRDefault="00F456FA">
            <w:pPr>
              <w:jc w:val="both"/>
              <w:rPr>
                <w:rFonts w:ascii="Arial" w:hAnsi="Arial" w:cs="Arial"/>
                <w:bCs/>
                <w:lang w:val="en" w:eastAsia="en-GB"/>
              </w:rPr>
            </w:pPr>
            <w:r>
              <w:rPr>
                <w:rFonts w:ascii="Arial" w:hAnsi="Arial" w:cs="Arial"/>
                <w:bCs/>
                <w:lang w:val="en" w:eastAsia="en-GB"/>
              </w:rPr>
              <w:t>0.565</w:t>
            </w:r>
          </w:p>
        </w:tc>
        <w:tc>
          <w:tcPr>
            <w:tcW w:w="1980" w:type="dxa"/>
          </w:tcPr>
          <w:p w14:paraId="3E9BA3E7" w14:textId="77777777" w:rsidR="00FD7E85" w:rsidRDefault="00F456FA">
            <w:pPr>
              <w:jc w:val="both"/>
              <w:rPr>
                <w:rFonts w:ascii="Arial" w:hAnsi="Arial" w:cs="Arial"/>
                <w:bCs/>
                <w:lang w:val="en" w:eastAsia="en-GB"/>
              </w:rPr>
            </w:pPr>
            <w:r>
              <w:rPr>
                <w:rFonts w:ascii="Arial" w:hAnsi="Arial" w:cs="Arial"/>
                <w:bCs/>
                <w:lang w:val="en" w:eastAsia="en-GB"/>
              </w:rPr>
              <w:t>0.181</w:t>
            </w:r>
          </w:p>
        </w:tc>
        <w:tc>
          <w:tcPr>
            <w:tcW w:w="1800" w:type="dxa"/>
          </w:tcPr>
          <w:p w14:paraId="73EBB858" w14:textId="77777777" w:rsidR="00FD7E85" w:rsidRDefault="00F456FA">
            <w:pPr>
              <w:jc w:val="both"/>
              <w:rPr>
                <w:rFonts w:ascii="Arial" w:hAnsi="Arial" w:cs="Arial"/>
                <w:bCs/>
                <w:lang w:val="en" w:eastAsia="en-GB"/>
              </w:rPr>
            </w:pPr>
            <w:r>
              <w:rPr>
                <w:rFonts w:ascii="Arial" w:hAnsi="Arial" w:cs="Arial"/>
                <w:bCs/>
                <w:lang w:val="en" w:eastAsia="en-GB"/>
              </w:rPr>
              <w:t>0.244</w:t>
            </w:r>
          </w:p>
        </w:tc>
        <w:tc>
          <w:tcPr>
            <w:tcW w:w="1260" w:type="dxa"/>
          </w:tcPr>
          <w:p w14:paraId="350C0998" w14:textId="77777777" w:rsidR="00FD7E85" w:rsidRDefault="00F456FA">
            <w:pPr>
              <w:jc w:val="both"/>
              <w:rPr>
                <w:rFonts w:ascii="Arial" w:hAnsi="Arial" w:cs="Arial"/>
                <w:bCs/>
                <w:lang w:val="en" w:eastAsia="en-GB"/>
              </w:rPr>
            </w:pPr>
            <w:r>
              <w:rPr>
                <w:rFonts w:ascii="Arial" w:hAnsi="Arial" w:cs="Arial"/>
                <w:bCs/>
                <w:lang w:val="en" w:eastAsia="en-GB"/>
              </w:rPr>
              <w:t>1.303</w:t>
            </w:r>
          </w:p>
        </w:tc>
      </w:tr>
      <w:tr w:rsidR="00FD7E85" w14:paraId="5336BF5F" w14:textId="77777777">
        <w:trPr>
          <w:trHeight w:val="288"/>
        </w:trPr>
        <w:tc>
          <w:tcPr>
            <w:tcW w:w="2970" w:type="dxa"/>
          </w:tcPr>
          <w:p w14:paraId="02630F17" w14:textId="77777777" w:rsidR="00FD7E85" w:rsidRDefault="00F456FA">
            <w:pPr>
              <w:jc w:val="both"/>
              <w:rPr>
                <w:rFonts w:ascii="Arial" w:hAnsi="Arial" w:cs="Arial"/>
                <w:bCs/>
                <w:lang w:val="en" w:eastAsia="en-GB"/>
              </w:rPr>
            </w:pPr>
            <w:r>
              <w:rPr>
                <w:rFonts w:ascii="Arial" w:hAnsi="Arial" w:cs="Arial"/>
                <w:bCs/>
                <w:lang w:val="en" w:eastAsia="en-GB"/>
              </w:rPr>
              <w:t>Above 40</w:t>
            </w:r>
          </w:p>
        </w:tc>
        <w:tc>
          <w:tcPr>
            <w:tcW w:w="2070" w:type="dxa"/>
          </w:tcPr>
          <w:p w14:paraId="2D468C18" w14:textId="77777777" w:rsidR="00FD7E85" w:rsidRDefault="00F456FA">
            <w:pPr>
              <w:jc w:val="both"/>
              <w:rPr>
                <w:rFonts w:ascii="Arial" w:hAnsi="Arial" w:cs="Arial"/>
                <w:bCs/>
                <w:lang w:val="en" w:eastAsia="en-GB"/>
              </w:rPr>
            </w:pPr>
            <w:r>
              <w:rPr>
                <w:rFonts w:ascii="Arial" w:hAnsi="Arial" w:cs="Arial"/>
                <w:bCs/>
                <w:lang w:val="en" w:eastAsia="en-GB"/>
              </w:rPr>
              <w:t>0.361</w:t>
            </w:r>
          </w:p>
        </w:tc>
        <w:tc>
          <w:tcPr>
            <w:tcW w:w="1980" w:type="dxa"/>
          </w:tcPr>
          <w:p w14:paraId="06794B0B" w14:textId="77777777" w:rsidR="00FD7E85" w:rsidRDefault="00F456FA">
            <w:pPr>
              <w:jc w:val="both"/>
              <w:rPr>
                <w:rFonts w:ascii="Arial" w:hAnsi="Arial" w:cs="Arial"/>
                <w:bCs/>
                <w:lang w:val="en" w:eastAsia="en-GB"/>
              </w:rPr>
            </w:pPr>
            <w:r>
              <w:rPr>
                <w:rFonts w:ascii="Arial" w:hAnsi="Arial" w:cs="Arial"/>
                <w:bCs/>
                <w:lang w:val="en" w:eastAsia="en-GB"/>
              </w:rPr>
              <w:t>0.425</w:t>
            </w:r>
          </w:p>
        </w:tc>
        <w:tc>
          <w:tcPr>
            <w:tcW w:w="1800" w:type="dxa"/>
          </w:tcPr>
          <w:p w14:paraId="764092B3" w14:textId="77777777" w:rsidR="00FD7E85" w:rsidRDefault="00F456FA">
            <w:pPr>
              <w:jc w:val="both"/>
              <w:rPr>
                <w:rFonts w:ascii="Arial" w:hAnsi="Arial" w:cs="Arial"/>
                <w:bCs/>
                <w:lang w:val="en" w:eastAsia="en-GB"/>
              </w:rPr>
            </w:pPr>
            <w:r>
              <w:rPr>
                <w:rFonts w:ascii="Arial" w:hAnsi="Arial" w:cs="Arial"/>
                <w:bCs/>
                <w:lang w:val="en" w:eastAsia="en-GB"/>
              </w:rPr>
              <w:t>0.029</w:t>
            </w:r>
          </w:p>
        </w:tc>
        <w:tc>
          <w:tcPr>
            <w:tcW w:w="1260" w:type="dxa"/>
          </w:tcPr>
          <w:p w14:paraId="2648D597" w14:textId="77777777" w:rsidR="00FD7E85" w:rsidRDefault="00F456FA">
            <w:pPr>
              <w:jc w:val="both"/>
              <w:rPr>
                <w:rFonts w:ascii="Arial" w:hAnsi="Arial" w:cs="Arial"/>
                <w:bCs/>
                <w:lang w:val="en" w:eastAsia="en-GB"/>
              </w:rPr>
            </w:pPr>
            <w:r>
              <w:rPr>
                <w:rFonts w:ascii="Arial" w:hAnsi="Arial" w:cs="Arial"/>
                <w:bCs/>
                <w:lang w:val="en" w:eastAsia="en-GB"/>
              </w:rPr>
              <w:t>4.417</w:t>
            </w:r>
          </w:p>
        </w:tc>
      </w:tr>
      <w:tr w:rsidR="00FD7E85" w14:paraId="20D1B273" w14:textId="77777777">
        <w:trPr>
          <w:trHeight w:val="332"/>
        </w:trPr>
        <w:tc>
          <w:tcPr>
            <w:tcW w:w="2970" w:type="dxa"/>
          </w:tcPr>
          <w:p w14:paraId="76587E38" w14:textId="77777777" w:rsidR="00FD7E85" w:rsidRDefault="00F456FA">
            <w:pPr>
              <w:jc w:val="both"/>
              <w:rPr>
                <w:rFonts w:ascii="Arial" w:hAnsi="Arial" w:cs="Arial"/>
                <w:b/>
                <w:lang w:val="en" w:eastAsia="en-GB"/>
              </w:rPr>
            </w:pPr>
            <w:r>
              <w:rPr>
                <w:rFonts w:ascii="Arial" w:hAnsi="Arial" w:cs="Arial"/>
                <w:b/>
                <w:lang w:val="en" w:eastAsia="en-GB"/>
              </w:rPr>
              <w:t xml:space="preserve">Fetal weight by ultrasound </w:t>
            </w:r>
          </w:p>
        </w:tc>
        <w:tc>
          <w:tcPr>
            <w:tcW w:w="2070" w:type="dxa"/>
          </w:tcPr>
          <w:p w14:paraId="3BEF1AF6" w14:textId="77777777" w:rsidR="00FD7E85" w:rsidRDefault="00FD7E85">
            <w:pPr>
              <w:jc w:val="both"/>
              <w:rPr>
                <w:rFonts w:ascii="Arial" w:hAnsi="Arial" w:cs="Arial"/>
                <w:b/>
                <w:lang w:val="en" w:eastAsia="en-GB"/>
              </w:rPr>
            </w:pPr>
          </w:p>
        </w:tc>
        <w:tc>
          <w:tcPr>
            <w:tcW w:w="1980" w:type="dxa"/>
          </w:tcPr>
          <w:p w14:paraId="5EEA2981" w14:textId="77777777" w:rsidR="00FD7E85" w:rsidRDefault="00FD7E85">
            <w:pPr>
              <w:jc w:val="both"/>
              <w:rPr>
                <w:rFonts w:ascii="Arial" w:hAnsi="Arial" w:cs="Arial"/>
                <w:b/>
                <w:lang w:val="en" w:eastAsia="en-GB"/>
              </w:rPr>
            </w:pPr>
          </w:p>
        </w:tc>
        <w:tc>
          <w:tcPr>
            <w:tcW w:w="1800" w:type="dxa"/>
          </w:tcPr>
          <w:p w14:paraId="58472768" w14:textId="77777777" w:rsidR="00FD7E85" w:rsidRDefault="00FD7E85">
            <w:pPr>
              <w:jc w:val="both"/>
              <w:rPr>
                <w:rFonts w:ascii="Arial" w:hAnsi="Arial" w:cs="Arial"/>
                <w:b/>
                <w:lang w:val="en" w:eastAsia="en-GB"/>
              </w:rPr>
            </w:pPr>
          </w:p>
        </w:tc>
        <w:tc>
          <w:tcPr>
            <w:tcW w:w="1260" w:type="dxa"/>
          </w:tcPr>
          <w:p w14:paraId="3CBFB00D" w14:textId="77777777" w:rsidR="00FD7E85" w:rsidRDefault="00FD7E85">
            <w:pPr>
              <w:jc w:val="both"/>
              <w:rPr>
                <w:rFonts w:ascii="Arial" w:hAnsi="Arial" w:cs="Arial"/>
                <w:b/>
                <w:lang w:val="en" w:eastAsia="en-GB"/>
              </w:rPr>
            </w:pPr>
          </w:p>
        </w:tc>
      </w:tr>
      <w:tr w:rsidR="00FD7E85" w14:paraId="18621D76" w14:textId="77777777">
        <w:trPr>
          <w:trHeight w:val="288"/>
        </w:trPr>
        <w:tc>
          <w:tcPr>
            <w:tcW w:w="2970" w:type="dxa"/>
          </w:tcPr>
          <w:p w14:paraId="27B7A372" w14:textId="77777777" w:rsidR="00FD7E85" w:rsidRDefault="00F456FA">
            <w:pPr>
              <w:jc w:val="both"/>
              <w:rPr>
                <w:rFonts w:ascii="Arial" w:hAnsi="Arial" w:cs="Arial"/>
                <w:bCs/>
                <w:lang w:val="en" w:eastAsia="en-GB"/>
              </w:rPr>
            </w:pPr>
            <w:r>
              <w:rPr>
                <w:rFonts w:ascii="Arial" w:hAnsi="Arial" w:cs="Arial"/>
                <w:bCs/>
                <w:lang w:val="en" w:eastAsia="en-GB"/>
              </w:rPr>
              <w:t>AGA</w:t>
            </w:r>
          </w:p>
        </w:tc>
        <w:tc>
          <w:tcPr>
            <w:tcW w:w="2070" w:type="dxa"/>
          </w:tcPr>
          <w:p w14:paraId="4B0612B2" w14:textId="77777777" w:rsidR="00FD7E85" w:rsidRDefault="00F456FA">
            <w:pPr>
              <w:jc w:val="both"/>
              <w:rPr>
                <w:rFonts w:ascii="Arial" w:hAnsi="Arial" w:cs="Arial"/>
                <w:bCs/>
                <w:lang w:val="en" w:eastAsia="en-GB"/>
              </w:rPr>
            </w:pPr>
            <w:r>
              <w:rPr>
                <w:rFonts w:ascii="Arial" w:hAnsi="Arial" w:cs="Arial"/>
                <w:bCs/>
                <w:lang w:val="en" w:eastAsia="en-GB"/>
              </w:rPr>
              <w:t>1</w:t>
            </w:r>
          </w:p>
        </w:tc>
        <w:tc>
          <w:tcPr>
            <w:tcW w:w="1980" w:type="dxa"/>
          </w:tcPr>
          <w:p w14:paraId="43081F0A" w14:textId="77777777" w:rsidR="00FD7E85" w:rsidRDefault="00FD7E85">
            <w:pPr>
              <w:jc w:val="both"/>
              <w:rPr>
                <w:rFonts w:ascii="Arial" w:hAnsi="Arial" w:cs="Arial"/>
                <w:bCs/>
                <w:lang w:val="en" w:eastAsia="en-GB"/>
              </w:rPr>
            </w:pPr>
          </w:p>
        </w:tc>
        <w:tc>
          <w:tcPr>
            <w:tcW w:w="1800" w:type="dxa"/>
          </w:tcPr>
          <w:p w14:paraId="299B9D73" w14:textId="77777777" w:rsidR="00FD7E85" w:rsidRDefault="00FD7E85">
            <w:pPr>
              <w:jc w:val="both"/>
              <w:rPr>
                <w:rFonts w:ascii="Arial" w:hAnsi="Arial" w:cs="Arial"/>
                <w:bCs/>
                <w:lang w:val="en" w:eastAsia="en-GB"/>
              </w:rPr>
            </w:pPr>
          </w:p>
        </w:tc>
        <w:tc>
          <w:tcPr>
            <w:tcW w:w="1260" w:type="dxa"/>
          </w:tcPr>
          <w:p w14:paraId="51F3FDF2" w14:textId="77777777" w:rsidR="00FD7E85" w:rsidRDefault="00FD7E85">
            <w:pPr>
              <w:jc w:val="both"/>
              <w:rPr>
                <w:rFonts w:ascii="Arial" w:hAnsi="Arial" w:cs="Arial"/>
                <w:bCs/>
                <w:lang w:val="en" w:eastAsia="en-GB"/>
              </w:rPr>
            </w:pPr>
          </w:p>
        </w:tc>
      </w:tr>
      <w:tr w:rsidR="00FD7E85" w14:paraId="2EB6EFE5" w14:textId="77777777">
        <w:trPr>
          <w:trHeight w:val="270"/>
        </w:trPr>
        <w:tc>
          <w:tcPr>
            <w:tcW w:w="2970" w:type="dxa"/>
          </w:tcPr>
          <w:p w14:paraId="0710E49A" w14:textId="77777777" w:rsidR="00FD7E85" w:rsidRDefault="00F456FA">
            <w:pPr>
              <w:jc w:val="both"/>
              <w:rPr>
                <w:rFonts w:ascii="Arial" w:hAnsi="Arial" w:cs="Arial"/>
                <w:bCs/>
                <w:lang w:val="en" w:eastAsia="en-GB"/>
              </w:rPr>
            </w:pPr>
            <w:r>
              <w:rPr>
                <w:rFonts w:ascii="Arial" w:hAnsi="Arial" w:cs="Arial"/>
                <w:bCs/>
                <w:lang w:val="en" w:eastAsia="en-GB"/>
              </w:rPr>
              <w:t>SGA</w:t>
            </w:r>
          </w:p>
        </w:tc>
        <w:tc>
          <w:tcPr>
            <w:tcW w:w="2070" w:type="dxa"/>
          </w:tcPr>
          <w:p w14:paraId="2E1EAC48" w14:textId="77777777" w:rsidR="00FD7E85" w:rsidRDefault="00F456FA">
            <w:pPr>
              <w:jc w:val="both"/>
              <w:rPr>
                <w:rFonts w:ascii="Arial" w:hAnsi="Arial" w:cs="Arial"/>
                <w:bCs/>
                <w:lang w:val="en" w:eastAsia="en-GB"/>
              </w:rPr>
            </w:pPr>
            <w:r>
              <w:rPr>
                <w:rFonts w:ascii="Arial" w:hAnsi="Arial" w:cs="Arial"/>
                <w:bCs/>
                <w:lang w:val="en" w:eastAsia="en-GB"/>
              </w:rPr>
              <w:t>1.516</w:t>
            </w:r>
          </w:p>
        </w:tc>
        <w:tc>
          <w:tcPr>
            <w:tcW w:w="1980" w:type="dxa"/>
          </w:tcPr>
          <w:p w14:paraId="69C412CE" w14:textId="77777777" w:rsidR="00FD7E85" w:rsidRDefault="00F456FA">
            <w:pPr>
              <w:jc w:val="both"/>
              <w:rPr>
                <w:rFonts w:ascii="Arial" w:hAnsi="Arial" w:cs="Arial"/>
                <w:bCs/>
                <w:lang w:val="en" w:eastAsia="en-GB"/>
              </w:rPr>
            </w:pPr>
            <w:r>
              <w:rPr>
                <w:rFonts w:ascii="Arial" w:hAnsi="Arial" w:cs="Arial"/>
                <w:bCs/>
                <w:lang w:val="en" w:eastAsia="en-GB"/>
              </w:rPr>
              <w:t>0.539</w:t>
            </w:r>
          </w:p>
        </w:tc>
        <w:tc>
          <w:tcPr>
            <w:tcW w:w="1800" w:type="dxa"/>
          </w:tcPr>
          <w:p w14:paraId="22126212" w14:textId="77777777" w:rsidR="00FD7E85" w:rsidRDefault="00F456FA">
            <w:pPr>
              <w:jc w:val="both"/>
              <w:rPr>
                <w:rFonts w:ascii="Arial" w:hAnsi="Arial" w:cs="Arial"/>
                <w:bCs/>
                <w:lang w:val="en" w:eastAsia="en-GB"/>
              </w:rPr>
            </w:pPr>
            <w:r>
              <w:rPr>
                <w:rFonts w:ascii="Arial" w:hAnsi="Arial" w:cs="Arial"/>
                <w:bCs/>
                <w:lang w:val="en" w:eastAsia="en-GB"/>
              </w:rPr>
              <w:t>0.323</w:t>
            </w:r>
          </w:p>
        </w:tc>
        <w:tc>
          <w:tcPr>
            <w:tcW w:w="1260" w:type="dxa"/>
          </w:tcPr>
          <w:p w14:paraId="36492255" w14:textId="77777777" w:rsidR="00FD7E85" w:rsidRDefault="00F456FA">
            <w:pPr>
              <w:jc w:val="both"/>
              <w:rPr>
                <w:rFonts w:ascii="Arial" w:hAnsi="Arial" w:cs="Arial"/>
                <w:bCs/>
                <w:lang w:val="en" w:eastAsia="en-GB"/>
              </w:rPr>
            </w:pPr>
            <w:r>
              <w:rPr>
                <w:rFonts w:ascii="Arial" w:hAnsi="Arial" w:cs="Arial"/>
                <w:bCs/>
                <w:lang w:val="en" w:eastAsia="en-GB"/>
              </w:rPr>
              <w:t>7.097</w:t>
            </w:r>
          </w:p>
        </w:tc>
      </w:tr>
      <w:tr w:rsidR="00FD7E85" w14:paraId="44F9C884" w14:textId="77777777">
        <w:trPr>
          <w:trHeight w:val="270"/>
        </w:trPr>
        <w:tc>
          <w:tcPr>
            <w:tcW w:w="2970" w:type="dxa"/>
          </w:tcPr>
          <w:p w14:paraId="3B1DF5F0" w14:textId="77777777" w:rsidR="00FD7E85" w:rsidRDefault="00F456FA">
            <w:pPr>
              <w:jc w:val="both"/>
              <w:rPr>
                <w:rFonts w:ascii="Arial" w:hAnsi="Arial" w:cs="Arial"/>
                <w:b/>
                <w:lang w:val="en" w:eastAsia="en-GB"/>
              </w:rPr>
            </w:pPr>
            <w:r>
              <w:rPr>
                <w:rFonts w:ascii="Arial" w:hAnsi="Arial" w:cs="Arial"/>
                <w:b/>
                <w:lang w:val="en" w:eastAsia="en-GB"/>
              </w:rPr>
              <w:lastRenderedPageBreak/>
              <w:t xml:space="preserve">Gestation age by ultrasound </w:t>
            </w:r>
          </w:p>
        </w:tc>
        <w:tc>
          <w:tcPr>
            <w:tcW w:w="2070" w:type="dxa"/>
          </w:tcPr>
          <w:p w14:paraId="0770D88D" w14:textId="77777777" w:rsidR="00FD7E85" w:rsidRDefault="00FD7E85">
            <w:pPr>
              <w:jc w:val="both"/>
              <w:rPr>
                <w:rFonts w:ascii="Arial" w:hAnsi="Arial" w:cs="Arial"/>
                <w:b/>
                <w:lang w:val="en" w:eastAsia="en-GB"/>
              </w:rPr>
            </w:pPr>
          </w:p>
        </w:tc>
        <w:tc>
          <w:tcPr>
            <w:tcW w:w="1980" w:type="dxa"/>
          </w:tcPr>
          <w:p w14:paraId="0F303CF7" w14:textId="77777777" w:rsidR="00FD7E85" w:rsidRDefault="00FD7E85">
            <w:pPr>
              <w:jc w:val="both"/>
              <w:rPr>
                <w:rFonts w:ascii="Arial" w:hAnsi="Arial" w:cs="Arial"/>
                <w:b/>
                <w:lang w:val="en" w:eastAsia="en-GB"/>
              </w:rPr>
            </w:pPr>
          </w:p>
        </w:tc>
        <w:tc>
          <w:tcPr>
            <w:tcW w:w="1800" w:type="dxa"/>
          </w:tcPr>
          <w:p w14:paraId="489F9BDB" w14:textId="77777777" w:rsidR="00FD7E85" w:rsidRDefault="00FD7E85">
            <w:pPr>
              <w:jc w:val="both"/>
              <w:rPr>
                <w:rFonts w:ascii="Arial" w:hAnsi="Arial" w:cs="Arial"/>
                <w:b/>
                <w:lang w:val="en" w:eastAsia="en-GB"/>
              </w:rPr>
            </w:pPr>
          </w:p>
        </w:tc>
        <w:tc>
          <w:tcPr>
            <w:tcW w:w="1260" w:type="dxa"/>
          </w:tcPr>
          <w:p w14:paraId="2E2B0F61" w14:textId="77777777" w:rsidR="00FD7E85" w:rsidRDefault="00FD7E85">
            <w:pPr>
              <w:jc w:val="both"/>
              <w:rPr>
                <w:rFonts w:ascii="Arial" w:hAnsi="Arial" w:cs="Arial"/>
                <w:b/>
                <w:lang w:val="en" w:eastAsia="en-GB"/>
              </w:rPr>
            </w:pPr>
          </w:p>
        </w:tc>
      </w:tr>
      <w:tr w:rsidR="00FD7E85" w14:paraId="08E71410" w14:textId="77777777">
        <w:trPr>
          <w:trHeight w:val="270"/>
        </w:trPr>
        <w:tc>
          <w:tcPr>
            <w:tcW w:w="2970" w:type="dxa"/>
          </w:tcPr>
          <w:p w14:paraId="3D8E4659" w14:textId="77777777" w:rsidR="00FD7E85" w:rsidRDefault="00F456FA">
            <w:pPr>
              <w:jc w:val="both"/>
              <w:rPr>
                <w:rFonts w:ascii="Arial" w:hAnsi="Arial" w:cs="Arial"/>
                <w:bCs/>
                <w:lang w:val="en" w:eastAsia="en-GB"/>
              </w:rPr>
            </w:pPr>
            <w:r>
              <w:rPr>
                <w:rFonts w:ascii="Arial" w:hAnsi="Arial" w:cs="Arial"/>
                <w:bCs/>
                <w:lang w:val="en" w:eastAsia="en-GB"/>
              </w:rPr>
              <w:t>28-32</w:t>
            </w:r>
          </w:p>
        </w:tc>
        <w:tc>
          <w:tcPr>
            <w:tcW w:w="2070" w:type="dxa"/>
          </w:tcPr>
          <w:p w14:paraId="162D885F" w14:textId="77777777" w:rsidR="00FD7E85" w:rsidRDefault="00F456FA">
            <w:pPr>
              <w:jc w:val="both"/>
              <w:rPr>
                <w:rFonts w:ascii="Arial" w:hAnsi="Arial" w:cs="Arial"/>
                <w:bCs/>
                <w:lang w:val="en" w:eastAsia="en-GB"/>
              </w:rPr>
            </w:pPr>
            <w:r>
              <w:rPr>
                <w:rFonts w:ascii="Arial" w:hAnsi="Arial" w:cs="Arial"/>
                <w:bCs/>
                <w:lang w:val="en" w:eastAsia="en-GB"/>
              </w:rPr>
              <w:t>1</w:t>
            </w:r>
          </w:p>
        </w:tc>
        <w:tc>
          <w:tcPr>
            <w:tcW w:w="1980" w:type="dxa"/>
          </w:tcPr>
          <w:p w14:paraId="6BD5554A" w14:textId="77777777" w:rsidR="00FD7E85" w:rsidRDefault="00FD7E85">
            <w:pPr>
              <w:jc w:val="both"/>
              <w:rPr>
                <w:rFonts w:ascii="Arial" w:hAnsi="Arial" w:cs="Arial"/>
                <w:bCs/>
                <w:lang w:val="en" w:eastAsia="en-GB"/>
              </w:rPr>
            </w:pPr>
          </w:p>
        </w:tc>
        <w:tc>
          <w:tcPr>
            <w:tcW w:w="1800" w:type="dxa"/>
          </w:tcPr>
          <w:p w14:paraId="7235DB3C" w14:textId="77777777" w:rsidR="00FD7E85" w:rsidRDefault="00FD7E85">
            <w:pPr>
              <w:jc w:val="both"/>
              <w:rPr>
                <w:rFonts w:ascii="Arial" w:hAnsi="Arial" w:cs="Arial"/>
                <w:bCs/>
                <w:lang w:val="en" w:eastAsia="en-GB"/>
              </w:rPr>
            </w:pPr>
          </w:p>
        </w:tc>
        <w:tc>
          <w:tcPr>
            <w:tcW w:w="1260" w:type="dxa"/>
          </w:tcPr>
          <w:p w14:paraId="1728879B" w14:textId="77777777" w:rsidR="00FD7E85" w:rsidRDefault="00FD7E85">
            <w:pPr>
              <w:jc w:val="both"/>
              <w:rPr>
                <w:rFonts w:ascii="Arial" w:hAnsi="Arial" w:cs="Arial"/>
                <w:bCs/>
                <w:lang w:val="en" w:eastAsia="en-GB"/>
              </w:rPr>
            </w:pPr>
          </w:p>
        </w:tc>
      </w:tr>
      <w:tr w:rsidR="00FD7E85" w14:paraId="2272DC19" w14:textId="77777777">
        <w:trPr>
          <w:trHeight w:val="270"/>
        </w:trPr>
        <w:tc>
          <w:tcPr>
            <w:tcW w:w="2970" w:type="dxa"/>
          </w:tcPr>
          <w:p w14:paraId="23F9599E" w14:textId="77777777" w:rsidR="00FD7E85" w:rsidRDefault="00F456FA">
            <w:pPr>
              <w:jc w:val="both"/>
              <w:rPr>
                <w:rFonts w:ascii="Arial" w:hAnsi="Arial" w:cs="Arial"/>
                <w:bCs/>
                <w:lang w:val="en" w:eastAsia="en-GB"/>
              </w:rPr>
            </w:pPr>
            <w:r>
              <w:rPr>
                <w:rFonts w:ascii="Arial" w:hAnsi="Arial" w:cs="Arial"/>
                <w:bCs/>
                <w:lang w:val="en" w:eastAsia="en-GB"/>
              </w:rPr>
              <w:t>33-36</w:t>
            </w:r>
          </w:p>
        </w:tc>
        <w:tc>
          <w:tcPr>
            <w:tcW w:w="2070" w:type="dxa"/>
          </w:tcPr>
          <w:p w14:paraId="2FEFD7E5" w14:textId="77777777" w:rsidR="00FD7E85" w:rsidRDefault="00F456FA">
            <w:pPr>
              <w:jc w:val="both"/>
              <w:rPr>
                <w:rFonts w:ascii="Arial" w:hAnsi="Arial" w:cs="Arial"/>
                <w:bCs/>
                <w:lang w:val="en" w:eastAsia="en-GB"/>
              </w:rPr>
            </w:pPr>
            <w:r>
              <w:rPr>
                <w:rFonts w:ascii="Arial" w:hAnsi="Arial" w:cs="Arial"/>
                <w:bCs/>
                <w:lang w:val="en" w:eastAsia="en-GB"/>
              </w:rPr>
              <w:t>0.314</w:t>
            </w:r>
          </w:p>
        </w:tc>
        <w:tc>
          <w:tcPr>
            <w:tcW w:w="1980" w:type="dxa"/>
          </w:tcPr>
          <w:p w14:paraId="1F3A2956" w14:textId="77777777" w:rsidR="00FD7E85" w:rsidRDefault="00F456FA">
            <w:pPr>
              <w:jc w:val="both"/>
              <w:rPr>
                <w:rFonts w:ascii="Arial" w:hAnsi="Arial" w:cs="Arial"/>
                <w:bCs/>
                <w:lang w:val="en" w:eastAsia="en-GB"/>
              </w:rPr>
            </w:pPr>
            <w:r>
              <w:rPr>
                <w:rFonts w:ascii="Arial" w:hAnsi="Arial" w:cs="Arial"/>
                <w:bCs/>
                <w:lang w:val="en" w:eastAsia="en-GB"/>
              </w:rPr>
              <w:t>0.024</w:t>
            </w:r>
          </w:p>
        </w:tc>
        <w:tc>
          <w:tcPr>
            <w:tcW w:w="1800" w:type="dxa"/>
          </w:tcPr>
          <w:p w14:paraId="1550841D" w14:textId="77777777" w:rsidR="00FD7E85" w:rsidRDefault="00F456FA">
            <w:pPr>
              <w:jc w:val="both"/>
              <w:rPr>
                <w:rFonts w:ascii="Arial" w:hAnsi="Arial" w:cs="Arial"/>
                <w:bCs/>
                <w:lang w:val="en" w:eastAsia="en-GB"/>
              </w:rPr>
            </w:pPr>
            <w:r>
              <w:rPr>
                <w:rFonts w:ascii="Arial" w:hAnsi="Arial" w:cs="Arial"/>
                <w:bCs/>
                <w:lang w:val="en" w:eastAsia="en-GB"/>
              </w:rPr>
              <w:t>0.115</w:t>
            </w:r>
          </w:p>
        </w:tc>
        <w:tc>
          <w:tcPr>
            <w:tcW w:w="1260" w:type="dxa"/>
          </w:tcPr>
          <w:p w14:paraId="4CE90508" w14:textId="77777777" w:rsidR="00FD7E85" w:rsidRDefault="00F456FA">
            <w:pPr>
              <w:jc w:val="both"/>
              <w:rPr>
                <w:rFonts w:ascii="Arial" w:hAnsi="Arial" w:cs="Arial"/>
                <w:bCs/>
                <w:lang w:val="en" w:eastAsia="en-GB"/>
              </w:rPr>
            </w:pPr>
            <w:r>
              <w:rPr>
                <w:rFonts w:ascii="Arial" w:hAnsi="Arial" w:cs="Arial"/>
                <w:bCs/>
                <w:lang w:val="en" w:eastAsia="en-GB"/>
              </w:rPr>
              <w:t>0.859</w:t>
            </w:r>
          </w:p>
        </w:tc>
      </w:tr>
      <w:tr w:rsidR="00FD7E85" w14:paraId="31A85C80" w14:textId="77777777">
        <w:trPr>
          <w:trHeight w:val="270"/>
        </w:trPr>
        <w:tc>
          <w:tcPr>
            <w:tcW w:w="2970" w:type="dxa"/>
          </w:tcPr>
          <w:p w14:paraId="2B727CE8" w14:textId="77777777" w:rsidR="00FD7E85" w:rsidRDefault="00F456FA">
            <w:pPr>
              <w:jc w:val="both"/>
              <w:rPr>
                <w:rFonts w:ascii="Arial" w:hAnsi="Arial" w:cs="Arial"/>
                <w:bCs/>
                <w:lang w:val="en" w:eastAsia="en-GB"/>
              </w:rPr>
            </w:pPr>
            <w:r>
              <w:rPr>
                <w:rFonts w:ascii="Arial" w:hAnsi="Arial" w:cs="Arial"/>
                <w:bCs/>
                <w:lang w:val="en" w:eastAsia="en-GB"/>
              </w:rPr>
              <w:t>Above 37</w:t>
            </w:r>
          </w:p>
        </w:tc>
        <w:tc>
          <w:tcPr>
            <w:tcW w:w="2070" w:type="dxa"/>
          </w:tcPr>
          <w:p w14:paraId="622E913E" w14:textId="77777777" w:rsidR="00FD7E85" w:rsidRDefault="00F456FA">
            <w:pPr>
              <w:jc w:val="both"/>
              <w:rPr>
                <w:rFonts w:ascii="Arial" w:hAnsi="Arial" w:cs="Arial"/>
                <w:bCs/>
                <w:lang w:val="en" w:eastAsia="en-GB"/>
              </w:rPr>
            </w:pPr>
            <w:r>
              <w:rPr>
                <w:rFonts w:ascii="Arial" w:hAnsi="Arial" w:cs="Arial"/>
                <w:bCs/>
                <w:lang w:val="en" w:eastAsia="en-GB"/>
              </w:rPr>
              <w:t>0.400</w:t>
            </w:r>
          </w:p>
        </w:tc>
        <w:tc>
          <w:tcPr>
            <w:tcW w:w="1980" w:type="dxa"/>
          </w:tcPr>
          <w:p w14:paraId="2F86E3DF" w14:textId="77777777" w:rsidR="00FD7E85" w:rsidRDefault="00F456FA">
            <w:pPr>
              <w:jc w:val="both"/>
              <w:rPr>
                <w:rFonts w:ascii="Arial" w:hAnsi="Arial" w:cs="Arial"/>
                <w:bCs/>
                <w:lang w:val="en" w:eastAsia="en-GB"/>
              </w:rPr>
            </w:pPr>
            <w:r>
              <w:rPr>
                <w:rFonts w:ascii="Arial" w:hAnsi="Arial" w:cs="Arial"/>
                <w:bCs/>
                <w:lang w:val="en" w:eastAsia="en-GB"/>
              </w:rPr>
              <w:t>0.071</w:t>
            </w:r>
          </w:p>
        </w:tc>
        <w:tc>
          <w:tcPr>
            <w:tcW w:w="1800" w:type="dxa"/>
          </w:tcPr>
          <w:p w14:paraId="64E0AE83" w14:textId="77777777" w:rsidR="00FD7E85" w:rsidRDefault="00F456FA">
            <w:pPr>
              <w:jc w:val="both"/>
              <w:rPr>
                <w:rFonts w:ascii="Arial" w:hAnsi="Arial" w:cs="Arial"/>
                <w:bCs/>
                <w:lang w:val="en" w:eastAsia="en-GB"/>
              </w:rPr>
            </w:pPr>
            <w:r>
              <w:rPr>
                <w:rFonts w:ascii="Arial" w:hAnsi="Arial" w:cs="Arial"/>
                <w:bCs/>
                <w:lang w:val="en" w:eastAsia="en-GB"/>
              </w:rPr>
              <w:t>0.148</w:t>
            </w:r>
          </w:p>
        </w:tc>
        <w:tc>
          <w:tcPr>
            <w:tcW w:w="1260" w:type="dxa"/>
          </w:tcPr>
          <w:p w14:paraId="1A93C2E4" w14:textId="77777777" w:rsidR="00FD7E85" w:rsidRDefault="00F456FA">
            <w:pPr>
              <w:jc w:val="both"/>
              <w:rPr>
                <w:rFonts w:ascii="Arial" w:hAnsi="Arial" w:cs="Arial"/>
                <w:bCs/>
                <w:lang w:val="en" w:eastAsia="en-GB"/>
              </w:rPr>
            </w:pPr>
            <w:r>
              <w:rPr>
                <w:rFonts w:ascii="Arial" w:hAnsi="Arial" w:cs="Arial"/>
                <w:bCs/>
                <w:lang w:val="en" w:eastAsia="en-GB"/>
              </w:rPr>
              <w:t>1.079</w:t>
            </w:r>
          </w:p>
        </w:tc>
      </w:tr>
      <w:tr w:rsidR="00FD7E85" w14:paraId="4215F062" w14:textId="77777777">
        <w:trPr>
          <w:trHeight w:val="270"/>
        </w:trPr>
        <w:tc>
          <w:tcPr>
            <w:tcW w:w="2970" w:type="dxa"/>
          </w:tcPr>
          <w:p w14:paraId="22F172C5" w14:textId="77777777" w:rsidR="00FD7E85" w:rsidRDefault="00F456FA">
            <w:pPr>
              <w:jc w:val="both"/>
              <w:rPr>
                <w:rFonts w:ascii="Arial" w:hAnsi="Arial" w:cs="Arial"/>
                <w:b/>
                <w:lang w:val="en" w:eastAsia="en-GB"/>
              </w:rPr>
            </w:pPr>
            <w:r>
              <w:rPr>
                <w:rFonts w:ascii="Arial" w:hAnsi="Arial" w:cs="Arial"/>
                <w:b/>
                <w:lang w:val="en" w:eastAsia="en-GB"/>
              </w:rPr>
              <w:t xml:space="preserve">Systolic blood Pressure </w:t>
            </w:r>
          </w:p>
        </w:tc>
        <w:tc>
          <w:tcPr>
            <w:tcW w:w="2070" w:type="dxa"/>
          </w:tcPr>
          <w:p w14:paraId="23CCA1FF" w14:textId="77777777" w:rsidR="00FD7E85" w:rsidRDefault="00FD7E85">
            <w:pPr>
              <w:jc w:val="both"/>
              <w:rPr>
                <w:rFonts w:ascii="Arial" w:hAnsi="Arial" w:cs="Arial"/>
                <w:b/>
                <w:lang w:val="en" w:eastAsia="en-GB"/>
              </w:rPr>
            </w:pPr>
          </w:p>
        </w:tc>
        <w:tc>
          <w:tcPr>
            <w:tcW w:w="1980" w:type="dxa"/>
          </w:tcPr>
          <w:p w14:paraId="7C6F707A" w14:textId="77777777" w:rsidR="00FD7E85" w:rsidRDefault="00FD7E85">
            <w:pPr>
              <w:jc w:val="both"/>
              <w:rPr>
                <w:rFonts w:ascii="Arial" w:hAnsi="Arial" w:cs="Arial"/>
                <w:b/>
                <w:lang w:val="en" w:eastAsia="en-GB"/>
              </w:rPr>
            </w:pPr>
          </w:p>
        </w:tc>
        <w:tc>
          <w:tcPr>
            <w:tcW w:w="1800" w:type="dxa"/>
          </w:tcPr>
          <w:p w14:paraId="5A3AE50A" w14:textId="77777777" w:rsidR="00FD7E85" w:rsidRDefault="00FD7E85">
            <w:pPr>
              <w:jc w:val="both"/>
              <w:rPr>
                <w:rFonts w:ascii="Arial" w:hAnsi="Arial" w:cs="Arial"/>
                <w:b/>
                <w:lang w:val="en" w:eastAsia="en-GB"/>
              </w:rPr>
            </w:pPr>
          </w:p>
        </w:tc>
        <w:tc>
          <w:tcPr>
            <w:tcW w:w="1260" w:type="dxa"/>
          </w:tcPr>
          <w:p w14:paraId="2071A00E" w14:textId="77777777" w:rsidR="00FD7E85" w:rsidRDefault="00FD7E85">
            <w:pPr>
              <w:jc w:val="both"/>
              <w:rPr>
                <w:rFonts w:ascii="Arial" w:hAnsi="Arial" w:cs="Arial"/>
                <w:b/>
                <w:lang w:val="en" w:eastAsia="en-GB"/>
              </w:rPr>
            </w:pPr>
          </w:p>
        </w:tc>
      </w:tr>
      <w:tr w:rsidR="00FD7E85" w14:paraId="1C1E6A30" w14:textId="77777777">
        <w:trPr>
          <w:trHeight w:val="288"/>
        </w:trPr>
        <w:tc>
          <w:tcPr>
            <w:tcW w:w="2970" w:type="dxa"/>
          </w:tcPr>
          <w:p w14:paraId="5EB3BB63" w14:textId="77777777" w:rsidR="00FD7E85" w:rsidRDefault="00F456FA">
            <w:pPr>
              <w:jc w:val="both"/>
              <w:rPr>
                <w:rFonts w:ascii="Arial" w:hAnsi="Arial" w:cs="Arial"/>
                <w:bCs/>
                <w:lang w:val="en" w:eastAsia="en-GB"/>
              </w:rPr>
            </w:pPr>
            <w:r>
              <w:rPr>
                <w:rFonts w:ascii="Arial" w:hAnsi="Arial" w:cs="Arial"/>
                <w:bCs/>
                <w:lang w:val="en" w:eastAsia="en-GB"/>
              </w:rPr>
              <w:t>Normal</w:t>
            </w:r>
          </w:p>
        </w:tc>
        <w:tc>
          <w:tcPr>
            <w:tcW w:w="2070" w:type="dxa"/>
          </w:tcPr>
          <w:p w14:paraId="3028B25D" w14:textId="77777777" w:rsidR="00FD7E85" w:rsidRDefault="00F456FA">
            <w:pPr>
              <w:jc w:val="both"/>
              <w:rPr>
                <w:rFonts w:ascii="Arial" w:hAnsi="Arial" w:cs="Arial"/>
                <w:bCs/>
                <w:lang w:val="en" w:eastAsia="en-GB"/>
              </w:rPr>
            </w:pPr>
            <w:r>
              <w:rPr>
                <w:rFonts w:ascii="Arial" w:hAnsi="Arial" w:cs="Arial"/>
                <w:bCs/>
                <w:lang w:val="en" w:eastAsia="en-GB"/>
              </w:rPr>
              <w:t>1</w:t>
            </w:r>
          </w:p>
        </w:tc>
        <w:tc>
          <w:tcPr>
            <w:tcW w:w="1980" w:type="dxa"/>
          </w:tcPr>
          <w:p w14:paraId="244F54C1" w14:textId="77777777" w:rsidR="00FD7E85" w:rsidRDefault="00FD7E85">
            <w:pPr>
              <w:jc w:val="both"/>
              <w:rPr>
                <w:rFonts w:ascii="Arial" w:hAnsi="Arial" w:cs="Arial"/>
                <w:bCs/>
                <w:lang w:val="en" w:eastAsia="en-GB"/>
              </w:rPr>
            </w:pPr>
          </w:p>
        </w:tc>
        <w:tc>
          <w:tcPr>
            <w:tcW w:w="1800" w:type="dxa"/>
          </w:tcPr>
          <w:p w14:paraId="12734815" w14:textId="77777777" w:rsidR="00FD7E85" w:rsidRDefault="00FD7E85">
            <w:pPr>
              <w:jc w:val="both"/>
              <w:rPr>
                <w:rFonts w:ascii="Arial" w:hAnsi="Arial" w:cs="Arial"/>
                <w:bCs/>
                <w:lang w:val="en" w:eastAsia="en-GB"/>
              </w:rPr>
            </w:pPr>
          </w:p>
        </w:tc>
        <w:tc>
          <w:tcPr>
            <w:tcW w:w="1260" w:type="dxa"/>
          </w:tcPr>
          <w:p w14:paraId="6BA10A8B" w14:textId="77777777" w:rsidR="00FD7E85" w:rsidRDefault="00FD7E85">
            <w:pPr>
              <w:jc w:val="both"/>
              <w:rPr>
                <w:rFonts w:ascii="Arial" w:hAnsi="Arial" w:cs="Arial"/>
                <w:bCs/>
                <w:lang w:val="en" w:eastAsia="en-GB"/>
              </w:rPr>
            </w:pPr>
          </w:p>
        </w:tc>
      </w:tr>
      <w:tr w:rsidR="00FD7E85" w14:paraId="2FB3B602" w14:textId="77777777">
        <w:trPr>
          <w:trHeight w:val="288"/>
        </w:trPr>
        <w:tc>
          <w:tcPr>
            <w:tcW w:w="2970" w:type="dxa"/>
          </w:tcPr>
          <w:p w14:paraId="55DC784C" w14:textId="77777777" w:rsidR="00FD7E85" w:rsidRDefault="00F456FA">
            <w:pPr>
              <w:jc w:val="both"/>
              <w:rPr>
                <w:rFonts w:ascii="Arial" w:hAnsi="Arial" w:cs="Arial"/>
                <w:bCs/>
                <w:lang w:val="en" w:eastAsia="en-GB"/>
              </w:rPr>
            </w:pPr>
            <w:r>
              <w:rPr>
                <w:rFonts w:ascii="Arial" w:hAnsi="Arial" w:cs="Arial"/>
                <w:bCs/>
                <w:lang w:val="en" w:eastAsia="en-GB"/>
              </w:rPr>
              <w:t xml:space="preserve">Mild </w:t>
            </w:r>
          </w:p>
        </w:tc>
        <w:tc>
          <w:tcPr>
            <w:tcW w:w="2070" w:type="dxa"/>
          </w:tcPr>
          <w:p w14:paraId="05FFD2AE" w14:textId="77777777" w:rsidR="00FD7E85" w:rsidRDefault="00F456FA">
            <w:pPr>
              <w:jc w:val="both"/>
              <w:rPr>
                <w:rFonts w:ascii="Arial" w:hAnsi="Arial" w:cs="Arial"/>
                <w:bCs/>
                <w:lang w:val="en" w:eastAsia="en-GB"/>
              </w:rPr>
            </w:pPr>
            <w:r>
              <w:rPr>
                <w:rFonts w:ascii="Arial" w:hAnsi="Arial" w:cs="Arial"/>
                <w:bCs/>
                <w:lang w:val="en" w:eastAsia="en-GB"/>
              </w:rPr>
              <w:t>0.810</w:t>
            </w:r>
          </w:p>
        </w:tc>
        <w:tc>
          <w:tcPr>
            <w:tcW w:w="1980" w:type="dxa"/>
          </w:tcPr>
          <w:p w14:paraId="4242133C" w14:textId="77777777" w:rsidR="00FD7E85" w:rsidRDefault="00F456FA">
            <w:pPr>
              <w:jc w:val="both"/>
              <w:rPr>
                <w:rFonts w:ascii="Arial" w:hAnsi="Arial" w:cs="Arial"/>
                <w:bCs/>
                <w:lang w:val="en" w:eastAsia="en-GB"/>
              </w:rPr>
            </w:pPr>
            <w:r>
              <w:rPr>
                <w:rFonts w:ascii="Arial" w:hAnsi="Arial" w:cs="Arial"/>
                <w:bCs/>
                <w:lang w:val="en" w:eastAsia="en-GB"/>
              </w:rPr>
              <w:t>0.654</w:t>
            </w:r>
          </w:p>
        </w:tc>
        <w:tc>
          <w:tcPr>
            <w:tcW w:w="1800" w:type="dxa"/>
          </w:tcPr>
          <w:p w14:paraId="7BE8BD35" w14:textId="77777777" w:rsidR="00FD7E85" w:rsidRDefault="00F456FA">
            <w:pPr>
              <w:jc w:val="both"/>
              <w:rPr>
                <w:rFonts w:ascii="Arial" w:hAnsi="Arial" w:cs="Arial"/>
                <w:bCs/>
                <w:lang w:val="en" w:eastAsia="en-GB"/>
              </w:rPr>
            </w:pPr>
            <w:r>
              <w:rPr>
                <w:rFonts w:ascii="Arial" w:hAnsi="Arial" w:cs="Arial"/>
                <w:bCs/>
                <w:lang w:val="en" w:eastAsia="en-GB"/>
              </w:rPr>
              <w:t>0.654</w:t>
            </w:r>
          </w:p>
        </w:tc>
        <w:tc>
          <w:tcPr>
            <w:tcW w:w="1260" w:type="dxa"/>
          </w:tcPr>
          <w:p w14:paraId="2AAFA758" w14:textId="77777777" w:rsidR="00FD7E85" w:rsidRDefault="00F456FA">
            <w:pPr>
              <w:jc w:val="both"/>
              <w:rPr>
                <w:rFonts w:ascii="Arial" w:hAnsi="Arial" w:cs="Arial"/>
                <w:bCs/>
                <w:lang w:val="en" w:eastAsia="en-GB"/>
              </w:rPr>
            </w:pPr>
            <w:r>
              <w:rPr>
                <w:rFonts w:ascii="Arial" w:hAnsi="Arial" w:cs="Arial"/>
                <w:bCs/>
                <w:lang w:val="en" w:eastAsia="en-GB"/>
              </w:rPr>
              <w:t>0.32</w:t>
            </w:r>
          </w:p>
        </w:tc>
      </w:tr>
      <w:tr w:rsidR="00FD7E85" w14:paraId="6C1EE2EE" w14:textId="77777777">
        <w:trPr>
          <w:trHeight w:val="387"/>
        </w:trPr>
        <w:tc>
          <w:tcPr>
            <w:tcW w:w="2970" w:type="dxa"/>
          </w:tcPr>
          <w:p w14:paraId="1C5A38CE" w14:textId="77777777" w:rsidR="00FD7E85" w:rsidRDefault="00F456FA">
            <w:pPr>
              <w:jc w:val="both"/>
              <w:rPr>
                <w:rFonts w:ascii="Arial" w:hAnsi="Arial" w:cs="Arial"/>
                <w:bCs/>
                <w:lang w:val="en" w:eastAsia="en-GB"/>
              </w:rPr>
            </w:pPr>
            <w:r>
              <w:rPr>
                <w:rFonts w:ascii="Arial" w:hAnsi="Arial" w:cs="Arial"/>
                <w:bCs/>
                <w:lang w:val="en" w:eastAsia="en-GB"/>
              </w:rPr>
              <w:t>Moderate high</w:t>
            </w:r>
          </w:p>
        </w:tc>
        <w:tc>
          <w:tcPr>
            <w:tcW w:w="2070" w:type="dxa"/>
          </w:tcPr>
          <w:p w14:paraId="4C41F4A7" w14:textId="77777777" w:rsidR="00FD7E85" w:rsidRDefault="00F456FA">
            <w:pPr>
              <w:jc w:val="both"/>
              <w:rPr>
                <w:rFonts w:ascii="Arial" w:hAnsi="Arial" w:cs="Arial"/>
                <w:bCs/>
                <w:lang w:val="en" w:eastAsia="en-GB"/>
              </w:rPr>
            </w:pPr>
            <w:r>
              <w:rPr>
                <w:rFonts w:ascii="Arial" w:hAnsi="Arial" w:cs="Arial"/>
                <w:bCs/>
                <w:lang w:val="en" w:eastAsia="en-GB"/>
              </w:rPr>
              <w:t>1.302</w:t>
            </w:r>
          </w:p>
        </w:tc>
        <w:tc>
          <w:tcPr>
            <w:tcW w:w="1980" w:type="dxa"/>
          </w:tcPr>
          <w:p w14:paraId="19537EE4" w14:textId="77777777" w:rsidR="00FD7E85" w:rsidRDefault="00F456FA">
            <w:pPr>
              <w:jc w:val="both"/>
              <w:rPr>
                <w:rFonts w:ascii="Arial" w:hAnsi="Arial" w:cs="Arial"/>
                <w:bCs/>
                <w:lang w:val="en" w:eastAsia="en-GB"/>
              </w:rPr>
            </w:pPr>
            <w:r>
              <w:rPr>
                <w:rFonts w:ascii="Arial" w:hAnsi="Arial" w:cs="Arial"/>
                <w:bCs/>
                <w:lang w:val="en" w:eastAsia="en-GB"/>
              </w:rPr>
              <w:t>0.047</w:t>
            </w:r>
          </w:p>
        </w:tc>
        <w:tc>
          <w:tcPr>
            <w:tcW w:w="1800" w:type="dxa"/>
          </w:tcPr>
          <w:p w14:paraId="3337AA99" w14:textId="77777777" w:rsidR="00FD7E85" w:rsidRDefault="00F456FA">
            <w:pPr>
              <w:jc w:val="both"/>
              <w:rPr>
                <w:rFonts w:ascii="Arial" w:hAnsi="Arial" w:cs="Arial"/>
                <w:bCs/>
                <w:lang w:val="en" w:eastAsia="en-GB"/>
              </w:rPr>
            </w:pPr>
            <w:r>
              <w:rPr>
                <w:rFonts w:ascii="Arial" w:hAnsi="Arial" w:cs="Arial"/>
                <w:bCs/>
                <w:lang w:val="en" w:eastAsia="en-GB"/>
              </w:rPr>
              <w:t>0.647</w:t>
            </w:r>
          </w:p>
        </w:tc>
        <w:tc>
          <w:tcPr>
            <w:tcW w:w="1260" w:type="dxa"/>
          </w:tcPr>
          <w:p w14:paraId="79988B24" w14:textId="77777777" w:rsidR="00FD7E85" w:rsidRDefault="00F456FA">
            <w:pPr>
              <w:jc w:val="both"/>
              <w:rPr>
                <w:rFonts w:ascii="Arial" w:hAnsi="Arial" w:cs="Arial"/>
                <w:bCs/>
                <w:lang w:val="en" w:eastAsia="en-GB"/>
              </w:rPr>
            </w:pPr>
            <w:r>
              <w:rPr>
                <w:rFonts w:ascii="Arial" w:hAnsi="Arial" w:cs="Arial"/>
                <w:bCs/>
                <w:lang w:val="en" w:eastAsia="en-GB"/>
              </w:rPr>
              <w:t>0.419</w:t>
            </w:r>
          </w:p>
        </w:tc>
      </w:tr>
      <w:tr w:rsidR="00FD7E85" w14:paraId="7A4F872F" w14:textId="77777777">
        <w:trPr>
          <w:trHeight w:val="288"/>
        </w:trPr>
        <w:tc>
          <w:tcPr>
            <w:tcW w:w="2970" w:type="dxa"/>
          </w:tcPr>
          <w:p w14:paraId="77F4B23A" w14:textId="77777777" w:rsidR="00FD7E85" w:rsidRDefault="00F456FA">
            <w:pPr>
              <w:jc w:val="both"/>
              <w:rPr>
                <w:rFonts w:ascii="Arial" w:hAnsi="Arial" w:cs="Arial"/>
                <w:bCs/>
                <w:lang w:val="en" w:eastAsia="en-GB"/>
              </w:rPr>
            </w:pPr>
            <w:r>
              <w:rPr>
                <w:rFonts w:ascii="Arial" w:hAnsi="Arial" w:cs="Arial"/>
                <w:bCs/>
                <w:lang w:val="en" w:eastAsia="en-GB"/>
              </w:rPr>
              <w:t>Severe</w:t>
            </w:r>
          </w:p>
        </w:tc>
        <w:tc>
          <w:tcPr>
            <w:tcW w:w="2070" w:type="dxa"/>
          </w:tcPr>
          <w:p w14:paraId="01665F53" w14:textId="77777777" w:rsidR="00FD7E85" w:rsidRDefault="00F456FA">
            <w:pPr>
              <w:jc w:val="both"/>
              <w:rPr>
                <w:rFonts w:ascii="Arial" w:hAnsi="Arial" w:cs="Arial"/>
                <w:bCs/>
                <w:lang w:val="en" w:eastAsia="en-GB"/>
              </w:rPr>
            </w:pPr>
            <w:r>
              <w:rPr>
                <w:rFonts w:ascii="Arial" w:hAnsi="Arial" w:cs="Arial"/>
                <w:bCs/>
                <w:lang w:val="en" w:eastAsia="en-GB"/>
              </w:rPr>
              <w:t>1.368</w:t>
            </w:r>
          </w:p>
        </w:tc>
        <w:tc>
          <w:tcPr>
            <w:tcW w:w="1980" w:type="dxa"/>
          </w:tcPr>
          <w:p w14:paraId="4F639731" w14:textId="77777777" w:rsidR="00FD7E85" w:rsidRDefault="00F456FA">
            <w:pPr>
              <w:jc w:val="both"/>
              <w:rPr>
                <w:rFonts w:ascii="Arial" w:hAnsi="Arial" w:cs="Arial"/>
                <w:bCs/>
                <w:lang w:val="en" w:eastAsia="en-GB"/>
              </w:rPr>
            </w:pPr>
            <w:r>
              <w:rPr>
                <w:rFonts w:ascii="Arial" w:hAnsi="Arial" w:cs="Arial"/>
                <w:bCs/>
                <w:lang w:val="en" w:eastAsia="en-GB"/>
              </w:rPr>
              <w:t>0.033</w:t>
            </w:r>
          </w:p>
        </w:tc>
        <w:tc>
          <w:tcPr>
            <w:tcW w:w="1800" w:type="dxa"/>
          </w:tcPr>
          <w:p w14:paraId="3AAC1ACE" w14:textId="77777777" w:rsidR="00FD7E85" w:rsidRDefault="00F456FA">
            <w:pPr>
              <w:jc w:val="both"/>
              <w:rPr>
                <w:rFonts w:ascii="Arial" w:hAnsi="Arial" w:cs="Arial"/>
                <w:bCs/>
                <w:lang w:val="en" w:eastAsia="en-GB"/>
              </w:rPr>
            </w:pPr>
            <w:r>
              <w:rPr>
                <w:rFonts w:ascii="Arial" w:hAnsi="Arial" w:cs="Arial"/>
                <w:bCs/>
                <w:lang w:val="en" w:eastAsia="en-GB"/>
              </w:rPr>
              <w:t>0.534</w:t>
            </w:r>
          </w:p>
        </w:tc>
        <w:tc>
          <w:tcPr>
            <w:tcW w:w="1260" w:type="dxa"/>
          </w:tcPr>
          <w:p w14:paraId="778D1445" w14:textId="77777777" w:rsidR="00FD7E85" w:rsidRDefault="00F456FA">
            <w:pPr>
              <w:jc w:val="both"/>
              <w:rPr>
                <w:rFonts w:ascii="Arial" w:hAnsi="Arial" w:cs="Arial"/>
                <w:bCs/>
                <w:lang w:val="en" w:eastAsia="en-GB"/>
              </w:rPr>
            </w:pPr>
            <w:r>
              <w:rPr>
                <w:rFonts w:ascii="Arial" w:hAnsi="Arial" w:cs="Arial"/>
                <w:bCs/>
                <w:lang w:val="en" w:eastAsia="en-GB"/>
              </w:rPr>
              <w:t>0.498</w:t>
            </w:r>
          </w:p>
        </w:tc>
      </w:tr>
      <w:tr w:rsidR="00FD7E85" w14:paraId="67E832DD" w14:textId="77777777">
        <w:trPr>
          <w:trHeight w:val="288"/>
        </w:trPr>
        <w:tc>
          <w:tcPr>
            <w:tcW w:w="2970" w:type="dxa"/>
          </w:tcPr>
          <w:p w14:paraId="58021A79" w14:textId="77777777" w:rsidR="00FD7E85" w:rsidRDefault="00F456FA">
            <w:pPr>
              <w:jc w:val="both"/>
              <w:rPr>
                <w:rFonts w:ascii="Arial" w:hAnsi="Arial" w:cs="Arial"/>
                <w:b/>
                <w:lang w:val="en" w:eastAsia="en-GB"/>
              </w:rPr>
            </w:pPr>
            <w:r>
              <w:rPr>
                <w:rFonts w:ascii="Arial" w:hAnsi="Arial" w:cs="Arial"/>
                <w:b/>
                <w:lang w:val="en" w:eastAsia="en-GB"/>
              </w:rPr>
              <w:t>Diastolic blood pressure</w:t>
            </w:r>
          </w:p>
        </w:tc>
        <w:tc>
          <w:tcPr>
            <w:tcW w:w="2070" w:type="dxa"/>
          </w:tcPr>
          <w:p w14:paraId="63BE6C4C" w14:textId="77777777" w:rsidR="00FD7E85" w:rsidRDefault="00FD7E85">
            <w:pPr>
              <w:jc w:val="both"/>
              <w:rPr>
                <w:rFonts w:ascii="Arial" w:hAnsi="Arial" w:cs="Arial"/>
                <w:bCs/>
                <w:lang w:val="en" w:eastAsia="en-GB"/>
              </w:rPr>
            </w:pPr>
          </w:p>
        </w:tc>
        <w:tc>
          <w:tcPr>
            <w:tcW w:w="1980" w:type="dxa"/>
          </w:tcPr>
          <w:p w14:paraId="1B4D7F5F" w14:textId="77777777" w:rsidR="00FD7E85" w:rsidRDefault="00FD7E85">
            <w:pPr>
              <w:jc w:val="both"/>
              <w:rPr>
                <w:rFonts w:ascii="Arial" w:hAnsi="Arial" w:cs="Arial"/>
                <w:bCs/>
                <w:lang w:val="en" w:eastAsia="en-GB"/>
              </w:rPr>
            </w:pPr>
          </w:p>
        </w:tc>
        <w:tc>
          <w:tcPr>
            <w:tcW w:w="1800" w:type="dxa"/>
          </w:tcPr>
          <w:p w14:paraId="071C183C" w14:textId="77777777" w:rsidR="00FD7E85" w:rsidRDefault="00FD7E85">
            <w:pPr>
              <w:jc w:val="both"/>
              <w:rPr>
                <w:rFonts w:ascii="Arial" w:hAnsi="Arial" w:cs="Arial"/>
                <w:bCs/>
                <w:lang w:val="en" w:eastAsia="en-GB"/>
              </w:rPr>
            </w:pPr>
          </w:p>
        </w:tc>
        <w:tc>
          <w:tcPr>
            <w:tcW w:w="1260" w:type="dxa"/>
          </w:tcPr>
          <w:p w14:paraId="5BDA7C87" w14:textId="77777777" w:rsidR="00FD7E85" w:rsidRDefault="00FD7E85">
            <w:pPr>
              <w:jc w:val="both"/>
              <w:rPr>
                <w:rFonts w:ascii="Arial" w:hAnsi="Arial" w:cs="Arial"/>
                <w:bCs/>
                <w:lang w:val="en" w:eastAsia="en-GB"/>
              </w:rPr>
            </w:pPr>
          </w:p>
        </w:tc>
      </w:tr>
      <w:tr w:rsidR="00FD7E85" w14:paraId="7D140ED9" w14:textId="77777777">
        <w:trPr>
          <w:trHeight w:val="288"/>
        </w:trPr>
        <w:tc>
          <w:tcPr>
            <w:tcW w:w="2970" w:type="dxa"/>
          </w:tcPr>
          <w:p w14:paraId="51F430BC" w14:textId="77777777" w:rsidR="00FD7E85" w:rsidRDefault="00F456FA">
            <w:pPr>
              <w:jc w:val="both"/>
              <w:rPr>
                <w:rFonts w:ascii="Arial" w:hAnsi="Arial" w:cs="Arial"/>
                <w:bCs/>
                <w:lang w:val="en" w:eastAsia="en-GB"/>
              </w:rPr>
            </w:pPr>
            <w:r>
              <w:rPr>
                <w:rFonts w:ascii="Arial" w:hAnsi="Arial" w:cs="Arial"/>
                <w:bCs/>
                <w:lang w:val="en" w:eastAsia="en-GB"/>
              </w:rPr>
              <w:t>Normal</w:t>
            </w:r>
          </w:p>
        </w:tc>
        <w:tc>
          <w:tcPr>
            <w:tcW w:w="2070" w:type="dxa"/>
          </w:tcPr>
          <w:p w14:paraId="1FFE7E15" w14:textId="77777777" w:rsidR="00FD7E85" w:rsidRDefault="00F456FA">
            <w:pPr>
              <w:jc w:val="both"/>
              <w:rPr>
                <w:rFonts w:ascii="Arial" w:hAnsi="Arial" w:cs="Arial"/>
                <w:bCs/>
                <w:lang w:val="en" w:eastAsia="en-GB"/>
              </w:rPr>
            </w:pPr>
            <w:r>
              <w:rPr>
                <w:rFonts w:ascii="Arial" w:hAnsi="Arial" w:cs="Arial"/>
                <w:bCs/>
                <w:lang w:val="en" w:eastAsia="en-GB"/>
              </w:rPr>
              <w:t>1</w:t>
            </w:r>
          </w:p>
        </w:tc>
        <w:tc>
          <w:tcPr>
            <w:tcW w:w="1980" w:type="dxa"/>
          </w:tcPr>
          <w:p w14:paraId="0137A0AF" w14:textId="77777777" w:rsidR="00FD7E85" w:rsidRDefault="00FD7E85">
            <w:pPr>
              <w:jc w:val="both"/>
              <w:rPr>
                <w:rFonts w:ascii="Arial" w:hAnsi="Arial" w:cs="Arial"/>
                <w:bCs/>
                <w:lang w:val="en" w:eastAsia="en-GB"/>
              </w:rPr>
            </w:pPr>
          </w:p>
        </w:tc>
        <w:tc>
          <w:tcPr>
            <w:tcW w:w="1800" w:type="dxa"/>
          </w:tcPr>
          <w:p w14:paraId="4E1BFDC4" w14:textId="77777777" w:rsidR="00FD7E85" w:rsidRDefault="00FD7E85">
            <w:pPr>
              <w:jc w:val="both"/>
              <w:rPr>
                <w:rFonts w:ascii="Arial" w:hAnsi="Arial" w:cs="Arial"/>
                <w:bCs/>
                <w:lang w:val="en" w:eastAsia="en-GB"/>
              </w:rPr>
            </w:pPr>
          </w:p>
        </w:tc>
        <w:tc>
          <w:tcPr>
            <w:tcW w:w="1260" w:type="dxa"/>
          </w:tcPr>
          <w:p w14:paraId="22E317C8" w14:textId="77777777" w:rsidR="00FD7E85" w:rsidRDefault="00FD7E85">
            <w:pPr>
              <w:jc w:val="both"/>
              <w:rPr>
                <w:rFonts w:ascii="Arial" w:hAnsi="Arial" w:cs="Arial"/>
                <w:bCs/>
                <w:lang w:val="en" w:eastAsia="en-GB"/>
              </w:rPr>
            </w:pPr>
          </w:p>
        </w:tc>
      </w:tr>
      <w:tr w:rsidR="00FD7E85" w14:paraId="013781D9" w14:textId="77777777">
        <w:trPr>
          <w:trHeight w:val="288"/>
        </w:trPr>
        <w:tc>
          <w:tcPr>
            <w:tcW w:w="2970" w:type="dxa"/>
          </w:tcPr>
          <w:p w14:paraId="058A87B5" w14:textId="77777777" w:rsidR="00FD7E85" w:rsidRDefault="00F456FA">
            <w:pPr>
              <w:jc w:val="both"/>
              <w:rPr>
                <w:rFonts w:ascii="Arial" w:hAnsi="Arial" w:cs="Arial"/>
                <w:bCs/>
                <w:lang w:val="en" w:eastAsia="en-GB"/>
              </w:rPr>
            </w:pPr>
            <w:r>
              <w:rPr>
                <w:rFonts w:ascii="Arial" w:hAnsi="Arial" w:cs="Arial"/>
                <w:bCs/>
                <w:lang w:val="en" w:eastAsia="en-GB"/>
              </w:rPr>
              <w:t>Mild high</w:t>
            </w:r>
          </w:p>
        </w:tc>
        <w:tc>
          <w:tcPr>
            <w:tcW w:w="2070" w:type="dxa"/>
          </w:tcPr>
          <w:p w14:paraId="2E84DB62" w14:textId="77777777" w:rsidR="00FD7E85" w:rsidRDefault="00F456FA">
            <w:pPr>
              <w:jc w:val="both"/>
              <w:rPr>
                <w:rFonts w:ascii="Arial" w:hAnsi="Arial" w:cs="Arial"/>
                <w:bCs/>
                <w:lang w:val="en" w:eastAsia="en-GB"/>
              </w:rPr>
            </w:pPr>
            <w:r>
              <w:rPr>
                <w:rFonts w:ascii="Arial" w:hAnsi="Arial" w:cs="Arial"/>
                <w:bCs/>
                <w:lang w:val="en" w:eastAsia="en-GB"/>
              </w:rPr>
              <w:t>0.539</w:t>
            </w:r>
          </w:p>
        </w:tc>
        <w:tc>
          <w:tcPr>
            <w:tcW w:w="1980" w:type="dxa"/>
          </w:tcPr>
          <w:p w14:paraId="39E11405" w14:textId="77777777" w:rsidR="00FD7E85" w:rsidRDefault="00F456FA">
            <w:pPr>
              <w:jc w:val="both"/>
              <w:rPr>
                <w:rFonts w:ascii="Arial" w:hAnsi="Arial" w:cs="Arial"/>
                <w:bCs/>
                <w:lang w:val="en" w:eastAsia="en-GB"/>
              </w:rPr>
            </w:pPr>
            <w:r>
              <w:rPr>
                <w:rFonts w:ascii="Arial" w:hAnsi="Arial" w:cs="Arial"/>
                <w:bCs/>
                <w:lang w:val="en" w:eastAsia="en-GB"/>
              </w:rPr>
              <w:t>0.506</w:t>
            </w:r>
          </w:p>
        </w:tc>
        <w:tc>
          <w:tcPr>
            <w:tcW w:w="1800" w:type="dxa"/>
          </w:tcPr>
          <w:p w14:paraId="0AC9E05B" w14:textId="77777777" w:rsidR="00FD7E85" w:rsidRDefault="00F456FA">
            <w:pPr>
              <w:jc w:val="both"/>
              <w:rPr>
                <w:rFonts w:ascii="Arial" w:hAnsi="Arial" w:cs="Arial"/>
                <w:bCs/>
                <w:lang w:val="en" w:eastAsia="en-GB"/>
              </w:rPr>
            </w:pPr>
            <w:r>
              <w:rPr>
                <w:rFonts w:ascii="Arial" w:hAnsi="Arial" w:cs="Arial"/>
                <w:bCs/>
                <w:lang w:val="en" w:eastAsia="en-GB"/>
              </w:rPr>
              <w:t>0.125</w:t>
            </w:r>
          </w:p>
        </w:tc>
        <w:tc>
          <w:tcPr>
            <w:tcW w:w="1260" w:type="dxa"/>
          </w:tcPr>
          <w:p w14:paraId="7DB0C30B" w14:textId="77777777" w:rsidR="00FD7E85" w:rsidRDefault="00F456FA">
            <w:pPr>
              <w:jc w:val="both"/>
              <w:rPr>
                <w:rFonts w:ascii="Arial" w:hAnsi="Arial" w:cs="Arial"/>
                <w:bCs/>
                <w:lang w:val="en" w:eastAsia="en-GB"/>
              </w:rPr>
            </w:pPr>
            <w:r>
              <w:rPr>
                <w:rFonts w:ascii="Arial" w:hAnsi="Arial" w:cs="Arial"/>
                <w:bCs/>
                <w:lang w:val="en" w:eastAsia="en-GB"/>
              </w:rPr>
              <w:t>2.310</w:t>
            </w:r>
          </w:p>
        </w:tc>
      </w:tr>
      <w:tr w:rsidR="00FD7E85" w14:paraId="1F7F6DBC" w14:textId="77777777">
        <w:trPr>
          <w:trHeight w:val="522"/>
        </w:trPr>
        <w:tc>
          <w:tcPr>
            <w:tcW w:w="2970" w:type="dxa"/>
          </w:tcPr>
          <w:p w14:paraId="497D1741" w14:textId="77777777" w:rsidR="00FD7E85" w:rsidRDefault="00F456FA">
            <w:pPr>
              <w:jc w:val="both"/>
              <w:rPr>
                <w:rFonts w:ascii="Arial" w:hAnsi="Arial" w:cs="Arial"/>
                <w:bCs/>
                <w:lang w:val="en" w:eastAsia="en-GB"/>
              </w:rPr>
            </w:pPr>
            <w:r>
              <w:rPr>
                <w:rFonts w:ascii="Arial" w:hAnsi="Arial" w:cs="Arial"/>
                <w:bCs/>
                <w:lang w:val="en" w:eastAsia="en-GB"/>
              </w:rPr>
              <w:t>Moderate high</w:t>
            </w:r>
          </w:p>
        </w:tc>
        <w:tc>
          <w:tcPr>
            <w:tcW w:w="2070" w:type="dxa"/>
          </w:tcPr>
          <w:p w14:paraId="5EF20602" w14:textId="77777777" w:rsidR="00FD7E85" w:rsidRDefault="00F456FA">
            <w:pPr>
              <w:jc w:val="both"/>
              <w:rPr>
                <w:rFonts w:ascii="Arial" w:hAnsi="Arial" w:cs="Arial"/>
                <w:bCs/>
                <w:lang w:val="en" w:eastAsia="en-GB"/>
              </w:rPr>
            </w:pPr>
            <w:r>
              <w:rPr>
                <w:rFonts w:ascii="Arial" w:hAnsi="Arial" w:cs="Arial"/>
                <w:bCs/>
                <w:lang w:val="en" w:eastAsia="en-GB"/>
              </w:rPr>
              <w:t>1.462</w:t>
            </w:r>
          </w:p>
        </w:tc>
        <w:tc>
          <w:tcPr>
            <w:tcW w:w="1980" w:type="dxa"/>
          </w:tcPr>
          <w:p w14:paraId="05DD6787" w14:textId="77777777" w:rsidR="00FD7E85" w:rsidRDefault="00F456FA">
            <w:pPr>
              <w:jc w:val="both"/>
              <w:rPr>
                <w:rFonts w:ascii="Arial" w:hAnsi="Arial" w:cs="Arial"/>
                <w:bCs/>
                <w:lang w:val="en" w:eastAsia="en-GB"/>
              </w:rPr>
            </w:pPr>
            <w:r>
              <w:rPr>
                <w:rFonts w:ascii="Arial" w:hAnsi="Arial" w:cs="Arial"/>
                <w:bCs/>
                <w:lang w:val="en" w:eastAsia="en-GB"/>
              </w:rPr>
              <w:t>0.041</w:t>
            </w:r>
          </w:p>
        </w:tc>
        <w:tc>
          <w:tcPr>
            <w:tcW w:w="1800" w:type="dxa"/>
          </w:tcPr>
          <w:p w14:paraId="19D94FA1" w14:textId="77777777" w:rsidR="00FD7E85" w:rsidRDefault="00F456FA">
            <w:pPr>
              <w:jc w:val="both"/>
              <w:rPr>
                <w:rFonts w:ascii="Arial" w:hAnsi="Arial" w:cs="Arial"/>
                <w:bCs/>
                <w:lang w:val="en" w:eastAsia="en-GB"/>
              </w:rPr>
            </w:pPr>
            <w:r>
              <w:rPr>
                <w:rFonts w:ascii="Arial" w:hAnsi="Arial" w:cs="Arial"/>
                <w:bCs/>
                <w:lang w:val="en" w:eastAsia="en-GB"/>
              </w:rPr>
              <w:t>0.081</w:t>
            </w:r>
          </w:p>
        </w:tc>
        <w:tc>
          <w:tcPr>
            <w:tcW w:w="1260" w:type="dxa"/>
          </w:tcPr>
          <w:p w14:paraId="40D0A60F" w14:textId="77777777" w:rsidR="00FD7E85" w:rsidRDefault="00F456FA">
            <w:pPr>
              <w:jc w:val="both"/>
              <w:rPr>
                <w:rFonts w:ascii="Arial" w:hAnsi="Arial" w:cs="Arial"/>
                <w:bCs/>
                <w:lang w:val="en" w:eastAsia="en-GB"/>
              </w:rPr>
            </w:pPr>
            <w:r>
              <w:rPr>
                <w:rFonts w:ascii="Arial" w:hAnsi="Arial" w:cs="Arial"/>
                <w:bCs/>
                <w:lang w:val="en" w:eastAsia="en-GB"/>
              </w:rPr>
              <w:t>1.325</w:t>
            </w:r>
          </w:p>
        </w:tc>
      </w:tr>
      <w:tr w:rsidR="00FD7E85" w14:paraId="40E71BF5" w14:textId="77777777">
        <w:trPr>
          <w:trHeight w:val="288"/>
        </w:trPr>
        <w:tc>
          <w:tcPr>
            <w:tcW w:w="2970" w:type="dxa"/>
            <w:tcBorders>
              <w:bottom w:val="single" w:sz="4" w:space="0" w:color="auto"/>
            </w:tcBorders>
          </w:tcPr>
          <w:p w14:paraId="76A1886E" w14:textId="77777777" w:rsidR="00FD7E85" w:rsidRDefault="00F456FA">
            <w:pPr>
              <w:jc w:val="both"/>
              <w:rPr>
                <w:rFonts w:ascii="Arial" w:hAnsi="Arial" w:cs="Arial"/>
                <w:bCs/>
                <w:lang w:val="en" w:eastAsia="en-GB"/>
              </w:rPr>
            </w:pPr>
            <w:r>
              <w:rPr>
                <w:rFonts w:ascii="Arial" w:hAnsi="Arial" w:cs="Arial"/>
                <w:bCs/>
                <w:lang w:val="en" w:eastAsia="en-GB"/>
              </w:rPr>
              <w:t xml:space="preserve">Severe </w:t>
            </w:r>
          </w:p>
        </w:tc>
        <w:tc>
          <w:tcPr>
            <w:tcW w:w="2070" w:type="dxa"/>
            <w:tcBorders>
              <w:bottom w:val="single" w:sz="4" w:space="0" w:color="auto"/>
            </w:tcBorders>
          </w:tcPr>
          <w:p w14:paraId="2DFBDA93" w14:textId="77777777" w:rsidR="00FD7E85" w:rsidRDefault="00F456FA">
            <w:pPr>
              <w:jc w:val="both"/>
              <w:rPr>
                <w:rFonts w:ascii="Arial" w:hAnsi="Arial" w:cs="Arial"/>
                <w:bCs/>
                <w:lang w:val="en" w:eastAsia="en-GB"/>
              </w:rPr>
            </w:pPr>
            <w:r>
              <w:rPr>
                <w:rFonts w:ascii="Arial" w:hAnsi="Arial" w:cs="Arial"/>
                <w:bCs/>
                <w:lang w:val="en" w:eastAsia="en-GB"/>
              </w:rPr>
              <w:t>2.456</w:t>
            </w:r>
          </w:p>
        </w:tc>
        <w:tc>
          <w:tcPr>
            <w:tcW w:w="1980" w:type="dxa"/>
            <w:tcBorders>
              <w:bottom w:val="single" w:sz="4" w:space="0" w:color="auto"/>
            </w:tcBorders>
          </w:tcPr>
          <w:p w14:paraId="31FD018F" w14:textId="77777777" w:rsidR="00FD7E85" w:rsidRDefault="00F456FA">
            <w:pPr>
              <w:jc w:val="both"/>
              <w:rPr>
                <w:rFonts w:ascii="Arial" w:hAnsi="Arial" w:cs="Arial"/>
                <w:bCs/>
                <w:lang w:val="en" w:eastAsia="en-GB"/>
              </w:rPr>
            </w:pPr>
            <w:r>
              <w:rPr>
                <w:rFonts w:ascii="Arial" w:hAnsi="Arial" w:cs="Arial"/>
                <w:bCs/>
                <w:lang w:val="en" w:eastAsia="en-GB"/>
              </w:rPr>
              <w:t>0.034</w:t>
            </w:r>
          </w:p>
        </w:tc>
        <w:tc>
          <w:tcPr>
            <w:tcW w:w="1800" w:type="dxa"/>
            <w:tcBorders>
              <w:bottom w:val="single" w:sz="4" w:space="0" w:color="auto"/>
            </w:tcBorders>
          </w:tcPr>
          <w:p w14:paraId="5231A1B7" w14:textId="77777777" w:rsidR="00FD7E85" w:rsidRDefault="00F456FA">
            <w:pPr>
              <w:jc w:val="both"/>
              <w:rPr>
                <w:rFonts w:ascii="Arial" w:hAnsi="Arial" w:cs="Arial"/>
                <w:bCs/>
                <w:lang w:val="en" w:eastAsia="en-GB"/>
              </w:rPr>
            </w:pPr>
            <w:r>
              <w:rPr>
                <w:rFonts w:ascii="Arial" w:hAnsi="Arial" w:cs="Arial"/>
                <w:bCs/>
                <w:lang w:val="en" w:eastAsia="en-GB"/>
              </w:rPr>
              <w:t>1.910</w:t>
            </w:r>
          </w:p>
        </w:tc>
        <w:tc>
          <w:tcPr>
            <w:tcW w:w="1260" w:type="dxa"/>
            <w:tcBorders>
              <w:bottom w:val="single" w:sz="4" w:space="0" w:color="auto"/>
            </w:tcBorders>
          </w:tcPr>
          <w:p w14:paraId="5515D05B" w14:textId="77777777" w:rsidR="00FD7E85" w:rsidRDefault="00F456FA">
            <w:pPr>
              <w:jc w:val="both"/>
              <w:rPr>
                <w:rFonts w:ascii="Arial" w:hAnsi="Arial" w:cs="Arial"/>
                <w:bCs/>
                <w:lang w:val="en" w:eastAsia="en-GB"/>
              </w:rPr>
            </w:pPr>
            <w:r>
              <w:rPr>
                <w:rFonts w:ascii="Arial" w:hAnsi="Arial" w:cs="Arial"/>
                <w:bCs/>
                <w:lang w:val="en" w:eastAsia="en-GB"/>
              </w:rPr>
              <w:t>2.578</w:t>
            </w:r>
          </w:p>
        </w:tc>
      </w:tr>
    </w:tbl>
    <w:p w14:paraId="7D286B3B" w14:textId="77777777" w:rsidR="00FD7E85" w:rsidRDefault="00F456FA">
      <w:pPr>
        <w:jc w:val="both"/>
        <w:rPr>
          <w:rFonts w:ascii="Arial" w:hAnsi="Arial" w:cs="Arial"/>
          <w:b/>
          <w:lang w:val="en" w:eastAsia="en-GB"/>
        </w:rPr>
      </w:pPr>
      <w:r>
        <w:rPr>
          <w:rFonts w:ascii="Arial" w:hAnsi="Arial" w:cs="Arial"/>
          <w:b/>
          <w:lang w:val="en" w:eastAsia="en-GB"/>
        </w:rPr>
        <w:t>COR=Crude Odd Ratio, P=P-value, CI=Confidence interval</w:t>
      </w:r>
    </w:p>
    <w:p w14:paraId="12A69F7C" w14:textId="77777777" w:rsidR="00FD7E85" w:rsidRDefault="00FD7E85">
      <w:pPr>
        <w:jc w:val="both"/>
        <w:rPr>
          <w:rFonts w:ascii="Arial" w:hAnsi="Arial" w:cs="Arial"/>
          <w:b/>
          <w:u w:val="single"/>
          <w:lang w:eastAsia="en-GB"/>
        </w:rPr>
      </w:pPr>
    </w:p>
    <w:p w14:paraId="1D412500" w14:textId="77777777" w:rsidR="00FD7E85" w:rsidRDefault="00F456FA">
      <w:pPr>
        <w:jc w:val="both"/>
        <w:rPr>
          <w:rFonts w:ascii="Arial" w:hAnsi="Arial" w:cs="Arial"/>
          <w:b/>
          <w:i/>
          <w:lang w:val="en" w:eastAsia="en-GB"/>
        </w:rPr>
      </w:pPr>
      <w:bookmarkStart w:id="35" w:name="_Hlk223174348"/>
      <w:r>
        <w:rPr>
          <w:rFonts w:ascii="Arial" w:hAnsi="Arial" w:cs="Arial"/>
          <w:b/>
          <w:lang w:val="en" w:eastAsia="en-GB"/>
        </w:rPr>
        <w:t xml:space="preserve">Table 3: </w:t>
      </w:r>
      <w:bookmarkStart w:id="36" w:name="_Hlk223174552"/>
      <w:r>
        <w:rPr>
          <w:rFonts w:ascii="Arial" w:hAnsi="Arial" w:cs="Arial"/>
          <w:b/>
          <w:lang w:val="en" w:eastAsia="en-GB"/>
        </w:rPr>
        <w:t>Adjusted</w:t>
      </w:r>
      <w:r>
        <w:rPr>
          <w:rFonts w:ascii="Arial" w:hAnsi="Arial" w:cs="Arial"/>
          <w:b/>
          <w:i/>
          <w:lang w:val="en" w:eastAsia="en-GB"/>
        </w:rPr>
        <w:t xml:space="preserve"> (</w:t>
      </w:r>
      <w:r>
        <w:rPr>
          <w:rFonts w:ascii="Arial" w:hAnsi="Arial" w:cs="Arial"/>
          <w:b/>
          <w:lang w:val="en" w:eastAsia="en-GB"/>
        </w:rPr>
        <w:t xml:space="preserve">Multivariable) Logistic Regression Analysis of Factors Associated with Abnormal Umbilical Artery Doppler Ultrasound among Women Diagnosed with </w:t>
      </w:r>
      <w:bookmarkEnd w:id="36"/>
      <w:r>
        <w:rPr>
          <w:rFonts w:ascii="Arial" w:hAnsi="Arial" w:cs="Arial"/>
          <w:b/>
          <w:lang w:val="en" w:eastAsia="en-GB"/>
        </w:rPr>
        <w:t>PIH</w:t>
      </w:r>
    </w:p>
    <w:tbl>
      <w:tblPr>
        <w:tblW w:w="10350" w:type="dxa"/>
        <w:tblLayout w:type="fixed"/>
        <w:tblLook w:val="04A0" w:firstRow="1" w:lastRow="0" w:firstColumn="1" w:lastColumn="0" w:noHBand="0" w:noVBand="1"/>
      </w:tblPr>
      <w:tblGrid>
        <w:gridCol w:w="3060"/>
        <w:gridCol w:w="2520"/>
        <w:gridCol w:w="2525"/>
        <w:gridCol w:w="2245"/>
      </w:tblGrid>
      <w:tr w:rsidR="00FD7E85" w14:paraId="39EEE440" w14:textId="77777777">
        <w:tc>
          <w:tcPr>
            <w:tcW w:w="3060" w:type="dxa"/>
            <w:tcBorders>
              <w:top w:val="single" w:sz="4" w:space="0" w:color="auto"/>
              <w:bottom w:val="single" w:sz="4" w:space="0" w:color="auto"/>
            </w:tcBorders>
          </w:tcPr>
          <w:bookmarkEnd w:id="35"/>
          <w:p w14:paraId="67353961" w14:textId="77777777" w:rsidR="00FD7E85" w:rsidRDefault="00F456FA">
            <w:pPr>
              <w:jc w:val="both"/>
              <w:rPr>
                <w:rFonts w:ascii="Arial" w:hAnsi="Arial" w:cs="Arial"/>
                <w:b/>
                <w:lang w:val="en" w:eastAsia="en-GB"/>
              </w:rPr>
            </w:pPr>
            <w:r>
              <w:rPr>
                <w:rFonts w:ascii="Arial" w:hAnsi="Arial" w:cs="Arial"/>
                <w:b/>
                <w:lang w:val="en" w:eastAsia="en-GB"/>
              </w:rPr>
              <w:t xml:space="preserve">Variable </w:t>
            </w:r>
          </w:p>
        </w:tc>
        <w:tc>
          <w:tcPr>
            <w:tcW w:w="2520" w:type="dxa"/>
            <w:tcBorders>
              <w:top w:val="single" w:sz="4" w:space="0" w:color="auto"/>
              <w:bottom w:val="single" w:sz="4" w:space="0" w:color="auto"/>
            </w:tcBorders>
          </w:tcPr>
          <w:p w14:paraId="7FE729E8" w14:textId="77777777" w:rsidR="00FD7E85" w:rsidRDefault="00F456FA">
            <w:pPr>
              <w:jc w:val="both"/>
              <w:rPr>
                <w:rFonts w:ascii="Arial" w:hAnsi="Arial" w:cs="Arial"/>
                <w:b/>
                <w:lang w:val="en" w:eastAsia="en-GB"/>
              </w:rPr>
            </w:pPr>
            <w:r>
              <w:rPr>
                <w:rFonts w:ascii="Arial" w:hAnsi="Arial" w:cs="Arial"/>
                <w:b/>
                <w:lang w:val="en" w:eastAsia="en-GB"/>
              </w:rPr>
              <w:t>AOR</w:t>
            </w:r>
          </w:p>
        </w:tc>
        <w:tc>
          <w:tcPr>
            <w:tcW w:w="2525" w:type="dxa"/>
            <w:tcBorders>
              <w:top w:val="single" w:sz="4" w:space="0" w:color="auto"/>
              <w:bottom w:val="single" w:sz="4" w:space="0" w:color="auto"/>
            </w:tcBorders>
          </w:tcPr>
          <w:p w14:paraId="623FAA28" w14:textId="77777777" w:rsidR="00FD7E85" w:rsidRDefault="00F456FA">
            <w:pPr>
              <w:jc w:val="both"/>
              <w:rPr>
                <w:rFonts w:ascii="Arial" w:hAnsi="Arial" w:cs="Arial"/>
                <w:b/>
                <w:lang w:val="en" w:eastAsia="en-GB"/>
              </w:rPr>
            </w:pPr>
            <w:r>
              <w:rPr>
                <w:rFonts w:ascii="Arial" w:hAnsi="Arial" w:cs="Arial"/>
                <w:b/>
                <w:lang w:val="en" w:eastAsia="en-GB"/>
              </w:rPr>
              <w:t xml:space="preserve">P-Value </w:t>
            </w:r>
          </w:p>
        </w:tc>
        <w:tc>
          <w:tcPr>
            <w:tcW w:w="2245" w:type="dxa"/>
            <w:tcBorders>
              <w:top w:val="single" w:sz="4" w:space="0" w:color="auto"/>
              <w:bottom w:val="single" w:sz="4" w:space="0" w:color="auto"/>
            </w:tcBorders>
          </w:tcPr>
          <w:p w14:paraId="3F6FAA8E" w14:textId="77777777" w:rsidR="00FD7E85" w:rsidRDefault="00F456FA">
            <w:pPr>
              <w:jc w:val="both"/>
              <w:rPr>
                <w:rFonts w:ascii="Arial" w:hAnsi="Arial" w:cs="Arial"/>
                <w:b/>
                <w:lang w:val="en" w:eastAsia="en-GB"/>
              </w:rPr>
            </w:pPr>
            <w:r>
              <w:rPr>
                <w:rFonts w:ascii="Arial" w:hAnsi="Arial" w:cs="Arial"/>
                <w:b/>
                <w:lang w:val="en" w:eastAsia="en-GB"/>
              </w:rPr>
              <w:t>95%Conf. Interval</w:t>
            </w:r>
          </w:p>
        </w:tc>
      </w:tr>
      <w:tr w:rsidR="00FD7E85" w14:paraId="4C036CE3" w14:textId="77777777">
        <w:trPr>
          <w:trHeight w:val="404"/>
        </w:trPr>
        <w:tc>
          <w:tcPr>
            <w:tcW w:w="3060" w:type="dxa"/>
            <w:tcBorders>
              <w:top w:val="single" w:sz="4" w:space="0" w:color="auto"/>
            </w:tcBorders>
          </w:tcPr>
          <w:p w14:paraId="1CB73CD9" w14:textId="77777777" w:rsidR="00FD7E85" w:rsidRDefault="00F456FA">
            <w:pPr>
              <w:jc w:val="both"/>
              <w:rPr>
                <w:rFonts w:ascii="Arial" w:hAnsi="Arial" w:cs="Arial"/>
                <w:b/>
                <w:lang w:val="en" w:eastAsia="en-GB"/>
              </w:rPr>
            </w:pPr>
            <w:r>
              <w:rPr>
                <w:rFonts w:ascii="Arial" w:hAnsi="Arial" w:cs="Arial"/>
                <w:b/>
                <w:lang w:val="en" w:eastAsia="en-GB"/>
              </w:rPr>
              <w:t>Parity</w:t>
            </w:r>
          </w:p>
        </w:tc>
        <w:tc>
          <w:tcPr>
            <w:tcW w:w="2520" w:type="dxa"/>
            <w:tcBorders>
              <w:top w:val="single" w:sz="4" w:space="0" w:color="auto"/>
            </w:tcBorders>
          </w:tcPr>
          <w:p w14:paraId="3CA62341" w14:textId="77777777" w:rsidR="00FD7E85" w:rsidRDefault="00FD7E85">
            <w:pPr>
              <w:jc w:val="both"/>
              <w:rPr>
                <w:rFonts w:ascii="Arial" w:hAnsi="Arial" w:cs="Arial"/>
                <w:b/>
                <w:lang w:val="en" w:eastAsia="en-GB"/>
              </w:rPr>
            </w:pPr>
          </w:p>
        </w:tc>
        <w:tc>
          <w:tcPr>
            <w:tcW w:w="2525" w:type="dxa"/>
            <w:tcBorders>
              <w:top w:val="single" w:sz="4" w:space="0" w:color="auto"/>
            </w:tcBorders>
          </w:tcPr>
          <w:p w14:paraId="4CA346F6" w14:textId="77777777" w:rsidR="00FD7E85" w:rsidRDefault="00FD7E85">
            <w:pPr>
              <w:jc w:val="both"/>
              <w:rPr>
                <w:rFonts w:ascii="Arial" w:hAnsi="Arial" w:cs="Arial"/>
                <w:b/>
                <w:lang w:val="en" w:eastAsia="en-GB"/>
              </w:rPr>
            </w:pPr>
          </w:p>
        </w:tc>
        <w:tc>
          <w:tcPr>
            <w:tcW w:w="2245" w:type="dxa"/>
            <w:tcBorders>
              <w:top w:val="single" w:sz="4" w:space="0" w:color="auto"/>
            </w:tcBorders>
          </w:tcPr>
          <w:p w14:paraId="2EE616BF" w14:textId="77777777" w:rsidR="00FD7E85" w:rsidRDefault="00FD7E85">
            <w:pPr>
              <w:jc w:val="both"/>
              <w:rPr>
                <w:rFonts w:ascii="Arial" w:hAnsi="Arial" w:cs="Arial"/>
                <w:b/>
                <w:lang w:val="en" w:eastAsia="en-GB"/>
              </w:rPr>
            </w:pPr>
          </w:p>
        </w:tc>
      </w:tr>
      <w:tr w:rsidR="00FD7E85" w14:paraId="046BDC9D" w14:textId="77777777">
        <w:tc>
          <w:tcPr>
            <w:tcW w:w="3060" w:type="dxa"/>
          </w:tcPr>
          <w:p w14:paraId="3A750F97" w14:textId="77777777" w:rsidR="00FD7E85" w:rsidRDefault="00F456FA">
            <w:pPr>
              <w:jc w:val="both"/>
              <w:rPr>
                <w:rFonts w:ascii="Arial" w:hAnsi="Arial" w:cs="Arial"/>
                <w:b/>
                <w:bCs/>
                <w:lang w:val="en" w:eastAsia="en-GB"/>
              </w:rPr>
            </w:pPr>
            <w:r>
              <w:rPr>
                <w:rFonts w:ascii="Arial" w:hAnsi="Arial" w:cs="Arial"/>
                <w:b/>
                <w:bCs/>
                <w:lang w:val="en" w:eastAsia="en-GB"/>
              </w:rPr>
              <w:t>Primipara</w:t>
            </w:r>
          </w:p>
        </w:tc>
        <w:tc>
          <w:tcPr>
            <w:tcW w:w="2520" w:type="dxa"/>
          </w:tcPr>
          <w:p w14:paraId="37E3E681" w14:textId="77777777" w:rsidR="00FD7E85" w:rsidRDefault="00F456FA">
            <w:pPr>
              <w:jc w:val="both"/>
              <w:rPr>
                <w:rFonts w:ascii="Arial" w:hAnsi="Arial" w:cs="Arial"/>
                <w:b/>
                <w:bCs/>
                <w:lang w:val="en" w:eastAsia="en-GB"/>
              </w:rPr>
            </w:pPr>
            <w:r>
              <w:rPr>
                <w:rFonts w:ascii="Arial" w:hAnsi="Arial" w:cs="Arial"/>
                <w:b/>
                <w:bCs/>
                <w:lang w:val="en" w:eastAsia="en-GB"/>
              </w:rPr>
              <w:t>1</w:t>
            </w:r>
          </w:p>
        </w:tc>
        <w:tc>
          <w:tcPr>
            <w:tcW w:w="2525" w:type="dxa"/>
          </w:tcPr>
          <w:p w14:paraId="3D0EA3C0" w14:textId="77777777" w:rsidR="00FD7E85" w:rsidRDefault="00FD7E85">
            <w:pPr>
              <w:jc w:val="both"/>
              <w:rPr>
                <w:rFonts w:ascii="Arial" w:hAnsi="Arial" w:cs="Arial"/>
                <w:b/>
                <w:bCs/>
                <w:lang w:val="en" w:eastAsia="en-GB"/>
              </w:rPr>
            </w:pPr>
          </w:p>
        </w:tc>
        <w:tc>
          <w:tcPr>
            <w:tcW w:w="2245" w:type="dxa"/>
          </w:tcPr>
          <w:p w14:paraId="75ACE220" w14:textId="77777777" w:rsidR="00FD7E85" w:rsidRDefault="00FD7E85">
            <w:pPr>
              <w:jc w:val="both"/>
              <w:rPr>
                <w:rFonts w:ascii="Arial" w:hAnsi="Arial" w:cs="Arial"/>
                <w:b/>
                <w:bCs/>
                <w:lang w:val="en" w:eastAsia="en-GB"/>
              </w:rPr>
            </w:pPr>
          </w:p>
        </w:tc>
      </w:tr>
      <w:tr w:rsidR="00FD7E85" w14:paraId="72FD44C6" w14:textId="77777777">
        <w:tc>
          <w:tcPr>
            <w:tcW w:w="3060" w:type="dxa"/>
          </w:tcPr>
          <w:p w14:paraId="38FB3798" w14:textId="77777777" w:rsidR="00FD7E85" w:rsidRDefault="00F456FA">
            <w:pPr>
              <w:jc w:val="both"/>
              <w:rPr>
                <w:rFonts w:ascii="Arial" w:hAnsi="Arial" w:cs="Arial"/>
                <w:b/>
                <w:bCs/>
                <w:lang w:val="en" w:eastAsia="en-GB"/>
              </w:rPr>
            </w:pPr>
            <w:r>
              <w:rPr>
                <w:rFonts w:ascii="Arial" w:hAnsi="Arial" w:cs="Arial"/>
                <w:b/>
                <w:bCs/>
                <w:lang w:val="en" w:eastAsia="en-GB"/>
              </w:rPr>
              <w:t>Multipara</w:t>
            </w:r>
          </w:p>
        </w:tc>
        <w:tc>
          <w:tcPr>
            <w:tcW w:w="2520" w:type="dxa"/>
          </w:tcPr>
          <w:p w14:paraId="1890A3C7" w14:textId="77777777" w:rsidR="00FD7E85" w:rsidRDefault="00F456FA">
            <w:pPr>
              <w:jc w:val="both"/>
              <w:rPr>
                <w:rFonts w:ascii="Arial" w:hAnsi="Arial" w:cs="Arial"/>
                <w:b/>
                <w:bCs/>
                <w:lang w:val="en" w:eastAsia="en-GB"/>
              </w:rPr>
            </w:pPr>
            <w:r>
              <w:rPr>
                <w:rFonts w:ascii="Arial" w:hAnsi="Arial" w:cs="Arial"/>
                <w:b/>
                <w:bCs/>
                <w:lang w:val="en" w:eastAsia="en-GB"/>
              </w:rPr>
              <w:t>2.577</w:t>
            </w:r>
          </w:p>
        </w:tc>
        <w:tc>
          <w:tcPr>
            <w:tcW w:w="2525" w:type="dxa"/>
          </w:tcPr>
          <w:p w14:paraId="7FE7CFCC" w14:textId="77777777" w:rsidR="00FD7E85" w:rsidRDefault="00F456FA">
            <w:pPr>
              <w:jc w:val="both"/>
              <w:rPr>
                <w:rFonts w:ascii="Arial" w:hAnsi="Arial" w:cs="Arial"/>
                <w:b/>
                <w:bCs/>
                <w:lang w:val="en" w:eastAsia="en-GB"/>
              </w:rPr>
            </w:pPr>
            <w:r>
              <w:rPr>
                <w:rFonts w:ascii="Arial" w:hAnsi="Arial" w:cs="Arial"/>
                <w:b/>
                <w:bCs/>
                <w:lang w:val="en" w:eastAsia="en-GB"/>
              </w:rPr>
              <w:t>0.093</w:t>
            </w:r>
          </w:p>
        </w:tc>
        <w:tc>
          <w:tcPr>
            <w:tcW w:w="2245" w:type="dxa"/>
          </w:tcPr>
          <w:p w14:paraId="7B1BC263" w14:textId="77777777" w:rsidR="00FD7E85" w:rsidRDefault="00F456FA">
            <w:pPr>
              <w:jc w:val="both"/>
              <w:rPr>
                <w:rFonts w:ascii="Arial" w:hAnsi="Arial" w:cs="Arial"/>
                <w:b/>
                <w:bCs/>
                <w:lang w:val="en" w:eastAsia="en-GB"/>
              </w:rPr>
            </w:pPr>
            <w:r>
              <w:rPr>
                <w:rFonts w:ascii="Arial" w:hAnsi="Arial" w:cs="Arial"/>
                <w:b/>
                <w:bCs/>
                <w:lang w:val="en" w:eastAsia="en-GB"/>
              </w:rPr>
              <w:t>0.852 – 7.789</w:t>
            </w:r>
          </w:p>
        </w:tc>
      </w:tr>
      <w:tr w:rsidR="00FD7E85" w14:paraId="3C74987F" w14:textId="77777777">
        <w:tc>
          <w:tcPr>
            <w:tcW w:w="3060" w:type="dxa"/>
          </w:tcPr>
          <w:p w14:paraId="79446706" w14:textId="77777777" w:rsidR="00FD7E85" w:rsidRDefault="00F456FA">
            <w:pPr>
              <w:jc w:val="both"/>
              <w:rPr>
                <w:rFonts w:ascii="Arial" w:hAnsi="Arial" w:cs="Arial"/>
                <w:b/>
                <w:lang w:val="en" w:eastAsia="en-GB"/>
              </w:rPr>
            </w:pPr>
            <w:r>
              <w:rPr>
                <w:rFonts w:ascii="Arial" w:hAnsi="Arial" w:cs="Arial"/>
                <w:b/>
                <w:lang w:val="en" w:eastAsia="en-GB"/>
              </w:rPr>
              <w:t xml:space="preserve">Maternal age </w:t>
            </w:r>
          </w:p>
        </w:tc>
        <w:tc>
          <w:tcPr>
            <w:tcW w:w="2520" w:type="dxa"/>
          </w:tcPr>
          <w:p w14:paraId="50313E33" w14:textId="77777777" w:rsidR="00FD7E85" w:rsidRDefault="00FD7E85">
            <w:pPr>
              <w:jc w:val="both"/>
              <w:rPr>
                <w:rFonts w:ascii="Arial" w:hAnsi="Arial" w:cs="Arial"/>
                <w:b/>
                <w:lang w:val="en" w:eastAsia="en-GB"/>
              </w:rPr>
            </w:pPr>
          </w:p>
        </w:tc>
        <w:tc>
          <w:tcPr>
            <w:tcW w:w="2525" w:type="dxa"/>
          </w:tcPr>
          <w:p w14:paraId="0C2C0F76" w14:textId="77777777" w:rsidR="00FD7E85" w:rsidRDefault="00FD7E85">
            <w:pPr>
              <w:jc w:val="both"/>
              <w:rPr>
                <w:rFonts w:ascii="Arial" w:hAnsi="Arial" w:cs="Arial"/>
                <w:b/>
                <w:lang w:val="en" w:eastAsia="en-GB"/>
              </w:rPr>
            </w:pPr>
          </w:p>
        </w:tc>
        <w:tc>
          <w:tcPr>
            <w:tcW w:w="2245" w:type="dxa"/>
          </w:tcPr>
          <w:p w14:paraId="1159C8AF" w14:textId="77777777" w:rsidR="00FD7E85" w:rsidRDefault="00FD7E85">
            <w:pPr>
              <w:jc w:val="both"/>
              <w:rPr>
                <w:rFonts w:ascii="Arial" w:hAnsi="Arial" w:cs="Arial"/>
                <w:b/>
                <w:lang w:val="en" w:eastAsia="en-GB"/>
              </w:rPr>
            </w:pPr>
          </w:p>
        </w:tc>
      </w:tr>
      <w:tr w:rsidR="00FD7E85" w14:paraId="10F583BD" w14:textId="77777777">
        <w:tc>
          <w:tcPr>
            <w:tcW w:w="3060" w:type="dxa"/>
          </w:tcPr>
          <w:p w14:paraId="600B1F72" w14:textId="77777777" w:rsidR="00FD7E85" w:rsidRDefault="00F456FA">
            <w:pPr>
              <w:jc w:val="both"/>
              <w:rPr>
                <w:rFonts w:ascii="Arial" w:hAnsi="Arial" w:cs="Arial"/>
                <w:b/>
                <w:bCs/>
                <w:lang w:val="en" w:eastAsia="en-GB"/>
              </w:rPr>
            </w:pPr>
            <w:r>
              <w:rPr>
                <w:rFonts w:ascii="Arial" w:hAnsi="Arial" w:cs="Arial"/>
                <w:b/>
                <w:bCs/>
                <w:lang w:val="en" w:eastAsia="en-GB"/>
              </w:rPr>
              <w:t>15-25</w:t>
            </w:r>
          </w:p>
        </w:tc>
        <w:tc>
          <w:tcPr>
            <w:tcW w:w="2520" w:type="dxa"/>
          </w:tcPr>
          <w:p w14:paraId="25C2340E" w14:textId="77777777" w:rsidR="00FD7E85" w:rsidRDefault="00F456FA">
            <w:pPr>
              <w:jc w:val="both"/>
              <w:rPr>
                <w:rFonts w:ascii="Arial" w:hAnsi="Arial" w:cs="Arial"/>
                <w:b/>
                <w:bCs/>
                <w:lang w:val="en" w:eastAsia="en-GB"/>
              </w:rPr>
            </w:pPr>
            <w:r>
              <w:rPr>
                <w:rFonts w:ascii="Arial" w:hAnsi="Arial" w:cs="Arial"/>
                <w:b/>
                <w:bCs/>
                <w:lang w:val="en" w:eastAsia="en-GB"/>
              </w:rPr>
              <w:t>1</w:t>
            </w:r>
          </w:p>
        </w:tc>
        <w:tc>
          <w:tcPr>
            <w:tcW w:w="2525" w:type="dxa"/>
          </w:tcPr>
          <w:p w14:paraId="2653B62F" w14:textId="77777777" w:rsidR="00FD7E85" w:rsidRDefault="00FD7E85">
            <w:pPr>
              <w:jc w:val="both"/>
              <w:rPr>
                <w:rFonts w:ascii="Arial" w:hAnsi="Arial" w:cs="Arial"/>
                <w:b/>
                <w:bCs/>
                <w:lang w:val="en" w:eastAsia="en-GB"/>
              </w:rPr>
            </w:pPr>
          </w:p>
        </w:tc>
        <w:tc>
          <w:tcPr>
            <w:tcW w:w="2245" w:type="dxa"/>
          </w:tcPr>
          <w:p w14:paraId="7480EC48" w14:textId="77777777" w:rsidR="00FD7E85" w:rsidRDefault="00FD7E85">
            <w:pPr>
              <w:jc w:val="both"/>
              <w:rPr>
                <w:rFonts w:ascii="Arial" w:hAnsi="Arial" w:cs="Arial"/>
                <w:b/>
                <w:bCs/>
                <w:lang w:val="en" w:eastAsia="en-GB"/>
              </w:rPr>
            </w:pPr>
          </w:p>
        </w:tc>
      </w:tr>
      <w:tr w:rsidR="00FD7E85" w14:paraId="27E1C274" w14:textId="77777777">
        <w:tc>
          <w:tcPr>
            <w:tcW w:w="3060" w:type="dxa"/>
          </w:tcPr>
          <w:p w14:paraId="35CBAD9F" w14:textId="77777777" w:rsidR="00FD7E85" w:rsidRDefault="00F456FA">
            <w:pPr>
              <w:jc w:val="both"/>
              <w:rPr>
                <w:rFonts w:ascii="Arial" w:hAnsi="Arial" w:cs="Arial"/>
                <w:b/>
                <w:bCs/>
                <w:lang w:val="en" w:eastAsia="en-GB"/>
              </w:rPr>
            </w:pPr>
            <w:r>
              <w:rPr>
                <w:rFonts w:ascii="Arial" w:hAnsi="Arial" w:cs="Arial"/>
                <w:b/>
                <w:bCs/>
                <w:lang w:val="en" w:eastAsia="en-GB"/>
              </w:rPr>
              <w:t>25-35</w:t>
            </w:r>
          </w:p>
        </w:tc>
        <w:tc>
          <w:tcPr>
            <w:tcW w:w="2520" w:type="dxa"/>
          </w:tcPr>
          <w:p w14:paraId="61D07CEF" w14:textId="77777777" w:rsidR="00FD7E85" w:rsidRDefault="00F456FA">
            <w:pPr>
              <w:jc w:val="both"/>
              <w:rPr>
                <w:rFonts w:ascii="Arial" w:hAnsi="Arial" w:cs="Arial"/>
                <w:b/>
                <w:bCs/>
                <w:lang w:val="en" w:eastAsia="en-GB"/>
              </w:rPr>
            </w:pPr>
            <w:r>
              <w:rPr>
                <w:rFonts w:ascii="Arial" w:hAnsi="Arial" w:cs="Arial"/>
                <w:b/>
                <w:bCs/>
                <w:lang w:val="en" w:eastAsia="en-GB"/>
              </w:rPr>
              <w:t>1.065</w:t>
            </w:r>
          </w:p>
        </w:tc>
        <w:tc>
          <w:tcPr>
            <w:tcW w:w="2525" w:type="dxa"/>
          </w:tcPr>
          <w:p w14:paraId="1655C44E" w14:textId="77777777" w:rsidR="00FD7E85" w:rsidRDefault="00F456FA">
            <w:pPr>
              <w:jc w:val="both"/>
              <w:rPr>
                <w:rFonts w:ascii="Arial" w:hAnsi="Arial" w:cs="Arial"/>
                <w:b/>
                <w:bCs/>
                <w:lang w:val="en" w:eastAsia="en-GB"/>
              </w:rPr>
            </w:pPr>
            <w:r>
              <w:rPr>
                <w:rFonts w:ascii="Arial" w:hAnsi="Arial" w:cs="Arial"/>
                <w:b/>
                <w:bCs/>
                <w:lang w:val="en" w:eastAsia="en-GB"/>
              </w:rPr>
              <w:t>0.919</w:t>
            </w:r>
          </w:p>
        </w:tc>
        <w:tc>
          <w:tcPr>
            <w:tcW w:w="2245" w:type="dxa"/>
          </w:tcPr>
          <w:p w14:paraId="735891E4" w14:textId="77777777" w:rsidR="00FD7E85" w:rsidRDefault="00F456FA">
            <w:pPr>
              <w:jc w:val="both"/>
              <w:rPr>
                <w:rFonts w:ascii="Arial" w:hAnsi="Arial" w:cs="Arial"/>
                <w:b/>
                <w:bCs/>
                <w:lang w:val="en" w:eastAsia="en-GB"/>
              </w:rPr>
            </w:pPr>
            <w:r>
              <w:rPr>
                <w:rFonts w:ascii="Arial" w:hAnsi="Arial" w:cs="Arial"/>
                <w:b/>
                <w:bCs/>
                <w:lang w:val="en" w:eastAsia="en-GB"/>
              </w:rPr>
              <w:t>0.311-3.641</w:t>
            </w:r>
          </w:p>
        </w:tc>
      </w:tr>
      <w:tr w:rsidR="00FD7E85" w14:paraId="151C66BA" w14:textId="77777777">
        <w:tc>
          <w:tcPr>
            <w:tcW w:w="3060" w:type="dxa"/>
          </w:tcPr>
          <w:p w14:paraId="1AEDA1E7" w14:textId="77777777" w:rsidR="00FD7E85" w:rsidRDefault="00F456FA">
            <w:pPr>
              <w:jc w:val="both"/>
              <w:rPr>
                <w:rFonts w:ascii="Arial" w:hAnsi="Arial" w:cs="Arial"/>
                <w:b/>
                <w:bCs/>
                <w:lang w:val="en" w:eastAsia="en-GB"/>
              </w:rPr>
            </w:pPr>
            <w:r>
              <w:rPr>
                <w:rFonts w:ascii="Arial" w:hAnsi="Arial" w:cs="Arial"/>
                <w:b/>
                <w:bCs/>
                <w:lang w:val="en" w:eastAsia="en-GB"/>
              </w:rPr>
              <w:t>above 36</w:t>
            </w:r>
          </w:p>
        </w:tc>
        <w:tc>
          <w:tcPr>
            <w:tcW w:w="2520" w:type="dxa"/>
          </w:tcPr>
          <w:p w14:paraId="2968D284" w14:textId="77777777" w:rsidR="00FD7E85" w:rsidRDefault="00F456FA">
            <w:pPr>
              <w:jc w:val="both"/>
              <w:rPr>
                <w:rFonts w:ascii="Arial" w:hAnsi="Arial" w:cs="Arial"/>
                <w:b/>
                <w:bCs/>
                <w:lang w:val="en" w:eastAsia="en-GB"/>
              </w:rPr>
            </w:pPr>
            <w:r>
              <w:rPr>
                <w:rFonts w:ascii="Arial" w:hAnsi="Arial" w:cs="Arial"/>
                <w:b/>
                <w:bCs/>
                <w:lang w:val="en" w:eastAsia="en-GB"/>
              </w:rPr>
              <w:t>0.253</w:t>
            </w:r>
          </w:p>
        </w:tc>
        <w:tc>
          <w:tcPr>
            <w:tcW w:w="2525" w:type="dxa"/>
          </w:tcPr>
          <w:p w14:paraId="3560E340" w14:textId="77777777" w:rsidR="00FD7E85" w:rsidRDefault="00F456FA">
            <w:pPr>
              <w:jc w:val="both"/>
              <w:rPr>
                <w:rFonts w:ascii="Arial" w:hAnsi="Arial" w:cs="Arial"/>
                <w:b/>
                <w:bCs/>
                <w:lang w:val="en" w:eastAsia="en-GB"/>
              </w:rPr>
            </w:pPr>
            <w:r>
              <w:rPr>
                <w:rFonts w:ascii="Arial" w:hAnsi="Arial" w:cs="Arial"/>
                <w:b/>
                <w:bCs/>
                <w:lang w:val="en" w:eastAsia="en-GB"/>
              </w:rPr>
              <w:t>0.090</w:t>
            </w:r>
          </w:p>
        </w:tc>
        <w:tc>
          <w:tcPr>
            <w:tcW w:w="2245" w:type="dxa"/>
          </w:tcPr>
          <w:p w14:paraId="60FAEB29" w14:textId="77777777" w:rsidR="00FD7E85" w:rsidRDefault="00F456FA">
            <w:pPr>
              <w:jc w:val="both"/>
              <w:rPr>
                <w:rFonts w:ascii="Arial" w:hAnsi="Arial" w:cs="Arial"/>
                <w:b/>
                <w:bCs/>
                <w:lang w:val="en" w:eastAsia="en-GB"/>
              </w:rPr>
            </w:pPr>
            <w:r>
              <w:rPr>
                <w:rFonts w:ascii="Arial" w:hAnsi="Arial" w:cs="Arial"/>
                <w:b/>
                <w:bCs/>
                <w:lang w:val="en" w:eastAsia="en-GB"/>
              </w:rPr>
              <w:t>0.051- 1.237</w:t>
            </w:r>
          </w:p>
        </w:tc>
      </w:tr>
      <w:tr w:rsidR="00FD7E85" w14:paraId="0D7292B8" w14:textId="77777777">
        <w:tc>
          <w:tcPr>
            <w:tcW w:w="3060" w:type="dxa"/>
          </w:tcPr>
          <w:p w14:paraId="7D9DB772" w14:textId="77777777" w:rsidR="00FD7E85" w:rsidRDefault="00F456FA">
            <w:pPr>
              <w:jc w:val="both"/>
              <w:rPr>
                <w:rFonts w:ascii="Arial" w:hAnsi="Arial" w:cs="Arial"/>
                <w:b/>
                <w:lang w:val="en" w:eastAsia="en-GB"/>
              </w:rPr>
            </w:pPr>
            <w:r>
              <w:rPr>
                <w:rFonts w:ascii="Arial" w:hAnsi="Arial" w:cs="Arial"/>
                <w:b/>
                <w:lang w:val="en" w:eastAsia="en-GB"/>
              </w:rPr>
              <w:t xml:space="preserve">Gestation age by date in weeks </w:t>
            </w:r>
          </w:p>
        </w:tc>
        <w:tc>
          <w:tcPr>
            <w:tcW w:w="2520" w:type="dxa"/>
          </w:tcPr>
          <w:p w14:paraId="2693945D" w14:textId="77777777" w:rsidR="00FD7E85" w:rsidRDefault="00FD7E85">
            <w:pPr>
              <w:jc w:val="both"/>
              <w:rPr>
                <w:rFonts w:ascii="Arial" w:hAnsi="Arial" w:cs="Arial"/>
                <w:b/>
                <w:lang w:val="en" w:eastAsia="en-GB"/>
              </w:rPr>
            </w:pPr>
          </w:p>
        </w:tc>
        <w:tc>
          <w:tcPr>
            <w:tcW w:w="2525" w:type="dxa"/>
          </w:tcPr>
          <w:p w14:paraId="06AF88AF" w14:textId="77777777" w:rsidR="00FD7E85" w:rsidRDefault="00FD7E85">
            <w:pPr>
              <w:jc w:val="both"/>
              <w:rPr>
                <w:rFonts w:ascii="Arial" w:hAnsi="Arial" w:cs="Arial"/>
                <w:b/>
                <w:lang w:val="en" w:eastAsia="en-GB"/>
              </w:rPr>
            </w:pPr>
          </w:p>
        </w:tc>
        <w:tc>
          <w:tcPr>
            <w:tcW w:w="2245" w:type="dxa"/>
          </w:tcPr>
          <w:p w14:paraId="171B4D56" w14:textId="77777777" w:rsidR="00FD7E85" w:rsidRDefault="00FD7E85">
            <w:pPr>
              <w:jc w:val="both"/>
              <w:rPr>
                <w:rFonts w:ascii="Arial" w:hAnsi="Arial" w:cs="Arial"/>
                <w:b/>
                <w:lang w:val="en" w:eastAsia="en-GB"/>
              </w:rPr>
            </w:pPr>
          </w:p>
        </w:tc>
      </w:tr>
      <w:tr w:rsidR="00FD7E85" w14:paraId="17470080" w14:textId="77777777">
        <w:tc>
          <w:tcPr>
            <w:tcW w:w="3060" w:type="dxa"/>
          </w:tcPr>
          <w:p w14:paraId="7F735257" w14:textId="77777777" w:rsidR="00FD7E85" w:rsidRDefault="00F456FA">
            <w:pPr>
              <w:jc w:val="both"/>
              <w:rPr>
                <w:rFonts w:ascii="Arial" w:hAnsi="Arial" w:cs="Arial"/>
                <w:b/>
                <w:bCs/>
                <w:lang w:val="en" w:eastAsia="en-GB"/>
              </w:rPr>
            </w:pPr>
            <w:r>
              <w:rPr>
                <w:rFonts w:ascii="Arial" w:hAnsi="Arial" w:cs="Arial"/>
                <w:b/>
                <w:bCs/>
                <w:lang w:val="en" w:eastAsia="en-GB"/>
              </w:rPr>
              <w:t>28-32</w:t>
            </w:r>
          </w:p>
        </w:tc>
        <w:tc>
          <w:tcPr>
            <w:tcW w:w="2520" w:type="dxa"/>
          </w:tcPr>
          <w:p w14:paraId="062AC7F9" w14:textId="77777777" w:rsidR="00FD7E85" w:rsidRDefault="00F456FA">
            <w:pPr>
              <w:jc w:val="both"/>
              <w:rPr>
                <w:rFonts w:ascii="Arial" w:hAnsi="Arial" w:cs="Arial"/>
                <w:b/>
                <w:bCs/>
                <w:lang w:val="en" w:eastAsia="en-GB"/>
              </w:rPr>
            </w:pPr>
            <w:r>
              <w:rPr>
                <w:rFonts w:ascii="Arial" w:hAnsi="Arial" w:cs="Arial"/>
                <w:b/>
                <w:bCs/>
                <w:lang w:val="en" w:eastAsia="en-GB"/>
              </w:rPr>
              <w:t>1</w:t>
            </w:r>
          </w:p>
        </w:tc>
        <w:tc>
          <w:tcPr>
            <w:tcW w:w="2525" w:type="dxa"/>
          </w:tcPr>
          <w:p w14:paraId="32465261" w14:textId="77777777" w:rsidR="00FD7E85" w:rsidRDefault="00FD7E85">
            <w:pPr>
              <w:jc w:val="both"/>
              <w:rPr>
                <w:rFonts w:ascii="Arial" w:hAnsi="Arial" w:cs="Arial"/>
                <w:b/>
                <w:bCs/>
                <w:lang w:val="en" w:eastAsia="en-GB"/>
              </w:rPr>
            </w:pPr>
          </w:p>
        </w:tc>
        <w:tc>
          <w:tcPr>
            <w:tcW w:w="2245" w:type="dxa"/>
          </w:tcPr>
          <w:p w14:paraId="4ED3328C" w14:textId="77777777" w:rsidR="00FD7E85" w:rsidRDefault="00FD7E85">
            <w:pPr>
              <w:jc w:val="both"/>
              <w:rPr>
                <w:rFonts w:ascii="Arial" w:hAnsi="Arial" w:cs="Arial"/>
                <w:b/>
                <w:bCs/>
                <w:lang w:val="en" w:eastAsia="en-GB"/>
              </w:rPr>
            </w:pPr>
          </w:p>
        </w:tc>
      </w:tr>
      <w:tr w:rsidR="00FD7E85" w14:paraId="67617A79" w14:textId="77777777">
        <w:tc>
          <w:tcPr>
            <w:tcW w:w="3060" w:type="dxa"/>
          </w:tcPr>
          <w:p w14:paraId="19EAE799" w14:textId="77777777" w:rsidR="00FD7E85" w:rsidRDefault="00F456FA">
            <w:pPr>
              <w:jc w:val="both"/>
              <w:rPr>
                <w:rFonts w:ascii="Arial" w:hAnsi="Arial" w:cs="Arial"/>
                <w:b/>
                <w:bCs/>
                <w:lang w:val="en" w:eastAsia="en-GB"/>
              </w:rPr>
            </w:pPr>
            <w:r>
              <w:rPr>
                <w:rFonts w:ascii="Arial" w:hAnsi="Arial" w:cs="Arial"/>
                <w:b/>
                <w:bCs/>
                <w:lang w:val="en" w:eastAsia="en-GB"/>
              </w:rPr>
              <w:t>33-36</w:t>
            </w:r>
          </w:p>
        </w:tc>
        <w:tc>
          <w:tcPr>
            <w:tcW w:w="2520" w:type="dxa"/>
          </w:tcPr>
          <w:p w14:paraId="63C39BCA" w14:textId="77777777" w:rsidR="00FD7E85" w:rsidRDefault="00F456FA">
            <w:pPr>
              <w:jc w:val="both"/>
              <w:rPr>
                <w:rFonts w:ascii="Arial" w:hAnsi="Arial" w:cs="Arial"/>
                <w:b/>
                <w:bCs/>
                <w:lang w:val="en" w:eastAsia="en-GB"/>
              </w:rPr>
            </w:pPr>
            <w:r>
              <w:rPr>
                <w:rFonts w:ascii="Arial" w:hAnsi="Arial" w:cs="Arial"/>
                <w:b/>
                <w:bCs/>
                <w:lang w:val="en" w:eastAsia="en-GB"/>
              </w:rPr>
              <w:t>0.254</w:t>
            </w:r>
          </w:p>
        </w:tc>
        <w:tc>
          <w:tcPr>
            <w:tcW w:w="2525" w:type="dxa"/>
          </w:tcPr>
          <w:p w14:paraId="623C91F6" w14:textId="77777777" w:rsidR="00FD7E85" w:rsidRDefault="00F456FA">
            <w:pPr>
              <w:jc w:val="both"/>
              <w:rPr>
                <w:rFonts w:ascii="Arial" w:hAnsi="Arial" w:cs="Arial"/>
                <w:b/>
                <w:bCs/>
                <w:lang w:val="en" w:eastAsia="en-GB"/>
              </w:rPr>
            </w:pPr>
            <w:r>
              <w:rPr>
                <w:rFonts w:ascii="Arial" w:hAnsi="Arial" w:cs="Arial"/>
                <w:b/>
                <w:bCs/>
                <w:lang w:val="en" w:eastAsia="en-GB"/>
              </w:rPr>
              <w:t>0.116</w:t>
            </w:r>
          </w:p>
        </w:tc>
        <w:tc>
          <w:tcPr>
            <w:tcW w:w="2245" w:type="dxa"/>
          </w:tcPr>
          <w:p w14:paraId="48B874B1" w14:textId="77777777" w:rsidR="00FD7E85" w:rsidRDefault="00F456FA">
            <w:pPr>
              <w:jc w:val="both"/>
              <w:rPr>
                <w:rFonts w:ascii="Arial" w:hAnsi="Arial" w:cs="Arial"/>
                <w:b/>
                <w:bCs/>
                <w:lang w:val="en" w:eastAsia="en-GB"/>
              </w:rPr>
            </w:pPr>
            <w:r>
              <w:rPr>
                <w:rFonts w:ascii="Arial" w:hAnsi="Arial" w:cs="Arial"/>
                <w:b/>
                <w:bCs/>
                <w:lang w:val="en" w:eastAsia="en-GB"/>
              </w:rPr>
              <w:t>0.046- 1.401</w:t>
            </w:r>
          </w:p>
        </w:tc>
      </w:tr>
      <w:tr w:rsidR="00FD7E85" w14:paraId="289E038E" w14:textId="77777777">
        <w:tc>
          <w:tcPr>
            <w:tcW w:w="3060" w:type="dxa"/>
          </w:tcPr>
          <w:p w14:paraId="21A45B6F" w14:textId="77777777" w:rsidR="00FD7E85" w:rsidRDefault="00F456FA">
            <w:pPr>
              <w:jc w:val="both"/>
              <w:rPr>
                <w:rFonts w:ascii="Arial" w:hAnsi="Arial" w:cs="Arial"/>
                <w:b/>
                <w:bCs/>
                <w:lang w:val="en" w:eastAsia="en-GB"/>
              </w:rPr>
            </w:pPr>
            <w:r>
              <w:rPr>
                <w:rFonts w:ascii="Arial" w:hAnsi="Arial" w:cs="Arial"/>
                <w:b/>
                <w:bCs/>
                <w:lang w:val="en" w:eastAsia="en-GB"/>
              </w:rPr>
              <w:t>above 37</w:t>
            </w:r>
          </w:p>
        </w:tc>
        <w:tc>
          <w:tcPr>
            <w:tcW w:w="2520" w:type="dxa"/>
          </w:tcPr>
          <w:p w14:paraId="3954853F" w14:textId="77777777" w:rsidR="00FD7E85" w:rsidRDefault="00F456FA">
            <w:pPr>
              <w:jc w:val="both"/>
              <w:rPr>
                <w:rFonts w:ascii="Arial" w:hAnsi="Arial" w:cs="Arial"/>
                <w:b/>
                <w:bCs/>
                <w:lang w:val="en" w:eastAsia="en-GB"/>
              </w:rPr>
            </w:pPr>
            <w:r>
              <w:rPr>
                <w:rFonts w:ascii="Arial" w:hAnsi="Arial" w:cs="Arial"/>
                <w:b/>
                <w:bCs/>
                <w:lang w:val="en" w:eastAsia="en-GB"/>
              </w:rPr>
              <w:t>0.419</w:t>
            </w:r>
          </w:p>
        </w:tc>
        <w:tc>
          <w:tcPr>
            <w:tcW w:w="2525" w:type="dxa"/>
          </w:tcPr>
          <w:p w14:paraId="7A888625" w14:textId="77777777" w:rsidR="00FD7E85" w:rsidRDefault="00F456FA">
            <w:pPr>
              <w:jc w:val="both"/>
              <w:rPr>
                <w:rFonts w:ascii="Arial" w:hAnsi="Arial" w:cs="Arial"/>
                <w:b/>
                <w:bCs/>
                <w:lang w:val="en" w:eastAsia="en-GB"/>
              </w:rPr>
            </w:pPr>
            <w:r>
              <w:rPr>
                <w:rFonts w:ascii="Arial" w:hAnsi="Arial" w:cs="Arial"/>
                <w:b/>
                <w:bCs/>
                <w:lang w:val="en" w:eastAsia="en-GB"/>
              </w:rPr>
              <w:t>0.382</w:t>
            </w:r>
          </w:p>
        </w:tc>
        <w:tc>
          <w:tcPr>
            <w:tcW w:w="2245" w:type="dxa"/>
          </w:tcPr>
          <w:p w14:paraId="628F257C" w14:textId="77777777" w:rsidR="00FD7E85" w:rsidRDefault="00F456FA">
            <w:pPr>
              <w:jc w:val="both"/>
              <w:rPr>
                <w:rFonts w:ascii="Arial" w:hAnsi="Arial" w:cs="Arial"/>
                <w:b/>
                <w:bCs/>
                <w:lang w:val="en" w:eastAsia="en-GB"/>
              </w:rPr>
            </w:pPr>
            <w:r>
              <w:rPr>
                <w:rFonts w:ascii="Arial" w:hAnsi="Arial" w:cs="Arial"/>
                <w:b/>
                <w:bCs/>
                <w:lang w:val="en" w:eastAsia="en-GB"/>
              </w:rPr>
              <w:t>0.059- 2.944</w:t>
            </w:r>
          </w:p>
        </w:tc>
      </w:tr>
      <w:tr w:rsidR="00FD7E85" w14:paraId="555D559F" w14:textId="77777777">
        <w:tc>
          <w:tcPr>
            <w:tcW w:w="3060" w:type="dxa"/>
          </w:tcPr>
          <w:p w14:paraId="50FB1B94" w14:textId="77777777" w:rsidR="00FD7E85" w:rsidRDefault="00FD7E85">
            <w:pPr>
              <w:jc w:val="both"/>
              <w:rPr>
                <w:rFonts w:ascii="Arial" w:hAnsi="Arial" w:cs="Arial"/>
                <w:b/>
                <w:lang w:val="en" w:eastAsia="en-GB"/>
              </w:rPr>
            </w:pPr>
          </w:p>
        </w:tc>
        <w:tc>
          <w:tcPr>
            <w:tcW w:w="2520" w:type="dxa"/>
          </w:tcPr>
          <w:p w14:paraId="4C5DD10F" w14:textId="77777777" w:rsidR="00FD7E85" w:rsidRDefault="00FD7E85">
            <w:pPr>
              <w:jc w:val="both"/>
              <w:rPr>
                <w:rFonts w:ascii="Arial" w:hAnsi="Arial" w:cs="Arial"/>
                <w:b/>
                <w:lang w:val="en" w:eastAsia="en-GB"/>
              </w:rPr>
            </w:pPr>
          </w:p>
        </w:tc>
        <w:tc>
          <w:tcPr>
            <w:tcW w:w="2525" w:type="dxa"/>
          </w:tcPr>
          <w:p w14:paraId="462A138D" w14:textId="77777777" w:rsidR="00FD7E85" w:rsidRDefault="00FD7E85">
            <w:pPr>
              <w:jc w:val="both"/>
              <w:rPr>
                <w:rFonts w:ascii="Arial" w:hAnsi="Arial" w:cs="Arial"/>
                <w:b/>
                <w:lang w:val="en" w:eastAsia="en-GB"/>
              </w:rPr>
            </w:pPr>
          </w:p>
        </w:tc>
        <w:tc>
          <w:tcPr>
            <w:tcW w:w="2245" w:type="dxa"/>
          </w:tcPr>
          <w:p w14:paraId="573CDFAA" w14:textId="77777777" w:rsidR="00FD7E85" w:rsidRDefault="00FD7E85">
            <w:pPr>
              <w:jc w:val="both"/>
              <w:rPr>
                <w:rFonts w:ascii="Arial" w:hAnsi="Arial" w:cs="Arial"/>
                <w:b/>
                <w:lang w:val="en" w:eastAsia="en-GB"/>
              </w:rPr>
            </w:pPr>
          </w:p>
        </w:tc>
      </w:tr>
      <w:tr w:rsidR="00FD7E85" w14:paraId="782A16DD" w14:textId="77777777">
        <w:tc>
          <w:tcPr>
            <w:tcW w:w="3060" w:type="dxa"/>
          </w:tcPr>
          <w:p w14:paraId="78AA9EEF" w14:textId="77777777" w:rsidR="00FD7E85" w:rsidRDefault="00F456FA">
            <w:pPr>
              <w:jc w:val="both"/>
              <w:rPr>
                <w:rFonts w:ascii="Arial" w:hAnsi="Arial" w:cs="Arial"/>
                <w:b/>
                <w:lang w:val="en" w:eastAsia="en-GB"/>
              </w:rPr>
            </w:pPr>
            <w:r>
              <w:rPr>
                <w:rFonts w:ascii="Arial" w:hAnsi="Arial" w:cs="Arial"/>
                <w:b/>
                <w:lang w:val="en" w:eastAsia="en-GB"/>
              </w:rPr>
              <w:t xml:space="preserve">Gestation age by ultrasound </w:t>
            </w:r>
          </w:p>
        </w:tc>
        <w:tc>
          <w:tcPr>
            <w:tcW w:w="2520" w:type="dxa"/>
          </w:tcPr>
          <w:p w14:paraId="44A01F6D" w14:textId="77777777" w:rsidR="00FD7E85" w:rsidRDefault="00FD7E85">
            <w:pPr>
              <w:jc w:val="both"/>
              <w:rPr>
                <w:rFonts w:ascii="Arial" w:hAnsi="Arial" w:cs="Arial"/>
                <w:b/>
                <w:lang w:val="en" w:eastAsia="en-GB"/>
              </w:rPr>
            </w:pPr>
          </w:p>
        </w:tc>
        <w:tc>
          <w:tcPr>
            <w:tcW w:w="2525" w:type="dxa"/>
          </w:tcPr>
          <w:p w14:paraId="4DE261F4" w14:textId="77777777" w:rsidR="00FD7E85" w:rsidRDefault="00FD7E85">
            <w:pPr>
              <w:jc w:val="both"/>
              <w:rPr>
                <w:rFonts w:ascii="Arial" w:hAnsi="Arial" w:cs="Arial"/>
                <w:b/>
                <w:lang w:val="en" w:eastAsia="en-GB"/>
              </w:rPr>
            </w:pPr>
          </w:p>
        </w:tc>
        <w:tc>
          <w:tcPr>
            <w:tcW w:w="2245" w:type="dxa"/>
          </w:tcPr>
          <w:p w14:paraId="00D4A0D1" w14:textId="77777777" w:rsidR="00FD7E85" w:rsidRDefault="00FD7E85">
            <w:pPr>
              <w:jc w:val="both"/>
              <w:rPr>
                <w:rFonts w:ascii="Arial" w:hAnsi="Arial" w:cs="Arial"/>
                <w:b/>
                <w:lang w:val="en" w:eastAsia="en-GB"/>
              </w:rPr>
            </w:pPr>
          </w:p>
        </w:tc>
      </w:tr>
      <w:tr w:rsidR="00FD7E85" w14:paraId="44B63D09" w14:textId="77777777">
        <w:tc>
          <w:tcPr>
            <w:tcW w:w="3060" w:type="dxa"/>
          </w:tcPr>
          <w:p w14:paraId="01BC0B2F" w14:textId="77777777" w:rsidR="00FD7E85" w:rsidRDefault="00F456FA">
            <w:pPr>
              <w:jc w:val="both"/>
              <w:rPr>
                <w:rFonts w:ascii="Arial" w:hAnsi="Arial" w:cs="Arial"/>
                <w:b/>
                <w:bCs/>
                <w:lang w:val="en" w:eastAsia="en-GB"/>
              </w:rPr>
            </w:pPr>
            <w:r>
              <w:rPr>
                <w:rFonts w:ascii="Arial" w:hAnsi="Arial" w:cs="Arial"/>
                <w:b/>
                <w:bCs/>
                <w:lang w:val="en" w:eastAsia="en-GB"/>
              </w:rPr>
              <w:t>28-32</w:t>
            </w:r>
          </w:p>
        </w:tc>
        <w:tc>
          <w:tcPr>
            <w:tcW w:w="2520" w:type="dxa"/>
          </w:tcPr>
          <w:p w14:paraId="2605C27F" w14:textId="77777777" w:rsidR="00FD7E85" w:rsidRDefault="00F456FA">
            <w:pPr>
              <w:jc w:val="both"/>
              <w:rPr>
                <w:rFonts w:ascii="Arial" w:hAnsi="Arial" w:cs="Arial"/>
                <w:b/>
                <w:bCs/>
                <w:lang w:val="en" w:eastAsia="en-GB"/>
              </w:rPr>
            </w:pPr>
            <w:r>
              <w:rPr>
                <w:rFonts w:ascii="Arial" w:hAnsi="Arial" w:cs="Arial"/>
                <w:b/>
                <w:bCs/>
                <w:lang w:val="en" w:eastAsia="en-GB"/>
              </w:rPr>
              <w:t>1</w:t>
            </w:r>
          </w:p>
        </w:tc>
        <w:tc>
          <w:tcPr>
            <w:tcW w:w="2525" w:type="dxa"/>
          </w:tcPr>
          <w:p w14:paraId="4603535C" w14:textId="77777777" w:rsidR="00FD7E85" w:rsidRDefault="00FD7E85">
            <w:pPr>
              <w:jc w:val="both"/>
              <w:rPr>
                <w:rFonts w:ascii="Arial" w:hAnsi="Arial" w:cs="Arial"/>
                <w:b/>
                <w:bCs/>
                <w:lang w:val="en" w:eastAsia="en-GB"/>
              </w:rPr>
            </w:pPr>
          </w:p>
        </w:tc>
        <w:tc>
          <w:tcPr>
            <w:tcW w:w="2245" w:type="dxa"/>
          </w:tcPr>
          <w:p w14:paraId="08A1DD5F" w14:textId="77777777" w:rsidR="00FD7E85" w:rsidRDefault="00FD7E85">
            <w:pPr>
              <w:jc w:val="both"/>
              <w:rPr>
                <w:rFonts w:ascii="Arial" w:hAnsi="Arial" w:cs="Arial"/>
                <w:b/>
                <w:bCs/>
                <w:lang w:val="en" w:eastAsia="en-GB"/>
              </w:rPr>
            </w:pPr>
          </w:p>
        </w:tc>
      </w:tr>
      <w:tr w:rsidR="00FD7E85" w14:paraId="0A70A02E" w14:textId="77777777">
        <w:tc>
          <w:tcPr>
            <w:tcW w:w="3060" w:type="dxa"/>
          </w:tcPr>
          <w:p w14:paraId="1E504C9A" w14:textId="77777777" w:rsidR="00FD7E85" w:rsidRDefault="00F456FA">
            <w:pPr>
              <w:jc w:val="both"/>
              <w:rPr>
                <w:rFonts w:ascii="Arial" w:hAnsi="Arial" w:cs="Arial"/>
                <w:b/>
                <w:bCs/>
                <w:lang w:val="en" w:eastAsia="en-GB"/>
              </w:rPr>
            </w:pPr>
            <w:r>
              <w:rPr>
                <w:rFonts w:ascii="Arial" w:hAnsi="Arial" w:cs="Arial"/>
                <w:b/>
                <w:bCs/>
                <w:lang w:val="en" w:eastAsia="en-GB"/>
              </w:rPr>
              <w:t>33-36</w:t>
            </w:r>
          </w:p>
        </w:tc>
        <w:tc>
          <w:tcPr>
            <w:tcW w:w="2520" w:type="dxa"/>
          </w:tcPr>
          <w:p w14:paraId="09976A9E" w14:textId="77777777" w:rsidR="00FD7E85" w:rsidRDefault="00F456FA">
            <w:pPr>
              <w:jc w:val="both"/>
              <w:rPr>
                <w:rFonts w:ascii="Arial" w:hAnsi="Arial" w:cs="Arial"/>
                <w:b/>
                <w:bCs/>
                <w:lang w:val="en" w:eastAsia="en-GB"/>
              </w:rPr>
            </w:pPr>
            <w:r>
              <w:rPr>
                <w:rFonts w:ascii="Arial" w:hAnsi="Arial" w:cs="Arial"/>
                <w:b/>
                <w:bCs/>
                <w:lang w:val="en" w:eastAsia="en-GB"/>
              </w:rPr>
              <w:t>0.280</w:t>
            </w:r>
          </w:p>
        </w:tc>
        <w:tc>
          <w:tcPr>
            <w:tcW w:w="2525" w:type="dxa"/>
          </w:tcPr>
          <w:p w14:paraId="10E1EB7E" w14:textId="77777777" w:rsidR="00FD7E85" w:rsidRDefault="00F456FA">
            <w:pPr>
              <w:jc w:val="both"/>
              <w:rPr>
                <w:rFonts w:ascii="Arial" w:hAnsi="Arial" w:cs="Arial"/>
                <w:b/>
                <w:bCs/>
                <w:lang w:val="en" w:eastAsia="en-GB"/>
              </w:rPr>
            </w:pPr>
            <w:r>
              <w:rPr>
                <w:rFonts w:ascii="Arial" w:hAnsi="Arial" w:cs="Arial"/>
                <w:b/>
                <w:bCs/>
                <w:lang w:val="en" w:eastAsia="en-GB"/>
              </w:rPr>
              <w:t>0.066</w:t>
            </w:r>
          </w:p>
        </w:tc>
        <w:tc>
          <w:tcPr>
            <w:tcW w:w="2245" w:type="dxa"/>
          </w:tcPr>
          <w:p w14:paraId="46140E2D" w14:textId="77777777" w:rsidR="00FD7E85" w:rsidRDefault="00F456FA">
            <w:pPr>
              <w:jc w:val="both"/>
              <w:rPr>
                <w:rFonts w:ascii="Arial" w:hAnsi="Arial" w:cs="Arial"/>
                <w:b/>
                <w:bCs/>
                <w:lang w:val="en" w:eastAsia="en-GB"/>
              </w:rPr>
            </w:pPr>
            <w:r>
              <w:rPr>
                <w:rFonts w:ascii="Arial" w:hAnsi="Arial" w:cs="Arial"/>
                <w:b/>
                <w:bCs/>
                <w:lang w:val="en" w:eastAsia="en-GB"/>
              </w:rPr>
              <w:t>0.052-1.495</w:t>
            </w:r>
          </w:p>
        </w:tc>
      </w:tr>
      <w:tr w:rsidR="00FD7E85" w14:paraId="798597EF" w14:textId="77777777">
        <w:tc>
          <w:tcPr>
            <w:tcW w:w="3060" w:type="dxa"/>
          </w:tcPr>
          <w:p w14:paraId="1DBDB14C" w14:textId="77777777" w:rsidR="00FD7E85" w:rsidRDefault="00F456FA">
            <w:pPr>
              <w:jc w:val="both"/>
              <w:rPr>
                <w:rFonts w:ascii="Arial" w:hAnsi="Arial" w:cs="Arial"/>
                <w:b/>
                <w:bCs/>
                <w:lang w:val="en" w:eastAsia="en-GB"/>
              </w:rPr>
            </w:pPr>
            <w:r>
              <w:rPr>
                <w:rFonts w:ascii="Arial" w:hAnsi="Arial" w:cs="Arial"/>
                <w:b/>
                <w:bCs/>
                <w:lang w:val="en" w:eastAsia="en-GB"/>
              </w:rPr>
              <w:t>Above 37</w:t>
            </w:r>
          </w:p>
        </w:tc>
        <w:tc>
          <w:tcPr>
            <w:tcW w:w="2520" w:type="dxa"/>
          </w:tcPr>
          <w:p w14:paraId="11476703" w14:textId="77777777" w:rsidR="00FD7E85" w:rsidRDefault="00F456FA">
            <w:pPr>
              <w:jc w:val="both"/>
              <w:rPr>
                <w:rFonts w:ascii="Arial" w:hAnsi="Arial" w:cs="Arial"/>
                <w:b/>
                <w:bCs/>
                <w:lang w:val="en" w:eastAsia="en-GB"/>
              </w:rPr>
            </w:pPr>
            <w:r>
              <w:rPr>
                <w:rFonts w:ascii="Arial" w:hAnsi="Arial" w:cs="Arial"/>
                <w:b/>
                <w:bCs/>
                <w:lang w:val="en" w:eastAsia="en-GB"/>
              </w:rPr>
              <w:t>1.026</w:t>
            </w:r>
          </w:p>
        </w:tc>
        <w:tc>
          <w:tcPr>
            <w:tcW w:w="2525" w:type="dxa"/>
          </w:tcPr>
          <w:p w14:paraId="7B478C9E" w14:textId="77777777" w:rsidR="00FD7E85" w:rsidRDefault="00F456FA">
            <w:pPr>
              <w:jc w:val="both"/>
              <w:rPr>
                <w:rFonts w:ascii="Arial" w:hAnsi="Arial" w:cs="Arial"/>
                <w:b/>
                <w:bCs/>
                <w:lang w:val="en" w:eastAsia="en-GB"/>
              </w:rPr>
            </w:pPr>
            <w:r>
              <w:rPr>
                <w:rFonts w:ascii="Arial" w:hAnsi="Arial" w:cs="Arial"/>
                <w:b/>
                <w:bCs/>
                <w:lang w:val="en" w:eastAsia="en-GB"/>
              </w:rPr>
              <w:t>0.056</w:t>
            </w:r>
          </w:p>
        </w:tc>
        <w:tc>
          <w:tcPr>
            <w:tcW w:w="2245" w:type="dxa"/>
          </w:tcPr>
          <w:p w14:paraId="02EA81E3" w14:textId="77777777" w:rsidR="00FD7E85" w:rsidRDefault="00F456FA">
            <w:pPr>
              <w:jc w:val="both"/>
              <w:rPr>
                <w:rFonts w:ascii="Arial" w:hAnsi="Arial" w:cs="Arial"/>
                <w:b/>
                <w:bCs/>
                <w:lang w:val="en" w:eastAsia="en-GB"/>
              </w:rPr>
            </w:pPr>
            <w:r>
              <w:rPr>
                <w:rFonts w:ascii="Arial" w:hAnsi="Arial" w:cs="Arial"/>
                <w:b/>
                <w:bCs/>
                <w:lang w:val="en" w:eastAsia="en-GB"/>
              </w:rPr>
              <w:t>0.074-3.275</w:t>
            </w:r>
          </w:p>
        </w:tc>
      </w:tr>
      <w:tr w:rsidR="00FD7E85" w14:paraId="79C8EB88" w14:textId="77777777">
        <w:tc>
          <w:tcPr>
            <w:tcW w:w="3060" w:type="dxa"/>
          </w:tcPr>
          <w:p w14:paraId="1522AE0E" w14:textId="77777777" w:rsidR="00FD7E85" w:rsidRDefault="00F456FA">
            <w:pPr>
              <w:jc w:val="both"/>
              <w:rPr>
                <w:rFonts w:ascii="Arial" w:hAnsi="Arial" w:cs="Arial"/>
                <w:b/>
                <w:lang w:val="en" w:eastAsia="en-GB"/>
              </w:rPr>
            </w:pPr>
            <w:r>
              <w:rPr>
                <w:rFonts w:ascii="Arial" w:hAnsi="Arial" w:cs="Arial"/>
                <w:b/>
                <w:lang w:val="en" w:eastAsia="en-GB"/>
              </w:rPr>
              <w:t>Weight by ultrasound</w:t>
            </w:r>
          </w:p>
        </w:tc>
        <w:tc>
          <w:tcPr>
            <w:tcW w:w="5045" w:type="dxa"/>
            <w:gridSpan w:val="2"/>
          </w:tcPr>
          <w:p w14:paraId="6E7C0DCC" w14:textId="77777777" w:rsidR="00FD7E85" w:rsidRDefault="00FD7E85">
            <w:pPr>
              <w:jc w:val="both"/>
              <w:rPr>
                <w:rFonts w:ascii="Arial" w:hAnsi="Arial" w:cs="Arial"/>
                <w:b/>
                <w:lang w:val="en" w:eastAsia="en-GB"/>
              </w:rPr>
            </w:pPr>
          </w:p>
        </w:tc>
        <w:tc>
          <w:tcPr>
            <w:tcW w:w="2245" w:type="dxa"/>
          </w:tcPr>
          <w:p w14:paraId="282A4C96" w14:textId="77777777" w:rsidR="00FD7E85" w:rsidRDefault="00FD7E85">
            <w:pPr>
              <w:jc w:val="both"/>
              <w:rPr>
                <w:rFonts w:ascii="Arial" w:hAnsi="Arial" w:cs="Arial"/>
                <w:b/>
                <w:lang w:val="en" w:eastAsia="en-GB"/>
              </w:rPr>
            </w:pPr>
          </w:p>
        </w:tc>
      </w:tr>
      <w:tr w:rsidR="00FD7E85" w14:paraId="08AEC62B" w14:textId="77777777">
        <w:tc>
          <w:tcPr>
            <w:tcW w:w="3060" w:type="dxa"/>
          </w:tcPr>
          <w:p w14:paraId="2C00C6D4" w14:textId="77777777" w:rsidR="00FD7E85" w:rsidRDefault="00F456FA">
            <w:pPr>
              <w:jc w:val="both"/>
              <w:rPr>
                <w:rFonts w:ascii="Arial" w:hAnsi="Arial" w:cs="Arial"/>
                <w:b/>
                <w:bCs/>
                <w:lang w:val="en" w:eastAsia="en-GB"/>
              </w:rPr>
            </w:pPr>
            <w:r>
              <w:rPr>
                <w:rFonts w:ascii="Arial" w:hAnsi="Arial" w:cs="Arial"/>
                <w:b/>
                <w:bCs/>
                <w:lang w:val="en" w:eastAsia="en-GB"/>
              </w:rPr>
              <w:t>AGA</w:t>
            </w:r>
          </w:p>
        </w:tc>
        <w:tc>
          <w:tcPr>
            <w:tcW w:w="2520" w:type="dxa"/>
          </w:tcPr>
          <w:p w14:paraId="34D887C3" w14:textId="77777777" w:rsidR="00FD7E85" w:rsidRDefault="00F456FA">
            <w:pPr>
              <w:jc w:val="both"/>
              <w:rPr>
                <w:rFonts w:ascii="Arial" w:hAnsi="Arial" w:cs="Arial"/>
                <w:b/>
                <w:bCs/>
                <w:lang w:val="en" w:eastAsia="en-GB"/>
              </w:rPr>
            </w:pPr>
            <w:r>
              <w:rPr>
                <w:rFonts w:ascii="Arial" w:hAnsi="Arial" w:cs="Arial"/>
                <w:b/>
                <w:bCs/>
                <w:lang w:val="en" w:eastAsia="en-GB"/>
              </w:rPr>
              <w:t>1</w:t>
            </w:r>
          </w:p>
        </w:tc>
        <w:tc>
          <w:tcPr>
            <w:tcW w:w="2525" w:type="dxa"/>
          </w:tcPr>
          <w:p w14:paraId="71DD0806" w14:textId="77777777" w:rsidR="00FD7E85" w:rsidRDefault="00FD7E85">
            <w:pPr>
              <w:jc w:val="both"/>
              <w:rPr>
                <w:rFonts w:ascii="Arial" w:hAnsi="Arial" w:cs="Arial"/>
                <w:b/>
                <w:bCs/>
                <w:lang w:val="en" w:eastAsia="en-GB"/>
              </w:rPr>
            </w:pPr>
          </w:p>
        </w:tc>
        <w:tc>
          <w:tcPr>
            <w:tcW w:w="2245" w:type="dxa"/>
          </w:tcPr>
          <w:p w14:paraId="4789B342" w14:textId="77777777" w:rsidR="00FD7E85" w:rsidRDefault="00FD7E85">
            <w:pPr>
              <w:jc w:val="both"/>
              <w:rPr>
                <w:rFonts w:ascii="Arial" w:hAnsi="Arial" w:cs="Arial"/>
                <w:b/>
                <w:bCs/>
                <w:lang w:val="en" w:eastAsia="en-GB"/>
              </w:rPr>
            </w:pPr>
          </w:p>
        </w:tc>
      </w:tr>
      <w:tr w:rsidR="00FD7E85" w14:paraId="2DF05ACF" w14:textId="77777777">
        <w:tc>
          <w:tcPr>
            <w:tcW w:w="3060" w:type="dxa"/>
          </w:tcPr>
          <w:p w14:paraId="33F51545" w14:textId="77777777" w:rsidR="00FD7E85" w:rsidRDefault="00F456FA">
            <w:pPr>
              <w:jc w:val="both"/>
              <w:rPr>
                <w:rFonts w:ascii="Arial" w:hAnsi="Arial" w:cs="Arial"/>
                <w:b/>
                <w:bCs/>
                <w:lang w:val="en" w:eastAsia="en-GB"/>
              </w:rPr>
            </w:pPr>
            <w:r>
              <w:rPr>
                <w:rFonts w:ascii="Arial" w:hAnsi="Arial" w:cs="Arial"/>
                <w:b/>
                <w:bCs/>
                <w:lang w:val="en" w:eastAsia="en-GB"/>
              </w:rPr>
              <w:t>SGA</w:t>
            </w:r>
          </w:p>
        </w:tc>
        <w:tc>
          <w:tcPr>
            <w:tcW w:w="2520" w:type="dxa"/>
          </w:tcPr>
          <w:p w14:paraId="5C3DD401" w14:textId="77777777" w:rsidR="00FD7E85" w:rsidRDefault="00F456FA">
            <w:pPr>
              <w:jc w:val="both"/>
              <w:rPr>
                <w:rFonts w:ascii="Arial" w:hAnsi="Arial" w:cs="Arial"/>
                <w:b/>
                <w:bCs/>
                <w:lang w:val="en" w:eastAsia="en-GB"/>
              </w:rPr>
            </w:pPr>
            <w:r>
              <w:rPr>
                <w:rFonts w:ascii="Arial" w:hAnsi="Arial" w:cs="Arial"/>
                <w:b/>
                <w:bCs/>
                <w:lang w:val="en" w:eastAsia="en-GB"/>
              </w:rPr>
              <w:t>0.786</w:t>
            </w:r>
          </w:p>
        </w:tc>
        <w:tc>
          <w:tcPr>
            <w:tcW w:w="2525" w:type="dxa"/>
          </w:tcPr>
          <w:p w14:paraId="4AFAFF55" w14:textId="77777777" w:rsidR="00FD7E85" w:rsidRDefault="00F456FA">
            <w:pPr>
              <w:jc w:val="both"/>
              <w:rPr>
                <w:rFonts w:ascii="Arial" w:hAnsi="Arial" w:cs="Arial"/>
                <w:b/>
                <w:bCs/>
                <w:lang w:val="en" w:eastAsia="en-GB"/>
              </w:rPr>
            </w:pPr>
            <w:r>
              <w:rPr>
                <w:rFonts w:ascii="Arial" w:hAnsi="Arial" w:cs="Arial"/>
                <w:b/>
                <w:bCs/>
                <w:lang w:val="en" w:eastAsia="en-GB"/>
              </w:rPr>
              <w:t>0.815</w:t>
            </w:r>
          </w:p>
        </w:tc>
        <w:tc>
          <w:tcPr>
            <w:tcW w:w="2245" w:type="dxa"/>
          </w:tcPr>
          <w:p w14:paraId="1A2238F9" w14:textId="77777777" w:rsidR="00FD7E85" w:rsidRDefault="00F456FA">
            <w:pPr>
              <w:jc w:val="both"/>
              <w:rPr>
                <w:rFonts w:ascii="Arial" w:hAnsi="Arial" w:cs="Arial"/>
                <w:b/>
                <w:bCs/>
                <w:lang w:val="en" w:eastAsia="en-GB"/>
              </w:rPr>
            </w:pPr>
            <w:r>
              <w:rPr>
                <w:rFonts w:ascii="Arial" w:hAnsi="Arial" w:cs="Arial"/>
                <w:b/>
                <w:bCs/>
                <w:lang w:val="en" w:eastAsia="en-GB"/>
              </w:rPr>
              <w:t>0.106 -5.834</w:t>
            </w:r>
          </w:p>
        </w:tc>
      </w:tr>
      <w:tr w:rsidR="00FD7E85" w14:paraId="32657D74" w14:textId="77777777">
        <w:tc>
          <w:tcPr>
            <w:tcW w:w="3060" w:type="dxa"/>
          </w:tcPr>
          <w:p w14:paraId="78D8936F" w14:textId="77777777" w:rsidR="00FD7E85" w:rsidRDefault="00F456FA">
            <w:pPr>
              <w:jc w:val="both"/>
              <w:rPr>
                <w:rFonts w:ascii="Arial" w:hAnsi="Arial" w:cs="Arial"/>
                <w:b/>
                <w:lang w:val="en" w:eastAsia="en-GB"/>
              </w:rPr>
            </w:pPr>
            <w:r>
              <w:rPr>
                <w:rFonts w:ascii="Arial" w:hAnsi="Arial" w:cs="Arial"/>
                <w:b/>
                <w:lang w:val="en" w:eastAsia="en-GB"/>
              </w:rPr>
              <w:t>Systolic blood pressure</w:t>
            </w:r>
          </w:p>
        </w:tc>
        <w:tc>
          <w:tcPr>
            <w:tcW w:w="2520" w:type="dxa"/>
          </w:tcPr>
          <w:p w14:paraId="279CFA2B" w14:textId="77777777" w:rsidR="00FD7E85" w:rsidRDefault="00FD7E85">
            <w:pPr>
              <w:jc w:val="both"/>
              <w:rPr>
                <w:rFonts w:ascii="Arial" w:hAnsi="Arial" w:cs="Arial"/>
                <w:b/>
                <w:lang w:val="en" w:eastAsia="en-GB"/>
              </w:rPr>
            </w:pPr>
          </w:p>
        </w:tc>
        <w:tc>
          <w:tcPr>
            <w:tcW w:w="2525" w:type="dxa"/>
          </w:tcPr>
          <w:p w14:paraId="4C360C60" w14:textId="77777777" w:rsidR="00FD7E85" w:rsidRDefault="00FD7E85">
            <w:pPr>
              <w:jc w:val="both"/>
              <w:rPr>
                <w:rFonts w:ascii="Arial" w:hAnsi="Arial" w:cs="Arial"/>
                <w:b/>
                <w:lang w:val="en" w:eastAsia="en-GB"/>
              </w:rPr>
            </w:pPr>
          </w:p>
        </w:tc>
        <w:tc>
          <w:tcPr>
            <w:tcW w:w="2245" w:type="dxa"/>
          </w:tcPr>
          <w:p w14:paraId="5085A706" w14:textId="77777777" w:rsidR="00FD7E85" w:rsidRDefault="00FD7E85">
            <w:pPr>
              <w:jc w:val="both"/>
              <w:rPr>
                <w:rFonts w:ascii="Arial" w:hAnsi="Arial" w:cs="Arial"/>
                <w:b/>
                <w:lang w:val="en" w:eastAsia="en-GB"/>
              </w:rPr>
            </w:pPr>
          </w:p>
        </w:tc>
      </w:tr>
      <w:tr w:rsidR="00FD7E85" w14:paraId="02C86983" w14:textId="77777777">
        <w:tc>
          <w:tcPr>
            <w:tcW w:w="3060" w:type="dxa"/>
          </w:tcPr>
          <w:p w14:paraId="7A8A90AC" w14:textId="77777777" w:rsidR="00FD7E85" w:rsidRDefault="00F456FA">
            <w:pPr>
              <w:jc w:val="both"/>
              <w:rPr>
                <w:rFonts w:ascii="Arial" w:hAnsi="Arial" w:cs="Arial"/>
                <w:b/>
                <w:bCs/>
                <w:lang w:val="en" w:eastAsia="en-GB"/>
              </w:rPr>
            </w:pPr>
            <w:r>
              <w:rPr>
                <w:rFonts w:ascii="Arial" w:hAnsi="Arial" w:cs="Arial"/>
                <w:b/>
                <w:bCs/>
                <w:lang w:val="en" w:eastAsia="en-GB"/>
              </w:rPr>
              <w:t>Normal</w:t>
            </w:r>
          </w:p>
        </w:tc>
        <w:tc>
          <w:tcPr>
            <w:tcW w:w="2520" w:type="dxa"/>
          </w:tcPr>
          <w:p w14:paraId="30DD05E7" w14:textId="77777777" w:rsidR="00FD7E85" w:rsidRDefault="00F456FA">
            <w:pPr>
              <w:jc w:val="both"/>
              <w:rPr>
                <w:rFonts w:ascii="Arial" w:hAnsi="Arial" w:cs="Arial"/>
                <w:b/>
                <w:bCs/>
                <w:lang w:val="en" w:eastAsia="en-GB"/>
              </w:rPr>
            </w:pPr>
            <w:r>
              <w:rPr>
                <w:rFonts w:ascii="Arial" w:hAnsi="Arial" w:cs="Arial"/>
                <w:b/>
                <w:bCs/>
                <w:lang w:val="en" w:eastAsia="en-GB"/>
              </w:rPr>
              <w:t xml:space="preserve">1 </w:t>
            </w:r>
          </w:p>
        </w:tc>
        <w:tc>
          <w:tcPr>
            <w:tcW w:w="2525" w:type="dxa"/>
          </w:tcPr>
          <w:p w14:paraId="2A384CA8" w14:textId="77777777" w:rsidR="00FD7E85" w:rsidRDefault="00FD7E85">
            <w:pPr>
              <w:jc w:val="both"/>
              <w:rPr>
                <w:rFonts w:ascii="Arial" w:hAnsi="Arial" w:cs="Arial"/>
                <w:b/>
                <w:bCs/>
                <w:lang w:val="en" w:eastAsia="en-GB"/>
              </w:rPr>
            </w:pPr>
          </w:p>
        </w:tc>
        <w:tc>
          <w:tcPr>
            <w:tcW w:w="2245" w:type="dxa"/>
          </w:tcPr>
          <w:p w14:paraId="4CE1856C" w14:textId="77777777" w:rsidR="00FD7E85" w:rsidRDefault="00FD7E85">
            <w:pPr>
              <w:jc w:val="both"/>
              <w:rPr>
                <w:rFonts w:ascii="Arial" w:hAnsi="Arial" w:cs="Arial"/>
                <w:b/>
                <w:bCs/>
                <w:lang w:val="en" w:eastAsia="en-GB"/>
              </w:rPr>
            </w:pPr>
          </w:p>
        </w:tc>
      </w:tr>
      <w:tr w:rsidR="00FD7E85" w14:paraId="1FA21FC2" w14:textId="77777777">
        <w:tc>
          <w:tcPr>
            <w:tcW w:w="3060" w:type="dxa"/>
          </w:tcPr>
          <w:p w14:paraId="5D8481EE" w14:textId="77777777" w:rsidR="00FD7E85" w:rsidRDefault="00F456FA">
            <w:pPr>
              <w:jc w:val="both"/>
              <w:rPr>
                <w:rFonts w:ascii="Arial" w:hAnsi="Arial" w:cs="Arial"/>
                <w:b/>
                <w:bCs/>
                <w:lang w:val="en" w:eastAsia="en-GB"/>
              </w:rPr>
            </w:pPr>
            <w:r>
              <w:rPr>
                <w:rFonts w:ascii="Arial" w:hAnsi="Arial" w:cs="Arial"/>
                <w:b/>
                <w:bCs/>
                <w:lang w:val="en" w:eastAsia="en-GB"/>
              </w:rPr>
              <w:t>mild high systolic</w:t>
            </w:r>
          </w:p>
        </w:tc>
        <w:tc>
          <w:tcPr>
            <w:tcW w:w="2520" w:type="dxa"/>
          </w:tcPr>
          <w:p w14:paraId="3F798245" w14:textId="77777777" w:rsidR="00FD7E85" w:rsidRDefault="00F456FA">
            <w:pPr>
              <w:jc w:val="both"/>
              <w:rPr>
                <w:rFonts w:ascii="Arial" w:hAnsi="Arial" w:cs="Arial"/>
                <w:b/>
                <w:bCs/>
                <w:lang w:val="en" w:eastAsia="en-GB"/>
              </w:rPr>
            </w:pPr>
            <w:r>
              <w:rPr>
                <w:rFonts w:ascii="Arial" w:hAnsi="Arial" w:cs="Arial"/>
                <w:b/>
                <w:bCs/>
                <w:lang w:val="en" w:eastAsia="en-GB"/>
              </w:rPr>
              <w:t>1.005</w:t>
            </w:r>
          </w:p>
        </w:tc>
        <w:tc>
          <w:tcPr>
            <w:tcW w:w="2525" w:type="dxa"/>
          </w:tcPr>
          <w:p w14:paraId="338776BF" w14:textId="77777777" w:rsidR="00FD7E85" w:rsidRDefault="00F456FA">
            <w:pPr>
              <w:jc w:val="both"/>
              <w:rPr>
                <w:rFonts w:ascii="Arial" w:hAnsi="Arial" w:cs="Arial"/>
                <w:b/>
                <w:bCs/>
                <w:lang w:val="en" w:eastAsia="en-GB"/>
              </w:rPr>
            </w:pPr>
            <w:r>
              <w:rPr>
                <w:rFonts w:ascii="Arial" w:hAnsi="Arial" w:cs="Arial"/>
                <w:b/>
                <w:bCs/>
                <w:lang w:val="en" w:eastAsia="en-GB"/>
              </w:rPr>
              <w:t>0.992</w:t>
            </w:r>
          </w:p>
        </w:tc>
        <w:tc>
          <w:tcPr>
            <w:tcW w:w="2245" w:type="dxa"/>
          </w:tcPr>
          <w:p w14:paraId="6EE34384" w14:textId="77777777" w:rsidR="00FD7E85" w:rsidRDefault="00F456FA">
            <w:pPr>
              <w:jc w:val="both"/>
              <w:rPr>
                <w:rFonts w:ascii="Arial" w:hAnsi="Arial" w:cs="Arial"/>
                <w:b/>
                <w:bCs/>
                <w:lang w:val="en" w:eastAsia="en-GB"/>
              </w:rPr>
            </w:pPr>
            <w:r>
              <w:rPr>
                <w:rFonts w:ascii="Arial" w:hAnsi="Arial" w:cs="Arial"/>
                <w:b/>
                <w:bCs/>
                <w:lang w:val="en" w:eastAsia="en-GB"/>
              </w:rPr>
              <w:t>0.355-2.838</w:t>
            </w:r>
          </w:p>
        </w:tc>
      </w:tr>
      <w:tr w:rsidR="00FD7E85" w14:paraId="54571BA8" w14:textId="77777777">
        <w:tc>
          <w:tcPr>
            <w:tcW w:w="3060" w:type="dxa"/>
          </w:tcPr>
          <w:p w14:paraId="29A9123F" w14:textId="77777777" w:rsidR="00FD7E85" w:rsidRDefault="00F456FA">
            <w:pPr>
              <w:jc w:val="both"/>
              <w:rPr>
                <w:rFonts w:ascii="Arial" w:hAnsi="Arial" w:cs="Arial"/>
                <w:b/>
                <w:bCs/>
                <w:lang w:val="en" w:eastAsia="en-GB"/>
              </w:rPr>
            </w:pPr>
            <w:r>
              <w:rPr>
                <w:rFonts w:ascii="Arial" w:hAnsi="Arial" w:cs="Arial"/>
                <w:b/>
                <w:bCs/>
                <w:lang w:val="en" w:eastAsia="en-GB"/>
              </w:rPr>
              <w:t>moderate high systolic</w:t>
            </w:r>
          </w:p>
        </w:tc>
        <w:tc>
          <w:tcPr>
            <w:tcW w:w="2520" w:type="dxa"/>
          </w:tcPr>
          <w:p w14:paraId="562DBA46" w14:textId="77777777" w:rsidR="00FD7E85" w:rsidRDefault="00F456FA">
            <w:pPr>
              <w:jc w:val="both"/>
              <w:rPr>
                <w:rFonts w:ascii="Arial" w:hAnsi="Arial" w:cs="Arial"/>
                <w:b/>
                <w:bCs/>
                <w:lang w:val="en" w:eastAsia="en-GB"/>
              </w:rPr>
            </w:pPr>
            <w:r>
              <w:rPr>
                <w:rFonts w:ascii="Arial" w:hAnsi="Arial" w:cs="Arial"/>
                <w:b/>
                <w:bCs/>
                <w:lang w:val="en" w:eastAsia="en-GB"/>
              </w:rPr>
              <w:t>1.572</w:t>
            </w:r>
          </w:p>
        </w:tc>
        <w:tc>
          <w:tcPr>
            <w:tcW w:w="2525" w:type="dxa"/>
          </w:tcPr>
          <w:p w14:paraId="335002E5" w14:textId="77777777" w:rsidR="00FD7E85" w:rsidRDefault="00F456FA">
            <w:pPr>
              <w:jc w:val="both"/>
              <w:rPr>
                <w:rFonts w:ascii="Arial" w:hAnsi="Arial" w:cs="Arial"/>
                <w:b/>
                <w:bCs/>
                <w:lang w:val="en" w:eastAsia="en-GB"/>
              </w:rPr>
            </w:pPr>
            <w:r>
              <w:rPr>
                <w:rFonts w:ascii="Arial" w:hAnsi="Arial" w:cs="Arial"/>
                <w:b/>
                <w:bCs/>
                <w:lang w:val="en" w:eastAsia="en-GB"/>
              </w:rPr>
              <w:t>0.047</w:t>
            </w:r>
          </w:p>
        </w:tc>
        <w:tc>
          <w:tcPr>
            <w:tcW w:w="2245" w:type="dxa"/>
          </w:tcPr>
          <w:p w14:paraId="1F8BE183" w14:textId="77777777" w:rsidR="00FD7E85" w:rsidRDefault="00F456FA">
            <w:pPr>
              <w:jc w:val="both"/>
              <w:rPr>
                <w:rFonts w:ascii="Arial" w:hAnsi="Arial" w:cs="Arial"/>
                <w:b/>
                <w:bCs/>
                <w:lang w:val="en" w:eastAsia="en-GB"/>
              </w:rPr>
            </w:pPr>
            <w:r>
              <w:rPr>
                <w:rFonts w:ascii="Arial" w:hAnsi="Arial" w:cs="Arial"/>
                <w:b/>
                <w:bCs/>
                <w:lang w:val="en" w:eastAsia="en-GB"/>
              </w:rPr>
              <w:t>0.119- 2.734</w:t>
            </w:r>
          </w:p>
        </w:tc>
      </w:tr>
      <w:tr w:rsidR="00FD7E85" w14:paraId="2EEB9EC5" w14:textId="77777777">
        <w:tc>
          <w:tcPr>
            <w:tcW w:w="3060" w:type="dxa"/>
          </w:tcPr>
          <w:p w14:paraId="2CCCD74C" w14:textId="77777777" w:rsidR="00FD7E85" w:rsidRDefault="00F456FA">
            <w:pPr>
              <w:jc w:val="both"/>
              <w:rPr>
                <w:rFonts w:ascii="Arial" w:hAnsi="Arial" w:cs="Arial"/>
                <w:b/>
                <w:bCs/>
                <w:lang w:val="en" w:eastAsia="en-GB"/>
              </w:rPr>
            </w:pPr>
            <w:r>
              <w:rPr>
                <w:rFonts w:ascii="Arial" w:hAnsi="Arial" w:cs="Arial"/>
                <w:b/>
                <w:bCs/>
                <w:lang w:val="en" w:eastAsia="en-GB"/>
              </w:rPr>
              <w:t>severe systolic</w:t>
            </w:r>
          </w:p>
        </w:tc>
        <w:tc>
          <w:tcPr>
            <w:tcW w:w="2520" w:type="dxa"/>
          </w:tcPr>
          <w:p w14:paraId="496C3B3A" w14:textId="77777777" w:rsidR="00FD7E85" w:rsidRDefault="00F456FA">
            <w:pPr>
              <w:jc w:val="both"/>
              <w:rPr>
                <w:rFonts w:ascii="Arial" w:hAnsi="Arial" w:cs="Arial"/>
                <w:b/>
                <w:bCs/>
                <w:lang w:val="en" w:eastAsia="en-GB"/>
              </w:rPr>
            </w:pPr>
            <w:r>
              <w:rPr>
                <w:rFonts w:ascii="Arial" w:hAnsi="Arial" w:cs="Arial"/>
                <w:b/>
                <w:bCs/>
                <w:lang w:val="en" w:eastAsia="en-GB"/>
              </w:rPr>
              <w:t>1.759</w:t>
            </w:r>
          </w:p>
        </w:tc>
        <w:tc>
          <w:tcPr>
            <w:tcW w:w="2525" w:type="dxa"/>
          </w:tcPr>
          <w:p w14:paraId="5828F7E3" w14:textId="77777777" w:rsidR="00FD7E85" w:rsidRDefault="00F456FA">
            <w:pPr>
              <w:jc w:val="both"/>
              <w:rPr>
                <w:rFonts w:ascii="Arial" w:hAnsi="Arial" w:cs="Arial"/>
                <w:b/>
                <w:bCs/>
                <w:lang w:val="en" w:eastAsia="en-GB"/>
              </w:rPr>
            </w:pPr>
            <w:r>
              <w:rPr>
                <w:rFonts w:ascii="Arial" w:hAnsi="Arial" w:cs="Arial"/>
                <w:b/>
                <w:bCs/>
                <w:lang w:val="en" w:eastAsia="en-GB"/>
              </w:rPr>
              <w:t>0.034</w:t>
            </w:r>
          </w:p>
        </w:tc>
        <w:tc>
          <w:tcPr>
            <w:tcW w:w="2245" w:type="dxa"/>
          </w:tcPr>
          <w:p w14:paraId="36BA94CF" w14:textId="77777777" w:rsidR="00FD7E85" w:rsidRDefault="00F456FA">
            <w:pPr>
              <w:jc w:val="both"/>
              <w:rPr>
                <w:rFonts w:ascii="Arial" w:hAnsi="Arial" w:cs="Arial"/>
                <w:b/>
                <w:bCs/>
                <w:lang w:val="en" w:eastAsia="en-GB"/>
              </w:rPr>
            </w:pPr>
            <w:r>
              <w:rPr>
                <w:rFonts w:ascii="Arial" w:hAnsi="Arial" w:cs="Arial"/>
                <w:b/>
                <w:bCs/>
                <w:lang w:val="en" w:eastAsia="en-GB"/>
              </w:rPr>
              <w:t>0.167- 3.452</w:t>
            </w:r>
          </w:p>
        </w:tc>
      </w:tr>
      <w:tr w:rsidR="00FD7E85" w14:paraId="1547378B" w14:textId="77777777">
        <w:tc>
          <w:tcPr>
            <w:tcW w:w="3060" w:type="dxa"/>
          </w:tcPr>
          <w:p w14:paraId="2036AFAE" w14:textId="77777777" w:rsidR="00FD7E85" w:rsidRDefault="00F456FA">
            <w:pPr>
              <w:jc w:val="both"/>
              <w:rPr>
                <w:rFonts w:ascii="Arial" w:hAnsi="Arial" w:cs="Arial"/>
                <w:b/>
                <w:lang w:val="en" w:eastAsia="en-GB"/>
              </w:rPr>
            </w:pPr>
            <w:r>
              <w:rPr>
                <w:rFonts w:ascii="Arial" w:hAnsi="Arial" w:cs="Arial"/>
                <w:b/>
                <w:lang w:val="en" w:eastAsia="en-GB"/>
              </w:rPr>
              <w:t xml:space="preserve">Diastolic blood pressure </w:t>
            </w:r>
          </w:p>
        </w:tc>
        <w:tc>
          <w:tcPr>
            <w:tcW w:w="2520" w:type="dxa"/>
          </w:tcPr>
          <w:p w14:paraId="6CFE5DF5" w14:textId="77777777" w:rsidR="00FD7E85" w:rsidRDefault="00FD7E85">
            <w:pPr>
              <w:jc w:val="both"/>
              <w:rPr>
                <w:rFonts w:ascii="Arial" w:hAnsi="Arial" w:cs="Arial"/>
                <w:b/>
                <w:lang w:val="en" w:eastAsia="en-GB"/>
              </w:rPr>
            </w:pPr>
          </w:p>
        </w:tc>
        <w:tc>
          <w:tcPr>
            <w:tcW w:w="2525" w:type="dxa"/>
          </w:tcPr>
          <w:p w14:paraId="75675F3C" w14:textId="77777777" w:rsidR="00FD7E85" w:rsidRDefault="00FD7E85">
            <w:pPr>
              <w:jc w:val="both"/>
              <w:rPr>
                <w:rFonts w:ascii="Arial" w:hAnsi="Arial" w:cs="Arial"/>
                <w:b/>
                <w:lang w:val="en" w:eastAsia="en-GB"/>
              </w:rPr>
            </w:pPr>
          </w:p>
        </w:tc>
        <w:tc>
          <w:tcPr>
            <w:tcW w:w="2245" w:type="dxa"/>
          </w:tcPr>
          <w:p w14:paraId="19BD7BE8" w14:textId="77777777" w:rsidR="00FD7E85" w:rsidRDefault="00FD7E85">
            <w:pPr>
              <w:jc w:val="both"/>
              <w:rPr>
                <w:rFonts w:ascii="Arial" w:hAnsi="Arial" w:cs="Arial"/>
                <w:b/>
                <w:lang w:val="en" w:eastAsia="en-GB"/>
              </w:rPr>
            </w:pPr>
          </w:p>
        </w:tc>
      </w:tr>
      <w:tr w:rsidR="00FD7E85" w14:paraId="4407D9A6" w14:textId="77777777">
        <w:tc>
          <w:tcPr>
            <w:tcW w:w="3060" w:type="dxa"/>
          </w:tcPr>
          <w:p w14:paraId="682A952D" w14:textId="77777777" w:rsidR="00FD7E85" w:rsidRDefault="00F456FA">
            <w:pPr>
              <w:jc w:val="both"/>
              <w:rPr>
                <w:rFonts w:ascii="Arial" w:hAnsi="Arial" w:cs="Arial"/>
                <w:b/>
                <w:bCs/>
                <w:lang w:val="en" w:eastAsia="en-GB"/>
              </w:rPr>
            </w:pPr>
            <w:r>
              <w:rPr>
                <w:rFonts w:ascii="Arial" w:hAnsi="Arial" w:cs="Arial"/>
                <w:b/>
                <w:bCs/>
                <w:lang w:val="en" w:eastAsia="en-GB"/>
              </w:rPr>
              <w:t>Normal</w:t>
            </w:r>
          </w:p>
        </w:tc>
        <w:tc>
          <w:tcPr>
            <w:tcW w:w="2520" w:type="dxa"/>
          </w:tcPr>
          <w:p w14:paraId="44A9DCB4" w14:textId="77777777" w:rsidR="00FD7E85" w:rsidRDefault="00F456FA">
            <w:pPr>
              <w:jc w:val="both"/>
              <w:rPr>
                <w:rFonts w:ascii="Arial" w:hAnsi="Arial" w:cs="Arial"/>
                <w:b/>
                <w:bCs/>
                <w:lang w:val="en" w:eastAsia="en-GB"/>
              </w:rPr>
            </w:pPr>
            <w:r>
              <w:rPr>
                <w:rFonts w:ascii="Arial" w:hAnsi="Arial" w:cs="Arial"/>
                <w:b/>
                <w:bCs/>
                <w:lang w:val="en" w:eastAsia="en-GB"/>
              </w:rPr>
              <w:t xml:space="preserve">1 </w:t>
            </w:r>
          </w:p>
        </w:tc>
        <w:tc>
          <w:tcPr>
            <w:tcW w:w="2525" w:type="dxa"/>
          </w:tcPr>
          <w:p w14:paraId="4384BACF" w14:textId="77777777" w:rsidR="00FD7E85" w:rsidRDefault="00FD7E85">
            <w:pPr>
              <w:jc w:val="both"/>
              <w:rPr>
                <w:rFonts w:ascii="Arial" w:hAnsi="Arial" w:cs="Arial"/>
                <w:b/>
                <w:bCs/>
                <w:lang w:val="en" w:eastAsia="en-GB"/>
              </w:rPr>
            </w:pPr>
          </w:p>
        </w:tc>
        <w:tc>
          <w:tcPr>
            <w:tcW w:w="2245" w:type="dxa"/>
          </w:tcPr>
          <w:p w14:paraId="55FF73BC" w14:textId="77777777" w:rsidR="00FD7E85" w:rsidRDefault="00FD7E85">
            <w:pPr>
              <w:jc w:val="both"/>
              <w:rPr>
                <w:rFonts w:ascii="Arial" w:hAnsi="Arial" w:cs="Arial"/>
                <w:b/>
                <w:bCs/>
                <w:lang w:val="en" w:eastAsia="en-GB"/>
              </w:rPr>
            </w:pPr>
          </w:p>
        </w:tc>
      </w:tr>
      <w:tr w:rsidR="00FD7E85" w14:paraId="1EBA37C9" w14:textId="77777777">
        <w:tc>
          <w:tcPr>
            <w:tcW w:w="3060" w:type="dxa"/>
          </w:tcPr>
          <w:p w14:paraId="7C3593C9" w14:textId="77777777" w:rsidR="00FD7E85" w:rsidRDefault="00F456FA">
            <w:pPr>
              <w:jc w:val="both"/>
              <w:rPr>
                <w:rFonts w:ascii="Arial" w:hAnsi="Arial" w:cs="Arial"/>
                <w:b/>
                <w:bCs/>
                <w:lang w:val="en" w:eastAsia="en-GB"/>
              </w:rPr>
            </w:pPr>
            <w:r>
              <w:rPr>
                <w:rFonts w:ascii="Arial" w:hAnsi="Arial" w:cs="Arial"/>
                <w:b/>
                <w:bCs/>
                <w:lang w:val="en" w:eastAsia="en-GB"/>
              </w:rPr>
              <w:t>mild high diastolic</w:t>
            </w:r>
          </w:p>
        </w:tc>
        <w:tc>
          <w:tcPr>
            <w:tcW w:w="2520" w:type="dxa"/>
          </w:tcPr>
          <w:p w14:paraId="2E738819" w14:textId="77777777" w:rsidR="00FD7E85" w:rsidRDefault="00F456FA">
            <w:pPr>
              <w:jc w:val="both"/>
              <w:rPr>
                <w:rFonts w:ascii="Arial" w:hAnsi="Arial" w:cs="Arial"/>
                <w:b/>
                <w:bCs/>
                <w:lang w:val="en" w:eastAsia="en-GB"/>
              </w:rPr>
            </w:pPr>
            <w:r>
              <w:rPr>
                <w:rFonts w:ascii="Arial" w:hAnsi="Arial" w:cs="Arial"/>
                <w:b/>
                <w:bCs/>
                <w:lang w:val="en" w:eastAsia="en-GB"/>
              </w:rPr>
              <w:t>1.418</w:t>
            </w:r>
          </w:p>
        </w:tc>
        <w:tc>
          <w:tcPr>
            <w:tcW w:w="2525" w:type="dxa"/>
          </w:tcPr>
          <w:p w14:paraId="2138E726" w14:textId="77777777" w:rsidR="00FD7E85" w:rsidRDefault="00F456FA">
            <w:pPr>
              <w:jc w:val="both"/>
              <w:rPr>
                <w:rFonts w:ascii="Arial" w:hAnsi="Arial" w:cs="Arial"/>
                <w:b/>
                <w:bCs/>
                <w:lang w:val="en" w:eastAsia="en-GB"/>
              </w:rPr>
            </w:pPr>
            <w:r>
              <w:rPr>
                <w:rFonts w:ascii="Arial" w:hAnsi="Arial" w:cs="Arial"/>
                <w:b/>
                <w:bCs/>
                <w:lang w:val="en" w:eastAsia="en-GB"/>
              </w:rPr>
              <w:t>0.331</w:t>
            </w:r>
          </w:p>
        </w:tc>
        <w:tc>
          <w:tcPr>
            <w:tcW w:w="2245" w:type="dxa"/>
          </w:tcPr>
          <w:p w14:paraId="1F085BE6" w14:textId="77777777" w:rsidR="00FD7E85" w:rsidRDefault="00F456FA">
            <w:pPr>
              <w:jc w:val="both"/>
              <w:rPr>
                <w:rFonts w:ascii="Arial" w:hAnsi="Arial" w:cs="Arial"/>
                <w:b/>
                <w:bCs/>
                <w:lang w:val="en" w:eastAsia="en-GB"/>
              </w:rPr>
            </w:pPr>
            <w:r>
              <w:rPr>
                <w:rFonts w:ascii="Arial" w:hAnsi="Arial" w:cs="Arial"/>
                <w:b/>
                <w:bCs/>
                <w:lang w:val="en" w:eastAsia="en-GB"/>
              </w:rPr>
              <w:t>(0.072- 2.427</w:t>
            </w:r>
          </w:p>
        </w:tc>
      </w:tr>
      <w:tr w:rsidR="00FD7E85" w14:paraId="0FDB76F6" w14:textId="77777777">
        <w:trPr>
          <w:trHeight w:val="486"/>
        </w:trPr>
        <w:tc>
          <w:tcPr>
            <w:tcW w:w="3060" w:type="dxa"/>
          </w:tcPr>
          <w:p w14:paraId="68FADA75" w14:textId="77777777" w:rsidR="00FD7E85" w:rsidRDefault="00F456FA">
            <w:pPr>
              <w:jc w:val="both"/>
              <w:rPr>
                <w:rFonts w:ascii="Arial" w:hAnsi="Arial" w:cs="Arial"/>
                <w:b/>
                <w:bCs/>
                <w:lang w:val="en" w:eastAsia="en-GB"/>
              </w:rPr>
            </w:pPr>
            <w:r>
              <w:rPr>
                <w:rFonts w:ascii="Arial" w:hAnsi="Arial" w:cs="Arial"/>
                <w:b/>
                <w:bCs/>
                <w:lang w:val="en" w:eastAsia="en-GB"/>
              </w:rPr>
              <w:lastRenderedPageBreak/>
              <w:t>moderate high diastolic</w:t>
            </w:r>
          </w:p>
        </w:tc>
        <w:tc>
          <w:tcPr>
            <w:tcW w:w="2520" w:type="dxa"/>
          </w:tcPr>
          <w:p w14:paraId="7A9B9C6F" w14:textId="77777777" w:rsidR="00FD7E85" w:rsidRDefault="00F456FA">
            <w:pPr>
              <w:jc w:val="both"/>
              <w:rPr>
                <w:rFonts w:ascii="Arial" w:hAnsi="Arial" w:cs="Arial"/>
                <w:b/>
                <w:bCs/>
                <w:lang w:val="en" w:eastAsia="en-GB"/>
              </w:rPr>
            </w:pPr>
            <w:r>
              <w:rPr>
                <w:rFonts w:ascii="Arial" w:hAnsi="Arial" w:cs="Arial"/>
                <w:b/>
                <w:bCs/>
                <w:lang w:val="en" w:eastAsia="en-GB"/>
              </w:rPr>
              <w:t>1.627</w:t>
            </w:r>
          </w:p>
        </w:tc>
        <w:tc>
          <w:tcPr>
            <w:tcW w:w="2525" w:type="dxa"/>
          </w:tcPr>
          <w:p w14:paraId="3ECD37AC" w14:textId="77777777" w:rsidR="00FD7E85" w:rsidRDefault="00F456FA">
            <w:pPr>
              <w:jc w:val="both"/>
              <w:rPr>
                <w:rFonts w:ascii="Arial" w:hAnsi="Arial" w:cs="Arial"/>
                <w:b/>
                <w:bCs/>
                <w:lang w:val="en" w:eastAsia="en-GB"/>
              </w:rPr>
            </w:pPr>
            <w:r>
              <w:rPr>
                <w:rFonts w:ascii="Arial" w:hAnsi="Arial" w:cs="Arial"/>
                <w:b/>
                <w:bCs/>
                <w:lang w:val="en" w:eastAsia="en-GB"/>
              </w:rPr>
              <w:t>0.038</w:t>
            </w:r>
          </w:p>
        </w:tc>
        <w:tc>
          <w:tcPr>
            <w:tcW w:w="2245" w:type="dxa"/>
          </w:tcPr>
          <w:p w14:paraId="61DDAA4F" w14:textId="77777777" w:rsidR="00FD7E85" w:rsidRDefault="00F456FA">
            <w:pPr>
              <w:jc w:val="both"/>
              <w:rPr>
                <w:rFonts w:ascii="Arial" w:hAnsi="Arial" w:cs="Arial"/>
                <w:b/>
                <w:bCs/>
                <w:lang w:val="en" w:eastAsia="en-GB"/>
              </w:rPr>
            </w:pPr>
            <w:r>
              <w:rPr>
                <w:rFonts w:ascii="Arial" w:hAnsi="Arial" w:cs="Arial"/>
                <w:b/>
                <w:bCs/>
                <w:lang w:val="en" w:eastAsia="en-GB"/>
              </w:rPr>
              <w:t>(0.159-2.467)</w:t>
            </w:r>
          </w:p>
        </w:tc>
      </w:tr>
      <w:tr w:rsidR="00FD7E85" w14:paraId="46FFC23E" w14:textId="77777777">
        <w:trPr>
          <w:trHeight w:val="548"/>
        </w:trPr>
        <w:tc>
          <w:tcPr>
            <w:tcW w:w="3060" w:type="dxa"/>
            <w:tcBorders>
              <w:bottom w:val="single" w:sz="4" w:space="0" w:color="auto"/>
            </w:tcBorders>
          </w:tcPr>
          <w:p w14:paraId="716F822C" w14:textId="77777777" w:rsidR="00FD7E85" w:rsidRDefault="00F456FA">
            <w:pPr>
              <w:jc w:val="both"/>
              <w:rPr>
                <w:rFonts w:ascii="Arial" w:hAnsi="Arial" w:cs="Arial"/>
                <w:b/>
                <w:bCs/>
                <w:lang w:val="en" w:eastAsia="en-GB"/>
              </w:rPr>
            </w:pPr>
            <w:r>
              <w:rPr>
                <w:rFonts w:ascii="Arial" w:hAnsi="Arial" w:cs="Arial"/>
                <w:b/>
                <w:bCs/>
                <w:lang w:val="en" w:eastAsia="en-GB"/>
              </w:rPr>
              <w:t>sever diastolic</w:t>
            </w:r>
          </w:p>
        </w:tc>
        <w:tc>
          <w:tcPr>
            <w:tcW w:w="2520" w:type="dxa"/>
            <w:tcBorders>
              <w:bottom w:val="single" w:sz="4" w:space="0" w:color="auto"/>
            </w:tcBorders>
          </w:tcPr>
          <w:p w14:paraId="5DE1C4C6" w14:textId="77777777" w:rsidR="00FD7E85" w:rsidRDefault="00F456FA">
            <w:pPr>
              <w:jc w:val="both"/>
              <w:rPr>
                <w:rFonts w:ascii="Arial" w:hAnsi="Arial" w:cs="Arial"/>
                <w:b/>
                <w:bCs/>
                <w:lang w:val="en" w:eastAsia="en-GB"/>
              </w:rPr>
            </w:pPr>
            <w:r>
              <w:rPr>
                <w:rFonts w:ascii="Arial" w:hAnsi="Arial" w:cs="Arial"/>
                <w:b/>
                <w:bCs/>
                <w:lang w:val="en" w:eastAsia="en-GB"/>
              </w:rPr>
              <w:t>1.909</w:t>
            </w:r>
          </w:p>
        </w:tc>
        <w:tc>
          <w:tcPr>
            <w:tcW w:w="2525" w:type="dxa"/>
            <w:tcBorders>
              <w:bottom w:val="single" w:sz="4" w:space="0" w:color="auto"/>
            </w:tcBorders>
          </w:tcPr>
          <w:p w14:paraId="3946C442" w14:textId="77777777" w:rsidR="00FD7E85" w:rsidRDefault="00F456FA">
            <w:pPr>
              <w:jc w:val="both"/>
              <w:rPr>
                <w:rFonts w:ascii="Arial" w:hAnsi="Arial" w:cs="Arial"/>
                <w:b/>
                <w:bCs/>
                <w:lang w:val="en" w:eastAsia="en-GB"/>
              </w:rPr>
            </w:pPr>
            <w:r>
              <w:rPr>
                <w:rFonts w:ascii="Arial" w:hAnsi="Arial" w:cs="Arial"/>
                <w:b/>
                <w:bCs/>
                <w:lang w:val="en" w:eastAsia="en-GB"/>
              </w:rPr>
              <w:t>0.021</w:t>
            </w:r>
          </w:p>
        </w:tc>
        <w:tc>
          <w:tcPr>
            <w:tcW w:w="2245" w:type="dxa"/>
            <w:tcBorders>
              <w:bottom w:val="single" w:sz="4" w:space="0" w:color="auto"/>
            </w:tcBorders>
          </w:tcPr>
          <w:p w14:paraId="6AE3FA21" w14:textId="77777777" w:rsidR="00FD7E85" w:rsidRDefault="00F456FA">
            <w:pPr>
              <w:jc w:val="both"/>
              <w:rPr>
                <w:rFonts w:ascii="Arial" w:hAnsi="Arial" w:cs="Arial"/>
                <w:b/>
                <w:bCs/>
                <w:lang w:val="en" w:eastAsia="en-GB"/>
              </w:rPr>
            </w:pPr>
            <w:r>
              <w:rPr>
                <w:rFonts w:ascii="Arial" w:hAnsi="Arial" w:cs="Arial"/>
                <w:b/>
                <w:bCs/>
                <w:lang w:val="en" w:eastAsia="en-GB"/>
              </w:rPr>
              <w:t>(0.089-2.890</w:t>
            </w:r>
          </w:p>
        </w:tc>
      </w:tr>
    </w:tbl>
    <w:p w14:paraId="5CCBA0E9" w14:textId="77777777" w:rsidR="00FD7E85" w:rsidRDefault="00F456FA">
      <w:pPr>
        <w:jc w:val="both"/>
        <w:rPr>
          <w:rFonts w:ascii="Arial" w:hAnsi="Arial" w:cs="Arial"/>
          <w:b/>
          <w:lang w:val="en" w:eastAsia="en-GB"/>
        </w:rPr>
      </w:pPr>
      <w:r>
        <w:rPr>
          <w:rFonts w:ascii="Arial" w:hAnsi="Arial" w:cs="Arial"/>
          <w:b/>
          <w:lang w:val="en" w:eastAsia="en-GB"/>
        </w:rPr>
        <w:t>AOR=Adjusted Odds Ratio, P-Value, CI=Confidence interval.</w:t>
      </w:r>
    </w:p>
    <w:p w14:paraId="71CA2C88" w14:textId="77777777" w:rsidR="004962E9" w:rsidRDefault="004962E9">
      <w:pPr>
        <w:jc w:val="both"/>
        <w:rPr>
          <w:rFonts w:ascii="Arial" w:hAnsi="Arial" w:cs="Arial"/>
          <w:b/>
          <w:bCs/>
          <w:u w:val="single"/>
          <w:lang w:eastAsia="en-GB"/>
        </w:rPr>
      </w:pPr>
    </w:p>
    <w:p w14:paraId="62C49E2B" w14:textId="6352927A" w:rsidR="00FD7E85" w:rsidRDefault="00F456FA">
      <w:pPr>
        <w:jc w:val="both"/>
        <w:rPr>
          <w:rFonts w:ascii="Arial" w:hAnsi="Arial" w:cs="Arial"/>
          <w:b/>
          <w:bCs/>
          <w:u w:val="single"/>
          <w:lang w:eastAsia="en-GB"/>
        </w:rPr>
      </w:pPr>
      <w:r>
        <w:rPr>
          <w:rFonts w:ascii="Arial" w:hAnsi="Arial" w:cs="Arial"/>
          <w:b/>
          <w:bCs/>
          <w:u w:val="single"/>
          <w:lang w:eastAsia="en-GB"/>
        </w:rPr>
        <w:t>3.1.5 Outcome of fetus of women diagnosed with PIH and examined of umbilical artery Doppler ultrasound in Moshi Municipal.</w:t>
      </w:r>
    </w:p>
    <w:p w14:paraId="2BF4BFEC" w14:textId="787666EC" w:rsidR="00FD7E85" w:rsidRPr="001F1A25" w:rsidRDefault="001F1A25">
      <w:pPr>
        <w:jc w:val="both"/>
        <w:rPr>
          <w:rFonts w:ascii="Arial" w:hAnsi="Arial" w:cs="Arial"/>
          <w:b/>
          <w:lang w:eastAsia="en-GB"/>
        </w:rPr>
      </w:pPr>
      <w:r w:rsidRPr="001F1A25">
        <w:rPr>
          <w:rFonts w:ascii="Arial" w:hAnsi="Arial" w:cs="Arial"/>
          <w:bCs/>
          <w:lang w:eastAsia="en-GB"/>
        </w:rPr>
        <w:t>In this study, 22.4% of fetuses had low birth weight, 10.3% had very low birth weight,</w:t>
      </w:r>
      <w:r w:rsidRPr="001F1A25">
        <w:rPr>
          <w:rFonts w:ascii="Arial" w:hAnsi="Arial" w:cs="Arial"/>
          <w:b/>
          <w:lang w:eastAsia="en-GB"/>
        </w:rPr>
        <w:t xml:space="preserve"> </w:t>
      </w:r>
      <w:r w:rsidRPr="001F1A25">
        <w:rPr>
          <w:rFonts w:ascii="Arial" w:hAnsi="Arial" w:cs="Arial"/>
          <w:bCs/>
          <w:lang w:eastAsia="en-GB"/>
        </w:rPr>
        <w:t>and 0.3% were classified as extremely low birth weight. Regarding fetal outcomes at delivery, 3.5% were fresh stillbirths, 2.6% were macerated stillbirths, and 0.9% experienced postnatal death. Assessment of neonatal APGAR scores showed that 14.0% of neonates had moderate birth asphyxia, while 6.1% experienced severe birth asphyxia</w:t>
      </w:r>
      <w:r w:rsidRPr="001F1A25">
        <w:rPr>
          <w:rFonts w:ascii="Arial" w:hAnsi="Arial" w:cs="Arial"/>
          <w:b/>
          <w:lang w:eastAsia="en-GB"/>
        </w:rPr>
        <w:t>.</w:t>
      </w:r>
      <w:r>
        <w:rPr>
          <w:rFonts w:ascii="Arial" w:hAnsi="Arial" w:cs="Arial"/>
          <w:b/>
          <w:bCs/>
          <w:lang w:eastAsia="en-GB"/>
        </w:rPr>
        <w:t xml:space="preserve"> (Figure </w:t>
      </w:r>
      <w:r w:rsidR="00634DDF">
        <w:rPr>
          <w:rFonts w:ascii="Arial" w:hAnsi="Arial" w:cs="Arial"/>
          <w:b/>
          <w:bCs/>
          <w:lang w:eastAsia="en-GB"/>
        </w:rPr>
        <w:t>3</w:t>
      </w:r>
      <w:r>
        <w:rPr>
          <w:rFonts w:ascii="Arial" w:hAnsi="Arial" w:cs="Arial"/>
          <w:b/>
          <w:bCs/>
          <w:lang w:eastAsia="en-GB"/>
        </w:rPr>
        <w:t>)</w:t>
      </w:r>
    </w:p>
    <w:p w14:paraId="67739494" w14:textId="77777777" w:rsidR="00FD7E85" w:rsidRDefault="00F456FA">
      <w:pPr>
        <w:jc w:val="both"/>
        <w:rPr>
          <w:rFonts w:ascii="Arial" w:hAnsi="Arial" w:cs="Arial"/>
          <w:b/>
          <w:bCs/>
          <w:lang w:eastAsia="en-GB"/>
        </w:rPr>
      </w:pPr>
      <w:r>
        <w:rPr>
          <w:rFonts w:ascii="Arial" w:hAnsi="Arial" w:cs="Arial"/>
          <w:b/>
          <w:bCs/>
          <w:noProof/>
          <w:lang w:eastAsia="en-GB"/>
        </w:rPr>
        <w:drawing>
          <wp:inline distT="0" distB="0" distL="114300" distR="114300" wp14:anchorId="4B271799" wp14:editId="75FADB7A">
            <wp:extent cx="5208905" cy="3802380"/>
            <wp:effectExtent l="0" t="0" r="0" b="762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5635A0A" w14:textId="6D84C454" w:rsidR="00FD7E85" w:rsidRDefault="00F456FA">
      <w:pPr>
        <w:jc w:val="both"/>
        <w:rPr>
          <w:rFonts w:ascii="Arial" w:hAnsi="Arial" w:cs="Arial"/>
          <w:lang w:eastAsia="en-GB"/>
        </w:rPr>
      </w:pPr>
      <w:r>
        <w:rPr>
          <w:rFonts w:ascii="Arial" w:hAnsi="Arial" w:cs="Arial"/>
          <w:lang w:eastAsia="en-GB"/>
        </w:rPr>
        <w:t xml:space="preserve">Figure </w:t>
      </w:r>
      <w:r w:rsidR="00634DDF">
        <w:rPr>
          <w:rFonts w:ascii="Arial" w:hAnsi="Arial" w:cs="Arial"/>
          <w:lang w:eastAsia="en-GB"/>
        </w:rPr>
        <w:t>3</w:t>
      </w:r>
      <w:r>
        <w:rPr>
          <w:rFonts w:ascii="Arial" w:hAnsi="Arial" w:cs="Arial"/>
          <w:lang w:eastAsia="en-GB"/>
        </w:rPr>
        <w:t>: Fetal outcomes</w:t>
      </w:r>
    </w:p>
    <w:p w14:paraId="6F82083F" w14:textId="77777777" w:rsidR="00FD7E85" w:rsidRDefault="00FD7E85">
      <w:pPr>
        <w:pStyle w:val="Body"/>
        <w:spacing w:after="0"/>
        <w:rPr>
          <w:rFonts w:ascii="Arial" w:hAnsi="Arial" w:cs="Arial"/>
        </w:rPr>
      </w:pPr>
    </w:p>
    <w:p w14:paraId="6A835830" w14:textId="77777777" w:rsidR="00FD7E85" w:rsidRDefault="00F456FA">
      <w:pPr>
        <w:pStyle w:val="Body"/>
        <w:rPr>
          <w:rFonts w:ascii="Arial" w:hAnsi="Arial" w:cs="Arial"/>
          <w:b/>
          <w:bCs/>
          <w:sz w:val="22"/>
          <w:szCs w:val="22"/>
        </w:rPr>
      </w:pPr>
      <w:bookmarkStart w:id="37" w:name="_Toc202869693"/>
      <w:r>
        <w:rPr>
          <w:rFonts w:ascii="Arial" w:hAnsi="Arial" w:cs="Arial"/>
          <w:b/>
          <w:bCs/>
          <w:sz w:val="22"/>
          <w:szCs w:val="22"/>
        </w:rPr>
        <w:t>3.2.0 DISCUSSION</w:t>
      </w:r>
      <w:bookmarkEnd w:id="37"/>
    </w:p>
    <w:p w14:paraId="4BDB1AA7" w14:textId="77777777" w:rsidR="00FD7E85" w:rsidRPr="001F1A25" w:rsidRDefault="00F456FA">
      <w:pPr>
        <w:pStyle w:val="Body"/>
        <w:rPr>
          <w:rFonts w:ascii="Arial" w:hAnsi="Arial" w:cs="Arial"/>
        </w:rPr>
      </w:pPr>
      <w:bookmarkStart w:id="38" w:name="_Toc202869694"/>
      <w:r>
        <w:rPr>
          <w:rFonts w:ascii="Arial" w:hAnsi="Arial" w:cs="Arial"/>
          <w:b/>
          <w:bCs/>
        </w:rPr>
        <w:t>3.2.1</w:t>
      </w:r>
      <w:r>
        <w:rPr>
          <w:rFonts w:ascii="Arial" w:hAnsi="Arial" w:cs="Arial"/>
          <w:b/>
          <w:bCs/>
          <w:u w:val="single"/>
        </w:rPr>
        <w:t xml:space="preserve">. Demographic and clinical characteristics of pregnant women diagnosed with PIH </w:t>
      </w:r>
      <w:r w:rsidRPr="001F1A25">
        <w:rPr>
          <w:rFonts w:ascii="Arial" w:hAnsi="Arial" w:cs="Arial"/>
          <w:u w:val="single"/>
        </w:rPr>
        <w:t>at Moshi Municipal.</w:t>
      </w:r>
      <w:bookmarkEnd w:id="38"/>
    </w:p>
    <w:p w14:paraId="06ABA09F" w14:textId="77777777" w:rsidR="001F1A25" w:rsidRPr="001F1A25" w:rsidRDefault="001F1A25" w:rsidP="001F1A25">
      <w:pPr>
        <w:pStyle w:val="Body"/>
        <w:rPr>
          <w:rFonts w:ascii="Arial" w:hAnsi="Arial" w:cs="Arial"/>
        </w:rPr>
      </w:pPr>
      <w:bookmarkStart w:id="39" w:name="_Toc202869695"/>
      <w:r w:rsidRPr="001F1A25">
        <w:rPr>
          <w:rFonts w:ascii="Arial" w:hAnsi="Arial" w:cs="Arial"/>
        </w:rPr>
        <w:t>This analytical prospective cohort study involved pregnant women diagnosed with pregnancy-induced hypertension (PIH) carrying singleton intrauterine fetuses at a gestational age of ≥28 weeks. All participants underwent umbilical artery Doppler ultrasound examinations within Moshi Municipal between August 2024 and May 2025. A total of 116 pregnant women with confirmed PIH were enrolled and followed up for fetal outcomes up to one month postpartum.</w:t>
      </w:r>
    </w:p>
    <w:p w14:paraId="013DA60B" w14:textId="77777777" w:rsidR="001F1A25" w:rsidRPr="001F1A25" w:rsidRDefault="001F1A25" w:rsidP="001F1A25">
      <w:pPr>
        <w:pStyle w:val="Body"/>
        <w:rPr>
          <w:rFonts w:ascii="Arial" w:hAnsi="Arial" w:cs="Arial"/>
        </w:rPr>
      </w:pPr>
      <w:r w:rsidRPr="001F1A25">
        <w:rPr>
          <w:rFonts w:ascii="Arial" w:hAnsi="Arial" w:cs="Arial"/>
        </w:rPr>
        <w:lastRenderedPageBreak/>
        <w:t>The mean maternal age was 26.7 years (SD ± 7.29), with 81 women (69.8%) aged between 15 and 25 years. Regarding education, 50 participants (43.1%) had attained primary-level education, and 67 (57.8%) were unemployed. The majority, 102 women (87.9%), attended antenatal care (ANC) at primary-level health facilities, and 64 (55.2%) delivered at such facilities. In terms of parity, 76 women (65.5%) were multiparous. Based on gestational age, 82 participants (70.7%) were within the 34–39 weeks range. Blood pressure measurements showed that 41 women (31.3%) had normal systolic readings, while 79 (68.1%) had normal diastolic readings. Additionally, 70 participants (60.3%) resided in urban areas.</w:t>
      </w:r>
    </w:p>
    <w:p w14:paraId="74DA07C9" w14:textId="77777777" w:rsidR="00FD7E85" w:rsidRDefault="00F456FA">
      <w:pPr>
        <w:pStyle w:val="Body"/>
        <w:rPr>
          <w:rFonts w:ascii="Arial" w:hAnsi="Arial" w:cs="Arial"/>
          <w:b/>
          <w:bCs/>
          <w:u w:val="single"/>
        </w:rPr>
      </w:pPr>
      <w:r>
        <w:rPr>
          <w:rFonts w:ascii="Arial" w:hAnsi="Arial" w:cs="Arial"/>
          <w:b/>
          <w:bCs/>
          <w:u w:val="single"/>
        </w:rPr>
        <w:t>3.2.2. Prevalence of abnormal umbilical artery Doppler ultrasound among women diagnosed with PIH at Moshi Municipal.</w:t>
      </w:r>
      <w:bookmarkEnd w:id="39"/>
    </w:p>
    <w:p w14:paraId="2F85C835" w14:textId="7AFFF69B" w:rsidR="00F34F38" w:rsidRDefault="00BF1580">
      <w:pPr>
        <w:pStyle w:val="Body"/>
        <w:spacing w:after="0"/>
        <w:rPr>
          <w:rFonts w:ascii="Arial" w:hAnsi="Arial" w:cs="Arial"/>
        </w:rPr>
      </w:pPr>
      <w:r w:rsidRPr="00BF1580">
        <w:rPr>
          <w:rFonts w:ascii="Arial" w:hAnsi="Arial" w:cs="Arial"/>
        </w:rPr>
        <w:t xml:space="preserve">The </w:t>
      </w:r>
      <w:r w:rsidRPr="00BF1580">
        <w:rPr>
          <w:rFonts w:ascii="Arial" w:hAnsi="Arial" w:cs="Arial"/>
          <w:b/>
          <w:bCs/>
        </w:rPr>
        <w:t>overall prevalence of abnormal umbilical artery Doppler</w:t>
      </w:r>
      <w:r w:rsidRPr="00BF1580">
        <w:rPr>
          <w:rFonts w:ascii="Arial" w:hAnsi="Arial" w:cs="Arial"/>
        </w:rPr>
        <w:t xml:space="preserve"> in this study was </w:t>
      </w:r>
      <w:r w:rsidRPr="00BF1580">
        <w:rPr>
          <w:rFonts w:ascii="Arial" w:hAnsi="Arial" w:cs="Arial"/>
          <w:b/>
          <w:bCs/>
        </w:rPr>
        <w:t>47.4</w:t>
      </w:r>
      <w:r w:rsidR="004962E9">
        <w:rPr>
          <w:rFonts w:ascii="Arial" w:hAnsi="Arial" w:cs="Arial"/>
          <w:b/>
          <w:bCs/>
        </w:rPr>
        <w:t>2</w:t>
      </w:r>
      <w:r w:rsidRPr="00BF1580">
        <w:rPr>
          <w:rFonts w:ascii="Arial" w:hAnsi="Arial" w:cs="Arial"/>
          <w:b/>
          <w:bCs/>
        </w:rPr>
        <w:t>%</w:t>
      </w:r>
      <w:r w:rsidRPr="00BF1580">
        <w:rPr>
          <w:rFonts w:ascii="Arial" w:hAnsi="Arial" w:cs="Arial"/>
        </w:rPr>
        <w:t>, which is comparable to findings from Uganda (31.6%</w:t>
      </w:r>
      <w:r>
        <w:rPr>
          <w:rFonts w:ascii="Arial" w:hAnsi="Arial" w:cs="Arial"/>
        </w:rPr>
        <w:fldChar w:fldCharType="begin" w:fldLock="1"/>
      </w:r>
      <w:r>
        <w:rPr>
          <w:rFonts w:ascii="Arial" w:hAnsi="Arial" w:cs="Arial"/>
        </w:rPr>
        <w:instrText>ADDIN CSL_CITATION {"citationItems":[{"id":"ITEM-1","itemData":{"ISBN":"0012835X","abstract":"AJOL Abstract: Background: Umbilical artery (UA) Doppler velocimetry detects foetuses at risk of asphyxia from IUGR before changes in the CTG and biophysical score are evident. This has made it a primary fetal surveillance tool in pre-eclampsia in developed countries with resultant reduction in perinatal mortality by 29%. Iatrogenic preterm deliveries related to pre-eclampsia are a key contributor to neonatal intensive care admissions at Mulago hospital due in part to limited use of UA Doppler velocimetry to optimize delivery because of high patient load.Objective: The objective was to determine the prevalence and factors associated with UA Doppler abnormalities in women with preeclampsia from 28 weeks of pregnancy so as to identify a subpopulation who would require routine UA Doppler velocimetry to improve perinatal outcomes in a resource limited context.Study design: This was a cross-sectional analytical study. Maternal age, Gestational age, Parity, and Blood pressure were recorded. Degree of proteinuria, Platelet count, serum creatinine and liver transaminases were analysed and UA Doppler sonography was performed to determine the RI, S/D ratio, AEDV and RF patterns. These data were entered into EPIDATA 3.1 and exported to STATA version 12 for analysis. Bivariate and Multivariate analysis were deployed to identify factors associated with Doppler abnormalities.Study Setting: The study was conducted on the labour and maternal-fetal medicine wards of Mulago National Referral hospital, Kampala Uganda between June and September 2014.Subjects: A total of 155 women with pre-eclampsia between 28 and 42 weeks of pregnancy were consented/assented and recruited for the study. Critically ill patients and those in active phase of labour or premature rupture of membranes were excluded.Results: The overall prevalence of UA Doppler abnormalities was 31.6%. High RI, high S/D ratio, AEDV and RF were found in 25.8%, 31.6%, 7.7% and 4.5% of the population respectively. Key factors associated with UA Doppler abnormalities were gestational age below 35 weeks (AOR=8.1, 95% CI: 2.91- 22.76, P&lt;0.001), severe pre-eclampsia with heavy proteinuria (AOR=7.3, 95% CI: 2.82-18.87, P&lt;0.001), and multiparity (AOR=5.3, 95% CI: 1.52-18.53, P&lt;0.001). Severe pre-eclampsia comprised 61% (n=95) of the study population. Maternal age and pre-eclampsia with light proteinuria had no association with UA Doppler abnormalities.Conclusion: UA Doppler abnormalities are very common in pre-eclampsia. …","author":[{"dropping-particle":"","family":"Gimei","given":"P","non-dropping-particle":"","parse-names":false,"suffix":""},{"dropping-particle":"","family":"Busingye","given":"R B","non-dropping-particle":"","parse-names":false,"suffix":""},{"dropping-particle":"","family":"Nakabembe","given":"E","non-dropping-particle":"","parse-names":false,"suffix":""},{"dropping-particle":"","family":"Byanyima","given":"R K","non-dropping-particle":"","parse-names":false,"suffix":""}],"container-title":"East African Medical Journal","id":"ITEM-1","issue":"5","issued":{"date-parts":[["2017"]]},"page":"344-352","title":"Umbilical artery doppler abnormalities and associated factors in women with pre-eclampsia at Mulago Hospital- a cross sectional study","type":"article-journal","volume":"94"},"uris":["http://www.mendeley.com/documents/?uuid=2d8ef309-10c3-41b6-9b48-b0e6d2cd5368"]}],"mendeley":{"formattedCitation":"(Gimei &lt;i&gt;et al.&lt;/i&gt;, 2017)","plainTextFormattedCitation":"(Gimei et al., 2017)","previouslyFormattedCitation":"(Gimei &lt;i&gt;et al.&lt;/i&gt;, 2017)"},"properties":{"noteIndex":0},"schema":"https://github.com/citation-style-language/schema/raw/master/csl-citation.json"}</w:instrText>
      </w:r>
      <w:r>
        <w:rPr>
          <w:rFonts w:ascii="Arial" w:hAnsi="Arial" w:cs="Arial"/>
        </w:rPr>
        <w:fldChar w:fldCharType="separate"/>
      </w:r>
      <w:r>
        <w:rPr>
          <w:rFonts w:ascii="Arial" w:hAnsi="Arial" w:cs="Arial"/>
          <w:noProof/>
        </w:rPr>
        <w:t xml:space="preserve">(Gimei </w:t>
      </w:r>
      <w:r>
        <w:rPr>
          <w:rFonts w:ascii="Arial" w:hAnsi="Arial" w:cs="Arial"/>
          <w:i/>
          <w:noProof/>
        </w:rPr>
        <w:t>et al.</w:t>
      </w:r>
      <w:r>
        <w:rPr>
          <w:rFonts w:ascii="Arial" w:hAnsi="Arial" w:cs="Arial"/>
          <w:noProof/>
        </w:rPr>
        <w:t>, 2017)</w:t>
      </w:r>
      <w:r>
        <w:rPr>
          <w:rFonts w:ascii="Arial" w:hAnsi="Arial" w:cs="Arial"/>
        </w:rPr>
        <w:fldChar w:fldCharType="end"/>
      </w:r>
      <w:r>
        <w:rPr>
          <w:rFonts w:ascii="Arial" w:hAnsi="Arial" w:cs="Arial"/>
        </w:rPr>
        <w:t xml:space="preserve">. </w:t>
      </w:r>
      <w:r w:rsidR="00501A97">
        <w:rPr>
          <w:rFonts w:ascii="Arial" w:hAnsi="Arial" w:cs="Arial"/>
        </w:rPr>
        <w:t xml:space="preserve"> </w:t>
      </w:r>
      <w:r w:rsidRPr="00BF1580">
        <w:rPr>
          <w:rFonts w:ascii="Arial" w:hAnsi="Arial" w:cs="Arial"/>
        </w:rPr>
        <w:t xml:space="preserve">Higher prevalences have been reported in Nigeria (67%) and India (74%) </w:t>
      </w:r>
      <w:r>
        <w:rPr>
          <w:rFonts w:ascii="Arial" w:hAnsi="Arial" w:cs="Arial"/>
        </w:rPr>
        <w:fldChar w:fldCharType="begin" w:fldLock="1"/>
      </w:r>
      <w:r w:rsidR="00754758">
        <w:rPr>
          <w:rFonts w:ascii="Arial" w:hAnsi="Arial" w:cs="Arial"/>
        </w:rPr>
        <w:instrText>ADDIN CSL_CITATION {"citationItems":[{"id":"ITEM-1","itemData":{"author":[{"dropping-particle":"","family":"Mamah","given":"Johnbosco E","non-dropping-particle":"","parse-names":false,"suffix":""},{"dropping-particle":"","family":"Onoh","given":"Robinson C","non-dropping-particle":"","parse-names":false,"suffix":""},{"dropping-particle":"","family":"Orji","given":"Michael","non-dropping-particle":"","parse-names":false,"suffix":""},{"dropping-particle":"","family":"Ugoji","given":"Darlington-peter C","non-dropping-particle":"","parse-names":false,"suffix":""},{"dropping-particle":"","family":"Otu","given":"Chichetaram R","non-dropping-particle":"","parse-names":false,"suffix":""},{"dropping-particle":"","family":"Umeora","given":"Odidika U J","non-dropping-particle":"","parse-names":false,"suffix":""}],"id":"ITEM-1","issue":"09","issued":{"date-parts":[["2023"]]},"page":"10-12","title":"Fetal Umbilical Artery Velocimetry Indices and Pregnancy Outcome Among Preeclamptic Women at the Federal Teaching Hospital , Abakaliki , Southeast Nigeria","type":"article-journal","volume":"08"},"uris":["http://www.mendeley.com/documents/?uuid=7714280a-549b-48b8-bcea-5f7fe0821c7b"]}],"mendeley":{"formattedCitation":"(Mamah &lt;i&gt;et al.&lt;/i&gt;, 2023)","plainTextFormattedCitation":"(Mamah et al., 2023)","previouslyFormattedCitation":"(Mamah &lt;i&gt;et al.&lt;/i&gt;, 2023)"},"properties":{"noteIndex":0},"schema":"https://github.com/citation-style-language/schema/raw/master/csl-citation.json"}</w:instrText>
      </w:r>
      <w:r>
        <w:rPr>
          <w:rFonts w:ascii="Arial" w:hAnsi="Arial" w:cs="Arial"/>
        </w:rPr>
        <w:fldChar w:fldCharType="separate"/>
      </w:r>
      <w:r>
        <w:rPr>
          <w:rFonts w:ascii="Arial" w:hAnsi="Arial" w:cs="Arial"/>
          <w:noProof/>
        </w:rPr>
        <w:t xml:space="preserve">(Mamah </w:t>
      </w:r>
      <w:r>
        <w:rPr>
          <w:rFonts w:ascii="Arial" w:hAnsi="Arial" w:cs="Arial"/>
          <w:i/>
          <w:noProof/>
        </w:rPr>
        <w:t>et al.</w:t>
      </w:r>
      <w:r>
        <w:rPr>
          <w:rFonts w:ascii="Arial" w:hAnsi="Arial" w:cs="Arial"/>
          <w:noProof/>
        </w:rPr>
        <w:t>, 2023)</w:t>
      </w:r>
      <w:r>
        <w:rPr>
          <w:rFonts w:ascii="Arial" w:hAnsi="Arial" w:cs="Arial"/>
        </w:rPr>
        <w:fldChar w:fldCharType="end"/>
      </w:r>
      <w:r>
        <w:rPr>
          <w:rFonts w:ascii="Arial" w:hAnsi="Arial" w:cs="Arial"/>
        </w:rPr>
        <w:fldChar w:fldCharType="begin" w:fldLock="1"/>
      </w:r>
      <w:r w:rsidR="00134B4C">
        <w:rPr>
          <w:rFonts w:ascii="Arial" w:hAnsi="Arial" w:cs="Arial"/>
        </w:rPr>
        <w:instrText>ADDIN CSL_CITATION {"citationItems":[{"id":"ITEM-1","itemData":{"DOI":"10.18203/2320-1770.ijrcog20195347","ISSN":"2320-1770","abstract":"Background: To compare pregnancy outcomes in growth-restricted fetuses retaining normal umbilical artery doppler flow and the outcomes of pregnancies with end-diastolic velocity diminished or severely reduced/absent.Methods: In a prospective observational study, one hundred pregnant women with growth-restricted fetuses were followed with doppler velocimetry of the umbilical artery between weeks 28 and 41 of pregnancy. Outcomes were compared for the normal doppler group (55%) (Group 1), the low-end diastolic flow group (32%) (Group 2), and the group with severely reduced or absent end-diastolic velocity waveforms (13%) (Group 3).Results: Fetuses with abnormal umbilical flow velocimetry had higher incidence of oligohydramnios (82.2%). The average birth weight and gestational age at delivery were lower in the abnormal doppler group. Significantly more women with severe reduction/AEDV, 31/45 (68.8%), underwent caesarean section, with 20 of them (44.4 %) for fetal distress, compared with 17/55 (30.9%) women in the normal doppler group, with 9 of them (16.4%) for fetal distress. Also, fetuses with abnormal umbilical artery velocimetry had early delivery at less than 36 weeks of gestation (38.2% versus 65.85%), increased NICU admission (32.7% versus 80%), need for PPV (5.5% versus 40%), low Apgar score (9.1 % versus 50.2%) than those with normal doppler. All the three stillbirths in the study population were in the abnormal doppler group.Conclusions: Umbilical artery doppler velocimetry helps in differentiating fetus with pathological growth restriction at risk for perinatal complications from small and healthy fetuses.","author":[{"dropping-particle":"","family":"R.","given":"Sumathi","non-dropping-particle":"","parse-names":false,"suffix":""},{"dropping-particle":"","family":"Rodrigo","given":"Mercy R.","non-dropping-particle":"","parse-names":false,"suffix":""}],"container-title":"International Journal of Reproduction, Contraception, Obstetrics and Gynecology","id":"ITEM-1","issue":"12","issued":{"date-parts":[["2019"]]},"page":"4930","title":"A prospective study on the role of umbilical artery doppler velocimetry in the perinatal outcome of growth restricted fetuses","type":"article-journal","volume":"8"},"uris":["http://www.mendeley.com/documents/?uuid=311cfde9-7756-4821-aacd-56cc71d3d0c1"]}],"mendeley":{"formattedCitation":"(R. and Rodrigo, 2019)","plainTextFormattedCitation":"(R. and Rodrigo, 2019)","previouslyFormattedCitation":"(R. and Rodrigo, 2019)"},"properties":{"noteIndex":0},"schema":"https://github.com/citation-style-language/schema/raw/master/csl-citation.json"}</w:instrText>
      </w:r>
      <w:r>
        <w:rPr>
          <w:rFonts w:ascii="Arial" w:hAnsi="Arial" w:cs="Arial"/>
        </w:rPr>
        <w:fldChar w:fldCharType="separate"/>
      </w:r>
      <w:r w:rsidRPr="00BF1580">
        <w:rPr>
          <w:rFonts w:ascii="Arial" w:hAnsi="Arial" w:cs="Arial"/>
          <w:noProof/>
        </w:rPr>
        <w:t>(R. and Rodrigo, 2019)</w:t>
      </w:r>
      <w:r>
        <w:rPr>
          <w:rFonts w:ascii="Arial" w:hAnsi="Arial" w:cs="Arial"/>
        </w:rPr>
        <w:fldChar w:fldCharType="end"/>
      </w:r>
      <w:r>
        <w:rPr>
          <w:rFonts w:ascii="Arial" w:hAnsi="Arial" w:cs="Arial"/>
        </w:rPr>
        <w:t>.</w:t>
      </w:r>
      <w:r w:rsidRPr="00BF1580">
        <w:t xml:space="preserve"> </w:t>
      </w:r>
      <w:r>
        <w:t>L</w:t>
      </w:r>
      <w:r w:rsidRPr="00BF1580">
        <w:rPr>
          <w:rFonts w:ascii="Arial" w:hAnsi="Arial" w:cs="Arial"/>
        </w:rPr>
        <w:t>ikely due to differences in study populations, ethnicity, and inclusion of participants with comorbidities. The lower prevalence in our study may also reflect our focus on participants with PIH rather than more severe hypertensive disorders such as preeclampsia</w:t>
      </w:r>
      <w:r w:rsidR="00F34F38">
        <w:rPr>
          <w:rFonts w:ascii="Arial" w:hAnsi="Arial" w:cs="Arial"/>
        </w:rPr>
        <w:t xml:space="preserve">. </w:t>
      </w:r>
    </w:p>
    <w:p w14:paraId="2705C703" w14:textId="77777777" w:rsidR="00BF1580" w:rsidRPr="00606E08" w:rsidRDefault="00BF1580">
      <w:pPr>
        <w:pStyle w:val="Body"/>
        <w:spacing w:after="0"/>
        <w:rPr>
          <w:rFonts w:ascii="Arial" w:hAnsi="Arial" w:cs="Arial"/>
        </w:rPr>
      </w:pPr>
    </w:p>
    <w:p w14:paraId="7DCD6717" w14:textId="5CC9EBF3" w:rsidR="00134B4C" w:rsidRPr="00134B4C" w:rsidRDefault="00134B4C">
      <w:pPr>
        <w:pStyle w:val="Body"/>
        <w:spacing w:after="0"/>
        <w:rPr>
          <w:rFonts w:ascii="Arial" w:hAnsi="Arial" w:cs="Arial"/>
        </w:rPr>
      </w:pPr>
      <w:bookmarkStart w:id="40" w:name="_Hlk201681933"/>
      <w:r w:rsidRPr="00134B4C">
        <w:rPr>
          <w:rFonts w:ascii="Arial" w:hAnsi="Arial" w:cs="Arial"/>
        </w:rPr>
        <w:t xml:space="preserve">Absent End-Diastolic Flow (AEDF) was observed in 11.2% of participants. This aligns with studies from India, Nepal, and Uganda, which reported AEDF prevalences of 13%, 5.7%, and 7.7%, respectively </w:t>
      </w:r>
      <w:r w:rsidRPr="00134B4C">
        <w:rPr>
          <w:rFonts w:ascii="Arial" w:hAnsi="Arial" w:cs="Arial"/>
        </w:rPr>
        <w:fldChar w:fldCharType="begin" w:fldLock="1"/>
      </w:r>
      <w:r w:rsidRPr="00134B4C">
        <w:rPr>
          <w:rFonts w:ascii="Arial" w:hAnsi="Arial" w:cs="Arial"/>
        </w:rPr>
        <w:instrText>ADDIN CSL_CITATION {"citationItems":[{"id":"ITEM-1","itemData":{"DOI":"10.18203/2320-1770.ijrcog20195347","ISSN":"2320-1770","abstract":"Background: To compare pregnancy outcomes in growth-restricted fetuses retaining normal umbilical artery doppler flow and the outcomes of pregnancies with end-diastolic velocity diminished or severely reduced/absent.Methods: In a prospective observational study, one hundred pregnant women with growth-restricted fetuses were followed with doppler velocimetry of the umbilical artery between weeks 28 and 41 of pregnancy. Outcomes were compared for the normal doppler group (55%) (Group 1), the low-end diastolic flow group (32%) (Group 2), and the group with severely reduced or absent end-diastolic velocity waveforms (13%) (Group 3).Results: Fetuses with abnormal umbilical flow velocimetry had higher incidence of oligohydramnios (82.2%). The average birth weight and gestational age at delivery were lower in the abnormal doppler group. Significantly more women with severe reduction/AEDV, 31/45 (68.8%), underwent caesarean section, with 20 of them (44.4 %) for fetal distress, compared with 17/55 (30.9%) women in the normal doppler group, with 9 of them (16.4%) for fetal distress. Also, fetuses with abnormal umbilical artery velocimetry had early delivery at less than 36 weeks of gestation (38.2% versus 65.85%), increased NICU admission (32.7% versus 80%), need for PPV (5.5% versus 40%), low Apgar score (9.1 % versus 50.2%) than those with normal doppler. All the three stillbirths in the study population were in the abnormal doppler group.Conclusions: Umbilical artery doppler velocimetry helps in differentiating fetus with pathological growth restriction at risk for perinatal complications from small and healthy fetuses.","author":[{"dropping-particle":"","family":"R.","given":"Sumathi","non-dropping-particle":"","parse-names":false,"suffix":""},{"dropping-particle":"","family":"Rodrigo","given":"Mercy R.","non-dropping-particle":"","parse-names":false,"suffix":""}],"container-title":"International Journal of Reproduction, Contraception, Obstetrics and Gynecology","id":"ITEM-1","issue":"12","issued":{"date-parts":[["2019"]]},"page":"4930","title":"A prospective study on the role of umbilical artery doppler velocimetry in the perinatal outcome of growth restricted fetuses","type":"article-journal","volume":"8"},"uris":["http://www.mendeley.com/documents/?uuid=311cfde9-7756-4821-aacd-56cc71d3d0c1"]},{"id":"ITEM-2","itemData":{"DOI":"10.3126/ajms.v10i5.25135","author":[{"dropping-particle":"","family":"Merina","given":"Gyawali","non-dropping-particle":"","parse-names":false,"suffix":""},{"dropping-particle":"","family":"Ramesh","given":"Poudel","non-dropping-particle":"","parse-names":false,"suffix":""}],"id":"ITEM-2","issue":"5","issued":{"date-parts":[["2019"]]},"page":"2-5","title":"O R I G I N A L A RTICL E Study of abnormal umbilical artery doppler and neonatal outcome","type":"article-journal","volume":"10"},"uris":["http://www.mendeley.com/documents/?uuid=0d5c5f82-b196-4a01-8ab4-f7597825b97f"]},{"id":"ITEM-3","itemData":{"author":[{"dropping-particle":"","family":"Komuhangi","given":"P","non-dropping-particle":"","parse-names":false,"suffix":""},{"dropping-particle":"","family":"Byanyima","given":"R K","non-dropping-particle":"","parse-names":false,"suffix":""},{"dropping-particle":"","family":"Nakisige","given":"C","non-dropping-particle":"","parse-names":false,"suffix":""}],"id":"ITEM-3","issue":"9","issued":{"date-parts":[["2013"]]},"page":"554-561","title":"Umbilical artery doppler flow patterns in high-risk pregnancy and foetal outcome in Mulago hospital","type":"article-journal","volume":"2"},"uris":["http://www.mendeley.com/documents/?uuid=38d339e8-b0c1-4d01-9478-9ebe2eee17d7"]}],"mendeley":{"formattedCitation":"(Komuhangi, Byanyima and Nakisige, 2013; Merina and Ramesh, 2019; R. and Rodrigo, 2019)","plainTextFormattedCitation":"(Komuhangi, Byanyima and Nakisige, 2013; Merina and Ramesh, 2019; R. and Rodrigo, 2019)","previouslyFormattedCitation":"(Komuhangi, Byanyima and Nakisige, 2013; Merina and Ramesh, 2019; R. and Rodrigo, 2019)"},"properties":{"noteIndex":0},"schema":"https://github.com/citation-style-language/schema/raw/master/csl-citation.json"}</w:instrText>
      </w:r>
      <w:r w:rsidRPr="00134B4C">
        <w:rPr>
          <w:rFonts w:ascii="Arial" w:hAnsi="Arial" w:cs="Arial"/>
        </w:rPr>
        <w:fldChar w:fldCharType="separate"/>
      </w:r>
      <w:r w:rsidRPr="00134B4C">
        <w:rPr>
          <w:rFonts w:ascii="Arial" w:hAnsi="Arial" w:cs="Arial"/>
          <w:noProof/>
        </w:rPr>
        <w:t>(Komuhangi, Byanyima and Nakisige, 2013; Merina and Ramesh, 2019; R. and Rodrigo, 2019)</w:t>
      </w:r>
      <w:r w:rsidRPr="00134B4C">
        <w:rPr>
          <w:rFonts w:ascii="Arial" w:hAnsi="Arial" w:cs="Arial"/>
        </w:rPr>
        <w:fldChar w:fldCharType="end"/>
      </w:r>
      <w:r w:rsidRPr="00134B4C">
        <w:rPr>
          <w:rFonts w:ascii="Arial" w:hAnsi="Arial" w:cs="Arial"/>
        </w:rPr>
        <w:t>. Lower AEDF prevalence in our study compared to Australia (68%) and India (42%)</w:t>
      </w:r>
      <w:r>
        <w:rPr>
          <w:rFonts w:ascii="Arial" w:hAnsi="Arial" w:cs="Arial"/>
        </w:rPr>
        <w:fldChar w:fldCharType="begin" w:fldLock="1"/>
      </w:r>
      <w:r w:rsidR="006D3435">
        <w:rPr>
          <w:rFonts w:ascii="Arial" w:hAnsi="Arial" w:cs="Arial"/>
        </w:rPr>
        <w:instrText>ADDIN CSL_CITATION {"citationItems":[{"id":"ITEM-1","itemData":{"DOI":"10.5005/jp-journals-10006-1056","ISSN":"0974-8938","abstract":"Objective: To determine the usefulness of uterine artery Doppler in third trimester high risk pregnancies for prediction of adverse perinatal outcome. Methods: This prospective study was performed in a tertiary care centre in the West Coast of India. Inclusion criteria for the study were patients admitted with hypertensive complications in pregnancy, fetal growth restriction and women with previous recurrent pregnancy loss with no living children. Both uterine and umbilical artery Doppler were performed using Doppler ultrasound LOGIQ700 (3.5 MHz) with a high pass filter. Uterine artery Doppler parameters recorded were pulsatility index (PI &gt; 1.2 considered abnormal) and presence of early diastolic notch. Uterine artery score (UAS) was calculated from the Doppler parameters as described by Hernandez et al and a score ≥2 was considered abnormal. Umbilical artery Doppler was considered abnormal when PI &gt; 2 SD for gestational age or absence/reversal of end diastolic flow. Repeat Doppler was done after one week if the patient did not deliver. The last Doppler findings closer to delivery were correlated with perinatal outcome. Results: There were sixty cases of high risk pregnancy mainly consisting of Preeclampsia and fetal growth restriction included in this study. The mean gestational age was 34 weeks with a range of 28-37 weeks. Forty percent of pregnancies were below 34 weeks of gestation. Abnormal UAS was noted in 72% of the study group while umbilical artery Doppler was abnormal in only 35%. Almost 33% had abnormal Doppler findings in both vessels. All the five perinatal deaths and high rate of perinatal morbidity was observed when both uterine and umbilical artery Dopplers were abnormal. Over all perinatal mortality was 83/1000 live births. Neonatal morbidity was significant with almost 50% requiring neonatal intensive care unit (NICU) admissions. Perinatal morbidity parameters such as birth weight below 2000 gm, gestational age &lt;34 weeks and NICU admission was significantly high in 23 women who had abnormal UAS with normal umbilical artery Doppler. There were 36 patients who were beyond 34 weeks of gestation. In this subgroup abnormal UAS was noted in 18 (50%) while only 6 (16.7%) had abnormal umbilical artery Doppler. Small for gestational age babies, neonatal morbidity and cesarean delivery was three fold higher in those with abnormal UAS and normal umbilical artery Doppler in this group. Conclusion: Abnormal uterine artery Doppler in the third trim…","author":[{"dropping-particle":"","family":"Rai","given":"Lavanya","non-dropping-particle":"","parse-names":false,"suffix":""},{"dropping-particle":"","family":"Lekshmi","given":"S","non-dropping-particle":"","parse-names":false,"suffix":""}],"container-title":"Journal of South Asian Federation of Obstetrics and Gynaecology","id":"ITEM-1","issue":"1","issued":{"date-parts":[["2010"]]},"page":"31-35","title":"Value of Third Trimester Uterine Artery Doppler in High-risk Pregnancies for Prediction of Adverse Perinatal Outcome","type":"article-journal","volume":"2"},"uris":["http://www.mendeley.com/documents/?uuid=61b0e7bb-dbdd-4863-ae19-83ff9eb6f6e1"]},{"id":"ITEM-2","itemData":{"DOI":"10.1136/bmjopen-2021-053622","author":[{"dropping-particle":"","family":"Vannevel","given":"Valerie","non-dropping-particle":"","parse-names":false,"suffix":""},{"dropping-particle":"","family":"Vogel","given":"Joshua P","non-dropping-particle":"","parse-names":false,"suffix":""},{"dropping-particle":"","family":"Pattinson","given":"Robert C","non-dropping-particle":"","parse-names":false,"suffix":""},{"dropping-particle":"","family":"Adanu","given":"Richard","non-dropping-particle":"","parse-names":false,"suffix":""},{"dropping-particle":"","family":"Charantimath","given":"Umesh","non-dropping-particle":"","parse-names":false,"suffix":""},{"dropping-particle":"","family":"Goudar","given":"Shivaprasad S","non-dropping-particle":"","parse-names":false,"suffix":""},{"dropping-particle":"","family":"Gwako","given":"George","non-dropping-particle":"","parse-names":false,"suffix":""},{"dropping-particle":"","family":"Kavi","given":"Avinash","non-dropping-particle":"","parse-names":false,"suffix":""},{"dropping-particle":"","family":"Maya","given":"Ernest","non-dropping-particle":"","parse-names":false,"suffix":""},{"dropping-particle":"","family":"Osoti","given":"Alfred","non-dropping-particle":"","parse-names":false,"suffix":""},{"dropping-particle":"","family":"Pujar","given":"Yeshita","non-dropping-particle":"","parse-names":false,"suffix":""},{"dropping-particle":"","family":"Qureshi","given":"Zahida P","non-dropping-particle":"","parse-names":false,"suffix":""},{"dropping-particle":"","family":"Rulisa","given":"Stephen","non-dropping-particle":"","parse-names":false,"suffix":""}],"id":"ITEM-2","issued":{"date-parts":[["2022"]]},"page":"1-10","title":"Antenatal Doppler screening for fetuses at risk of adverse outcomes : a multicountry cohort study of the prevalence of abnormal resistance index in low- ­ risk pregnant women","type":"article-journal"},"uris":["http://www.mendeley.com/documents/?uuid=019cebde-7225-4ccf-afef-bbea3d23da0f"]}],"mendeley":{"formattedCitation":"(Rai and Lekshmi, 2010; Vannevel, Joshua P Vogel, &lt;i&gt;et al.&lt;/i&gt;, 2022)","plainTextFormattedCitation":"(Rai and Lekshmi, 2010; Vannevel, Joshua P Vogel, et al., 2022)","previouslyFormattedCitation":"(Rai and Lekshmi, 2010; Vannevel, Joshua P Vogel, &lt;i&gt;et al.&lt;/i&gt;, 2022)"},"properties":{"noteIndex":0},"schema":"https://github.com/citation-style-language/schema/raw/master/csl-citation.json"}</w:instrText>
      </w:r>
      <w:r>
        <w:rPr>
          <w:rFonts w:ascii="Arial" w:hAnsi="Arial" w:cs="Arial"/>
        </w:rPr>
        <w:fldChar w:fldCharType="separate"/>
      </w:r>
      <w:r w:rsidRPr="00134B4C">
        <w:rPr>
          <w:rFonts w:ascii="Arial" w:hAnsi="Arial" w:cs="Arial"/>
          <w:noProof/>
        </w:rPr>
        <w:t xml:space="preserve">(Rai and Lekshmi, 2010; Vannevel, Joshua P Vogel, </w:t>
      </w:r>
      <w:r w:rsidRPr="00134B4C">
        <w:rPr>
          <w:rFonts w:ascii="Arial" w:hAnsi="Arial" w:cs="Arial"/>
          <w:i/>
          <w:noProof/>
        </w:rPr>
        <w:t>et al.</w:t>
      </w:r>
      <w:r w:rsidRPr="00134B4C">
        <w:rPr>
          <w:rFonts w:ascii="Arial" w:hAnsi="Arial" w:cs="Arial"/>
          <w:noProof/>
        </w:rPr>
        <w:t>, 2022)</w:t>
      </w:r>
      <w:r>
        <w:rPr>
          <w:rFonts w:ascii="Arial" w:hAnsi="Arial" w:cs="Arial"/>
        </w:rPr>
        <w:fldChar w:fldCharType="end"/>
      </w:r>
      <w:r>
        <w:rPr>
          <w:rFonts w:ascii="Arial" w:hAnsi="Arial" w:cs="Arial"/>
        </w:rPr>
        <w:t xml:space="preserve"> </w:t>
      </w:r>
      <w:r w:rsidRPr="00134B4C">
        <w:rPr>
          <w:rFonts w:ascii="Arial" w:hAnsi="Arial" w:cs="Arial"/>
        </w:rPr>
        <w:t>may be explained by differences in ethnicity and inclusion of participants below 34 weeks of gestation</w:t>
      </w:r>
      <w:r w:rsidR="00186C10">
        <w:rPr>
          <w:rFonts w:ascii="Arial" w:hAnsi="Arial" w:cs="Arial"/>
        </w:rPr>
        <w:t xml:space="preserve"> age</w:t>
      </w:r>
      <w:r w:rsidRPr="00134B4C">
        <w:rPr>
          <w:rFonts w:ascii="Arial" w:hAnsi="Arial" w:cs="Arial"/>
        </w:rPr>
        <w:t xml:space="preserve">, where Doppler resistance is </w:t>
      </w:r>
      <w:r w:rsidR="00186C10">
        <w:rPr>
          <w:rFonts w:ascii="Arial" w:hAnsi="Arial" w:cs="Arial"/>
        </w:rPr>
        <w:t>inherent higher.</w:t>
      </w:r>
    </w:p>
    <w:p w14:paraId="30D012EB" w14:textId="77777777" w:rsidR="00134B4C" w:rsidRDefault="00134B4C">
      <w:pPr>
        <w:pStyle w:val="Body"/>
        <w:spacing w:after="0"/>
        <w:rPr>
          <w:rFonts w:ascii="Arial" w:hAnsi="Arial" w:cs="Arial"/>
          <w:b/>
          <w:bCs/>
        </w:rPr>
      </w:pPr>
    </w:p>
    <w:p w14:paraId="4D0866F6" w14:textId="7F7A0CA0" w:rsidR="00FD7E85" w:rsidRDefault="00134B4C">
      <w:pPr>
        <w:pStyle w:val="Body"/>
        <w:spacing w:after="0"/>
        <w:rPr>
          <w:rFonts w:ascii="Arial" w:hAnsi="Arial" w:cs="Arial"/>
        </w:rPr>
      </w:pPr>
      <w:r w:rsidRPr="00134B4C">
        <w:rPr>
          <w:rFonts w:ascii="Arial" w:hAnsi="Arial" w:cs="Arial"/>
          <w:b/>
          <w:bCs/>
        </w:rPr>
        <w:t xml:space="preserve">Reversed End-Diastolic Flow (REDF) was observed in 4.1% of participants, similar to studies from Uganda (4.5%), Nigeria (8%), and India (2%) </w:t>
      </w:r>
      <w:bookmarkStart w:id="41" w:name="_Hlk225256253"/>
      <w:r w:rsidR="00754758">
        <w:rPr>
          <w:rFonts w:ascii="Arial" w:hAnsi="Arial" w:cs="Arial"/>
        </w:rPr>
        <w:fldChar w:fldCharType="begin" w:fldLock="1"/>
      </w:r>
      <w:r w:rsidR="00754758">
        <w:rPr>
          <w:rFonts w:ascii="Arial" w:hAnsi="Arial" w:cs="Arial"/>
        </w:rPr>
        <w:instrText>ADDIN CSL_CITATION {"citationItems":[{"id":"ITEM-1","itemData":{"DOI":"10.18203/2320-1770.ijrcog20195347","ISSN":"2320-1770","abstract":"Background: To compare pregnancy outcomes in growth-restricted fetuses retaining normal umbilical artery doppler flow and the outcomes of pregnancies with end-diastolic velocity diminished or severely reduced/absent.Methods: In a prospective observational study, one hundred pregnant women with growth-restricted fetuses were followed with doppler velocimetry of the umbilical artery between weeks 28 and 41 of pregnancy. Outcomes were compared for the normal doppler group (55%) (Group 1), the low-end diastolic flow group (32%) (Group 2), and the group with severely reduced or absent end-diastolic velocity waveforms (13%) (Group 3).Results: Fetuses with abnormal umbilical flow velocimetry had higher incidence of oligohydramnios (82.2%). The average birth weight and gestational age at delivery were lower in the abnormal doppler group. Significantly more women with severe reduction/AEDV, 31/45 (68.8%), underwent caesarean section, with 20 of them (44.4 %) for fetal distress, compared with 17/55 (30.9%) women in the normal doppler group, with 9 of them (16.4%) for fetal distress. Also, fetuses with abnormal umbilical artery velocimetry had early delivery at less than 36 weeks of gestation (38.2% versus 65.85%), increased NICU admission (32.7% versus 80%), need for PPV (5.5% versus 40%), low Apgar score (9.1 % versus 50.2%) than those with normal doppler. All the three stillbirths in the study population were in the abnormal doppler group.Conclusions: Umbilical artery doppler velocimetry helps in differentiating fetus with pathological growth restriction at risk for perinatal complications from small and healthy fetuses.","author":[{"dropping-particle":"","family":"R.","given":"Sumathi","non-dropping-particle":"","parse-names":false,"suffix":""},{"dropping-particle":"","family":"Rodrigo","given":"Mercy R.","non-dropping-particle":"","parse-names":false,"suffix":""}],"container-title":"International Journal of Reproduction, Contraception, Obstetrics and Gynecology","id":"ITEM-1","issue":"12","issued":{"date-parts":[["2019"]]},"page":"4930","title":"A prospective study on the role of umbilical artery doppler velocimetry in the perinatal outcome of growth restricted fetuses","type":"article-journal","volume":"8"},"uris":["http://www.mendeley.com/documents/?uuid=311cfde9-7756-4821-aacd-56cc71d3d0c1"]},{"id":"ITEM-2","itemData":{"DOI":"10.3126/ajms.v10i5.25135","author":[{"dropping-particle":"","family":"Merina","given":"Gyawali","non-dropping-particle":"","parse-names":false,"suffix":""},{"dropping-particle":"","family":"Ramesh","given":"Poudel","non-dropping-particle":"","parse-names":false,"suffix":""}],"id":"ITEM-2","issue":"5","issued":{"date-parts":[["2019"]]},"page":"2-5","title":"O R I G I N A L A RTICL E Study of abnormal umbilical artery doppler and neonatal outcome","type":"article-journal","volume":"10"},"uris":["http://www.mendeley.com/documents/?uuid=0d5c5f82-b196-4a01-8ab4-f7597825b97f"]},{"id":"ITEM-3","itemData":{"author":[{"dropping-particle":"","family":"Komuhangi","given":"P","non-dropping-particle":"","parse-names":false,"suffix":""},{"dropping-particle":"","family":"Byanyima","given":"R K","non-dropping-particle":"","parse-names":false,"suffix":""},{"dropping-particle":"","family":"Nakisige","given":"C","non-dropping-particle":"","parse-names":false,"suffix":""}],"id":"ITEM-3","issue":"9","issued":{"date-parts":[["2013"]]},"page":"554-561","title":"Umbilical artery doppler flow patterns in high-risk pregnancy and foetal outcome in Mulago hospital","type":"article-journal","volume":"2"},"uris":["http://www.mendeley.com/documents/?uuid=38d339e8-b0c1-4d01-9478-9ebe2eee17d7"]}],"mendeley":{"formattedCitation":"(Komuhangi, Byanyima and Nakisige, 2013; Merina and Ramesh, 2019; R. and Rodrigo, 2019)","plainTextFormattedCitation":"(Komuhangi, Byanyima and Nakisige, 2013; Merina and Ramesh, 2019; R. and Rodrigo, 2019)","previouslyFormattedCitation":"(Komuhangi, Byanyima and Nakisige, 2013; Merina and Ramesh, 2019; R. and Rodrigo, 2019)"},"properties":{"noteIndex":0},"schema":"https://github.com/citation-style-language/schema/raw/master/csl-citation.json"}</w:instrText>
      </w:r>
      <w:r w:rsidR="00754758">
        <w:rPr>
          <w:rFonts w:ascii="Arial" w:hAnsi="Arial" w:cs="Arial"/>
        </w:rPr>
        <w:fldChar w:fldCharType="separate"/>
      </w:r>
      <w:r w:rsidR="00754758" w:rsidRPr="00754758">
        <w:rPr>
          <w:rFonts w:ascii="Arial" w:hAnsi="Arial" w:cs="Arial"/>
          <w:noProof/>
        </w:rPr>
        <w:t>(Komuhangi, Byanyima and Nakisige, 2013; Merina and Ramesh, 2019; R. and Rodrigo, 2019)</w:t>
      </w:r>
      <w:r w:rsidR="00754758">
        <w:rPr>
          <w:rFonts w:ascii="Arial" w:hAnsi="Arial" w:cs="Arial"/>
        </w:rPr>
        <w:fldChar w:fldCharType="end"/>
      </w:r>
      <w:bookmarkEnd w:id="41"/>
      <w:r w:rsidRPr="00134B4C">
        <w:rPr>
          <w:rFonts w:ascii="Arial" w:hAnsi="Arial" w:cs="Arial"/>
        </w:rPr>
        <w:t xml:space="preserve">. Higher prevalence reported in India (20%) </w:t>
      </w:r>
      <w:r w:rsidR="00E13101" w:rsidRPr="00E13101">
        <w:rPr>
          <w:rFonts w:ascii="Arial" w:hAnsi="Arial" w:cs="Arial"/>
        </w:rPr>
        <w:fldChar w:fldCharType="begin" w:fldLock="1"/>
      </w:r>
      <w:r w:rsidR="00E13101" w:rsidRPr="00E13101">
        <w:rPr>
          <w:rFonts w:ascii="Arial" w:hAnsi="Arial" w:cs="Arial"/>
        </w:rPr>
        <w:instrText>ADDIN CSL_CITATION {"citationItems":[{"id":"ITEM-1","itemData":{"DOI":"10.7196/SAJOG.2017.v23i1.1109","author":[{"dropping-particle":"","family":"Agarwal","given":"R","non-dropping-particle":"","parse-names":false,"suffix":""},{"dropping-particle":"","family":"Ms","given":"O","non-dropping-particle":"","parse-names":false,"suffix":""},{"dropping-particle":"","family":"Tiwari","given":"A","non-dropping-particle":"","parse-names":false,"suffix":""},{"dropping-particle":"","family":"Wadhwa","given":"N","non-dropping-particle":"","parse-names":false,"suffix":""},{"dropping-particle":"","family":"Radhakrishnan","given":"G","non-dropping-particle":"","parse-names":false,"suffix":""},{"dropping-particle":"","family":"Ms","given":"O","non-dropping-particle":"","parse-names":false,"suffix":""},{"dropping-particle":"","family":"Bhatt","given":"S","non-dropping-particle":"","parse-names":false,"suffix":""},{"dropping-particle":"","family":"Batra","given":"P","non-dropping-particle":"","parse-names":false,"suffix":""}],"id":"ITEM-1","issue":"1","issued":{"date-parts":[["2017"]]},"page":"12-16","title":"Abnormal umbilical artery Doppler velocimetry and placental histopathological correlation in fetal growth restriction","type":"article-journal","volume":"23"},"uris":["http://www.mendeley.com/documents/?uuid=3e8eb882-7212-4cf3-a9e1-0581d7ed635a"]}],"mendeley":{"formattedCitation":"(Agarwal &lt;i&gt;et al.&lt;/i&gt;, 2017)","plainTextFormattedCitation":"(Agarwal et al., 2017)","previouslyFormattedCitation":"(Agarwal &lt;i&gt;et al.&lt;/i&gt;, 2017)"},"properties":{"noteIndex":0},"schema":"https://github.com/citation-style-language/schema/raw/master/csl-citation.json"}</w:instrText>
      </w:r>
      <w:r w:rsidR="00E13101" w:rsidRPr="00E13101">
        <w:rPr>
          <w:rFonts w:ascii="Arial" w:hAnsi="Arial" w:cs="Arial"/>
        </w:rPr>
        <w:fldChar w:fldCharType="separate"/>
      </w:r>
      <w:r w:rsidR="00E13101" w:rsidRPr="00E13101">
        <w:rPr>
          <w:rFonts w:ascii="Arial" w:hAnsi="Arial" w:cs="Arial"/>
          <w:noProof/>
        </w:rPr>
        <w:t xml:space="preserve">(Agarwal </w:t>
      </w:r>
      <w:r w:rsidR="00E13101" w:rsidRPr="00E13101">
        <w:rPr>
          <w:rFonts w:ascii="Arial" w:hAnsi="Arial" w:cs="Arial"/>
          <w:i/>
          <w:noProof/>
        </w:rPr>
        <w:t>et al.</w:t>
      </w:r>
      <w:r w:rsidR="00E13101" w:rsidRPr="00E13101">
        <w:rPr>
          <w:rFonts w:ascii="Arial" w:hAnsi="Arial" w:cs="Arial"/>
          <w:noProof/>
        </w:rPr>
        <w:t>, 2017)</w:t>
      </w:r>
      <w:r w:rsidR="00E13101" w:rsidRPr="00E13101">
        <w:rPr>
          <w:rFonts w:ascii="Arial" w:hAnsi="Arial" w:cs="Arial"/>
        </w:rPr>
        <w:fldChar w:fldCharType="end"/>
      </w:r>
      <w:r w:rsidR="00E13101">
        <w:rPr>
          <w:rFonts w:ascii="Arial" w:hAnsi="Arial" w:cs="Arial"/>
        </w:rPr>
        <w:t xml:space="preserve"> </w:t>
      </w:r>
      <w:r w:rsidRPr="00134B4C">
        <w:rPr>
          <w:rFonts w:ascii="Arial" w:hAnsi="Arial" w:cs="Arial"/>
        </w:rPr>
        <w:t>may be due to enrolment of participants with gestational age &lt;34 weeks and coexisting conditions such as diabetes, which increase vascular resistance</w:t>
      </w:r>
      <w:r w:rsidR="00E13101">
        <w:rPr>
          <w:rFonts w:ascii="Arial" w:hAnsi="Arial" w:cs="Arial"/>
        </w:rPr>
        <w:t xml:space="preserve">. </w:t>
      </w:r>
      <w:r>
        <w:rPr>
          <w:rFonts w:ascii="Arial" w:hAnsi="Arial" w:cs="Arial"/>
        </w:rPr>
        <w:t xml:space="preserve">Also study done in India by Sumathi and Rodrigo enrolled participants with other medical comorbid such as diabetes which have synergistic effect on vascular atherosclerosis.   </w:t>
      </w:r>
    </w:p>
    <w:p w14:paraId="5B0D5814" w14:textId="77777777" w:rsidR="00E13101" w:rsidRDefault="00E13101">
      <w:pPr>
        <w:pStyle w:val="Body"/>
        <w:spacing w:after="0"/>
        <w:rPr>
          <w:rFonts w:ascii="Arial" w:hAnsi="Arial" w:cs="Arial"/>
        </w:rPr>
      </w:pPr>
    </w:p>
    <w:p w14:paraId="09D816FC" w14:textId="1126FA01" w:rsidR="00883A52" w:rsidRDefault="00F456FA">
      <w:pPr>
        <w:pStyle w:val="Body"/>
        <w:spacing w:after="0"/>
        <w:rPr>
          <w:rFonts w:ascii="Arial" w:hAnsi="Arial" w:cs="Arial"/>
        </w:rPr>
      </w:pPr>
      <w:r>
        <w:rPr>
          <w:rFonts w:ascii="Arial" w:hAnsi="Arial" w:cs="Arial"/>
        </w:rPr>
        <w:t>In our study abnormal elevated RI was found in 38.79% of participants. This comparable to stud</w:t>
      </w:r>
      <w:r w:rsidR="00200C1B">
        <w:rPr>
          <w:rFonts w:ascii="Arial" w:hAnsi="Arial" w:cs="Arial"/>
        </w:rPr>
        <w:t>ies</w:t>
      </w:r>
      <w:r>
        <w:rPr>
          <w:rFonts w:ascii="Arial" w:hAnsi="Arial" w:cs="Arial"/>
        </w:rPr>
        <w:t xml:space="preserve"> </w:t>
      </w:r>
      <w:r w:rsidR="00777BF2">
        <w:rPr>
          <w:rFonts w:ascii="Arial" w:hAnsi="Arial" w:cs="Arial"/>
        </w:rPr>
        <w:t>conducted</w:t>
      </w:r>
      <w:r>
        <w:rPr>
          <w:rFonts w:ascii="Arial" w:hAnsi="Arial" w:cs="Arial"/>
        </w:rPr>
        <w:t xml:space="preserve"> in Uganda</w:t>
      </w:r>
      <w:r w:rsidR="00777BF2">
        <w:rPr>
          <w:rFonts w:ascii="Arial" w:hAnsi="Arial" w:cs="Arial"/>
        </w:rPr>
        <w:t xml:space="preserve"> </w:t>
      </w:r>
      <w:r w:rsidR="00200C1B">
        <w:rPr>
          <w:rFonts w:ascii="Arial" w:hAnsi="Arial" w:cs="Arial"/>
        </w:rPr>
        <w:t xml:space="preserve"> and India </w:t>
      </w:r>
      <w:r w:rsidR="00777BF2">
        <w:rPr>
          <w:rFonts w:ascii="Arial" w:hAnsi="Arial" w:cs="Arial"/>
        </w:rPr>
        <w:t>which revealed the prevalence of abnormal elevated RI to be</w:t>
      </w:r>
      <w:r>
        <w:rPr>
          <w:rFonts w:ascii="Arial" w:hAnsi="Arial" w:cs="Arial"/>
        </w:rPr>
        <w:t xml:space="preserve"> 25.8%</w:t>
      </w:r>
      <w:r w:rsidR="00200C1B">
        <w:rPr>
          <w:rFonts w:ascii="Arial" w:hAnsi="Arial" w:cs="Arial"/>
        </w:rPr>
        <w:fldChar w:fldCharType="begin" w:fldLock="1"/>
      </w:r>
      <w:r w:rsidR="00955D61">
        <w:rPr>
          <w:rFonts w:ascii="Arial" w:hAnsi="Arial" w:cs="Arial"/>
        </w:rPr>
        <w:instrText>ADDIN CSL_CITATION {"citationItems":[{"id":"ITEM-1","itemData":{"ISBN":"0012835X","abstract":"AJOL Abstract: Background: Umbilical artery (UA) Doppler velocimetry detects foetuses at risk of asphyxia from IUGR before changes in the CTG and biophysical score are evident. This has made it a primary fetal surveillance tool in pre-eclampsia in developed countries with resultant reduction in perinatal mortality by 29%. Iatrogenic preterm deliveries related to pre-eclampsia are a key contributor to neonatal intensive care admissions at Mulago hospital due in part to limited use of UA Doppler velocimetry to optimize delivery because of high patient load.Objective: The objective was to determine the prevalence and factors associated with UA Doppler abnormalities in women with preeclampsia from 28 weeks of pregnancy so as to identify a subpopulation who would require routine UA Doppler velocimetry to improve perinatal outcomes in a resource limited context.Study design: This was a cross-sectional analytical study. Maternal age, Gestational age, Parity, and Blood pressure were recorded. Degree of proteinuria, Platelet count, serum creatinine and liver transaminases were analysed and UA Doppler sonography was performed to determine the RI, S/D ratio, AEDV and RF patterns. These data were entered into EPIDATA 3.1 and exported to STATA version 12 for analysis. Bivariate and Multivariate analysis were deployed to identify factors associated with Doppler abnormalities.Study Setting: The study was conducted on the labour and maternal-fetal medicine wards of Mulago National Referral hospital, Kampala Uganda between June and September 2014.Subjects: A total of 155 women with pre-eclampsia between 28 and 42 weeks of pregnancy were consented/assented and recruited for the study. Critically ill patients and those in active phase of labour or premature rupture of membranes were excluded.Results: The overall prevalence of UA Doppler abnormalities was 31.6%. High RI, high S/D ratio, AEDV and RF were found in 25.8%, 31.6%, 7.7% and 4.5% of the population respectively. Key factors associated with UA Doppler abnormalities were gestational age below 35 weeks (AOR=8.1, 95% CI: 2.91- 22.76, P&lt;0.001), severe pre-eclampsia with heavy proteinuria (AOR=7.3, 95% CI: 2.82-18.87, P&lt;0.001), and multiparity (AOR=5.3, 95% CI: 1.52-18.53, P&lt;0.001). Severe pre-eclampsia comprised 61% (n=95) of the study population. Maternal age and pre-eclampsia with light proteinuria had no association with UA Doppler abnormalities.Conclusion: UA Doppler abnormalities are very common in pre-eclampsia. …","author":[{"dropping-particle":"","family":"Gimei","given":"P","non-dropping-particle":"","parse-names":false,"suffix":""},{"dropping-particle":"","family":"Busingye","given":"R B","non-dropping-particle":"","parse-names":false,"suffix":""},{"dropping-particle":"","family":"Nakabembe","given":"E","non-dropping-particle":"","parse-names":false,"suffix":""},{"dropping-particle":"","family":"Byanyima","given":"R K","non-dropping-particle":"","parse-names":false,"suffix":""}],"container-title":"East African Medical Journal","id":"ITEM-1","issue":"5","issued":{"date-parts":[["2017"]]},"page":"344-352","title":"Umbilical artery doppler abnormalities and associated factors in women with pre-eclampsia at Mulago Hospital- a cross sectional study","type":"article-journal","volume":"94"},"uris":["http://www.mendeley.com/documents/?uuid=2d8ef309-10c3-41b6-9b48-b0e6d2cd5368"]},{"id":"ITEM-2","itemData":{"DOI":"10.7759/cureus.50876","author":[{"dropping-particle":"","family":"Mahajan","given":"Kalyani S","non-dropping-particle":"","parse-names":false,"suffix":""},{"dropping-particle":"","family":"Dewani","given":"Deepika","non-dropping-particle":"","parse-names":false,"suffix":""},{"dropping-particle":"","family":"Duragkar","given":"Sakshi","non-dropping-particle":"","parse-names":false,"suffix":""}],"id":"ITEM-2","issue":"12","issued":{"date-parts":[["2023"]]},"title":"Umbilical Artery Doppler Indices in Hypertensive Disorders of Pregnancy : Impact on Fetal Outcomes","type":"article-journal","volume":"15"},"uris":["http://www.mendeley.com/documents/?uuid=7dc3225b-544f-4133-840c-126e51a5bc92"]}],"mendeley":{"formattedCitation":"(Gimei &lt;i&gt;et al.&lt;/i&gt;, 2017; Mahajan, Dewani and Duragkar, 2023a)","plainTextFormattedCitation":"(Gimei et al., 2017; Mahajan, Dewani and Duragkar, 2023a)","previouslyFormattedCitation":"(Gimei &lt;i&gt;et al.&lt;/i&gt;, 2017; Mahajan, Dewani and Duragkar, 2023a)"},"properties":{"noteIndex":0},"schema":"https://github.com/citation-style-language/schema/raw/master/csl-citation.json"}</w:instrText>
      </w:r>
      <w:r w:rsidR="00200C1B">
        <w:rPr>
          <w:rFonts w:ascii="Arial" w:hAnsi="Arial" w:cs="Arial"/>
        </w:rPr>
        <w:fldChar w:fldCharType="separate"/>
      </w:r>
      <w:r w:rsidR="00200C1B" w:rsidRPr="00200C1B">
        <w:rPr>
          <w:rFonts w:ascii="Arial" w:hAnsi="Arial" w:cs="Arial"/>
          <w:noProof/>
        </w:rPr>
        <w:t xml:space="preserve">(Gimei </w:t>
      </w:r>
      <w:r w:rsidR="00200C1B" w:rsidRPr="00200C1B">
        <w:rPr>
          <w:rFonts w:ascii="Arial" w:hAnsi="Arial" w:cs="Arial"/>
          <w:i/>
          <w:noProof/>
        </w:rPr>
        <w:t>et al.</w:t>
      </w:r>
      <w:r w:rsidR="00200C1B" w:rsidRPr="00200C1B">
        <w:rPr>
          <w:rFonts w:ascii="Arial" w:hAnsi="Arial" w:cs="Arial"/>
          <w:noProof/>
        </w:rPr>
        <w:t>, 2017; Mahajan, Dewani and Duragkar, 2023a)</w:t>
      </w:r>
      <w:r w:rsidR="00200C1B">
        <w:rPr>
          <w:rFonts w:ascii="Arial" w:hAnsi="Arial" w:cs="Arial"/>
        </w:rPr>
        <w:fldChar w:fldCharType="end"/>
      </w:r>
      <w:r w:rsidR="006D3435">
        <w:rPr>
          <w:rFonts w:ascii="Arial" w:hAnsi="Arial" w:cs="Arial"/>
        </w:rPr>
        <w:t>.</w:t>
      </w:r>
      <w:r w:rsidR="006D3435" w:rsidRPr="006D3435">
        <w:t xml:space="preserve"> </w:t>
      </w:r>
      <w:r w:rsidR="006D3435" w:rsidRPr="006D3435">
        <w:rPr>
          <w:rFonts w:ascii="Arial" w:hAnsi="Arial" w:cs="Arial"/>
        </w:rPr>
        <w:t xml:space="preserve">Higher </w:t>
      </w:r>
      <w:r w:rsidR="006D3435">
        <w:rPr>
          <w:rFonts w:ascii="Arial" w:hAnsi="Arial" w:cs="Arial"/>
        </w:rPr>
        <w:t>abnormal</w:t>
      </w:r>
      <w:r w:rsidR="006D3435" w:rsidRPr="006D3435">
        <w:rPr>
          <w:rFonts w:ascii="Arial" w:hAnsi="Arial" w:cs="Arial"/>
        </w:rPr>
        <w:t xml:space="preserve"> RI in studies from India and Nigeria (54.5%, 80%, and 58.9%) (Syed et al., 2014; Nagar et al., 2015; Mamah et al., 2023) may reflect differences in study</w:t>
      </w:r>
      <w:r w:rsidR="006D3435">
        <w:rPr>
          <w:rFonts w:ascii="Arial" w:hAnsi="Arial" w:cs="Arial"/>
        </w:rPr>
        <w:t xml:space="preserve"> sample </w:t>
      </w:r>
      <w:r w:rsidR="006D3435" w:rsidRPr="006D3435">
        <w:rPr>
          <w:rFonts w:ascii="Arial" w:hAnsi="Arial" w:cs="Arial"/>
        </w:rPr>
        <w:t xml:space="preserve">size, inclusion of preeclamptic participants, or </w:t>
      </w:r>
      <w:r w:rsidR="006D3435">
        <w:rPr>
          <w:rFonts w:ascii="Arial" w:hAnsi="Arial" w:cs="Arial"/>
        </w:rPr>
        <w:t xml:space="preserve">presence of other </w:t>
      </w:r>
      <w:r w:rsidR="006D3435" w:rsidRPr="006D3435">
        <w:rPr>
          <w:rFonts w:ascii="Arial" w:hAnsi="Arial" w:cs="Arial"/>
        </w:rPr>
        <w:t>comorbidities.</w:t>
      </w:r>
      <w:r w:rsidR="006D3435">
        <w:rPr>
          <w:rFonts w:ascii="Arial" w:hAnsi="Arial" w:cs="Arial"/>
        </w:rPr>
        <w:t xml:space="preserve"> </w:t>
      </w:r>
    </w:p>
    <w:p w14:paraId="7DAAA952" w14:textId="77777777" w:rsidR="006D3435" w:rsidRDefault="006D3435">
      <w:pPr>
        <w:pStyle w:val="Body"/>
        <w:spacing w:after="0"/>
        <w:rPr>
          <w:rFonts w:ascii="Arial" w:hAnsi="Arial" w:cs="Arial"/>
        </w:rPr>
      </w:pPr>
    </w:p>
    <w:p w14:paraId="12A0C8BC" w14:textId="683DEABC" w:rsidR="006D3435" w:rsidRPr="006D3435" w:rsidRDefault="006D3435" w:rsidP="006D3435">
      <w:pPr>
        <w:pStyle w:val="Body"/>
        <w:rPr>
          <w:rFonts w:ascii="Arial" w:hAnsi="Arial" w:cs="Arial"/>
        </w:rPr>
      </w:pPr>
      <w:r w:rsidRPr="006D3435">
        <w:rPr>
          <w:rFonts w:ascii="Arial" w:hAnsi="Arial" w:cs="Arial"/>
          <w:b/>
          <w:bCs/>
        </w:rPr>
        <w:t>Abnormal Pulsatility Index (PI)</w:t>
      </w:r>
      <w:r w:rsidRPr="006D3435">
        <w:rPr>
          <w:rFonts w:ascii="Arial" w:hAnsi="Arial" w:cs="Arial"/>
        </w:rPr>
        <w:t xml:space="preserve"> was observed in </w:t>
      </w:r>
      <w:r w:rsidRPr="006D3435">
        <w:rPr>
          <w:rFonts w:ascii="Arial" w:hAnsi="Arial" w:cs="Arial"/>
          <w:b/>
          <w:bCs/>
        </w:rPr>
        <w:t>22.4%</w:t>
      </w:r>
      <w:r w:rsidRPr="006D3435">
        <w:rPr>
          <w:rFonts w:ascii="Arial" w:hAnsi="Arial" w:cs="Arial"/>
        </w:rPr>
        <w:t xml:space="preserve"> of participants. This is lower than reported in studies from India (62%) and Nigeria (58.2%)</w:t>
      </w:r>
      <w:r w:rsidR="009058C4">
        <w:rPr>
          <w:rFonts w:ascii="Arial" w:hAnsi="Arial" w:cs="Arial"/>
        </w:rPr>
        <w:fldChar w:fldCharType="begin" w:fldLock="1"/>
      </w:r>
      <w:r w:rsidR="00AE4489">
        <w:rPr>
          <w:rFonts w:ascii="Arial" w:hAnsi="Arial" w:cs="Arial"/>
        </w:rPr>
        <w:instrText>ADDIN CSL_CITATION {"citationItems":[{"id":"ITEM-1","itemData":{"DOI":"10.18203/2320-6012.ijrms20230154","ISSN":"2320-6071","abstract":"Background: Preeclampsia currently accounts for the majority of causes of perinatal morbidity and mortality. Umbilical artery Doppler (UAD) is a non-invasive effective method of antenatal fetal surveillance for early detection and prevention of potentially adverse perinatal outcome in preeclampsia. The objective of this study is to predict adverse perinatal outcome using UAD in Preeclampsia. Methods: This was a prospective cohort study in which 170 consecutively consenting women with preeclampsia were recruited. An UAD was done using Voluson P8 ultrasound. The pulsatility index, resistance index, systolic/diastole ratio. Reduced end diastolic flow, absent end diastolic flow and reversed end diastolic flow were measured. The participants were divided into two groups based on UAD indices findings. Both groups were followed up to determine their perinatal outcomes.The data was analyzed using SPSS version 20.0 for windows (IBM SPSS Inc, Chicago, IL, USA). Categorical variables were analyzed using Chi-Square ( 2) test and Fisher's exact test p&lt;0.05 was considered statistically significant. Specificity, sensitivity, PPV and NPV were determined. Results: The sensitivity, specificity, PPV, and NPV of umbilical artery Doppler in predicting adverse perinatal outcomes was 68.5%, 59.7%, 74.7%, and 52.1% respectively. Conclusions: Although the use of UAD indices in this study showed modest predictive values for adverse perinatal outcome in preeclampsia, it’s use should be combine with other methods of antenatal fetal surveillance to prevent adverse perinatal outcome.","author":[{"dropping-particle":"","family":"Irowa","given":"Omoregie","non-dropping-particle":"","parse-names":false,"suffix":""},{"dropping-particle":"","family":"Mohammad Hameed","given":"","non-dropping-particle":"","parse-names":false,"suffix":""},{"dropping-particle":"","family":"Nombur Lahaga Issac","given":"","non-dropping-particle":"","parse-names":false,"suffix":""},{"dropping-particle":"","family":"Eti Arichi Elizabeth","given":"","non-dropping-particle":"","parse-names":false,"suffix":""}],"container-title":"International Journal of Research in Medical Sciences","id":"ITEM-1","issue":"2","issued":{"date-parts":[["2023"]]},"page":"465-470","title":"The role of umbilical artery doppler indices in predicting perinatal outcome in preeclampsia","type":"article-journal","volume":"11"},"uris":["http://www.mendeley.com/documents/?uuid=b76deb00-d843-4534-95bf-7124cc09c08c"]},{"id":"ITEM-2","itemData":{"author":[{"dropping-particle":"","family":"Sasi","given":"Navaneetha","non-dropping-particle":"","parse-names":false,"suffix":""},{"dropping-particle":"","family":"Kariyappa","given":"Pushpalatha","non-dropping-particle":"","parse-names":false,"suffix":""},{"dropping-particle":"","family":"Sohail","given":"Abdus Subhan","non-dropping-particle":"","parse-names":false,"suffix":""},{"dropping-particle":"","family":"Naik","given":"Jyothi","non-dropping-particle":"","parse-names":false,"suffix":""},{"dropping-particle":"","family":"Rao","given":"Udayakumar Seetharam","non-dropping-particle":"","parse-names":false,"suffix":""}],"id":"ITEM-2","issue":"5","issued":{"date-parts":[["2022"]]},"page":"466-472","title":"Neonatal outcome of abnormal versus normal antenatal Doppler in high-risk pregnancies","type":"article-journal","volume":"9"},"uris":["http://www.mendeley.com/documents/?uuid=37beecae-a66b-4e9c-94a2-f697a2b9ea9e"]}],"mendeley":{"formattedCitation":"(Sasi &lt;i&gt;et al.&lt;/i&gt;, 2022; Irowa, Mohammad Hameed, &lt;i&gt;et al.&lt;/i&gt;, 2023)","plainTextFormattedCitation":"(Sasi et al., 2022; Irowa, Mohammad Hameed, et al., 2023)","previouslyFormattedCitation":"(Sasi &lt;i&gt;et al.&lt;/i&gt;, 2022; Irowa, Mohammad Hameed, &lt;i&gt;et al.&lt;/i&gt;, 2023)"},"properties":{"noteIndex":0},"schema":"https://github.com/citation-style-language/schema/raw/master/csl-citation.json"}</w:instrText>
      </w:r>
      <w:r w:rsidR="009058C4">
        <w:rPr>
          <w:rFonts w:ascii="Arial" w:hAnsi="Arial" w:cs="Arial"/>
        </w:rPr>
        <w:fldChar w:fldCharType="separate"/>
      </w:r>
      <w:r w:rsidR="009058C4" w:rsidRPr="009058C4">
        <w:rPr>
          <w:rFonts w:ascii="Arial" w:hAnsi="Arial" w:cs="Arial"/>
          <w:noProof/>
        </w:rPr>
        <w:t xml:space="preserve">(Sasi </w:t>
      </w:r>
      <w:r w:rsidR="009058C4" w:rsidRPr="009058C4">
        <w:rPr>
          <w:rFonts w:ascii="Arial" w:hAnsi="Arial" w:cs="Arial"/>
          <w:i/>
          <w:noProof/>
        </w:rPr>
        <w:t>et al.</w:t>
      </w:r>
      <w:r w:rsidR="009058C4" w:rsidRPr="009058C4">
        <w:rPr>
          <w:rFonts w:ascii="Arial" w:hAnsi="Arial" w:cs="Arial"/>
          <w:noProof/>
        </w:rPr>
        <w:t xml:space="preserve">, 2022; Irowa, Mohammad Hameed, </w:t>
      </w:r>
      <w:r w:rsidR="009058C4" w:rsidRPr="009058C4">
        <w:rPr>
          <w:rFonts w:ascii="Arial" w:hAnsi="Arial" w:cs="Arial"/>
          <w:i/>
          <w:noProof/>
        </w:rPr>
        <w:t>et al.</w:t>
      </w:r>
      <w:r w:rsidR="009058C4" w:rsidRPr="009058C4">
        <w:rPr>
          <w:rFonts w:ascii="Arial" w:hAnsi="Arial" w:cs="Arial"/>
          <w:noProof/>
        </w:rPr>
        <w:t>, 2023)</w:t>
      </w:r>
      <w:r w:rsidR="009058C4">
        <w:rPr>
          <w:rFonts w:ascii="Arial" w:hAnsi="Arial" w:cs="Arial"/>
        </w:rPr>
        <w:fldChar w:fldCharType="end"/>
      </w:r>
      <w:r w:rsidR="009058C4">
        <w:rPr>
          <w:rFonts w:ascii="Arial" w:hAnsi="Arial" w:cs="Arial"/>
        </w:rPr>
        <w:t xml:space="preserve"> </w:t>
      </w:r>
      <w:r w:rsidRPr="006D3435">
        <w:rPr>
          <w:rFonts w:ascii="Arial" w:hAnsi="Arial" w:cs="Arial"/>
        </w:rPr>
        <w:t>which may be attributed to differences in sample size, participant characteristics, and inclusion of more severe hypertensive disorder</w:t>
      </w:r>
      <w:r w:rsidR="009058C4">
        <w:rPr>
          <w:rFonts w:ascii="Arial" w:hAnsi="Arial" w:cs="Arial"/>
        </w:rPr>
        <w:t>.</w:t>
      </w:r>
    </w:p>
    <w:p w14:paraId="73890BA2" w14:textId="2DEEDCCE" w:rsidR="00534C04" w:rsidRDefault="009058C4">
      <w:pPr>
        <w:pStyle w:val="Body"/>
        <w:spacing w:after="0"/>
        <w:rPr>
          <w:rFonts w:ascii="Arial" w:hAnsi="Arial" w:cs="Arial"/>
        </w:rPr>
      </w:pPr>
      <w:r w:rsidRPr="009058C4">
        <w:rPr>
          <w:rFonts w:ascii="Arial" w:hAnsi="Arial" w:cs="Arial"/>
          <w:b/>
          <w:bCs/>
        </w:rPr>
        <w:t>Abnormal Systolic/Diastolic (S/D) ratio</w:t>
      </w:r>
      <w:r w:rsidRPr="009058C4">
        <w:rPr>
          <w:rFonts w:ascii="Arial" w:hAnsi="Arial" w:cs="Arial"/>
        </w:rPr>
        <w:t xml:space="preserve"> was observed in </w:t>
      </w:r>
      <w:r w:rsidRPr="009058C4">
        <w:rPr>
          <w:rFonts w:ascii="Arial" w:hAnsi="Arial" w:cs="Arial"/>
          <w:b/>
          <w:bCs/>
        </w:rPr>
        <w:t>28.5%</w:t>
      </w:r>
      <w:r w:rsidRPr="009058C4">
        <w:rPr>
          <w:rFonts w:ascii="Arial" w:hAnsi="Arial" w:cs="Arial"/>
        </w:rPr>
        <w:t xml:space="preserve"> of participants, comparable to studies from India (23.9%) and Uganda (31.6%) respectively </w:t>
      </w:r>
      <w:r w:rsidRPr="009058C4">
        <w:rPr>
          <w:rFonts w:ascii="Arial" w:hAnsi="Arial" w:cs="Arial"/>
        </w:rPr>
        <w:fldChar w:fldCharType="begin" w:fldLock="1"/>
      </w:r>
      <w:r w:rsidRPr="009058C4">
        <w:rPr>
          <w:rFonts w:ascii="Arial" w:hAnsi="Arial" w:cs="Arial"/>
        </w:rPr>
        <w:instrText>ADDIN CSL_CITATION {"citationItems":[{"id":"ITEM-1","itemData":{"DOI":"10.7759/cureus.50876","abstract":"Background","author":[{"dropping-particle":"","family":"Mahajan","given":"Kalyani S","non-dropping-particle":"","parse-names":false,"suffix":""},{"dropping-particle":"","family":"Dewani","given":"Deepika","non-dropping-particle":"","parse-names":false,"suffix":""},{"dropping-particle":"","family":"Duragkar","given":"Sakshi","non-dropping-particle":"","parse-names":false,"suffix":""}],"container-title":"Cureus","id":"ITEM-1","issue":"12","issued":{"date-parts":[["2023"]]},"title":"Umbilical Artery Doppler Indices in Hypertensive Disorders of Pregnancy: Impact on Fetal Outcomes","type":"article-journal","volume":"15"},"uris":["http://www.mendeley.com/documents/?uuid=443df045-51c5-410d-8194-7c891fe77dbf"]},{"id":"ITEM-2","itemData":{"ISBN":"0012835X","abstract":"AJOL Abstract: Background: Umbilical artery (UA) Doppler velocimetry detects foetuses at risk of asphyxia from IUGR before changes in the CTG and biophysical score are evident. This has made it a primary fetal surveillance tool in pre-eclampsia in developed countries with resultant reduction in perinatal mortality by 29%. Iatrogenic preterm deliveries related to pre-eclampsia are a key contributor to neonatal intensive care admissions at Mulago hospital due in part to limited use of UA Doppler velocimetry to optimize delivery because of high patient load.Objective: The objective was to determine the prevalence and factors associated with UA Doppler abnormalities in women with preeclampsia from 28 weeks of pregnancy so as to identify a subpopulation who would require routine UA Doppler velocimetry to improve perinatal outcomes in a resource limited context.Study design: This was a cross-sectional analytical study. Maternal age, Gestational age, Parity, and Blood pressure were recorded. Degree of proteinuria, Platelet count, serum creatinine and liver transaminases were analysed and UA Doppler sonography was performed to determine the RI, S/D ratio, AEDV and RF patterns. These data were entered into EPIDATA 3.1 and exported to STATA version 12 for analysis. Bivariate and Multivariate analysis were deployed to identify factors associated with Doppler abnormalities.Study Setting: The study was conducted on the labour and maternal-fetal medicine wards of Mulago National Referral hospital, Kampala Uganda between June and September 2014.Subjects: A total of 155 women with pre-eclampsia between 28 and 42 weeks of pregnancy were consented/assented and recruited for the study. Critically ill patients and those in active phase of labour or premature rupture of membranes were excluded.Results: The overall prevalence of UA Doppler abnormalities was 31.6%. High RI, high S/D ratio, AEDV and RF were found in 25.8%, 31.6%, 7.7% and 4.5% of the population respectively. Key factors associated with UA Doppler abnormalities were gestational age below 35 weeks (AOR=8.1, 95% CI: 2.91- 22.76, P&lt;0.001), severe pre-eclampsia with heavy proteinuria (AOR=7.3, 95% CI: 2.82-18.87, P&lt;0.001), and multiparity (AOR=5.3, 95% CI: 1.52-18.53, P&lt;0.001). Severe pre-eclampsia comprised 61% (n=95) of the study population. Maternal age and pre-eclampsia with light proteinuria had no association with UA Doppler abnormalities.Conclusion: UA Doppler abnormalities are very common in pre-eclampsia. …","author":[{"dropping-particle":"","family":"Gimei","given":"P","non-dropping-particle":"","parse-names":false,"suffix":""},{"dropping-particle":"","family":"Busingye","given":"R B","non-dropping-particle":"","parse-names":false,"suffix":""},{"dropping-particle":"","family":"Nakabembe","given":"E","non-dropping-particle":"","parse-names":false,"suffix":""},{"dropping-particle":"","family":"Byanyima","given":"R K","non-dropping-particle":"","parse-names":false,"suffix":""}],"container-title":"East African Medical Journal","id":"ITEM-2","issue":"5","issued":{"date-parts":[["2017"]]},"page":"344-352","title":"Umbilical artery doppler abnormalities and associated factors in women with pre-eclampsia at Mulago Hospital- a cross sectional study","type":"article-journal","volume":"94"},"uris":["http://www.mendeley.com/documents/?uuid=2d8ef309-10c3-41b6-9b48-b0e6d2cd5368"]}],"mendeley":{"formattedCitation":"(Gimei &lt;i&gt;et al.&lt;/i&gt;, 2017; Mahajan, Dewani and Duragkar, 2023b)","plainTextFormattedCitation":"(Gimei et al., 2017; Mahajan, Dewani and Duragkar, 2023b)","previouslyFormattedCitation":"(Gimei &lt;i&gt;et al.&lt;/i&gt;, 2017; Mahajan, Dewani and Duragkar, 2023b)"},"properties":{"noteIndex":0},"schema":"https://github.com/citation-style-language/schema/raw/master/csl-citation.json"}</w:instrText>
      </w:r>
      <w:r w:rsidRPr="009058C4">
        <w:rPr>
          <w:rFonts w:ascii="Arial" w:hAnsi="Arial" w:cs="Arial"/>
        </w:rPr>
        <w:fldChar w:fldCharType="separate"/>
      </w:r>
      <w:r w:rsidRPr="009058C4">
        <w:rPr>
          <w:rFonts w:ascii="Arial" w:hAnsi="Arial" w:cs="Arial"/>
          <w:noProof/>
        </w:rPr>
        <w:t xml:space="preserve">(Gimei </w:t>
      </w:r>
      <w:r w:rsidRPr="009058C4">
        <w:rPr>
          <w:rFonts w:ascii="Arial" w:hAnsi="Arial" w:cs="Arial"/>
          <w:i/>
          <w:noProof/>
        </w:rPr>
        <w:t>et al.</w:t>
      </w:r>
      <w:r w:rsidRPr="009058C4">
        <w:rPr>
          <w:rFonts w:ascii="Arial" w:hAnsi="Arial" w:cs="Arial"/>
          <w:noProof/>
        </w:rPr>
        <w:t>, 2017; Mahajan, Dewani and Duragkar, 2023b)</w:t>
      </w:r>
      <w:r w:rsidRPr="009058C4">
        <w:rPr>
          <w:rFonts w:ascii="Arial" w:hAnsi="Arial" w:cs="Arial"/>
        </w:rPr>
        <w:fldChar w:fldCharType="end"/>
      </w:r>
      <w:r w:rsidRPr="009058C4">
        <w:rPr>
          <w:rFonts w:ascii="Arial" w:hAnsi="Arial" w:cs="Arial"/>
        </w:rPr>
        <w:t>.</w:t>
      </w:r>
      <w:r>
        <w:rPr>
          <w:rFonts w:ascii="Arial" w:hAnsi="Arial" w:cs="Arial"/>
        </w:rPr>
        <w:t xml:space="preserve"> </w:t>
      </w:r>
      <w:r w:rsidRPr="009058C4">
        <w:rPr>
          <w:rFonts w:ascii="Arial" w:hAnsi="Arial" w:cs="Arial"/>
        </w:rPr>
        <w:t>Higher S/D</w:t>
      </w:r>
      <w:r>
        <w:rPr>
          <w:rFonts w:ascii="Arial" w:hAnsi="Arial" w:cs="Arial"/>
        </w:rPr>
        <w:t xml:space="preserve"> ratio</w:t>
      </w:r>
      <w:r w:rsidRPr="009058C4">
        <w:rPr>
          <w:rFonts w:ascii="Arial" w:hAnsi="Arial" w:cs="Arial"/>
        </w:rPr>
        <w:t xml:space="preserve"> reported in Nigeria (41.8%) and Nepal (59%) </w:t>
      </w:r>
      <w:r w:rsidRPr="009058C4">
        <w:rPr>
          <w:rFonts w:ascii="Arial" w:hAnsi="Arial" w:cs="Arial"/>
        </w:rPr>
        <w:fldChar w:fldCharType="begin" w:fldLock="1"/>
      </w:r>
      <w:r w:rsidRPr="009058C4">
        <w:rPr>
          <w:rFonts w:ascii="Arial" w:hAnsi="Arial" w:cs="Arial"/>
        </w:rPr>
        <w:instrText>ADDIN CSL_CITATION {"citationItems":[{"id":"ITEM-1","itemData":{"author":[{"dropping-particle":"","family":"Irowa","given":"Omoregie","non-dropping-particle":"","parse-names":false,"suffix":""},{"dropping-particle":"","family":"Hameed","given":"Mohammad","non-dropping-particle":"","parse-names":false,"suffix":""},{"dropping-particle":"","family":"Isaac","given":"Nombur Lahaga","non-dropping-particle":"","parse-names":false,"suffix":""},{"dropping-particle":"","family":"Elizabeth","given":"Eti Arichi","non-dropping-particle":"","parse-names":false,"suffix":""}],"id":"ITEM-1","issue":"2","issued":{"date-parts":[["2023"]]},"page":"465-470","title":"The role of umbilical artery doppler indices in predicting perinatal outcome in preeclampsia","type":"article-journal","volume":"11"},"uris":["http://www.mendeley.com/documents/?uuid=dafd6e21-6f10-4cc1-8332-3aeadd072574"]},{"id":"ITEM-2","itemData":{"DOI":"10.3126/njr.v7i1-2.19350","author":[{"dropping-particle":"","family":"Sharma","given":"P","non-dropping-particle":"","parse-names":false,"suffix":""},{"dropping-particle":"","family":"Gyawali","given":"M","non-dropping-particle":"","parse-names":false,"suffix":""},{"dropping-particle":"","family":"Sd","given":"Gurung","non-dropping-particle":"","parse-names":false,"suffix":""}],"id":"ITEM-2","issue":"March 2018","issued":{"date-parts":[["2020"]]},"page":"2-8","title":"Role of Umbilical Artery Doppler in Predicting Intrauterine Growth Restriction and Foetal Outcome in Pregnant Ladies with Pregnancy Induced Hypertension","type":"article-journal"},"uris":["http://www.mendeley.com/documents/?uuid=fd51d628-7e90-40c2-bebf-c27df180d2bc"]}],"mendeley":{"formattedCitation":"(Sharma, Gyawali and Sd, 2020; Irowa, Hameed, &lt;i&gt;et al.&lt;/i&gt;, 2023)","plainTextFormattedCitation":"(Sharma, Gyawali and Sd, 2020; Irowa, Hameed, et al., 2023)","previouslyFormattedCitation":"(Sharma, Gyawali and Sd, 2020; Irowa, Hameed, &lt;i&gt;et al.&lt;/i&gt;, 2023)"},"properties":{"noteIndex":0},"schema":"https://github.com/citation-style-language/schema/raw/master/csl-citation.json"}</w:instrText>
      </w:r>
      <w:r w:rsidRPr="009058C4">
        <w:rPr>
          <w:rFonts w:ascii="Arial" w:hAnsi="Arial" w:cs="Arial"/>
        </w:rPr>
        <w:fldChar w:fldCharType="separate"/>
      </w:r>
      <w:r w:rsidRPr="009058C4">
        <w:rPr>
          <w:rFonts w:ascii="Arial" w:hAnsi="Arial" w:cs="Arial"/>
          <w:noProof/>
        </w:rPr>
        <w:t xml:space="preserve">(Sharma, Gyawali and Sd, 2020; Irowa, Hameed, </w:t>
      </w:r>
      <w:r w:rsidRPr="009058C4">
        <w:rPr>
          <w:rFonts w:ascii="Arial" w:hAnsi="Arial" w:cs="Arial"/>
          <w:i/>
          <w:noProof/>
        </w:rPr>
        <w:t>et al.</w:t>
      </w:r>
      <w:r w:rsidRPr="009058C4">
        <w:rPr>
          <w:rFonts w:ascii="Arial" w:hAnsi="Arial" w:cs="Arial"/>
          <w:noProof/>
        </w:rPr>
        <w:t>, 2023)</w:t>
      </w:r>
      <w:r w:rsidRPr="009058C4">
        <w:rPr>
          <w:rFonts w:ascii="Arial" w:hAnsi="Arial" w:cs="Arial"/>
        </w:rPr>
        <w:fldChar w:fldCharType="end"/>
      </w:r>
      <w:r w:rsidRPr="009058C4">
        <w:rPr>
          <w:rFonts w:ascii="Arial" w:hAnsi="Arial" w:cs="Arial"/>
        </w:rPr>
        <w:t xml:space="preserve">) may reflect enrollment of </w:t>
      </w:r>
      <w:r w:rsidRPr="009058C4">
        <w:rPr>
          <w:rFonts w:ascii="Arial" w:hAnsi="Arial" w:cs="Arial"/>
        </w:rPr>
        <w:lastRenderedPageBreak/>
        <w:t>participants with preeclampsia or smaller gestational ages, where elevated Doppler resistance is more commo</w:t>
      </w:r>
      <w:r>
        <w:rPr>
          <w:rFonts w:ascii="Arial" w:hAnsi="Arial" w:cs="Arial"/>
        </w:rPr>
        <w:t>n.</w:t>
      </w:r>
    </w:p>
    <w:bookmarkEnd w:id="40"/>
    <w:p w14:paraId="10AF1709" w14:textId="3092CD58" w:rsidR="00FD7E85" w:rsidRDefault="00FD7E85">
      <w:pPr>
        <w:pStyle w:val="Body"/>
        <w:spacing w:after="0"/>
        <w:rPr>
          <w:rFonts w:ascii="Arial" w:hAnsi="Arial" w:cs="Arial"/>
        </w:rPr>
      </w:pPr>
    </w:p>
    <w:p w14:paraId="2B0A09B0" w14:textId="77777777" w:rsidR="00FD7E85" w:rsidRDefault="00F456FA">
      <w:pPr>
        <w:pStyle w:val="Body"/>
        <w:spacing w:after="0"/>
        <w:rPr>
          <w:rFonts w:ascii="Arial" w:hAnsi="Arial" w:cs="Arial"/>
          <w:b/>
          <w:bCs/>
          <w:u w:val="single"/>
        </w:rPr>
      </w:pPr>
      <w:r>
        <w:rPr>
          <w:rFonts w:ascii="Arial" w:hAnsi="Arial" w:cs="Arial"/>
          <w:b/>
          <w:bCs/>
          <w:u w:val="single"/>
        </w:rPr>
        <w:t>3.2.3 Maternal and fetal factors associated with abnormal umbilical artery doppler ultrasound.</w:t>
      </w:r>
    </w:p>
    <w:p w14:paraId="3B226839" w14:textId="77777777" w:rsidR="00FD7E85" w:rsidRDefault="00F456FA">
      <w:pPr>
        <w:pStyle w:val="Body"/>
        <w:spacing w:after="0"/>
        <w:rPr>
          <w:rFonts w:ascii="Arial" w:hAnsi="Arial" w:cs="Arial"/>
        </w:rPr>
      </w:pPr>
      <w:r>
        <w:rPr>
          <w:rFonts w:ascii="Arial" w:hAnsi="Arial" w:cs="Arial"/>
        </w:rPr>
        <w:t xml:space="preserve">In the adjusted multivariable logistic regression analysis, blood pressure measurements were strongly and independently associated with abnormal umbilical artery Doppler ultrasound. Women with moderate systolic hypertension (AOR = 1.572; </w:t>
      </w:r>
      <w:r>
        <w:rPr>
          <w:rFonts w:ascii="Arial" w:hAnsi="Arial" w:cs="Arial"/>
          <w:i/>
          <w:iCs/>
        </w:rPr>
        <w:t>P</w:t>
      </w:r>
      <w:r>
        <w:rPr>
          <w:rFonts w:ascii="Arial" w:hAnsi="Arial" w:cs="Arial"/>
        </w:rPr>
        <w:t xml:space="preserve">= 0.047 CI= 0.119-2.754) and severe systolic hypertension (AOR = 1.759; </w:t>
      </w:r>
      <w:r>
        <w:rPr>
          <w:rFonts w:ascii="Arial" w:hAnsi="Arial" w:cs="Arial"/>
          <w:i/>
          <w:iCs/>
        </w:rPr>
        <w:t>P</w:t>
      </w:r>
      <w:r>
        <w:rPr>
          <w:rFonts w:ascii="Arial" w:hAnsi="Arial" w:cs="Arial"/>
        </w:rPr>
        <w:t xml:space="preserve">= 0.034 CI=0.167-3.452) were significantly more likely to exhibit abnormal umbilical artery Doppler ultrasound. Similarly, elevated diastolic blood pressure at both moderate (AOR = 1.627; </w:t>
      </w:r>
      <w:r>
        <w:rPr>
          <w:rFonts w:ascii="Arial" w:hAnsi="Arial" w:cs="Arial"/>
          <w:i/>
          <w:iCs/>
        </w:rPr>
        <w:t xml:space="preserve">P </w:t>
      </w:r>
      <w:r>
        <w:rPr>
          <w:rFonts w:ascii="Arial" w:hAnsi="Arial" w:cs="Arial"/>
        </w:rPr>
        <w:t>= 0.038 CI= 0.159-2.467) and severe levels (AOR = 1.909</w:t>
      </w:r>
      <w:r>
        <w:rPr>
          <w:rFonts w:ascii="Arial" w:hAnsi="Arial" w:cs="Arial"/>
          <w:i/>
          <w:iCs/>
        </w:rPr>
        <w:t>; P</w:t>
      </w:r>
      <w:r>
        <w:rPr>
          <w:rFonts w:ascii="Arial" w:hAnsi="Arial" w:cs="Arial"/>
        </w:rPr>
        <w:t xml:space="preserve"> = 0.021CI= 0.08-2.890) was significantly associated with abnormal umbilical Doppler ultrasound. These results are consistent with studies conducted in Guru</w:t>
      </w:r>
      <w:r>
        <w:rPr>
          <w:rFonts w:ascii="Arial" w:hAnsi="Arial" w:cs="Arial"/>
        </w:rPr>
        <w:fldChar w:fldCharType="begin" w:fldLock="1"/>
      </w:r>
      <w:r>
        <w:rPr>
          <w:rFonts w:ascii="Arial" w:hAnsi="Arial" w:cs="Arial"/>
        </w:rPr>
        <w:instrText>ADDIN CSL_CITATION {"citationItems":[{"id":"ITEM-1","itemData":{"DOI":"10.7196/SAJOG.2017.v23i1.1109","author":[{"dropping-particle":"","family":"Agarwal","given":"R","non-dropping-particle":"","parse-names":false,"suffix":""},{"dropping-particle":"","family":"Ms","given":"O","non-dropping-particle":"","parse-names":false,"suffix":""},{"dropping-particle":"","family":"Tiwari","given":"A","non-dropping-particle":"","parse-names":false,"suffix":""},{"dropping-particle":"","family":"Wadhwa","given":"N","non-dropping-particle":"","parse-names":false,"suffix":""},{"dropping-particle":"","family":"Radhakrishnan","given":"G","non-dropping-particle":"","parse-names":false,"suffix":""},{"dropping-particle":"","family":"Ms","given":"O","non-dropping-particle":"","parse-names":false,"suffix":""},{"dropping-particle":"","family":"Bhatt","given":"S","non-dropping-particle":"","parse-names":false,"suffix":""},{"dropping-particle":"","family":"Batra","given":"P","non-dropping-particle":"","parse-names":false,"suffix":""}],"id":"ITEM-1","issue":"1","issued":{"date-parts":[["2017"]]},"page":"12-16","title":"Abnormal umbilical artery Doppler velocimetry and placental histopathological correlation in fetal growth restriction","type":"article-journal","volume":"23"},"uris":["http://www.mendeley.com/documents/?uuid=3e8eb882-7212-4cf3-a9e1-0581d7ed635a"]}],"mendeley":{"formattedCitation":"(Agarwal &lt;i&gt;et al.&lt;/i&gt;, 2017)","plainTextFormattedCitation":"(Agarwal et al., 2017)","previouslyFormattedCitation":"(Agarwal &lt;i&gt;et al.&lt;/i&gt;, 2017)"},"properties":{"noteIndex":0},"schema":"https://github.com/citation-style-language/schema/raw/master/csl-citation.json"}</w:instrText>
      </w:r>
      <w:r>
        <w:rPr>
          <w:rFonts w:ascii="Arial" w:hAnsi="Arial" w:cs="Arial"/>
        </w:rPr>
        <w:fldChar w:fldCharType="separate"/>
      </w:r>
      <w:r>
        <w:rPr>
          <w:rFonts w:ascii="Arial" w:hAnsi="Arial" w:cs="Arial"/>
          <w:noProof/>
        </w:rPr>
        <w:t xml:space="preserve">(Agarwal </w:t>
      </w:r>
      <w:r>
        <w:rPr>
          <w:rFonts w:ascii="Arial" w:hAnsi="Arial" w:cs="Arial"/>
          <w:i/>
          <w:noProof/>
        </w:rPr>
        <w:t>et al.</w:t>
      </w:r>
      <w:r>
        <w:rPr>
          <w:rFonts w:ascii="Arial" w:hAnsi="Arial" w:cs="Arial"/>
          <w:noProof/>
        </w:rPr>
        <w:t>, 2017)</w:t>
      </w:r>
      <w:r>
        <w:rPr>
          <w:rFonts w:ascii="Arial" w:hAnsi="Arial" w:cs="Arial"/>
        </w:rPr>
        <w:fldChar w:fldCharType="end"/>
      </w:r>
      <w:r>
        <w:rPr>
          <w:rFonts w:ascii="Arial" w:hAnsi="Arial" w:cs="Arial"/>
        </w:rPr>
        <w:t>, Our finding contrast with study conducted in Uganda. This difference may be attributed to the fact that the Ugandan study focused on participants with pre-eclampsia and employed cross-sectional study design.</w:t>
      </w:r>
    </w:p>
    <w:p w14:paraId="320530E5" w14:textId="2142B9DC" w:rsidR="00FD7E85" w:rsidRDefault="00F456FA">
      <w:pPr>
        <w:pStyle w:val="Body"/>
        <w:spacing w:after="0"/>
        <w:rPr>
          <w:rFonts w:ascii="Arial" w:hAnsi="Arial" w:cs="Arial"/>
        </w:rPr>
      </w:pPr>
      <w:r>
        <w:rPr>
          <w:rFonts w:ascii="Arial" w:hAnsi="Arial" w:cs="Arial"/>
        </w:rPr>
        <w:t xml:space="preserve">This study also observed a non-significant association between participant parity and abnormal Doppler results. Multiparous women had higher odds of abnormal Doppler findings compared to primiparous women (AOR = 2.577; </w:t>
      </w:r>
      <w:r w:rsidR="009058C4" w:rsidRPr="009058C4">
        <w:rPr>
          <w:rFonts w:ascii="Arial" w:hAnsi="Arial" w:cs="Arial"/>
          <w:i/>
          <w:iCs/>
        </w:rPr>
        <w:t>P</w:t>
      </w:r>
      <w:r>
        <w:rPr>
          <w:rFonts w:ascii="Arial" w:hAnsi="Arial" w:cs="Arial"/>
        </w:rPr>
        <w:t xml:space="preserve"> = 0.09; CI = 0.852–7.789), although the association was not statistically significant. These findings differ from the study by</w:t>
      </w:r>
      <w:r>
        <w:rPr>
          <w:rFonts w:ascii="Arial" w:hAnsi="Arial" w:cs="Arial"/>
        </w:rPr>
        <w:fldChar w:fldCharType="begin" w:fldLock="1"/>
      </w:r>
      <w:r>
        <w:rPr>
          <w:rFonts w:ascii="Arial" w:hAnsi="Arial" w:cs="Arial"/>
        </w:rPr>
        <w:instrText>ADDIN CSL_CITATION {"citationItems":[{"id":"ITEM-1","itemData":{"ISBN":"0012835X","abstract":"AJOL Abstract: Background: Umbilical artery (UA) Doppler velocimetry detects foetuses at risk of asphyxia from IUGR before changes in the CTG and biophysical score are evident. This has made it a primary fetal surveillance tool in pre-eclampsia in developed countries with resultant reduction in perinatal mortality by 29%. Iatrogenic preterm deliveries related to pre-eclampsia are a key contributor to neonatal intensive care admissions at Mulago hospital due in part to limited use of UA Doppler velocimetry to optimize delivery because of high patient load.Objective: The objective was to determine the prevalence and factors associated with UA Doppler abnormalities in women with preeclampsia from 28 weeks of pregnancy so as to identify a subpopulation who would require routine UA Doppler velocimetry to improve perinatal outcomes in a resource limited context.Study design: This was a cross-sectional analytical study. Maternal age, Gestational age, Parity, and Blood pressure were recorded. Degree of proteinuria, Platelet count, serum creatinine and liver transaminases were analysed and UA Doppler sonography was performed to determine the RI, S/D ratio, AEDV and RF patterns. These data were entered into EPIDATA 3.1 and exported to STATA version 12 for analysis. Bivariate and Multivariate analysis were deployed to identify factors associated with Doppler abnormalities.Study Setting: The study was conducted on the labour and maternal-fetal medicine wards of Mulago National Referral hospital, Kampala Uganda between June and September 2014.Subjects: A total of 155 women with pre-eclampsia between 28 and 42 weeks of pregnancy were consented/assented and recruited for the study. Critically ill patients and those in active phase of labour or premature rupture of membranes were excluded.Results: The overall prevalence of UA Doppler abnormalities was 31.6%. High RI, high S/D ratio, AEDV and RF were found in 25.8%, 31.6%, 7.7% and 4.5% of the population respectively. Key factors associated with UA Doppler abnormalities were gestational age below 35 weeks (AOR=8.1, 95% CI: 2.91- 22.76, P&lt;0.001), severe pre-eclampsia with heavy proteinuria (AOR=7.3, 95% CI: 2.82-18.87, P&lt;0.001), and multiparity (AOR=5.3, 95% CI: 1.52-18.53, P&lt;0.001). Severe pre-eclampsia comprised 61% (n=95) of the study population. Maternal age and pre-eclampsia with light proteinuria had no association with UA Doppler abnormalities.Conclusion: UA Doppler abnormalities are very common in pre-eclampsia. …","author":[{"dropping-particle":"","family":"Gimei","given":"P","non-dropping-particle":"","parse-names":false,"suffix":""},{"dropping-particle":"","family":"Busingye","given":"R B","non-dropping-particle":"","parse-names":false,"suffix":""},{"dropping-particle":"","family":"Nakabembe","given":"E","non-dropping-particle":"","parse-names":false,"suffix":""},{"dropping-particle":"","family":"Byanyima","given":"R K","non-dropping-particle":"","parse-names":false,"suffix":""}],"container-title":"East African Medical Journal","id":"ITEM-1","issue":"5","issued":{"date-parts":[["2017"]]},"page":"344-352","title":"Umbilical artery doppler abnormalities and associated factors in women with pre-eclampsia at Mulago Hospital- a cross sectional study","type":"article-journal","volume":"94"},"uris":["http://www.mendeley.com/documents/?uuid=2d8ef309-10c3-41b6-9b48-b0e6d2cd5368"]}],"mendeley":{"formattedCitation":"(Gimei &lt;i&gt;et al.&lt;/i&gt;, 2017)","plainTextFormattedCitation":"(Gimei et al., 2017)","previouslyFormattedCitation":"(Gimei &lt;i&gt;et al.&lt;/i&gt;, 2017)"},"properties":{"noteIndex":0},"schema":"https://github.com/citation-style-language/schema/raw/master/csl-citation.json"}</w:instrText>
      </w:r>
      <w:r>
        <w:rPr>
          <w:rFonts w:ascii="Arial" w:hAnsi="Arial" w:cs="Arial"/>
        </w:rPr>
        <w:fldChar w:fldCharType="separate"/>
      </w:r>
      <w:r>
        <w:rPr>
          <w:rFonts w:ascii="Arial" w:hAnsi="Arial" w:cs="Arial"/>
          <w:noProof/>
        </w:rPr>
        <w:t xml:space="preserve">(Gimei </w:t>
      </w:r>
      <w:r>
        <w:rPr>
          <w:rFonts w:ascii="Arial" w:hAnsi="Arial" w:cs="Arial"/>
          <w:i/>
          <w:noProof/>
        </w:rPr>
        <w:t>et al.</w:t>
      </w:r>
      <w:r>
        <w:rPr>
          <w:rFonts w:ascii="Arial" w:hAnsi="Arial" w:cs="Arial"/>
          <w:noProof/>
        </w:rPr>
        <w:t>, 2017)</w:t>
      </w:r>
      <w:r>
        <w:rPr>
          <w:rFonts w:ascii="Arial" w:hAnsi="Arial" w:cs="Arial"/>
        </w:rPr>
        <w:fldChar w:fldCharType="end"/>
      </w:r>
      <w:r>
        <w:rPr>
          <w:rFonts w:ascii="Arial" w:hAnsi="Arial" w:cs="Arial"/>
        </w:rPr>
        <w:t xml:space="preserve"> where parity was significantly associated with Doppler abnormalities (AOR = 5.3; p &lt; 0.001).</w:t>
      </w:r>
    </w:p>
    <w:p w14:paraId="0C318109" w14:textId="77777777" w:rsidR="00FD7E85" w:rsidRDefault="00F456FA">
      <w:pPr>
        <w:pStyle w:val="Body"/>
        <w:spacing w:after="0"/>
        <w:rPr>
          <w:rFonts w:ascii="Arial" w:hAnsi="Arial" w:cs="Arial"/>
        </w:rPr>
      </w:pPr>
      <w:r>
        <w:rPr>
          <w:rFonts w:ascii="Arial" w:hAnsi="Arial" w:cs="Arial"/>
        </w:rPr>
        <w:t>Maternal age was not associated with abnormal umbilical artery Doppler findings in this study; despite established knowledge that extreme maternal age increases the risk of PIH. Although this group included more participants than the lower-risk age group, most were normotensive at the time of ultrasound assessment. The lack of association may be attributed to the limited sample size.</w:t>
      </w:r>
    </w:p>
    <w:p w14:paraId="622FE074" w14:textId="77777777" w:rsidR="00FD7E85" w:rsidRDefault="00F456FA">
      <w:pPr>
        <w:pStyle w:val="Body"/>
        <w:spacing w:after="0"/>
        <w:rPr>
          <w:rFonts w:ascii="Arial" w:hAnsi="Arial" w:cs="Arial"/>
        </w:rPr>
      </w:pPr>
      <w:r>
        <w:rPr>
          <w:rFonts w:ascii="Arial" w:hAnsi="Arial" w:cs="Arial"/>
        </w:rPr>
        <w:t>Gestational age, whether determined by dates or ultrasound measurements, did not show a statistically significant association with abnormal Doppler findings. Participants with gestational age between 33–36 weeks had reduced odds of Doppler abnormalities compared to those between 28–32 weeks, while those with gestational age above 38 weeks also had lower odds. When assessed by ultrasound, participants above 37 weeks showed slightly increased odds, whereas those between 33–36 weeks had reduced odds—both findings approaching but not reaching statistical significance. Our study findings contrast study conducted Uganda. This may be attributed with difference in study design as well as the study in Uganda included only participants with preeclampsia. Additionally, a single center setting in Ugandan study may limit generalization of its finding compared to our study.</w:t>
      </w:r>
    </w:p>
    <w:p w14:paraId="61C2A618" w14:textId="5FC19501" w:rsidR="00FD7E85" w:rsidRDefault="00F456FA">
      <w:pPr>
        <w:pStyle w:val="Body"/>
        <w:spacing w:after="0"/>
        <w:rPr>
          <w:rFonts w:ascii="Arial" w:hAnsi="Arial" w:cs="Arial"/>
        </w:rPr>
      </w:pPr>
      <w:r>
        <w:rPr>
          <w:rFonts w:ascii="Arial" w:hAnsi="Arial" w:cs="Arial"/>
        </w:rPr>
        <w:t xml:space="preserve">Regarding fetal weight assessed via ultrasound, small for gestational age (SGA) fetuses had lower odds of abnormal Doppler findings compared to appropriate-for-gestational-age (AGA) fetuses </w:t>
      </w:r>
      <w:r w:rsidRPr="00A21D84">
        <w:rPr>
          <w:rFonts w:ascii="Arial" w:hAnsi="Arial" w:cs="Arial"/>
        </w:rPr>
        <w:t>(AOR</w:t>
      </w:r>
      <w:r w:rsidRPr="00A21D84">
        <w:rPr>
          <w:rFonts w:ascii="Arial" w:hAnsi="Arial" w:cs="Arial"/>
          <w:i/>
          <w:iCs/>
        </w:rPr>
        <w:t xml:space="preserve"> = 0.786; </w:t>
      </w:r>
      <w:r w:rsidR="00A21D84" w:rsidRPr="00A21D84">
        <w:rPr>
          <w:rFonts w:ascii="Arial" w:hAnsi="Arial" w:cs="Arial"/>
          <w:i/>
          <w:iCs/>
        </w:rPr>
        <w:t>P</w:t>
      </w:r>
      <w:r w:rsidRPr="00A21D84">
        <w:rPr>
          <w:rFonts w:ascii="Arial" w:hAnsi="Arial" w:cs="Arial"/>
          <w:i/>
          <w:iCs/>
        </w:rPr>
        <w:t xml:space="preserve"> = 0.815),</w:t>
      </w:r>
      <w:r>
        <w:rPr>
          <w:rFonts w:ascii="Arial" w:hAnsi="Arial" w:cs="Arial"/>
        </w:rPr>
        <w:t xml:space="preserve"> indicating no significant association. </w:t>
      </w:r>
    </w:p>
    <w:p w14:paraId="036ACC67" w14:textId="77777777" w:rsidR="00FD7E85" w:rsidRDefault="00F456FA">
      <w:pPr>
        <w:pStyle w:val="Body"/>
        <w:rPr>
          <w:rFonts w:ascii="Arial" w:hAnsi="Arial" w:cs="Arial"/>
          <w:b/>
          <w:bCs/>
          <w:u w:val="single"/>
        </w:rPr>
      </w:pPr>
      <w:bookmarkStart w:id="42" w:name="_Toc202869697"/>
      <w:r>
        <w:rPr>
          <w:rFonts w:ascii="Arial" w:hAnsi="Arial" w:cs="Arial"/>
          <w:b/>
          <w:bCs/>
          <w:u w:val="single"/>
        </w:rPr>
        <w:t xml:space="preserve">3.2.4 Fetal outcomes of pregnant women diagnosed with PIH and </w:t>
      </w:r>
      <w:bookmarkEnd w:id="42"/>
      <w:r>
        <w:rPr>
          <w:rFonts w:ascii="Arial" w:hAnsi="Arial" w:cs="Arial"/>
          <w:b/>
          <w:bCs/>
          <w:u w:val="single"/>
        </w:rPr>
        <w:t>abnormal umbilical artery doppler ultrasound.</w:t>
      </w:r>
    </w:p>
    <w:p w14:paraId="5F6DC20A" w14:textId="77777777" w:rsidR="000C523E" w:rsidRDefault="000C523E" w:rsidP="00A63C48">
      <w:pPr>
        <w:pStyle w:val="Body"/>
        <w:rPr>
          <w:rFonts w:ascii="Arial" w:hAnsi="Arial" w:cs="Arial"/>
        </w:rPr>
      </w:pPr>
      <w:r w:rsidRPr="000C523E">
        <w:rPr>
          <w:rFonts w:ascii="Arial" w:hAnsi="Arial" w:cs="Arial"/>
        </w:rPr>
        <w:t xml:space="preserve">In this study, </w:t>
      </w:r>
      <w:r w:rsidRPr="000C523E">
        <w:rPr>
          <w:rFonts w:ascii="Arial" w:hAnsi="Arial" w:cs="Arial"/>
          <w:b/>
          <w:bCs/>
        </w:rPr>
        <w:t>preterm delivery was observed in 32.8% of participants</w:t>
      </w:r>
      <w:r w:rsidRPr="000C523E">
        <w:rPr>
          <w:rFonts w:ascii="Arial" w:hAnsi="Arial" w:cs="Arial"/>
        </w:rPr>
        <w:t xml:space="preserve">. This finding is comparable to studies conducted in multiple countries, including Kenya, Rwanda, and India, where a preterm delivery rate of 47.3% was reported </w:t>
      </w:r>
      <w:r>
        <w:rPr>
          <w:rFonts w:ascii="Arial" w:hAnsi="Arial" w:cs="Arial"/>
        </w:rPr>
        <w:fldChar w:fldCharType="begin" w:fldLock="1"/>
      </w:r>
      <w:r>
        <w:rPr>
          <w:rFonts w:ascii="Arial" w:hAnsi="Arial" w:cs="Arial"/>
        </w:rPr>
        <w:instrText>ADDIN CSL_CITATION {"citationItems":[{"id":"ITEM-1","itemData":{"DOI":"10.1136/bmjopen-2021-053622","ISSN":"20446055","PMID":"35296477","abstract":"INTRODUCTION: Few interventions exist to address the high burden of stillbirths in apparently healthy pregnant women in low- and middle-income countries (LMICs). To establish whether a trial on the impact of routine Doppler screening in a low-risk obstetric population is warranted, we determined the prevalence of abnormal fetal umbilical artery resistance indices among low-risk pregnant women using a low-cost Doppler device in five LMICs. METHODS: We conducted a multicentre, prospective cohort study in Ghana, India, Kenya, Rwanda and South Africa. Trained nurses or midwives performed a single, continuous-wave Doppler screening using the Umbiflow device for low-risk pregnant women (according to local guidelines) between 28 and 34 weeks' gestation. We assessed the prevalence of abnormal (raised) resistance index (RI), including absent end diastolic flow (AEDF), and compared pregnancy and health service utilisation outcomes between women with abnormal RI versus those with normal RI. RESULTS: Of 7151 women screened, 495 (6.9%) had an abnormal RI, including 14 (0.2%) with AEDF. Caesarean section (40.8% vs 28.1%), labour induction (20.5% vs 9.0%) and low birth weight (&lt;2500 g) (15.0% vs 6.8%) were significantly more frequent among women with abnormal RI compared with women with normal RI. Abnormal RI was associated with lower birth weights across all weight centiles. Stillbirth and perinatal mortality rates were similar between women with normal and abnormal RI. CONCLUSION: A single Doppler screening of low-risk pregnant women in LMICs using the Umbiflow device can detect a large number of fetuses at risk of growth restriction and consequent adverse perinatal outcomes. Many perinatal deaths could potentially be averted with appropriate intervention strategies. TRIAL REGISTRATION NUMBER: CTRI/2018/07/01486.","author":[{"dropping-particle":"","family":"Vannevel","given":"Valerie","non-dropping-particle":"","parse-names":false,"suffix":""},{"dropping-particle":"","family":"Vogel","given":"Joshua P.","non-dropping-particle":"","parse-names":false,"suffix":""},{"dropping-particle":"","family":"Pattinson","given":"Robert C.","non-dropping-particle":"","parse-names":false,"suffix":""},{"dropping-particle":"","family":"Adanu","given":"Richard","non-dropping-particle":"","parse-names":false,"suffix":""},{"dropping-particle":"","family":"Charantimath","given":"Umesh","non-dropping-particle":"","parse-names":false,"suffix":""},{"dropping-particle":"","family":"Goudar","given":"Shivaprasad S.","non-dropping-particle":"","parse-names":false,"suffix":""},{"dropping-particle":"","family":"Gwako","given":"George","non-dropping-particle":"","parse-names":false,"suffix":""},{"dropping-particle":"","family":"Kavi","given":"Avinash","non-dropping-particle":"","parse-names":false,"suffix":""},{"dropping-particle":"","family":"Maya","given":"Ernest","non-dropping-particle":"","parse-names":false,"suffix":""},{"dropping-particle":"","family":"Osoti","given":"Alfred","non-dropping-particle":"","parse-names":false,"suffix":""},{"dropping-particle":"","family":"Pujar","given":"Yeshita","non-dropping-particle":"","parse-names":false,"suffix":""},{"dropping-particle":"","family":"Qureshi","given":"Zahida P.","non-dropping-particle":"","parse-names":false,"suffix":""},{"dropping-particle":"","family":"Rulisa","given":"Stephen","non-dropping-particle":"","parse-names":false,"suffix":""},{"dropping-particle":"","family":"Botha","given":"Tanita","non-dropping-particle":"","parse-names":false,"suffix":""},{"dropping-particle":"","family":"Oladapo","given":"Olufemi T.","non-dropping-particle":"","parse-names":false,"suffix":""}],"container-title":"BMJ open","id":"ITEM-1","issue":"3","issued":{"date-parts":[["2022"]]},"page":"e053622","title":"Antenatal Doppler screening for fetuses at risk of adverse outcomes: a multicountry cohort study of the prevalence of abnormal resistance index in low-risk pregnant women","type":"article-journal","volume":"12"},"uris":["http://www.mendeley.com/documents/?uuid=293d7307-61db-45ed-992c-8392620bdfc7"]}],"mendeley":{"formattedCitation":"(Vannevel, Joshua P. Vogel, &lt;i&gt;et al.&lt;/i&gt;, 2022)","plainTextFormattedCitation":"(Vannevel, Joshua P. Vogel, et al., 2022)","previouslyFormattedCitation":"(Vannevel, Joshua P. Vogel, &lt;i&gt;et al.&lt;/i&gt;, 2022)"},"properties":{"noteIndex":0},"schema":"https://github.com/citation-style-language/schema/raw/master/csl-citation.json"}</w:instrText>
      </w:r>
      <w:r>
        <w:rPr>
          <w:rFonts w:ascii="Arial" w:hAnsi="Arial" w:cs="Arial"/>
        </w:rPr>
        <w:fldChar w:fldCharType="separate"/>
      </w:r>
      <w:r>
        <w:rPr>
          <w:rFonts w:ascii="Arial" w:hAnsi="Arial" w:cs="Arial"/>
          <w:noProof/>
        </w:rPr>
        <w:t xml:space="preserve">(Vannevel, Joshua P. Vogel, </w:t>
      </w:r>
      <w:r>
        <w:rPr>
          <w:rFonts w:ascii="Arial" w:hAnsi="Arial" w:cs="Arial"/>
          <w:i/>
          <w:noProof/>
        </w:rPr>
        <w:t>et al.</w:t>
      </w:r>
      <w:r>
        <w:rPr>
          <w:rFonts w:ascii="Arial" w:hAnsi="Arial" w:cs="Arial"/>
          <w:noProof/>
        </w:rPr>
        <w:t>, 2022)</w:t>
      </w:r>
      <w:r>
        <w:rPr>
          <w:rFonts w:ascii="Arial" w:hAnsi="Arial" w:cs="Arial"/>
        </w:rPr>
        <w:fldChar w:fldCharType="end"/>
      </w:r>
      <w:r w:rsidR="00A21D84">
        <w:rPr>
          <w:rFonts w:ascii="Arial" w:hAnsi="Arial" w:cs="Arial"/>
        </w:rPr>
        <w:t xml:space="preserve">. </w:t>
      </w:r>
      <w:r w:rsidRPr="000C523E">
        <w:rPr>
          <w:rFonts w:ascii="Arial" w:hAnsi="Arial" w:cs="Arial"/>
        </w:rPr>
        <w:t>Similarly, studies conducted at Willingdon Hospital and in India reported preterm delivery rates of 47% and 20.5%, respectively</w:t>
      </w:r>
      <w:r w:rsidR="00A21D84">
        <w:rPr>
          <w:rFonts w:ascii="Arial" w:hAnsi="Arial" w:cs="Arial"/>
        </w:rPr>
        <w:fldChar w:fldCharType="begin" w:fldLock="1"/>
      </w:r>
      <w:r w:rsidR="003F3BF8">
        <w:rPr>
          <w:rFonts w:ascii="Arial" w:hAnsi="Arial" w:cs="Arial"/>
        </w:rPr>
        <w:instrText>ADDIN CSL_CITATION {"citationItems":[{"id":"ITEM-1","itemData":{"ISSN":"19967195","abstract":"Background: The most common medical problem encountered in pregnancy is hypertensive disorders and these remain a global public health challenge. Significant number of perinatal morbidities and mortalities are due to pre eclampsia mostly in developing countries. Doppler flow studies of the umbilical artery are non-invasive method of fetal surveillance in high risk pregnancies like preeclampsia. Adverse perinatal outcome is associated with abnormal umbilical artery flow. This study was designed to determine the efficacy of umbilical artery Doppler for the prediction of perinatal outcome in preeclampsia. Aim: To assess the frequency of perinatal outcome in preeclampsia patients with abnormal umbilical artery Doppler blood flow. Methodology: This Descriptive cross sectional study was held at Department of Obstetrics &amp; Gynecology Unit III, Lady Willingdon Hospital/KEMU, Lahore for a period of six months from 1.1.2016 to 30.6.2016. After approval from ethical committee of the hospital, Cases of preeclampsia fulfilling the inclusion criteria were recruited for the study from labour ward. Umbilical artery Doppler flow study was carried out and the patients having abnormal umbilical artery Doppler flow (PI&gt;1.2) were followed for perinatal outcome. Outcome variable like low Apgar score, Low birth weight, preterm delivery, early neonatal death and NICU admission were labeled as per operational definition. Results: According to the results reported to us the mean age of the patients was 26.85+3.89 years. Whereas, the mean gestational age was 33.02+1.59 at the time of presentation. The minimum value of abnormal pulsatility index of umbilical artery was found to be 1.21 and it had maximum value of 4.52. Mean pulsatility index was 2.07+0.79. Regarding perinatal outcome, in 72.7% (218) of the neonates, there was at least one adverse outcome. Majority of neonates, 216(72%) had birth weight &lt;2.5Kg. 142 neonates (47.3%) out of 300 were delivered at less than 34 weeks. Poor Apgar score of &lt;7 at 5 minutes was seen in 27 neonates (9%) and 157 (52.3%) neonates were admitted to NICU. Conclusions: Raised umbilical artery Doppler indices in pre-eclamptic patients are associated with poor perinatal outcome like low birth weight babies, NICU admission and preterm delivery.","author":[{"dropping-particle":"","family":"Shahzad","given":"Nadeem","non-dropping-particle":"","parse-names":false,"suffix":""},{"dropping-particle":"","family":"Cheema","given":"Rizwana Nasreen","non-dropping-particle":"","parse-names":false,"suffix":""},{"dropping-particle":"","family":"Sami","given":"Nazeeha","non-dropping-particle":"","parse-names":false,"suffix":""},{"dropping-particle":"","family":"Amin","given":"Muhammad Shahbaz","non-dropping-particle":"","parse-names":false,"suffix":""}],"container-title":"Pakistan Journal of Medical and Health Sciences","id":"ITEM-1","issue":"4","issued":{"date-parts":[["2018"]]},"page":"1342-1344","title":"Efficacy of umbilical artery doppler for the prediction of perinatal outcome in pre-ecalmpsia","type":"article-journal","volume":"12"},"uris":["http://www.mendeley.com/documents/?uuid=12d8af6c-6edf-447a-ba8a-29eed180207d"]},{"id":"ITEM-2","itemData":{"DOI":"10.1186/s40748-020-0115-7","abstract":"To determine whether there is a relationship between abnormal umbilical artery Doppler studies (UADS) and small for gestational age (SGA) birth weight and other adverse perinatal outcomes in fetuses that appear normally grown by ultrasound. This was a retrospective study of all women who had UADS performed at or after 26 weeks of gestation at our institution between January 2005 and December 2012. Women were excluded if they had a fetal demise, a fetus with growth restriction, a fetus with congenital anomaly, or a multiple gestation. Women with missing delivery outcomes were excluded. The primary outcome was birth weight below the 10th percentile. There were 2744 women included in the study. Of those, 98 (3.6%) had an abnormal UADS, and 379 (13.8%) had an SGA neonate. Of the 2646 women who had a normal UADS, 353 (13.3%) women had an SGA neonate. Twenty-six (26.5%) of the 98 women who had an abnormal UADS had an SGA neonate. After adjusting for potential confounders, the adjusted odds ratio for an SGA neonate with an abnormal UADS was 2.2 (95% CI, 1.38–3.58; p &amp;lt; &amp;nbsp;0.05). In examining other adverse perinatal outcomes, neonatal intensive care unit (NICU) admission and low 5-min Apgar scores were 12.4 and 2.3%, respectively. The adjusted odds ratio for NICU admission was 1.84 (95% CI, 1.06–3.21; p &amp;lt; &amp;nbsp;0.05). Abnormal UADS was not associated with low Apgar scores (aOR 1.39: 95% CI 0.47–4.07; p &amp;gt; 0.05). Our data suggest that abnormal UADS in fetuses that appear normally grown by ultrasound are associated with SGA neonates and NICU admission.","author":[{"dropping-particle":"","family":"Hamayel","given":"Nebras Abu","non-dropping-particle":"Al","parse-names":false,"suffix":""},{"dropping-particle":"","family":"Baghlaf","given":"Haitham","non-dropping-particle":"","parse-names":false,"suffix":""},{"dropping-particle":"","family":"Blakemore","given":"Karin","non-dropping-particle":"","parse-names":false,"suffix":""},{"dropping-particle":"","family":"Crino","given":"Jude P.","non-dropping-particle":"","parse-names":false,"suffix":""},{"dropping-particle":"","family":"Burd","given":"Irina","non-dropping-particle":"","parse-names":false,"suffix":""}],"container-title":"Maternal Health, Neonatology and Perinatology","id":"ITEM-2","issue":"1","issued":{"date-parts":[["2020"]]},"page":"1-7","publisher":"Maternal Health, Neonatology and Perinatology","title":"Significance of abnormal umbilical artery Doppler studies in normally grown fetuses","type":"article-journal","volume":"6"},"uris":["http://www.mendeley.com/documents/?uuid=f3905e49-c48d-4711-b33f-7364c941eb9c"]}],"mendeley":{"formattedCitation":"(Shahzad &lt;i&gt;et al.&lt;/i&gt;, 2018; Al Hamayel &lt;i&gt;et al.&lt;/i&gt;, 2020)","plainTextFormattedCitation":"(Shahzad et al., 2018; Al Hamayel et al., 2020)","previouslyFormattedCitation":"(Shahzad &lt;i&gt;et al.&lt;/i&gt;, 2018; Al Hamayel &lt;i&gt;et al.&lt;/i&gt;, 2020)"},"properties":{"noteIndex":0},"schema":"https://github.com/citation-style-language/schema/raw/master/csl-citation.json"}</w:instrText>
      </w:r>
      <w:r w:rsidR="00A21D84">
        <w:rPr>
          <w:rFonts w:ascii="Arial" w:hAnsi="Arial" w:cs="Arial"/>
        </w:rPr>
        <w:fldChar w:fldCharType="separate"/>
      </w:r>
      <w:r w:rsidR="00A21D84" w:rsidRPr="00A21D84">
        <w:rPr>
          <w:rFonts w:ascii="Arial" w:hAnsi="Arial" w:cs="Arial"/>
          <w:noProof/>
        </w:rPr>
        <w:t xml:space="preserve">(Shahzad </w:t>
      </w:r>
      <w:r w:rsidR="00A21D84" w:rsidRPr="00A21D84">
        <w:rPr>
          <w:rFonts w:ascii="Arial" w:hAnsi="Arial" w:cs="Arial"/>
          <w:i/>
          <w:noProof/>
        </w:rPr>
        <w:t>et al.</w:t>
      </w:r>
      <w:r w:rsidR="00A21D84" w:rsidRPr="00A21D84">
        <w:rPr>
          <w:rFonts w:ascii="Arial" w:hAnsi="Arial" w:cs="Arial"/>
          <w:noProof/>
        </w:rPr>
        <w:t xml:space="preserve">, 2018; Al Hamayel </w:t>
      </w:r>
      <w:r w:rsidR="00A21D84" w:rsidRPr="00A21D84">
        <w:rPr>
          <w:rFonts w:ascii="Arial" w:hAnsi="Arial" w:cs="Arial"/>
          <w:i/>
          <w:noProof/>
        </w:rPr>
        <w:t>et al.</w:t>
      </w:r>
      <w:r w:rsidR="00A21D84" w:rsidRPr="00A21D84">
        <w:rPr>
          <w:rFonts w:ascii="Arial" w:hAnsi="Arial" w:cs="Arial"/>
          <w:noProof/>
        </w:rPr>
        <w:t>, 2020)</w:t>
      </w:r>
      <w:r w:rsidR="00A21D84">
        <w:rPr>
          <w:rFonts w:ascii="Arial" w:hAnsi="Arial" w:cs="Arial"/>
        </w:rPr>
        <w:fldChar w:fldCharType="end"/>
      </w:r>
      <w:r>
        <w:rPr>
          <w:rFonts w:ascii="Arial" w:hAnsi="Arial" w:cs="Arial"/>
        </w:rPr>
        <w:t xml:space="preserve">. </w:t>
      </w:r>
    </w:p>
    <w:p w14:paraId="540FD278" w14:textId="5675B703" w:rsidR="00A63C48" w:rsidRPr="00A63C48" w:rsidRDefault="000C523E" w:rsidP="00A63C48">
      <w:pPr>
        <w:pStyle w:val="Body"/>
        <w:rPr>
          <w:rFonts w:ascii="Arial" w:hAnsi="Arial" w:cs="Arial"/>
        </w:rPr>
      </w:pPr>
      <w:r w:rsidRPr="0058175A">
        <w:rPr>
          <w:rFonts w:ascii="Arial" w:hAnsi="Arial" w:cs="Arial"/>
        </w:rPr>
        <w:t xml:space="preserve"> However, our findings are lower than those reported in another Indian study, where preterm delivery was observed in 65.9% of participants </w:t>
      </w:r>
      <w:r>
        <w:rPr>
          <w:rFonts w:ascii="Arial" w:hAnsi="Arial" w:cs="Arial"/>
        </w:rPr>
        <w:fldChar w:fldCharType="begin" w:fldLock="1"/>
      </w:r>
      <w:r>
        <w:rPr>
          <w:rFonts w:ascii="Arial" w:hAnsi="Arial" w:cs="Arial"/>
        </w:rPr>
        <w:instrText>ADDIN CSL_CITATION {"citationItems":[{"id":"ITEM-1","itemData":{"author":[{"dropping-particle":"","family":"Sumathi","given":"R","non-dropping-particle":"","parse-names":false,"suffix":""},{"dropping-particle":"","family":"Rodrigo","given":"Mercy R","non-dropping-particle":"","parse-names":false,"suffix":""},{"dropping-particle":"","family":"Rodrigo","given":"Mercy R","non-dropping-particle":"","parse-names":false,"suffix":""}],"id":"ITEM-1","issue":"12","issued":{"date-parts":[["2019"]]},"page":"4930-4938","title":"Original Research Article A prospective study on the role of umbilical artery doppler velocimetry in the perinatal outcome of growth restricted fetuses","type":"article-journal","volume":"8"},"uris":["http://www.mendeley.com/documents/?uuid=c5e29011-e97d-4649-8d50-85b2f9916074"]}],"mendeley":{"formattedCitation":"(Sumathi, Rodrigo and Rodrigo, 2019)","plainTextFormattedCitation":"(Sumathi, Rodrigo and Rodrigo, 2019)","previouslyFormattedCitation":"(Sumathi, Rodrigo and Rodrigo, 2019)"},"properties":{"noteIndex":0},"schema":"https://github.com/citation-style-language/schema/raw/master/csl-citation.json"}</w:instrText>
      </w:r>
      <w:r>
        <w:rPr>
          <w:rFonts w:ascii="Arial" w:hAnsi="Arial" w:cs="Arial"/>
        </w:rPr>
        <w:fldChar w:fldCharType="separate"/>
      </w:r>
      <w:r>
        <w:rPr>
          <w:rFonts w:ascii="Arial" w:hAnsi="Arial" w:cs="Arial"/>
          <w:noProof/>
        </w:rPr>
        <w:t>(Sumathi, Rodrigo and Rodrigo, 2019)</w:t>
      </w:r>
      <w:r>
        <w:rPr>
          <w:rFonts w:ascii="Arial" w:hAnsi="Arial" w:cs="Arial"/>
        </w:rPr>
        <w:fldChar w:fldCharType="end"/>
      </w:r>
      <w:r>
        <w:rPr>
          <w:rFonts w:ascii="Arial" w:hAnsi="Arial" w:cs="Arial"/>
        </w:rPr>
        <w:t xml:space="preserve">. </w:t>
      </w:r>
      <w:r w:rsidR="0021796B" w:rsidRPr="00A63C48">
        <w:rPr>
          <w:rFonts w:ascii="Arial" w:hAnsi="Arial" w:cs="Arial"/>
        </w:rPr>
        <w:t xml:space="preserve">The finding of this study was observed to </w:t>
      </w:r>
      <w:r w:rsidR="00606E08" w:rsidRPr="00A63C48">
        <w:rPr>
          <w:rFonts w:ascii="Arial" w:hAnsi="Arial" w:cs="Arial"/>
        </w:rPr>
        <w:t xml:space="preserve">be </w:t>
      </w:r>
      <w:r w:rsidR="0021796B" w:rsidRPr="00A63C48">
        <w:rPr>
          <w:rFonts w:ascii="Arial" w:hAnsi="Arial" w:cs="Arial"/>
        </w:rPr>
        <w:t>low compared to study in India</w:t>
      </w:r>
      <w:r w:rsidRPr="0058175A">
        <w:rPr>
          <w:rFonts w:ascii="Arial" w:hAnsi="Arial" w:cs="Arial"/>
        </w:rPr>
        <w:t xml:space="preserve">This discrepancy may be attributed to differences in study populations, particularly the inclusion of participants with </w:t>
      </w:r>
      <w:r w:rsidRPr="0058175A">
        <w:rPr>
          <w:rFonts w:ascii="Arial" w:hAnsi="Arial" w:cs="Arial"/>
        </w:rPr>
        <w:lastRenderedPageBreak/>
        <w:t xml:space="preserve">coexisting medical and metabolic conditions in the Indian study. These conditions may have synergistically contributed to vascular endothelial injury, thereby increasing the risk of fetal hemodynamic compromise and </w:t>
      </w:r>
      <w:r>
        <w:rPr>
          <w:rFonts w:ascii="Arial" w:hAnsi="Arial" w:cs="Arial"/>
        </w:rPr>
        <w:t xml:space="preserve">hence high risk of </w:t>
      </w:r>
      <w:r w:rsidRPr="0058175A">
        <w:rPr>
          <w:rFonts w:ascii="Arial" w:hAnsi="Arial" w:cs="Arial"/>
        </w:rPr>
        <w:t>preterm delivery</w:t>
      </w:r>
      <w:r>
        <w:rPr>
          <w:rFonts w:ascii="Arial" w:hAnsi="Arial" w:cs="Arial"/>
        </w:rPr>
        <w:t>.</w:t>
      </w:r>
    </w:p>
    <w:p w14:paraId="40A9366E" w14:textId="4D31F659" w:rsidR="00FD7E85" w:rsidRDefault="000C523E" w:rsidP="00A63C48">
      <w:pPr>
        <w:pStyle w:val="Body"/>
        <w:rPr>
          <w:rFonts w:ascii="Arial" w:hAnsi="Arial" w:cs="Arial"/>
        </w:rPr>
      </w:pPr>
      <w:r w:rsidRPr="000C523E">
        <w:rPr>
          <w:rFonts w:ascii="Arial" w:hAnsi="Arial" w:cs="Arial"/>
        </w:rPr>
        <w:t xml:space="preserve">In this study, the prevalence of </w:t>
      </w:r>
      <w:r w:rsidRPr="000C523E">
        <w:rPr>
          <w:rFonts w:ascii="Arial" w:hAnsi="Arial" w:cs="Arial"/>
          <w:b/>
          <w:bCs/>
        </w:rPr>
        <w:t>fresh stillbirth and macerated stillbirth was 3.5% and 2.6%, respectively</w:t>
      </w:r>
      <w:r w:rsidRPr="000C523E">
        <w:rPr>
          <w:rFonts w:ascii="Arial" w:hAnsi="Arial" w:cs="Arial"/>
        </w:rPr>
        <w:t>, giving an overall stillbirth rate of 6.1</w:t>
      </w:r>
      <w:r w:rsidR="008863E0">
        <w:rPr>
          <w:rFonts w:ascii="Arial" w:hAnsi="Arial" w:cs="Arial"/>
        </w:rPr>
        <w:t>%</w:t>
      </w:r>
      <w:r w:rsidRPr="000C523E">
        <w:rPr>
          <w:rFonts w:ascii="Arial" w:hAnsi="Arial" w:cs="Arial"/>
        </w:rPr>
        <w:t xml:space="preserve"> However, it is considerably lower than the 30.5% stillbirth rate reported in a study from</w:t>
      </w:r>
      <w:r>
        <w:rPr>
          <w:rFonts w:ascii="Arial" w:hAnsi="Arial" w:cs="Arial"/>
        </w:rPr>
        <w:t xml:space="preserve"> </w:t>
      </w:r>
      <w:r w:rsidR="00AE4489">
        <w:rPr>
          <w:rFonts w:ascii="Arial" w:hAnsi="Arial" w:cs="Arial"/>
        </w:rPr>
        <w:t>Guru</w:t>
      </w:r>
      <w:r>
        <w:rPr>
          <w:rFonts w:ascii="Arial" w:hAnsi="Arial" w:cs="Arial"/>
        </w:rPr>
        <w:fldChar w:fldCharType="begin" w:fldLock="1"/>
      </w:r>
      <w:r>
        <w:rPr>
          <w:rFonts w:ascii="Arial" w:hAnsi="Arial" w:cs="Arial"/>
        </w:rPr>
        <w:instrText>ADDIN CSL_CITATION {"citationItems":[{"id":"ITEM-1","itemData":{"DOI":"10.7196/SAJOG.2017.v23i1.1109","author":[{"dropping-particle":"","family":"Agarwal","given":"R","non-dropping-particle":"","parse-names":false,"suffix":""},{"dropping-particle":"","family":"Ms","given":"O","non-dropping-particle":"","parse-names":false,"suffix":""},{"dropping-particle":"","family":"Tiwari","given":"A","non-dropping-particle":"","parse-names":false,"suffix":""},{"dropping-particle":"","family":"Wadhwa","given":"N","non-dropping-particle":"","parse-names":false,"suffix":""},{"dropping-particle":"","family":"Radhakrishnan","given":"G","non-dropping-particle":"","parse-names":false,"suffix":""},{"dropping-particle":"","family":"Ms","given":"O","non-dropping-particle":"","parse-names":false,"suffix":""},{"dropping-particle":"","family":"Bhatt","given":"S","non-dropping-particle":"","parse-names":false,"suffix":""},{"dropping-particle":"","family":"Batra","given":"P","non-dropping-particle":"","parse-names":false,"suffix":""}],"id":"ITEM-1","issue":"1","issued":{"date-parts":[["2017"]]},"page":"12-16","title":"Abnormal umbilical artery Doppler velocimetry and placental histopathological correlation in fetal growth restriction","type":"article-journal","volume":"23"},"uris":["http://www.mendeley.com/documents/?uuid=3e8eb882-7212-4cf3-a9e1-0581d7ed635a"]}],"mendeley":{"formattedCitation":"(Agarwal &lt;i&gt;et al.&lt;/i&gt;, 2017)","plainTextFormattedCitation":"(Agarwal et al., 2017)","previouslyFormattedCitation":"(Agarwal &lt;i&gt;et al.&lt;/i&gt;, 2017)"},"properties":{"noteIndex":0},"schema":"https://github.com/citation-style-language/schema/raw/master/csl-citation.json"}</w:instrText>
      </w:r>
      <w:r>
        <w:rPr>
          <w:rFonts w:ascii="Arial" w:hAnsi="Arial" w:cs="Arial"/>
        </w:rPr>
        <w:fldChar w:fldCharType="separate"/>
      </w:r>
      <w:r>
        <w:rPr>
          <w:rFonts w:ascii="Arial" w:hAnsi="Arial" w:cs="Arial"/>
          <w:noProof/>
        </w:rPr>
        <w:t xml:space="preserve">(Agarwal </w:t>
      </w:r>
      <w:r>
        <w:rPr>
          <w:rFonts w:ascii="Arial" w:hAnsi="Arial" w:cs="Arial"/>
          <w:i/>
          <w:noProof/>
        </w:rPr>
        <w:t>et al.</w:t>
      </w:r>
      <w:r>
        <w:rPr>
          <w:rFonts w:ascii="Arial" w:hAnsi="Arial" w:cs="Arial"/>
          <w:noProof/>
        </w:rPr>
        <w:t>, 2017)</w:t>
      </w:r>
      <w:r>
        <w:rPr>
          <w:rFonts w:ascii="Arial" w:hAnsi="Arial" w:cs="Arial"/>
        </w:rPr>
        <w:fldChar w:fldCharType="end"/>
      </w:r>
      <w:r>
        <w:rPr>
          <w:rFonts w:ascii="Arial" w:hAnsi="Arial" w:cs="Arial"/>
        </w:rPr>
        <w:t xml:space="preserve">. </w:t>
      </w:r>
      <w:r w:rsidR="00AE4489" w:rsidRPr="00AE4489">
        <w:rPr>
          <w:rFonts w:ascii="Arial" w:hAnsi="Arial" w:cs="Arial"/>
        </w:rPr>
        <w:t>This discrepancy may be attributed to differences in study population and setting, as the latter study included pregnant women with small-for-gestational-age (SGA) fetuses, who are at a higher risk of placental insufficiency and adverse fetal outcomes. Additionally, variations in study design and clinical settings, including single-site versus multi-center recruitment, may have contributed to the observed differences</w:t>
      </w:r>
      <w:r>
        <w:rPr>
          <w:rFonts w:ascii="Arial" w:hAnsi="Arial" w:cs="Arial"/>
        </w:rPr>
        <w:t>.</w:t>
      </w:r>
    </w:p>
    <w:p w14:paraId="55436C74" w14:textId="34A6C13A" w:rsidR="00AE4489" w:rsidRDefault="00AE4489" w:rsidP="00AE4489">
      <w:pPr>
        <w:pStyle w:val="Body"/>
        <w:spacing w:after="0"/>
        <w:rPr>
          <w:rFonts w:ascii="Arial" w:hAnsi="Arial" w:cs="Arial"/>
        </w:rPr>
      </w:pPr>
      <w:r w:rsidRPr="00AE4489">
        <w:rPr>
          <w:rFonts w:ascii="Arial" w:hAnsi="Arial" w:cs="Arial"/>
        </w:rPr>
        <w:t xml:space="preserve">Low birth weight was observed in </w:t>
      </w:r>
      <w:r w:rsidRPr="00AE4489">
        <w:rPr>
          <w:rFonts w:ascii="Arial" w:hAnsi="Arial" w:cs="Arial"/>
          <w:b/>
          <w:bCs/>
        </w:rPr>
        <w:t>22.4%</w:t>
      </w:r>
      <w:r w:rsidRPr="00AE4489">
        <w:rPr>
          <w:rFonts w:ascii="Arial" w:hAnsi="Arial" w:cs="Arial"/>
        </w:rPr>
        <w:t xml:space="preserve"> of neonates, while </w:t>
      </w:r>
      <w:r w:rsidRPr="00AE4489">
        <w:rPr>
          <w:rFonts w:ascii="Arial" w:hAnsi="Arial" w:cs="Arial"/>
          <w:b/>
          <w:bCs/>
        </w:rPr>
        <w:t>10.0%</w:t>
      </w:r>
      <w:r w:rsidRPr="00AE4489">
        <w:rPr>
          <w:rFonts w:ascii="Arial" w:hAnsi="Arial" w:cs="Arial"/>
        </w:rPr>
        <w:t xml:space="preserve"> had very low birth weight and </w:t>
      </w:r>
      <w:r w:rsidRPr="00AE4489">
        <w:rPr>
          <w:rFonts w:ascii="Arial" w:hAnsi="Arial" w:cs="Arial"/>
          <w:b/>
          <w:bCs/>
        </w:rPr>
        <w:t>0.3%</w:t>
      </w:r>
      <w:r w:rsidRPr="00AE4489">
        <w:rPr>
          <w:rFonts w:ascii="Arial" w:hAnsi="Arial" w:cs="Arial"/>
        </w:rPr>
        <w:t xml:space="preserve"> had extremely low birth weight. These findings are comparable to studies conducted in South Africa and at Johns Hopkins </w:t>
      </w:r>
      <w:r>
        <w:rPr>
          <w:rFonts w:ascii="Arial" w:hAnsi="Arial" w:cs="Arial"/>
        </w:rPr>
        <w:fldChar w:fldCharType="begin" w:fldLock="1"/>
      </w:r>
      <w:r>
        <w:rPr>
          <w:rFonts w:ascii="Arial" w:hAnsi="Arial" w:cs="Arial"/>
        </w:rPr>
        <w:instrText>ADDIN CSL_CITATION {"citationItems":[{"id":"ITEM-1","itemData":{"DOI":"10.1016/j.eclinm.2021.100792","ISSN":"25895370","abstract":"Background: The assessment of fetal blood flow using Doppler waveform can be used to identify placental insufficiency, and hence is a tool to identify fetuses at risk of stillbirth due to fetal growth restriction (FGR). In South Africa the largest category of perinatal deaths is ‘unexplained intrauterine death’. The majority of the mothers are clinically healthy women. This study was performed to determine the prevalence of abnormal umbilical resistance indices (abnormal RI) to see if screening a low-risk pregnant population is worthwhile. Methods: A descriptive study across 9 sites in 8 provinces of South Africa was performed to determine the prevalence of abnormal RI of the umbilical artery in women classified as having a low-risk pregnancy. The study was conducted from 1st September 2017- February 2020.The pregnant women classified were screened using a continuous wave Doppler ultrasound apparatus (Umbiflow™) between 28 and 34 weeks’ gestation. Women with fetuses with an abnormal RI were referred to a high-risk clinic and were managed according to standard protocol. The outcomes of all the deliveries were recorded. Findings: Umbiflow™ screening of the umbilical artery was performed in 7088 women across nine sites; 919 (13·0%) fetuses had an abnormal RI. Absent end diastolic flow (AEDF) was found in 87 (1·2%) fetuses. The prevalence of small for gestational ages (SGA) babies was 23·1% in the normal RI group and was significantly higher in the abnormal RI group 32·1% (p&lt;0·0001). There was a statistical difference in the perinatal mortality rate between the normal RI (9.8/1000) and abnormal RI group (21.4/1000) [RR 0·046; 95% CI -0·06–0·98]. Interpretation: The prevalence of abnormal RI and AEDF in this screened low-risk population was about ten times higher than that previously recorded in high income countries. Continuous wave Doppler ultrasound screening detected previously undiagnosed growth restricted babies. The prevalence of AEDF warrants continuous wave Doppler ultrasound screening of the low-risk pregnant population in South Africa. Funding: This study was funded by the South African Medical Research Council (SAMRC) and the Council for Scientific and Industrial Research (CSIR)","author":[{"dropping-particle":"","family":"Hlongwane","given":"T. M.A.G.","non-dropping-particle":"","parse-names":false,"suffix":""},{"dropping-particle":"","family":"Cronje","given":"T.","non-dropping-particle":"","parse-names":false,"suffix":""},{"dropping-particle":"","family":"Nkosi","given":"B. S.S.","non-dropping-particle":"","parse-names":false,"suffix":""},{"dropping-particle":"","family":"Pattinson","given":"R. C.","non-dropping-particle":"","parse-names":false,"suffix":""}],"container-title":"EClinicalMedicine","id":"ITEM-1","issued":{"date-parts":[["2021"]]},"page":"100792","publisher":"Elsevier Ltd","title":"The prevalence of abnormal Doppler's of the umbilical artery in a low-risk pregnant population in South Africa","type":"article-journal","volume":"34"},"uris":["http://www.mendeley.com/documents/?uuid=739bcfa0-cda8-4e9f-a06c-cc8f4c57b446"]},{"id":"ITEM-2","itemData":{"DOI":"10.1186/s40748-020-0115-7","abstract":"To determine whether there is a relationship between abnormal umbilical artery Doppler studies (UADS) and small for gestational age (SGA) birth weight and other adverse perinatal outcomes in fetuses that appear normally grown by ultrasound. This was a retrospective study of all women who had UADS performed at or after 26 weeks of gestation at our institution between January 2005 and December 2012. Women were excluded if they had a fetal demise, a fetus with growth restriction, a fetus with congenital anomaly, or a multiple gestation. Women with missing delivery outcomes were excluded. The primary outcome was birth weight below the 10th percentile. There were 2744 women included in the study. Of those, 98 (3.6%) had an abnormal UADS, and 379 (13.8%) had an SGA neonate. Of the 2646 women who had a normal UADS, 353 (13.3%) women had an SGA neonate. Twenty-six (26.5%) of the 98 women who had an abnormal UADS had an SGA neonate. After adjusting for potential confounders, the adjusted odds ratio for an SGA neonate with an abnormal UADS was 2.2 (95% CI, 1.38–3.58; p &amp;lt; &amp;nbsp;0.05). In examining other adverse perinatal outcomes, neonatal intensive care unit (NICU) admission and low 5-min Apgar scores were 12.4 and 2.3%, respectively. The adjusted odds ratio for NICU admission was 1.84 (95% CI, 1.06–3.21; p &amp;lt; &amp;nbsp;0.05). Abnormal UADS was not associated with low Apgar scores (aOR 1.39: 95% CI 0.47–4.07; p &amp;gt; 0.05). Our data suggest that abnormal UADS in fetuses that appear normally grown by ultrasound are associated with SGA neonates and NICU admission.","author":[{"dropping-particle":"","family":"Hamayel","given":"Nebras Abu","non-dropping-particle":"Al","parse-names":false,"suffix":""},{"dropping-particle":"","family":"Baghlaf","given":"Haitham","non-dropping-particle":"","parse-names":false,"suffix":""},{"dropping-particle":"","family":"Blakemore","given":"Karin","non-dropping-particle":"","parse-names":false,"suffix":""},{"dropping-particle":"","family":"Crino","given":"Jude P.","non-dropping-particle":"","parse-names":false,"suffix":""},{"dropping-particle":"","family":"Burd","given":"Irina","non-dropping-particle":"","parse-names":false,"suffix":""}],"container-title":"Maternal Health, Neonatology and Perinatology","id":"ITEM-2","issue":"1","issued":{"date-parts":[["2020"]]},"page":"1-7","publisher":"Maternal Health, Neonatology and Perinatology","title":"Significance of abnormal umbilical artery Doppler studies in normally grown fetuses","type":"article-journal","volume":"6"},"uris":["http://www.mendeley.com/documents/?uuid=f3905e49-c48d-4711-b33f-7364c941eb9c"]}],"mendeley":{"formattedCitation":"(Al Hamayel &lt;i&gt;et al.&lt;/i&gt;, 2020; Hlongwane &lt;i&gt;et al.&lt;/i&gt;, 2021)","plainTextFormattedCitation":"(Al Hamayel et al., 2020; Hlongwane et al., 2021)"},"properties":{"noteIndex":0},"schema":"https://github.com/citation-style-language/schema/raw/master/csl-citation.json"}</w:instrText>
      </w:r>
      <w:r>
        <w:rPr>
          <w:rFonts w:ascii="Arial" w:hAnsi="Arial" w:cs="Arial"/>
        </w:rPr>
        <w:fldChar w:fldCharType="separate"/>
      </w:r>
      <w:r w:rsidRPr="00AE4489">
        <w:rPr>
          <w:rFonts w:ascii="Arial" w:hAnsi="Arial" w:cs="Arial"/>
          <w:noProof/>
        </w:rPr>
        <w:t xml:space="preserve">(Al Hamayel </w:t>
      </w:r>
      <w:r w:rsidRPr="00AE4489">
        <w:rPr>
          <w:rFonts w:ascii="Arial" w:hAnsi="Arial" w:cs="Arial"/>
          <w:i/>
          <w:noProof/>
        </w:rPr>
        <w:t>et al.</w:t>
      </w:r>
      <w:r w:rsidRPr="00AE4489">
        <w:rPr>
          <w:rFonts w:ascii="Arial" w:hAnsi="Arial" w:cs="Arial"/>
          <w:noProof/>
        </w:rPr>
        <w:t xml:space="preserve">, 2020; Hlongwane </w:t>
      </w:r>
      <w:r w:rsidRPr="00AE4489">
        <w:rPr>
          <w:rFonts w:ascii="Arial" w:hAnsi="Arial" w:cs="Arial"/>
          <w:i/>
          <w:noProof/>
        </w:rPr>
        <w:t>et al.</w:t>
      </w:r>
      <w:r w:rsidRPr="00AE4489">
        <w:rPr>
          <w:rFonts w:ascii="Arial" w:hAnsi="Arial" w:cs="Arial"/>
          <w:noProof/>
        </w:rPr>
        <w:t>, 2021)</w:t>
      </w:r>
      <w:r>
        <w:rPr>
          <w:rFonts w:ascii="Arial" w:hAnsi="Arial" w:cs="Arial"/>
        </w:rPr>
        <w:fldChar w:fldCharType="end"/>
      </w:r>
      <w:r>
        <w:rPr>
          <w:rFonts w:ascii="Arial" w:hAnsi="Arial" w:cs="Arial"/>
        </w:rPr>
        <w:t xml:space="preserve">. </w:t>
      </w:r>
      <w:r w:rsidRPr="00AE4489">
        <w:rPr>
          <w:rFonts w:ascii="Arial" w:hAnsi="Arial" w:cs="Arial"/>
        </w:rPr>
        <w:t xml:space="preserve">The observed differences may be attributed to variations in study populations and inclusion criteria. For instance, the Johns Hopkins study included pregnancies with gestational age below 28 weeks, which are associated with a higher risk of very low and extremely low birth weight. Additionally, studies conducted in single tertiary </w:t>
      </w:r>
      <w:r>
        <w:rPr>
          <w:rFonts w:ascii="Arial" w:hAnsi="Arial" w:cs="Arial"/>
        </w:rPr>
        <w:t>health facilities</w:t>
      </w:r>
      <w:r w:rsidRPr="00AE4489">
        <w:rPr>
          <w:rFonts w:ascii="Arial" w:hAnsi="Arial" w:cs="Arial"/>
        </w:rPr>
        <w:t xml:space="preserve"> often include higher-risk pregnancies, which may increase the prevalence of adverse fetal outcomes. In contrast, our study included participants with pregnancy-induced hypertension across multiple settings</w:t>
      </w:r>
      <w:r>
        <w:rPr>
          <w:rFonts w:ascii="Arial" w:hAnsi="Arial" w:cs="Arial"/>
        </w:rPr>
        <w:t xml:space="preserve"> including primary health cares</w:t>
      </w:r>
      <w:r w:rsidRPr="00AE4489">
        <w:rPr>
          <w:rFonts w:ascii="Arial" w:hAnsi="Arial" w:cs="Arial"/>
        </w:rPr>
        <w:t>, which may explain the relatively lower prevalence observed.</w:t>
      </w:r>
    </w:p>
    <w:p w14:paraId="46412FBE" w14:textId="77777777" w:rsidR="000A5AD4" w:rsidRPr="00AE4489" w:rsidRDefault="000A5AD4" w:rsidP="00AE4489">
      <w:pPr>
        <w:pStyle w:val="Body"/>
        <w:spacing w:after="0"/>
        <w:rPr>
          <w:rFonts w:ascii="Arial" w:hAnsi="Arial" w:cs="Arial"/>
        </w:rPr>
      </w:pPr>
    </w:p>
    <w:p w14:paraId="2F1EEDBA" w14:textId="77777777" w:rsidR="000A5AD4" w:rsidRPr="000A5AD4" w:rsidRDefault="000A5AD4" w:rsidP="000A5AD4">
      <w:pPr>
        <w:pStyle w:val="Body"/>
        <w:spacing w:after="0"/>
        <w:rPr>
          <w:rFonts w:ascii="Arial" w:hAnsi="Arial" w:cs="Arial"/>
        </w:rPr>
      </w:pPr>
      <w:r w:rsidRPr="000A5AD4">
        <w:rPr>
          <w:rFonts w:ascii="Arial" w:hAnsi="Arial" w:cs="Arial"/>
        </w:rPr>
        <w:t xml:space="preserve">In this study, </w:t>
      </w:r>
      <w:r w:rsidRPr="000A5AD4">
        <w:rPr>
          <w:rFonts w:ascii="Arial" w:hAnsi="Arial" w:cs="Arial"/>
          <w:b/>
          <w:bCs/>
        </w:rPr>
        <w:t>moderate birth asphyxia was observed in 14.0% of newborns</w:t>
      </w:r>
      <w:r w:rsidRPr="000A5AD4">
        <w:rPr>
          <w:rFonts w:ascii="Arial" w:hAnsi="Arial" w:cs="Arial"/>
        </w:rPr>
        <w:t xml:space="preserve">, while </w:t>
      </w:r>
      <w:r w:rsidRPr="000A5AD4">
        <w:rPr>
          <w:rFonts w:ascii="Arial" w:hAnsi="Arial" w:cs="Arial"/>
          <w:b/>
          <w:bCs/>
        </w:rPr>
        <w:t>6.1% experienced severe birth asphyxia</w:t>
      </w:r>
      <w:r w:rsidRPr="000A5AD4">
        <w:rPr>
          <w:rFonts w:ascii="Arial" w:hAnsi="Arial" w:cs="Arial"/>
        </w:rPr>
        <w:t>. The prevalence observed in our study was lower than that reported in the Indian stud</w:t>
      </w:r>
      <w:r>
        <w:rPr>
          <w:rFonts w:ascii="Arial" w:hAnsi="Arial" w:cs="Arial"/>
        </w:rPr>
        <w:t>y</w:t>
      </w:r>
      <w:r w:rsidRPr="000A5AD4">
        <w:rPr>
          <w:rFonts w:ascii="Arial" w:hAnsi="Arial" w:cs="Arial"/>
        </w:rPr>
        <w:t xml:space="preserve"> These findings contrast with studies conducted in Ethiopia and India </w:t>
      </w:r>
      <w:r w:rsidR="00A63C48">
        <w:rPr>
          <w:rFonts w:ascii="Arial" w:hAnsi="Arial" w:cs="Arial"/>
        </w:rPr>
        <w:fldChar w:fldCharType="begin" w:fldLock="1"/>
      </w:r>
      <w:r w:rsidR="00E969EC">
        <w:rPr>
          <w:rFonts w:ascii="Arial" w:hAnsi="Arial" w:cs="Arial"/>
        </w:rPr>
        <w:instrText>ADDIN CSL_CITATION {"citationItems":[{"id":"ITEM-1","itemData":{"DOI":"10.1371/journal.pone.0256520","ISBN":"1111111111","ISSN":"19326203","PMID":"34411170","abstract":"Background Hypertensive disorders of pregnancy (HDP) increases adverse perinatal outcomes in women with the disorder. About 16% of all still births and 10% of early neonatal deaths are accounted by HDP. In Ethiopia, HDP complicates about 6% of all pregnancies. Hence, the objective of this study was to determine the risk of adverse perinatal outcomes among women with HDP in Jimma Medical Center, southwest Ethiopia. Methods A retrospective cohort study was conducted on a total of 777 women who gave birth from June 2017 to March 2020 at Jimma Medical Center, southwest Ethiopia. Women with HDP and normotensive women who gave birth at or after 28 weeks of gestation were enrolled as exposed and unexposed respectively. Simple random sampling technique was used to select study participants. Data were reviewed using structured data collection performa that was prepared after reviewing relevant literatures. Data were entered to Epi-Data then exported to STATA version 13 for analysis. The adverse perinatal outcomes risk were examined using log binomial and modified Poisson regression model with robust standard errors. Results In this study, the overall incidence of adverse perinatal outcome was higher among women with hypertensive disorders of pregnancy (HDP) than normotensive women (64.1% versus 32.8%). After adjusting for confounders, women with HDP were at higher risk of babies with low birth weight (adjusted RR = 2.88 (2.2, 3.75)), preterm birth(aRR = 2.31(1.7, 3.14)), fifth minute low Apgar score (aRR = 2.6(1.53, 4.42)), admission to neonatal intensive care unit (aRR = 1.77(1.32, 2.37), stillbirth (aRR = 2.02(1.11, 3.01)), and perinatal mortality (aRR = 3.88(1.97, 7.66)) than normotensive women. Conclusion Women with hypertensive disorder of pregnancy were at higher risk of adverse perinatal outcomes than normotensive women who gave birth at Jimma Medical Center, southwest Ethiopia. Therefore, health care providers should strengthen prevention, early diagnosis and prompt management of HDP in order to reduce adverse perinatal outcomes.","author":[{"dropping-particle":"","family":"Jaleta","given":"Debela Dereje","non-dropping-particle":"","parse-names":false,"suffix":""},{"dropping-particle":"","family":"Gebremedhin","given":"Tadesse","non-dropping-particle":"","parse-names":false,"suffix":""},{"dropping-particle":"","family":"Jebena","given":"Mulusew Gerbaba","non-dropping-particle":"","parse-names":false,"suffix":""}],"container-title":"PLoS ONE","id":"ITEM-1","issue":"8 August","issued":{"date-parts":[["2021"]]},"page":"1-13","title":"Perinatal outcomes of women with hypertensive disorders of pregnancy in Jimma Medical Center, southwest Ethiopia: Retrospective cohort study","type":"article-journal","volume":"16"},"uris":["http://www.mendeley.com/documents/?uuid=aa71a3cd-bbf7-41e1-bf1d-e9473bfeae6c"]},{"id":"ITEM-2","itemData":{"author":[{"dropping-particle":"","family":"Rani","given":"A Padmaja","non-dropping-particle":"","parse-names":false,"suffix":""},{"dropping-particle":"","family":"Saraswathi","given":"K","non-dropping-particle":"","parse-names":false,"suffix":""},{"dropping-particle":"","family":"Vani","given":"K","non-dropping-particle":"","parse-names":false,"suffix":""}],"id":"ITEM-2","issue":"5","issued":{"date-parts":[["2021"]]},"page":"156-169","title":"Correlation Between the Doppler Study with Fetal Outcome and Analysis of the Association of Abnormal Doppler Velocimetry in Perinatal Outcome","type":"article-journal","volume":"9"},"uris":["http://www.mendeley.com/documents/?uuid=56afd1ac-9ed0-4d16-887f-5b4dc68babd6"]}],"mendeley":{"formattedCitation":"(Jaleta, Gebremedhin and Jebena, 2021; Rani, Saraswathi and Vani, 2021)","plainTextFormattedCitation":"(Jaleta, Gebremedhin and Jebena, 2021; Rani, Saraswathi and Vani, 2021)","previouslyFormattedCitation":"(Jaleta, Gebremedhin and Jebena, 2021; Rani, Saraswathi and Vani, 2021)"},"properties":{"noteIndex":0},"schema":"https://github.com/citation-style-language/schema/raw/master/csl-citation.json"}</w:instrText>
      </w:r>
      <w:r w:rsidR="00A63C48">
        <w:rPr>
          <w:rFonts w:ascii="Arial" w:hAnsi="Arial" w:cs="Arial"/>
        </w:rPr>
        <w:fldChar w:fldCharType="separate"/>
      </w:r>
      <w:r w:rsidR="00A63C48" w:rsidRPr="00A63C48">
        <w:rPr>
          <w:rFonts w:ascii="Arial" w:hAnsi="Arial" w:cs="Arial"/>
          <w:noProof/>
        </w:rPr>
        <w:t>(Jaleta, Gebremedhin and Jebena, 2021; Rani, Saraswathi and Vani, 2021)</w:t>
      </w:r>
      <w:r w:rsidR="00A63C48">
        <w:rPr>
          <w:rFonts w:ascii="Arial" w:hAnsi="Arial" w:cs="Arial"/>
        </w:rPr>
        <w:fldChar w:fldCharType="end"/>
      </w:r>
      <w:r>
        <w:rPr>
          <w:rFonts w:ascii="Arial" w:hAnsi="Arial" w:cs="Arial"/>
        </w:rPr>
        <w:t xml:space="preserve">. </w:t>
      </w:r>
      <w:r w:rsidRPr="000A5AD4">
        <w:rPr>
          <w:rFonts w:ascii="Arial" w:hAnsi="Arial" w:cs="Arial"/>
        </w:rPr>
        <w:t>This difference may be attributed to variations in study populations, including the inclusion of patients with additional medical conditions and a focus on fetuses with growth restriction in the Indian study, both of which are associated with a higher risk of fetal compromise.</w:t>
      </w:r>
    </w:p>
    <w:p w14:paraId="71B10969" w14:textId="77777777" w:rsidR="000A5AD4" w:rsidRDefault="000A5AD4" w:rsidP="000A5AD4">
      <w:pPr>
        <w:pStyle w:val="Body"/>
        <w:spacing w:after="0"/>
        <w:rPr>
          <w:rFonts w:ascii="Arial" w:hAnsi="Arial" w:cs="Arial"/>
        </w:rPr>
      </w:pPr>
    </w:p>
    <w:p w14:paraId="72B35A69" w14:textId="7065E78E" w:rsidR="00FD7E85" w:rsidRDefault="00F456FA" w:rsidP="000A5AD4">
      <w:pPr>
        <w:pStyle w:val="Body"/>
        <w:spacing w:after="0"/>
        <w:rPr>
          <w:rFonts w:ascii="Arial" w:hAnsi="Arial" w:cs="Arial"/>
        </w:rPr>
      </w:pPr>
      <w:r>
        <w:rPr>
          <w:rFonts w:ascii="Arial" w:hAnsi="Arial" w:cs="Arial"/>
        </w:rPr>
        <w:t>4.</w:t>
      </w:r>
      <w:r w:rsidR="000A5AD4">
        <w:rPr>
          <w:rFonts w:ascii="Arial" w:hAnsi="Arial" w:cs="Arial"/>
        </w:rPr>
        <w:t>0</w:t>
      </w:r>
      <w:r>
        <w:rPr>
          <w:rFonts w:ascii="Arial" w:hAnsi="Arial" w:cs="Arial"/>
        </w:rPr>
        <w:t xml:space="preserve"> Conclusion</w:t>
      </w:r>
    </w:p>
    <w:p w14:paraId="178310FC" w14:textId="7AE6A66D" w:rsidR="000A5AD4" w:rsidRPr="000A5AD4" w:rsidRDefault="000A5AD4" w:rsidP="000A5AD4">
      <w:pPr>
        <w:pStyle w:val="ConcHead"/>
        <w:spacing w:after="0"/>
        <w:jc w:val="both"/>
        <w:rPr>
          <w:rFonts w:ascii="Arial" w:hAnsi="Arial" w:cs="Arial"/>
          <w:b w:val="0"/>
          <w:bCs/>
          <w:sz w:val="20"/>
        </w:rPr>
      </w:pPr>
      <w:r>
        <w:rPr>
          <w:rFonts w:ascii="Arial" w:hAnsi="Arial" w:cs="Arial"/>
          <w:b w:val="0"/>
          <w:bCs/>
          <w:caps w:val="0"/>
          <w:sz w:val="20"/>
        </w:rPr>
        <w:t>N</w:t>
      </w:r>
      <w:r w:rsidRPr="000A5AD4">
        <w:rPr>
          <w:rFonts w:ascii="Arial" w:hAnsi="Arial" w:cs="Arial"/>
          <w:b w:val="0"/>
          <w:bCs/>
          <w:caps w:val="0"/>
          <w:sz w:val="20"/>
        </w:rPr>
        <w:t>early half of the participants (47.4</w:t>
      </w:r>
      <w:r w:rsidR="004962E9">
        <w:rPr>
          <w:rFonts w:ascii="Arial" w:hAnsi="Arial" w:cs="Arial"/>
          <w:b w:val="0"/>
          <w:bCs/>
          <w:caps w:val="0"/>
          <w:sz w:val="20"/>
        </w:rPr>
        <w:t>2</w:t>
      </w:r>
      <w:r w:rsidRPr="000A5AD4">
        <w:rPr>
          <w:rFonts w:ascii="Arial" w:hAnsi="Arial" w:cs="Arial"/>
          <w:b w:val="0"/>
          <w:bCs/>
          <w:caps w:val="0"/>
          <w:sz w:val="20"/>
        </w:rPr>
        <w:t xml:space="preserve">%) had abnormal umbilical artery doppler findings, which were associated with adverse fetal outcomes, including preterm delivery and low birth weight. </w:t>
      </w:r>
      <w:r>
        <w:rPr>
          <w:rFonts w:ascii="Arial" w:hAnsi="Arial" w:cs="Arial"/>
          <w:b w:val="0"/>
          <w:bCs/>
          <w:caps w:val="0"/>
          <w:sz w:val="20"/>
        </w:rPr>
        <w:t>E</w:t>
      </w:r>
      <w:r w:rsidRPr="000A5AD4">
        <w:rPr>
          <w:rFonts w:ascii="Arial" w:hAnsi="Arial" w:cs="Arial"/>
          <w:b w:val="0"/>
          <w:bCs/>
          <w:caps w:val="0"/>
          <w:sz w:val="20"/>
        </w:rPr>
        <w:t>levated maternal blood pressure was significantly associated with abnormal doppler indices, underscoring the impact of maternal hypertension on fetal hemodynamics and the risk of fetal compromise. these findings suggest that umbilical artery doppler ultrasound is a valuable predictor of adverse fetal outcomes in pregnancies complicated by pregnancy-induced hypertension.</w:t>
      </w:r>
    </w:p>
    <w:p w14:paraId="57CCF175" w14:textId="77777777" w:rsidR="00FD7E85" w:rsidRPr="000A5AD4" w:rsidRDefault="00FD7E85">
      <w:pPr>
        <w:pStyle w:val="ConcHead"/>
        <w:spacing w:after="0"/>
        <w:jc w:val="both"/>
        <w:rPr>
          <w:rFonts w:ascii="Arial" w:hAnsi="Arial" w:cs="Arial"/>
          <w:b w:val="0"/>
          <w:bCs/>
          <w:sz w:val="20"/>
        </w:rPr>
      </w:pPr>
    </w:p>
    <w:p w14:paraId="07CA4F03" w14:textId="77777777" w:rsidR="00FD7E85" w:rsidRDefault="00F456FA">
      <w:pPr>
        <w:pStyle w:val="AcknHead"/>
        <w:spacing w:after="0"/>
        <w:jc w:val="both"/>
        <w:rPr>
          <w:rFonts w:ascii="Arial" w:hAnsi="Arial" w:cs="Arial"/>
        </w:rPr>
      </w:pPr>
      <w:r>
        <w:rPr>
          <w:rFonts w:ascii="Arial" w:hAnsi="Arial" w:cs="Arial"/>
        </w:rPr>
        <w:t>AcknowledgEments</w:t>
      </w:r>
    </w:p>
    <w:p w14:paraId="79F56633" w14:textId="1E30882B" w:rsidR="008863E0" w:rsidRPr="008863E0" w:rsidRDefault="008863E0" w:rsidP="008863E0">
      <w:pPr>
        <w:pStyle w:val="ReferHead"/>
        <w:spacing w:after="0"/>
        <w:jc w:val="both"/>
        <w:rPr>
          <w:rFonts w:ascii="Arial" w:hAnsi="Arial" w:cs="Arial"/>
          <w:b w:val="0"/>
          <w:sz w:val="20"/>
        </w:rPr>
      </w:pPr>
      <w:r w:rsidRPr="008863E0">
        <w:rPr>
          <w:rFonts w:ascii="Arial" w:hAnsi="Arial" w:cs="Arial"/>
          <w:b w:val="0"/>
          <w:caps w:val="0"/>
          <w:sz w:val="20"/>
        </w:rPr>
        <w:t>First, I would like to express my sincere gratitude to almighty god for his guidance and support throughout my studies and at every stage of developing this work.</w:t>
      </w:r>
    </w:p>
    <w:p w14:paraId="565E9AE7" w14:textId="412756E4" w:rsidR="008863E0" w:rsidRPr="008863E0" w:rsidRDefault="008863E0" w:rsidP="008863E0">
      <w:pPr>
        <w:pStyle w:val="ReferHead"/>
        <w:spacing w:after="0"/>
        <w:jc w:val="both"/>
        <w:rPr>
          <w:rFonts w:ascii="Arial" w:hAnsi="Arial" w:cs="Arial"/>
          <w:b w:val="0"/>
          <w:sz w:val="20"/>
        </w:rPr>
      </w:pPr>
      <w:r w:rsidRPr="008863E0">
        <w:rPr>
          <w:rFonts w:ascii="Arial" w:hAnsi="Arial" w:cs="Arial"/>
          <w:b w:val="0"/>
          <w:caps w:val="0"/>
          <w:sz w:val="20"/>
        </w:rPr>
        <w:t>I would also like to acknowledge my supervisors</w:t>
      </w:r>
      <w:r w:rsidRPr="008863E0">
        <w:rPr>
          <w:rFonts w:ascii="Arial" w:hAnsi="Arial" w:cs="Arial"/>
          <w:b w:val="0"/>
          <w:sz w:val="20"/>
        </w:rPr>
        <w:t>, D</w:t>
      </w:r>
      <w:r w:rsidRPr="008863E0">
        <w:rPr>
          <w:rFonts w:ascii="Arial" w:hAnsi="Arial" w:cs="Arial"/>
          <w:b w:val="0"/>
          <w:caps w:val="0"/>
          <w:sz w:val="20"/>
        </w:rPr>
        <w:t>r</w:t>
      </w:r>
      <w:r w:rsidRPr="008863E0">
        <w:rPr>
          <w:rFonts w:ascii="Arial" w:hAnsi="Arial" w:cs="Arial"/>
          <w:b w:val="0"/>
          <w:sz w:val="20"/>
        </w:rPr>
        <w:t>. A</w:t>
      </w:r>
      <w:r w:rsidRPr="008863E0">
        <w:rPr>
          <w:rFonts w:ascii="Arial" w:hAnsi="Arial" w:cs="Arial"/>
          <w:b w:val="0"/>
          <w:caps w:val="0"/>
          <w:sz w:val="20"/>
        </w:rPr>
        <w:t>dnan</w:t>
      </w:r>
      <w:r w:rsidRPr="008863E0">
        <w:rPr>
          <w:rFonts w:ascii="Arial" w:hAnsi="Arial" w:cs="Arial"/>
          <w:b w:val="0"/>
          <w:sz w:val="20"/>
        </w:rPr>
        <w:t xml:space="preserve"> </w:t>
      </w:r>
      <w:r>
        <w:rPr>
          <w:rFonts w:ascii="Arial" w:hAnsi="Arial" w:cs="Arial"/>
          <w:b w:val="0"/>
          <w:caps w:val="0"/>
          <w:sz w:val="20"/>
        </w:rPr>
        <w:t>S</w:t>
      </w:r>
      <w:r w:rsidRPr="008863E0">
        <w:rPr>
          <w:rFonts w:ascii="Arial" w:hAnsi="Arial" w:cs="Arial"/>
          <w:b w:val="0"/>
          <w:caps w:val="0"/>
          <w:sz w:val="20"/>
        </w:rPr>
        <w:t>adiq (</w:t>
      </w:r>
      <w:r>
        <w:rPr>
          <w:rFonts w:ascii="Arial" w:hAnsi="Arial" w:cs="Arial"/>
          <w:b w:val="0"/>
          <w:caps w:val="0"/>
          <w:sz w:val="20"/>
        </w:rPr>
        <w:t>S</w:t>
      </w:r>
      <w:r w:rsidRPr="008863E0">
        <w:rPr>
          <w:rFonts w:ascii="Arial" w:hAnsi="Arial" w:cs="Arial"/>
          <w:b w:val="0"/>
          <w:caps w:val="0"/>
          <w:sz w:val="20"/>
        </w:rPr>
        <w:t xml:space="preserve">upervisor), Dr. Eusebius Maro (co-supervisor), and dr. Stephen Gondwe (mentor), for their continuous guidance, </w:t>
      </w:r>
      <w:r w:rsidRPr="008863E0">
        <w:rPr>
          <w:rFonts w:ascii="Arial" w:hAnsi="Arial" w:cs="Arial"/>
          <w:b w:val="0"/>
          <w:caps w:val="0"/>
          <w:sz w:val="20"/>
        </w:rPr>
        <w:lastRenderedPageBreak/>
        <w:t>constructive feedback, and timely support, which greatly contributed to the successful completion of this work.</w:t>
      </w:r>
    </w:p>
    <w:p w14:paraId="06696ACF" w14:textId="65514126" w:rsidR="008863E0" w:rsidRPr="008863E0" w:rsidRDefault="008863E0" w:rsidP="008863E0">
      <w:pPr>
        <w:pStyle w:val="ReferHead"/>
        <w:spacing w:after="0"/>
        <w:jc w:val="both"/>
        <w:rPr>
          <w:rFonts w:ascii="Arial" w:hAnsi="Arial" w:cs="Arial"/>
          <w:b w:val="0"/>
          <w:sz w:val="20"/>
        </w:rPr>
      </w:pPr>
      <w:r w:rsidRPr="008863E0">
        <w:rPr>
          <w:rFonts w:ascii="Arial" w:hAnsi="Arial" w:cs="Arial"/>
          <w:b w:val="0"/>
          <w:caps w:val="0"/>
          <w:sz w:val="20"/>
        </w:rPr>
        <w:t xml:space="preserve">my special appreciation goes to the radiologists of the </w:t>
      </w:r>
      <w:r>
        <w:rPr>
          <w:rFonts w:ascii="Arial" w:hAnsi="Arial" w:cs="Arial"/>
          <w:b w:val="0"/>
          <w:caps w:val="0"/>
          <w:sz w:val="20"/>
        </w:rPr>
        <w:t>KCMC</w:t>
      </w:r>
      <w:r w:rsidRPr="008863E0">
        <w:rPr>
          <w:rFonts w:ascii="Arial" w:hAnsi="Arial" w:cs="Arial"/>
          <w:b w:val="0"/>
          <w:caps w:val="0"/>
          <w:sz w:val="20"/>
        </w:rPr>
        <w:t xml:space="preserve"> radiology department, under the leadership of Dr. Adnan </w:t>
      </w:r>
      <w:r>
        <w:rPr>
          <w:rFonts w:ascii="Arial" w:hAnsi="Arial" w:cs="Arial"/>
          <w:b w:val="0"/>
          <w:caps w:val="0"/>
          <w:sz w:val="20"/>
        </w:rPr>
        <w:t>Sa</w:t>
      </w:r>
      <w:r w:rsidRPr="008863E0">
        <w:rPr>
          <w:rFonts w:ascii="Arial" w:hAnsi="Arial" w:cs="Arial"/>
          <w:b w:val="0"/>
          <w:caps w:val="0"/>
          <w:sz w:val="20"/>
        </w:rPr>
        <w:t>diq</w:t>
      </w:r>
      <w:r w:rsidRPr="008863E0">
        <w:rPr>
          <w:rFonts w:ascii="Arial" w:hAnsi="Arial" w:cs="Arial"/>
          <w:b w:val="0"/>
          <w:sz w:val="20"/>
        </w:rPr>
        <w:t>, f</w:t>
      </w:r>
      <w:r w:rsidRPr="008863E0">
        <w:rPr>
          <w:rFonts w:ascii="Arial" w:hAnsi="Arial" w:cs="Arial"/>
          <w:b w:val="0"/>
          <w:caps w:val="0"/>
          <w:sz w:val="20"/>
        </w:rPr>
        <w:t>or their invaluable contributions, from the selection of the research topic to the final stages of this dissertation.</w:t>
      </w:r>
    </w:p>
    <w:p w14:paraId="15334757" w14:textId="41BF9D27" w:rsidR="008863E0" w:rsidRPr="008863E0" w:rsidRDefault="008863E0" w:rsidP="008863E0">
      <w:pPr>
        <w:pStyle w:val="ReferHead"/>
        <w:spacing w:after="0"/>
        <w:jc w:val="both"/>
        <w:rPr>
          <w:rFonts w:ascii="Arial" w:hAnsi="Arial" w:cs="Arial"/>
          <w:bCs/>
        </w:rPr>
      </w:pPr>
      <w:r w:rsidRPr="008863E0">
        <w:rPr>
          <w:rFonts w:ascii="Arial" w:hAnsi="Arial" w:cs="Arial"/>
          <w:b w:val="0"/>
          <w:caps w:val="0"/>
          <w:sz w:val="20"/>
        </w:rPr>
        <w:t>finally, I extend my heartfelt thanks to my family and my colleagues, the radiology Residents, for their encouragement, support, and contributions during the development and completion of this work</w:t>
      </w:r>
      <w:r w:rsidRPr="008863E0">
        <w:rPr>
          <w:rFonts w:ascii="Arial" w:hAnsi="Arial" w:cs="Arial"/>
          <w:bCs/>
          <w:caps w:val="0"/>
        </w:rPr>
        <w:t>.</w:t>
      </w:r>
    </w:p>
    <w:p w14:paraId="5B15947F" w14:textId="77777777" w:rsidR="008863E0" w:rsidRDefault="008863E0">
      <w:pPr>
        <w:pStyle w:val="ReferHead"/>
        <w:spacing w:after="0"/>
        <w:jc w:val="both"/>
        <w:rPr>
          <w:rFonts w:ascii="Arial" w:hAnsi="Arial" w:cs="Arial"/>
          <w:bCs/>
        </w:rPr>
      </w:pPr>
    </w:p>
    <w:p w14:paraId="4D908217" w14:textId="79DAD475" w:rsidR="00FD7E85" w:rsidRDefault="00F456FA">
      <w:pPr>
        <w:pStyle w:val="ReferHead"/>
        <w:spacing w:after="0"/>
        <w:jc w:val="both"/>
        <w:rPr>
          <w:rFonts w:ascii="Arial" w:hAnsi="Arial" w:cs="Arial"/>
          <w:bCs/>
        </w:rPr>
      </w:pPr>
      <w:r>
        <w:rPr>
          <w:rFonts w:ascii="Arial" w:hAnsi="Arial" w:cs="Arial"/>
          <w:bCs/>
        </w:rPr>
        <w:t>Competing interests</w:t>
      </w:r>
    </w:p>
    <w:p w14:paraId="3BDB8DEA" w14:textId="77777777" w:rsidR="00FD7E85" w:rsidRDefault="00FD7E85">
      <w:pPr>
        <w:pStyle w:val="ReferHead"/>
        <w:spacing w:after="0"/>
        <w:jc w:val="both"/>
        <w:rPr>
          <w:rFonts w:ascii="Arial" w:hAnsi="Arial" w:cs="Arial"/>
        </w:rPr>
      </w:pPr>
    </w:p>
    <w:p w14:paraId="70E01083" w14:textId="77777777" w:rsidR="00FD7E85" w:rsidRDefault="00F456FA">
      <w:pPr>
        <w:pStyle w:val="ReferHead"/>
        <w:spacing w:after="0"/>
        <w:jc w:val="both"/>
        <w:rPr>
          <w:rFonts w:ascii="Arial" w:hAnsi="Arial" w:cs="Arial"/>
          <w:b w:val="0"/>
          <w:caps w:val="0"/>
          <w:color w:val="000000" w:themeColor="text1"/>
          <w:sz w:val="20"/>
        </w:rPr>
      </w:pPr>
      <w:r>
        <w:rPr>
          <w:rFonts w:ascii="Arial" w:hAnsi="Arial" w:cs="Arial"/>
          <w:b w:val="0"/>
          <w:caps w:val="0"/>
          <w:color w:val="000000" w:themeColor="text1"/>
          <w:sz w:val="20"/>
        </w:rPr>
        <w:t>“Authors have declared that no competing interests exist.”.</w:t>
      </w:r>
    </w:p>
    <w:p w14:paraId="5EE66EDE" w14:textId="77777777" w:rsidR="00FD7E85" w:rsidRDefault="00FD7E85">
      <w:pPr>
        <w:pStyle w:val="ReferHead"/>
        <w:spacing w:after="0"/>
        <w:jc w:val="both"/>
        <w:rPr>
          <w:rFonts w:ascii="Arial" w:hAnsi="Arial" w:cs="Arial"/>
          <w:b w:val="0"/>
          <w:caps w:val="0"/>
          <w:sz w:val="20"/>
        </w:rPr>
      </w:pPr>
    </w:p>
    <w:p w14:paraId="49382F76" w14:textId="77777777" w:rsidR="00FD7E85" w:rsidRDefault="00F456FA">
      <w:pPr>
        <w:pStyle w:val="ReferHead"/>
        <w:spacing w:after="0"/>
        <w:jc w:val="both"/>
        <w:rPr>
          <w:rFonts w:ascii="Arial" w:hAnsi="Arial" w:cs="Arial"/>
          <w:bCs/>
        </w:rPr>
      </w:pPr>
      <w:r>
        <w:rPr>
          <w:rFonts w:ascii="Arial" w:hAnsi="Arial" w:cs="Arial"/>
          <w:bCs/>
        </w:rPr>
        <w:t>Authors’ Contributions</w:t>
      </w:r>
    </w:p>
    <w:p w14:paraId="0B81A287" w14:textId="3D4BAAC1" w:rsidR="00FD7E85" w:rsidRDefault="00F456FA">
      <w:pPr>
        <w:pStyle w:val="ReferHead"/>
        <w:spacing w:after="0"/>
        <w:jc w:val="both"/>
        <w:rPr>
          <w:rFonts w:ascii="Arial" w:hAnsi="Arial" w:cs="Arial"/>
          <w:b w:val="0"/>
          <w:caps w:val="0"/>
          <w:sz w:val="20"/>
        </w:rPr>
      </w:pPr>
      <w:r>
        <w:rPr>
          <w:rFonts w:ascii="Arial" w:hAnsi="Arial" w:cs="Arial"/>
          <w:b w:val="0"/>
          <w:caps w:val="0"/>
          <w:sz w:val="20"/>
        </w:rPr>
        <w:t xml:space="preserve"> ‘</w:t>
      </w:r>
      <w:r w:rsidR="008863E0" w:rsidRPr="008863E0">
        <w:rPr>
          <w:rFonts w:ascii="Arial" w:hAnsi="Arial" w:cs="Arial"/>
          <w:b w:val="0"/>
          <w:caps w:val="0"/>
          <w:sz w:val="20"/>
        </w:rPr>
        <w:t xml:space="preserve">Goodluck Mbondo John, Adnan Sadiq, and Stephen Gondwe designed the study, conducted the literature review, performed the statistical analysis, developed the study protocol, and drafted the initial manuscript. Goodluck Mbondo John and Stephen Gondwe were responsible for data collection. Eusebius </w:t>
      </w:r>
      <w:proofErr w:type="spellStart"/>
      <w:r w:rsidR="008863E0" w:rsidRPr="008863E0">
        <w:rPr>
          <w:rFonts w:ascii="Arial" w:hAnsi="Arial" w:cs="Arial"/>
          <w:b w:val="0"/>
          <w:caps w:val="0"/>
          <w:sz w:val="20"/>
        </w:rPr>
        <w:t>Maro</w:t>
      </w:r>
      <w:proofErr w:type="spellEnd"/>
      <w:r w:rsidR="008863E0" w:rsidRPr="008863E0">
        <w:rPr>
          <w:rFonts w:ascii="Arial" w:hAnsi="Arial" w:cs="Arial"/>
          <w:b w:val="0"/>
          <w:caps w:val="0"/>
          <w:sz w:val="20"/>
        </w:rPr>
        <w:t xml:space="preserve">, Clement </w:t>
      </w:r>
      <w:proofErr w:type="spellStart"/>
      <w:r w:rsidR="008863E0" w:rsidRPr="008863E0">
        <w:rPr>
          <w:rFonts w:ascii="Arial" w:hAnsi="Arial" w:cs="Arial"/>
          <w:b w:val="0"/>
          <w:caps w:val="0"/>
          <w:sz w:val="20"/>
        </w:rPr>
        <w:t>Kalambo</w:t>
      </w:r>
      <w:proofErr w:type="spellEnd"/>
      <w:r w:rsidR="008863E0" w:rsidRPr="008863E0">
        <w:rPr>
          <w:rFonts w:ascii="Arial" w:hAnsi="Arial" w:cs="Arial"/>
          <w:b w:val="0"/>
          <w:caps w:val="0"/>
          <w:sz w:val="20"/>
        </w:rPr>
        <w:t xml:space="preserve">, and </w:t>
      </w:r>
      <w:proofErr w:type="spellStart"/>
      <w:r w:rsidR="008863E0" w:rsidRPr="008863E0">
        <w:rPr>
          <w:rFonts w:ascii="Arial" w:hAnsi="Arial" w:cs="Arial"/>
          <w:b w:val="0"/>
          <w:caps w:val="0"/>
          <w:sz w:val="20"/>
        </w:rPr>
        <w:t>Felister</w:t>
      </w:r>
      <w:proofErr w:type="spellEnd"/>
      <w:r w:rsidR="008863E0" w:rsidRPr="008863E0">
        <w:rPr>
          <w:rFonts w:ascii="Arial" w:hAnsi="Arial" w:cs="Arial"/>
          <w:b w:val="0"/>
          <w:caps w:val="0"/>
          <w:sz w:val="20"/>
        </w:rPr>
        <w:t xml:space="preserve"> </w:t>
      </w:r>
      <w:proofErr w:type="spellStart"/>
      <w:r w:rsidR="008863E0" w:rsidRPr="008863E0">
        <w:rPr>
          <w:rFonts w:ascii="Arial" w:hAnsi="Arial" w:cs="Arial"/>
          <w:b w:val="0"/>
          <w:caps w:val="0"/>
          <w:sz w:val="20"/>
        </w:rPr>
        <w:t>Uisso</w:t>
      </w:r>
      <w:proofErr w:type="spellEnd"/>
      <w:r w:rsidR="008863E0" w:rsidRPr="008863E0">
        <w:rPr>
          <w:rFonts w:ascii="Arial" w:hAnsi="Arial" w:cs="Arial"/>
          <w:b w:val="0"/>
          <w:caps w:val="0"/>
          <w:sz w:val="20"/>
        </w:rPr>
        <w:t xml:space="preserve"> contributed to the study design and assisted in drafting the manuscript. All authors reviewed and approved the final version of the manuscript</w:t>
      </w:r>
      <w:r>
        <w:rPr>
          <w:rFonts w:ascii="Arial" w:hAnsi="Arial" w:cs="Arial"/>
          <w:b w:val="0"/>
          <w:caps w:val="0"/>
          <w:sz w:val="20"/>
        </w:rPr>
        <w:t>.”</w:t>
      </w:r>
    </w:p>
    <w:p w14:paraId="0744D4A9" w14:textId="77777777" w:rsidR="00FD7E85" w:rsidRDefault="00FD7E85">
      <w:pPr>
        <w:pStyle w:val="ReferHead"/>
        <w:spacing w:after="0"/>
        <w:jc w:val="both"/>
        <w:rPr>
          <w:rFonts w:ascii="Arial" w:hAnsi="Arial" w:cs="Arial"/>
          <w:b w:val="0"/>
          <w:caps w:val="0"/>
          <w:sz w:val="20"/>
        </w:rPr>
      </w:pPr>
    </w:p>
    <w:p w14:paraId="769F1309" w14:textId="77777777" w:rsidR="00FD7E85" w:rsidRDefault="00F456FA">
      <w:pPr>
        <w:pStyle w:val="ReferHead"/>
        <w:spacing w:after="0"/>
        <w:jc w:val="both"/>
        <w:rPr>
          <w:rFonts w:ascii="Arial" w:hAnsi="Arial" w:cs="Arial"/>
          <w:bCs/>
        </w:rPr>
      </w:pPr>
      <w:r>
        <w:rPr>
          <w:rFonts w:ascii="Arial" w:hAnsi="Arial" w:cs="Arial"/>
          <w:bCs/>
        </w:rPr>
        <w:t xml:space="preserve">Consent </w:t>
      </w:r>
    </w:p>
    <w:p w14:paraId="4FAA3096" w14:textId="77777777" w:rsidR="00FD7E85" w:rsidRDefault="00FD7E85">
      <w:pPr>
        <w:pStyle w:val="ReferHead"/>
        <w:spacing w:after="0"/>
        <w:jc w:val="both"/>
        <w:rPr>
          <w:rFonts w:ascii="Arial" w:hAnsi="Arial" w:cs="Arial"/>
          <w:bCs/>
        </w:rPr>
      </w:pPr>
    </w:p>
    <w:p w14:paraId="4F16CF1F" w14:textId="77777777" w:rsidR="00FD7E85" w:rsidRDefault="00F456FA">
      <w:pPr>
        <w:pStyle w:val="ReferHead"/>
        <w:spacing w:after="0"/>
        <w:jc w:val="both"/>
        <w:rPr>
          <w:rFonts w:ascii="Arial" w:hAnsi="Arial" w:cs="Arial"/>
          <w:b w:val="0"/>
          <w:caps w:val="0"/>
          <w:sz w:val="20"/>
          <w:u w:val="single"/>
        </w:rPr>
      </w:pPr>
      <w:r>
        <w:rPr>
          <w:rFonts w:ascii="Arial" w:hAnsi="Arial" w:cs="Arial"/>
          <w:b w:val="0"/>
          <w:caps w:val="0"/>
          <w:sz w:val="20"/>
        </w:rPr>
        <w:t>Written and informed concert was obtained from the participants. Participant who concerted signed the concert form for their acceptance.</w:t>
      </w:r>
    </w:p>
    <w:p w14:paraId="3914AFEE" w14:textId="77777777" w:rsidR="00FD7E85" w:rsidRDefault="00FD7E85">
      <w:pPr>
        <w:pStyle w:val="ReferHead"/>
        <w:spacing w:after="0"/>
        <w:jc w:val="both"/>
        <w:rPr>
          <w:rFonts w:ascii="Arial" w:hAnsi="Arial" w:cs="Arial"/>
          <w:b w:val="0"/>
          <w:caps w:val="0"/>
          <w:sz w:val="20"/>
        </w:rPr>
      </w:pPr>
    </w:p>
    <w:p w14:paraId="69AE04DE" w14:textId="77777777" w:rsidR="00FD7E85" w:rsidRDefault="00FD7E85">
      <w:pPr>
        <w:pStyle w:val="ReferHead"/>
        <w:spacing w:after="0"/>
        <w:jc w:val="both"/>
        <w:rPr>
          <w:rFonts w:ascii="Arial" w:hAnsi="Arial" w:cs="Arial"/>
          <w:b w:val="0"/>
          <w:caps w:val="0"/>
          <w:sz w:val="20"/>
        </w:rPr>
      </w:pPr>
    </w:p>
    <w:p w14:paraId="53FD9675" w14:textId="77777777" w:rsidR="00FD7E85" w:rsidRDefault="00F456FA">
      <w:pPr>
        <w:pStyle w:val="ReferHead"/>
        <w:spacing w:after="0"/>
        <w:jc w:val="both"/>
        <w:rPr>
          <w:rFonts w:ascii="Arial" w:hAnsi="Arial" w:cs="Arial"/>
          <w:bCs/>
        </w:rPr>
      </w:pPr>
      <w:r>
        <w:rPr>
          <w:rFonts w:ascii="Arial" w:hAnsi="Arial" w:cs="Arial"/>
          <w:bCs/>
        </w:rPr>
        <w:t xml:space="preserve">Ethical approval </w:t>
      </w:r>
    </w:p>
    <w:p w14:paraId="4281F03A" w14:textId="77777777" w:rsidR="00FD7E85" w:rsidRDefault="00FD7E85">
      <w:pPr>
        <w:pStyle w:val="ReferHead"/>
        <w:spacing w:after="0"/>
        <w:jc w:val="both"/>
        <w:rPr>
          <w:rFonts w:ascii="Arial" w:hAnsi="Arial" w:cs="Arial"/>
          <w:bCs/>
        </w:rPr>
      </w:pPr>
    </w:p>
    <w:p w14:paraId="0DE9C63A" w14:textId="77777777" w:rsidR="00FD7E85" w:rsidRDefault="00F456FA">
      <w:pPr>
        <w:pStyle w:val="ReferHead"/>
        <w:spacing w:after="0"/>
        <w:rPr>
          <w:rFonts w:ascii="Arial" w:hAnsi="Arial" w:cs="Arial"/>
          <w:b w:val="0"/>
          <w:bCs/>
          <w:sz w:val="20"/>
        </w:rPr>
      </w:pPr>
      <w:r>
        <w:rPr>
          <w:rFonts w:ascii="Arial" w:hAnsi="Arial" w:cs="Arial"/>
          <w:b w:val="0"/>
          <w:bCs/>
          <w:caps w:val="0"/>
          <w:sz w:val="20"/>
        </w:rPr>
        <w:t xml:space="preserve">Ethical clearance approval was obtained from Kilimanjaro Ethic Committee and Kilimanjaro Medical University. Research ethical clearance certificate no. pg124/2024 was grated. </w:t>
      </w:r>
    </w:p>
    <w:p w14:paraId="5C665AC9" w14:textId="77777777" w:rsidR="00FD7E85" w:rsidRDefault="00F456FA">
      <w:pPr>
        <w:pStyle w:val="ReferHead"/>
        <w:spacing w:after="0"/>
        <w:rPr>
          <w:rFonts w:ascii="Arial" w:hAnsi="Arial" w:cs="Arial"/>
          <w:b w:val="0"/>
          <w:bCs/>
          <w:sz w:val="20"/>
        </w:rPr>
      </w:pPr>
      <w:r>
        <w:rPr>
          <w:rFonts w:ascii="Arial" w:hAnsi="Arial" w:cs="Arial"/>
          <w:b w:val="0"/>
          <w:bCs/>
          <w:caps w:val="0"/>
          <w:sz w:val="20"/>
        </w:rPr>
        <w:t>Community entry begun with permission from key authorities including Kilimanjaro Christian Medical Executive Director, Council Executive Officer, Moshi district medical officer (DMO)) and St. Joseph executive director. confidentiality, informed consent and participant welfare were prioritized. codes were used instead of writing names to assist follow up.</w:t>
      </w:r>
    </w:p>
    <w:p w14:paraId="5DB5C84E" w14:textId="77777777" w:rsidR="00FD7E85" w:rsidRDefault="00F456FA">
      <w:pPr>
        <w:pStyle w:val="ReferHead"/>
        <w:spacing w:after="0"/>
        <w:rPr>
          <w:rFonts w:ascii="Arial" w:hAnsi="Arial" w:cs="Arial"/>
          <w:b w:val="0"/>
          <w:bCs/>
          <w:caps w:val="0"/>
          <w:sz w:val="20"/>
        </w:rPr>
      </w:pPr>
      <w:r>
        <w:rPr>
          <w:rFonts w:ascii="Arial" w:hAnsi="Arial" w:cs="Arial"/>
          <w:b w:val="0"/>
          <w:bCs/>
          <w:caps w:val="0"/>
          <w:sz w:val="20"/>
        </w:rPr>
        <w:t>Confidentiality was observed by coding participants without recording names. the data sheet was stored into the computer file with limited access.</w:t>
      </w:r>
    </w:p>
    <w:p w14:paraId="21D238C5" w14:textId="77777777" w:rsidR="00FD7E85" w:rsidRDefault="00FD7E85">
      <w:pPr>
        <w:pStyle w:val="ReferHead"/>
        <w:spacing w:after="0"/>
        <w:rPr>
          <w:rFonts w:ascii="Arial" w:hAnsi="Arial" w:cs="Arial"/>
          <w:b w:val="0"/>
          <w:bCs/>
          <w:sz w:val="20"/>
        </w:rPr>
      </w:pPr>
    </w:p>
    <w:p w14:paraId="18D8AEA4" w14:textId="77777777" w:rsidR="00FD7E85" w:rsidRDefault="00F456FA">
      <w:pPr>
        <w:pStyle w:val="ReferHead"/>
        <w:jc w:val="both"/>
        <w:rPr>
          <w:rFonts w:ascii="Arial" w:hAnsi="Arial" w:cs="Arial"/>
          <w:bCs/>
        </w:rPr>
      </w:pPr>
      <w:bookmarkStart w:id="43" w:name="_Toc202869698"/>
      <w:r>
        <w:rPr>
          <w:rFonts w:ascii="Arial" w:hAnsi="Arial" w:cs="Arial"/>
          <w:bCs/>
        </w:rPr>
        <w:t xml:space="preserve">Study Limitations and </w:t>
      </w:r>
      <w:bookmarkEnd w:id="43"/>
      <w:r>
        <w:rPr>
          <w:rFonts w:ascii="Arial" w:hAnsi="Arial" w:cs="Arial"/>
          <w:bCs/>
        </w:rPr>
        <w:t>strength</w:t>
      </w:r>
    </w:p>
    <w:p w14:paraId="4BB09195" w14:textId="77777777" w:rsidR="00FD7E85" w:rsidRDefault="00F456FA">
      <w:pPr>
        <w:pStyle w:val="ReferHead"/>
        <w:jc w:val="both"/>
        <w:rPr>
          <w:rFonts w:ascii="Arial" w:hAnsi="Arial" w:cs="Arial"/>
          <w:bCs/>
        </w:rPr>
      </w:pPr>
      <w:bookmarkStart w:id="44" w:name="_Toc202869699"/>
      <w:r>
        <w:rPr>
          <w:rFonts w:ascii="Arial" w:hAnsi="Arial" w:cs="Arial"/>
          <w:bCs/>
        </w:rPr>
        <w:t>Study limitation</w:t>
      </w:r>
      <w:bookmarkEnd w:id="44"/>
    </w:p>
    <w:p w14:paraId="4FCDF052" w14:textId="77777777" w:rsidR="00FD7E85" w:rsidRDefault="00F456FA">
      <w:pPr>
        <w:pStyle w:val="ReferHead"/>
        <w:numPr>
          <w:ilvl w:val="0"/>
          <w:numId w:val="4"/>
        </w:numPr>
        <w:spacing w:after="0"/>
        <w:jc w:val="both"/>
        <w:rPr>
          <w:rFonts w:ascii="Arial" w:hAnsi="Arial" w:cs="Arial"/>
          <w:b w:val="0"/>
          <w:bCs/>
          <w:sz w:val="20"/>
        </w:rPr>
      </w:pPr>
      <w:r>
        <w:rPr>
          <w:rFonts w:ascii="Arial" w:hAnsi="Arial" w:cs="Arial"/>
          <w:b w:val="0"/>
          <w:bCs/>
          <w:caps w:val="0"/>
          <w:sz w:val="20"/>
        </w:rPr>
        <w:t>Limited sample size has reduced power to detect the associations with less prevalent variables.</w:t>
      </w:r>
    </w:p>
    <w:p w14:paraId="2A8968E9" w14:textId="77777777" w:rsidR="00FD7E85" w:rsidRDefault="00F456FA">
      <w:pPr>
        <w:pStyle w:val="ReferHead"/>
        <w:numPr>
          <w:ilvl w:val="0"/>
          <w:numId w:val="4"/>
        </w:numPr>
        <w:spacing w:after="0"/>
        <w:jc w:val="both"/>
        <w:rPr>
          <w:rFonts w:ascii="Arial" w:hAnsi="Arial" w:cs="Arial"/>
          <w:b w:val="0"/>
          <w:bCs/>
          <w:sz w:val="20"/>
        </w:rPr>
      </w:pPr>
      <w:r>
        <w:rPr>
          <w:rFonts w:ascii="Arial" w:hAnsi="Arial" w:cs="Arial"/>
          <w:b w:val="0"/>
          <w:bCs/>
          <w:caps w:val="0"/>
          <w:sz w:val="20"/>
        </w:rPr>
        <w:t>Short follow-up duration limited insight into long term neonatal outcomes</w:t>
      </w:r>
    </w:p>
    <w:p w14:paraId="748A746E" w14:textId="77777777" w:rsidR="00FD7E85" w:rsidRDefault="00F456FA">
      <w:pPr>
        <w:pStyle w:val="ReferHead"/>
        <w:numPr>
          <w:ilvl w:val="0"/>
          <w:numId w:val="4"/>
        </w:numPr>
        <w:spacing w:after="0"/>
        <w:jc w:val="both"/>
        <w:rPr>
          <w:rFonts w:ascii="Arial" w:hAnsi="Arial" w:cs="Arial"/>
          <w:b w:val="0"/>
          <w:bCs/>
          <w:sz w:val="20"/>
        </w:rPr>
      </w:pPr>
      <w:r>
        <w:rPr>
          <w:rFonts w:ascii="Arial" w:hAnsi="Arial" w:cs="Arial"/>
          <w:b w:val="0"/>
          <w:bCs/>
          <w:caps w:val="0"/>
          <w:sz w:val="20"/>
        </w:rPr>
        <w:t>lack of uniformity in calculating the burden of abnormal umbilical artery doppler ultrasound in the previous studies.</w:t>
      </w:r>
    </w:p>
    <w:p w14:paraId="7EA18C3B" w14:textId="77777777" w:rsidR="00FD7E85" w:rsidRDefault="00F456FA">
      <w:pPr>
        <w:pStyle w:val="ReferHead"/>
        <w:numPr>
          <w:ilvl w:val="0"/>
          <w:numId w:val="4"/>
        </w:numPr>
        <w:spacing w:after="0"/>
        <w:jc w:val="both"/>
        <w:rPr>
          <w:rFonts w:ascii="Arial" w:hAnsi="Arial" w:cs="Arial"/>
          <w:b w:val="0"/>
          <w:bCs/>
          <w:sz w:val="20"/>
        </w:rPr>
      </w:pPr>
      <w:r>
        <w:rPr>
          <w:rFonts w:ascii="Arial" w:hAnsi="Arial" w:cs="Arial"/>
          <w:b w:val="0"/>
          <w:bCs/>
          <w:caps w:val="0"/>
          <w:sz w:val="20"/>
        </w:rPr>
        <w:t>ultrasound be operator dependent.</w:t>
      </w:r>
    </w:p>
    <w:p w14:paraId="168D9F68" w14:textId="77777777" w:rsidR="00FD7E85" w:rsidRDefault="00F456FA">
      <w:pPr>
        <w:pStyle w:val="ReferHead"/>
        <w:jc w:val="both"/>
        <w:rPr>
          <w:rFonts w:ascii="Arial" w:hAnsi="Arial" w:cs="Arial"/>
          <w:bCs/>
        </w:rPr>
      </w:pPr>
      <w:bookmarkStart w:id="45" w:name="_Toc202869700"/>
      <w:r>
        <w:rPr>
          <w:rFonts w:ascii="Arial" w:hAnsi="Arial" w:cs="Arial"/>
          <w:bCs/>
        </w:rPr>
        <w:t>Study strength</w:t>
      </w:r>
      <w:bookmarkEnd w:id="45"/>
      <w:r>
        <w:rPr>
          <w:rFonts w:ascii="Arial" w:hAnsi="Arial" w:cs="Arial"/>
          <w:bCs/>
        </w:rPr>
        <w:t xml:space="preserve"> </w:t>
      </w:r>
    </w:p>
    <w:p w14:paraId="522928E1" w14:textId="77777777" w:rsidR="00FD7E85" w:rsidRDefault="00F456FA">
      <w:pPr>
        <w:pStyle w:val="ReferHead"/>
        <w:numPr>
          <w:ilvl w:val="0"/>
          <w:numId w:val="5"/>
        </w:numPr>
        <w:spacing w:after="0"/>
        <w:rPr>
          <w:rFonts w:ascii="Arial" w:hAnsi="Arial" w:cs="Arial"/>
          <w:b w:val="0"/>
          <w:bCs/>
          <w:sz w:val="20"/>
        </w:rPr>
      </w:pPr>
      <w:r>
        <w:rPr>
          <w:rFonts w:ascii="Arial" w:hAnsi="Arial" w:cs="Arial"/>
          <w:b w:val="0"/>
          <w:bCs/>
          <w:caps w:val="0"/>
          <w:sz w:val="20"/>
        </w:rPr>
        <w:t xml:space="preserve">This study was prospective cohort study design, enabling real-time examination of umbilical artery doppler ultrasound findings and correlating them with fetal </w:t>
      </w:r>
      <w:r>
        <w:rPr>
          <w:rFonts w:ascii="Arial" w:hAnsi="Arial" w:cs="Arial"/>
          <w:b w:val="0"/>
          <w:bCs/>
          <w:caps w:val="0"/>
          <w:sz w:val="20"/>
        </w:rPr>
        <w:lastRenderedPageBreak/>
        <w:t xml:space="preserve">outcomes. this approach allowed for a clear temporal relationship between exposure and effect, enhancing the reliability of the data collected. </w:t>
      </w:r>
    </w:p>
    <w:p w14:paraId="10122040" w14:textId="77777777" w:rsidR="00FD7E85" w:rsidRDefault="00F456FA">
      <w:pPr>
        <w:pStyle w:val="ReferHead"/>
        <w:numPr>
          <w:ilvl w:val="0"/>
          <w:numId w:val="6"/>
        </w:numPr>
        <w:spacing w:after="0"/>
        <w:rPr>
          <w:rFonts w:ascii="Arial" w:hAnsi="Arial" w:cs="Arial"/>
          <w:sz w:val="20"/>
        </w:rPr>
      </w:pPr>
      <w:r>
        <w:rPr>
          <w:rFonts w:ascii="Arial" w:hAnsi="Arial" w:cs="Arial"/>
          <w:caps w:val="0"/>
          <w:sz w:val="20"/>
        </w:rPr>
        <w:t xml:space="preserve">Prospective cohort study design allowed real time examination and data collection. </w:t>
      </w:r>
    </w:p>
    <w:p w14:paraId="226BE8EE" w14:textId="77777777" w:rsidR="00FD7E85" w:rsidRDefault="00F456FA">
      <w:pPr>
        <w:pStyle w:val="ReferHead"/>
        <w:numPr>
          <w:ilvl w:val="0"/>
          <w:numId w:val="6"/>
        </w:numPr>
        <w:spacing w:after="0"/>
        <w:rPr>
          <w:rFonts w:ascii="Arial" w:hAnsi="Arial" w:cs="Arial"/>
          <w:b w:val="0"/>
          <w:bCs/>
          <w:sz w:val="20"/>
        </w:rPr>
      </w:pPr>
      <w:r>
        <w:rPr>
          <w:rFonts w:ascii="Arial" w:hAnsi="Arial" w:cs="Arial"/>
          <w:b w:val="0"/>
          <w:bCs/>
          <w:caps w:val="0"/>
          <w:sz w:val="20"/>
        </w:rPr>
        <w:t>Standardized ultrasound protocols across participants, using consistent equipment and predefined criteria for doppler waveform abnormalities.</w:t>
      </w:r>
    </w:p>
    <w:p w14:paraId="20D3B659" w14:textId="77777777" w:rsidR="00FD7E85" w:rsidRDefault="00F456FA">
      <w:pPr>
        <w:pStyle w:val="ReferHead"/>
        <w:numPr>
          <w:ilvl w:val="0"/>
          <w:numId w:val="6"/>
        </w:numPr>
        <w:spacing w:after="0"/>
        <w:rPr>
          <w:rFonts w:ascii="Arial" w:hAnsi="Arial" w:cs="Arial"/>
          <w:b w:val="0"/>
          <w:bCs/>
        </w:rPr>
      </w:pPr>
      <w:r>
        <w:rPr>
          <w:rFonts w:ascii="Arial" w:hAnsi="Arial" w:cs="Arial"/>
          <w:b w:val="0"/>
          <w:bCs/>
          <w:caps w:val="0"/>
          <w:sz w:val="20"/>
        </w:rPr>
        <w:t>Multifacility study involving primary and tertiary facilities enhanced general understanding of the effect of blood pressure on fetal hemodynamic which can be predicted with aberration of umbilical artery doppler ultrasound flow pattern and indices.</w:t>
      </w:r>
    </w:p>
    <w:p w14:paraId="75073D89" w14:textId="77777777" w:rsidR="00FD7E85" w:rsidRDefault="00F456FA">
      <w:pPr>
        <w:pStyle w:val="ReferHead"/>
        <w:rPr>
          <w:rFonts w:ascii="Arial" w:hAnsi="Arial" w:cs="Arial"/>
          <w:bCs/>
        </w:rPr>
      </w:pPr>
      <w:bookmarkStart w:id="46" w:name="_Toc202869702"/>
      <w:r>
        <w:rPr>
          <w:rFonts w:ascii="Arial" w:hAnsi="Arial" w:cs="Arial"/>
          <w:bCs/>
        </w:rPr>
        <w:t>Recommendation</w:t>
      </w:r>
      <w:bookmarkEnd w:id="46"/>
    </w:p>
    <w:p w14:paraId="31D09C5E" w14:textId="77777777" w:rsidR="00FD7E85" w:rsidRDefault="00F456FA">
      <w:pPr>
        <w:pStyle w:val="ReferHead"/>
        <w:numPr>
          <w:ilvl w:val="0"/>
          <w:numId w:val="7"/>
        </w:numPr>
        <w:spacing w:after="0"/>
        <w:jc w:val="both"/>
        <w:rPr>
          <w:rFonts w:ascii="Arial" w:hAnsi="Arial" w:cs="Arial"/>
          <w:b w:val="0"/>
          <w:bCs/>
          <w:sz w:val="20"/>
        </w:rPr>
      </w:pPr>
      <w:r>
        <w:rPr>
          <w:rFonts w:ascii="Arial" w:hAnsi="Arial" w:cs="Arial"/>
          <w:b w:val="0"/>
          <w:bCs/>
          <w:caps w:val="0"/>
          <w:sz w:val="20"/>
        </w:rPr>
        <w:t>Umbilical artery doppler ultrasound should be utilized as one of the investigations of choice in high-risk pregnancies since it predicts fetal hemodynamic compromise and adverse fetal and maternal outcome.</w:t>
      </w:r>
    </w:p>
    <w:p w14:paraId="2B0B95B2" w14:textId="77777777" w:rsidR="00FD7E85" w:rsidRDefault="00F456FA">
      <w:pPr>
        <w:pStyle w:val="ReferHead"/>
        <w:numPr>
          <w:ilvl w:val="0"/>
          <w:numId w:val="7"/>
        </w:numPr>
        <w:spacing w:after="0"/>
        <w:jc w:val="both"/>
        <w:rPr>
          <w:rFonts w:ascii="Arial" w:hAnsi="Arial" w:cs="Arial"/>
          <w:b w:val="0"/>
          <w:bCs/>
          <w:sz w:val="20"/>
        </w:rPr>
      </w:pPr>
      <w:r>
        <w:rPr>
          <w:rFonts w:ascii="Arial" w:hAnsi="Arial" w:cs="Arial"/>
          <w:b w:val="0"/>
          <w:bCs/>
          <w:caps w:val="0"/>
          <w:sz w:val="20"/>
        </w:rPr>
        <w:t>Further research with large population is needed to investigating maternal, clinical and fetal factors associated with abnormal umbilical artery by enrolling the large population.</w:t>
      </w:r>
    </w:p>
    <w:p w14:paraId="767A9571" w14:textId="77777777" w:rsidR="00FD7E85" w:rsidRDefault="00FD7E85">
      <w:pPr>
        <w:pStyle w:val="ReferHead"/>
        <w:spacing w:after="0"/>
        <w:jc w:val="both"/>
        <w:rPr>
          <w:rFonts w:ascii="Arial" w:hAnsi="Arial" w:cs="Arial"/>
        </w:rPr>
      </w:pPr>
    </w:p>
    <w:p w14:paraId="57C410B4" w14:textId="77777777" w:rsidR="00FD7E85" w:rsidRDefault="00FD7E85">
      <w:pPr>
        <w:pStyle w:val="ReferHead"/>
        <w:spacing w:after="0"/>
        <w:jc w:val="both"/>
        <w:rPr>
          <w:rFonts w:ascii="Arial" w:hAnsi="Arial" w:cs="Arial"/>
        </w:rPr>
      </w:pPr>
    </w:p>
    <w:p w14:paraId="23EEBE8B" w14:textId="77777777" w:rsidR="00FD7E85" w:rsidRDefault="00FD7E85">
      <w:pPr>
        <w:pStyle w:val="ReferHead"/>
        <w:spacing w:after="0"/>
        <w:jc w:val="both"/>
        <w:rPr>
          <w:rFonts w:ascii="Arial" w:hAnsi="Arial" w:cs="Arial"/>
        </w:rPr>
      </w:pPr>
    </w:p>
    <w:p w14:paraId="191094DE" w14:textId="77777777" w:rsidR="00FD7E85" w:rsidRDefault="00FD7E85">
      <w:pPr>
        <w:pStyle w:val="ReferHead"/>
        <w:jc w:val="both"/>
        <w:rPr>
          <w:rFonts w:ascii="Arial" w:hAnsi="Arial" w:cs="Arial"/>
          <w:bCs/>
        </w:rPr>
      </w:pPr>
      <w:bookmarkStart w:id="47" w:name="_Toc202869638"/>
    </w:p>
    <w:p w14:paraId="2C2BCF3C" w14:textId="77777777" w:rsidR="00FD7E85" w:rsidRDefault="00FD7E85">
      <w:pPr>
        <w:pStyle w:val="ReferHead"/>
        <w:jc w:val="both"/>
        <w:rPr>
          <w:rFonts w:ascii="Arial" w:hAnsi="Arial" w:cs="Arial"/>
          <w:bCs/>
        </w:rPr>
      </w:pPr>
    </w:p>
    <w:p w14:paraId="27B9E852" w14:textId="77777777" w:rsidR="00FD7E85" w:rsidRDefault="00FD7E85">
      <w:pPr>
        <w:pStyle w:val="ReferHead"/>
        <w:jc w:val="both"/>
        <w:rPr>
          <w:rFonts w:ascii="Arial" w:hAnsi="Arial" w:cs="Arial"/>
          <w:bCs/>
        </w:rPr>
      </w:pPr>
    </w:p>
    <w:p w14:paraId="22125C1F" w14:textId="77777777" w:rsidR="00FD7E85" w:rsidRDefault="00FD7E85">
      <w:pPr>
        <w:pStyle w:val="ReferHead"/>
        <w:jc w:val="both"/>
        <w:rPr>
          <w:rFonts w:ascii="Arial" w:hAnsi="Arial" w:cs="Arial"/>
          <w:bCs/>
        </w:rPr>
      </w:pPr>
    </w:p>
    <w:p w14:paraId="3564CBEE" w14:textId="77777777" w:rsidR="00FD7E85" w:rsidRDefault="00FD7E85">
      <w:pPr>
        <w:pStyle w:val="ReferHead"/>
        <w:jc w:val="both"/>
        <w:rPr>
          <w:rFonts w:ascii="Arial" w:hAnsi="Arial" w:cs="Arial"/>
          <w:bCs/>
        </w:rPr>
      </w:pPr>
    </w:p>
    <w:p w14:paraId="76F04BEA" w14:textId="77777777" w:rsidR="00FD7E85" w:rsidRDefault="00FD7E85">
      <w:pPr>
        <w:pStyle w:val="ReferHead"/>
        <w:jc w:val="both"/>
        <w:rPr>
          <w:rFonts w:ascii="Arial" w:hAnsi="Arial" w:cs="Arial"/>
          <w:bCs/>
        </w:rPr>
      </w:pPr>
    </w:p>
    <w:p w14:paraId="7B9D43C5" w14:textId="77777777" w:rsidR="00FD7E85" w:rsidRDefault="00FD7E85">
      <w:pPr>
        <w:pStyle w:val="ReferHead"/>
        <w:jc w:val="both"/>
        <w:rPr>
          <w:rFonts w:ascii="Arial" w:hAnsi="Arial" w:cs="Arial"/>
          <w:bCs/>
        </w:rPr>
      </w:pPr>
    </w:p>
    <w:p w14:paraId="5B3DCED5" w14:textId="77777777" w:rsidR="00FD7E85" w:rsidRDefault="00FD7E85">
      <w:pPr>
        <w:pStyle w:val="ReferHead"/>
        <w:jc w:val="both"/>
        <w:rPr>
          <w:rFonts w:ascii="Arial" w:hAnsi="Arial" w:cs="Arial"/>
          <w:bCs/>
        </w:rPr>
      </w:pPr>
    </w:p>
    <w:p w14:paraId="6D349B5E" w14:textId="77777777" w:rsidR="00FD7E85" w:rsidRDefault="00FD7E85">
      <w:pPr>
        <w:pStyle w:val="ReferHead"/>
        <w:jc w:val="both"/>
        <w:rPr>
          <w:rFonts w:ascii="Arial" w:hAnsi="Arial" w:cs="Arial"/>
          <w:bCs/>
        </w:rPr>
      </w:pPr>
    </w:p>
    <w:p w14:paraId="163944C3" w14:textId="77777777" w:rsidR="00FD7E85" w:rsidRDefault="00F456FA">
      <w:pPr>
        <w:pStyle w:val="ReferHead"/>
        <w:jc w:val="both"/>
        <w:rPr>
          <w:rFonts w:ascii="Arial" w:hAnsi="Arial" w:cs="Arial"/>
          <w:bCs/>
        </w:rPr>
      </w:pPr>
      <w:r>
        <w:rPr>
          <w:rFonts w:ascii="Arial" w:hAnsi="Arial" w:cs="Arial"/>
          <w:bCs/>
        </w:rPr>
        <w:t>DEFINITION OF KEY TERMS</w:t>
      </w:r>
      <w:bookmarkEnd w:id="47"/>
    </w:p>
    <w:p w14:paraId="2E0F97A0" w14:textId="77777777" w:rsidR="00FD7E85" w:rsidRDefault="00F456FA">
      <w:pPr>
        <w:pStyle w:val="ReferHead"/>
        <w:spacing w:after="0"/>
        <w:rPr>
          <w:rFonts w:ascii="Arial" w:hAnsi="Arial" w:cs="Arial"/>
          <w:bCs/>
          <w:sz w:val="20"/>
        </w:rPr>
      </w:pPr>
      <w:r>
        <w:rPr>
          <w:rFonts w:ascii="Arial" w:hAnsi="Arial" w:cs="Arial"/>
          <w:sz w:val="20"/>
        </w:rPr>
        <w:t>PIH:</w:t>
      </w:r>
      <w:r>
        <w:rPr>
          <w:rFonts w:ascii="Arial" w:hAnsi="Arial" w:cs="Arial"/>
          <w:bCs/>
          <w:sz w:val="20"/>
        </w:rPr>
        <w:t xml:space="preserve"> </w:t>
      </w:r>
      <w:r>
        <w:rPr>
          <w:rFonts w:ascii="Arial" w:hAnsi="Arial" w:cs="Arial"/>
          <w:b w:val="0"/>
          <w:caps w:val="0"/>
          <w:sz w:val="20"/>
        </w:rPr>
        <w:t>Refers to development of high blood pressure at least 20week of gestation age in the previously normotensive pregnant woman</w:t>
      </w:r>
      <w:r>
        <w:rPr>
          <w:rFonts w:ascii="Arial" w:hAnsi="Arial" w:cs="Arial"/>
          <w:b w:val="0"/>
          <w:sz w:val="20"/>
        </w:rPr>
        <w:t>. I</w:t>
      </w:r>
      <w:r>
        <w:rPr>
          <w:rFonts w:ascii="Arial" w:hAnsi="Arial" w:cs="Arial"/>
          <w:b w:val="0"/>
          <w:caps w:val="0"/>
          <w:sz w:val="20"/>
        </w:rPr>
        <w:t>t is diagnosed when the pregnant women</w:t>
      </w:r>
      <w:r>
        <w:rPr>
          <w:rFonts w:ascii="Arial" w:hAnsi="Arial" w:cs="Arial"/>
          <w:b w:val="0"/>
          <w:sz w:val="20"/>
        </w:rPr>
        <w:t xml:space="preserve"> </w:t>
      </w:r>
      <w:r>
        <w:rPr>
          <w:rFonts w:ascii="Arial" w:hAnsi="Arial" w:cs="Arial"/>
          <w:b w:val="0"/>
          <w:caps w:val="0"/>
          <w:sz w:val="20"/>
        </w:rPr>
        <w:t xml:space="preserve">have </w:t>
      </w:r>
      <w:r>
        <w:rPr>
          <w:rFonts w:ascii="Arial" w:hAnsi="Arial" w:cs="Arial"/>
          <w:b w:val="0"/>
          <w:caps w:val="0"/>
          <w:sz w:val="20"/>
        </w:rPr>
        <w:lastRenderedPageBreak/>
        <w:t>systolic blood pressure&gt;140mmhg and diastolic blood pressure is &gt;90mmhg with or without proteinuria</w:t>
      </w:r>
    </w:p>
    <w:p w14:paraId="2738A41A" w14:textId="77777777" w:rsidR="00FD7E85" w:rsidRDefault="00F456FA">
      <w:pPr>
        <w:pStyle w:val="ReferHead"/>
        <w:spacing w:after="0"/>
        <w:rPr>
          <w:rFonts w:ascii="Arial" w:hAnsi="Arial" w:cs="Arial"/>
          <w:b w:val="0"/>
          <w:bCs/>
          <w:sz w:val="20"/>
        </w:rPr>
      </w:pPr>
      <w:r>
        <w:rPr>
          <w:rFonts w:ascii="Arial" w:hAnsi="Arial" w:cs="Arial"/>
          <w:bCs/>
          <w:sz w:val="20"/>
        </w:rPr>
        <w:t>U</w:t>
      </w:r>
      <w:r>
        <w:rPr>
          <w:rFonts w:ascii="Arial" w:hAnsi="Arial" w:cs="Arial"/>
          <w:bCs/>
          <w:caps w:val="0"/>
          <w:sz w:val="20"/>
        </w:rPr>
        <w:t>mbilical Artery Doppler Ultrasound</w:t>
      </w:r>
      <w:r>
        <w:rPr>
          <w:rFonts w:ascii="Arial" w:hAnsi="Arial" w:cs="Arial"/>
          <w:bCs/>
          <w:sz w:val="20"/>
        </w:rPr>
        <w:t>:</w:t>
      </w:r>
      <w:r>
        <w:rPr>
          <w:rFonts w:ascii="Arial" w:hAnsi="Arial" w:cs="Arial"/>
          <w:sz w:val="20"/>
        </w:rPr>
        <w:t xml:space="preserve"> </w:t>
      </w:r>
      <w:r>
        <w:rPr>
          <w:rFonts w:ascii="Arial" w:hAnsi="Arial" w:cs="Arial"/>
          <w:b w:val="0"/>
          <w:bCs/>
          <w:caps w:val="0"/>
          <w:sz w:val="20"/>
        </w:rPr>
        <w:t>Non-invasive test which employ sound waves to evaluate speed and direction of blood flow in blood vessels.</w:t>
      </w:r>
    </w:p>
    <w:p w14:paraId="42FC3E28" w14:textId="5E06AA64" w:rsidR="00FD7E85" w:rsidRDefault="00F456FA">
      <w:pPr>
        <w:pStyle w:val="ReferHead"/>
        <w:spacing w:after="0"/>
        <w:rPr>
          <w:rFonts w:ascii="Arial" w:hAnsi="Arial" w:cs="Arial"/>
          <w:bCs/>
          <w:sz w:val="20"/>
        </w:rPr>
      </w:pPr>
      <w:r>
        <w:rPr>
          <w:rFonts w:ascii="Arial" w:hAnsi="Arial" w:cs="Arial"/>
          <w:caps w:val="0"/>
          <w:sz w:val="20"/>
        </w:rPr>
        <w:t>Absent End Diastolic Flow</w:t>
      </w:r>
      <w:r>
        <w:rPr>
          <w:rFonts w:ascii="Arial" w:hAnsi="Arial" w:cs="Arial"/>
          <w:sz w:val="20"/>
        </w:rPr>
        <w:t xml:space="preserve">: </w:t>
      </w:r>
      <w:r>
        <w:rPr>
          <w:rFonts w:ascii="Arial" w:hAnsi="Arial" w:cs="Arial"/>
          <w:bCs/>
          <w:sz w:val="20"/>
        </w:rPr>
        <w:t>R</w:t>
      </w:r>
      <w:r>
        <w:rPr>
          <w:rFonts w:ascii="Arial" w:hAnsi="Arial" w:cs="Arial"/>
          <w:b w:val="0"/>
          <w:caps w:val="0"/>
          <w:sz w:val="20"/>
        </w:rPr>
        <w:t>efers to the absence of diastolic flow component signifying increased flow resistance in the fetal umbilical artery</w:t>
      </w:r>
      <w:r>
        <w:rPr>
          <w:rFonts w:ascii="Arial" w:hAnsi="Arial" w:cs="Arial"/>
          <w:b w:val="0"/>
          <w:sz w:val="20"/>
        </w:rPr>
        <w:fldChar w:fldCharType="begin" w:fldLock="1"/>
      </w:r>
      <w:r w:rsidR="00AE4489">
        <w:rPr>
          <w:rFonts w:ascii="Arial" w:hAnsi="Arial" w:cs="Arial"/>
          <w:b w:val="0"/>
          <w:sz w:val="20"/>
        </w:rPr>
        <w:instrText>ADDIN CSL_CITATION {"citationItems":[{"id":"ITEM-1","itemData":{"DOI":"10.1055/s-0042-1743097","ISBN":"0042174309","ISSN":"01007203","PMID":"35405757","abstract":"Objective To provide a survey of relevant literature on umbilical artery Doppler ultrasound use in clinical practice, technical considerations and limitations, and future perspectives. Methods Literature searches were conducted in PubMed and Medline, restricted to articles written in English. Additionally, the references of all analyzed studies were searched to obtain necessary information. Results The use of this technique as a routine surveillance method is only recommended for high-risk pregnancies with impaired placentation. Meta-analyses of randomized trials have established that obstetric management guided by umbilical artery Doppler findings can improve perinatal mortality and morbidity. The values of the indices of Umbilical artery Doppler decrease with advancing gestational age; however, a lack of consensus on reference ranges prevails. Conclusion Important clinical decisions are based on the information obtained with umbilical artery Doppler ultrasound. Future efforts in research are imperative to overcome the current limitations of the technique.","author":[{"dropping-particle":"","family":"Rocha","given":"Ana Sá","non-dropping-particle":"","parse-names":false,"suffix":""},{"dropping-particle":"","family":"Andrade","given":"Ana Rosa Araújo","non-dropping-particle":"","parse-names":false,"suffix":""},{"dropping-particle":"","family":"Moleiro","given":"Maria Lúcia","non-dropping-particle":"","parse-names":false,"suffix":""},{"dropping-particle":"","family":"Guedes-Martins","given":"Luís","non-dropping-particle":"","parse-names":false,"suffix":""}],"container-title":"Revista Brasileira de Ginecologia e Obstetricia","id":"ITEM-1","issue":"5","issued":{"date-parts":[["2022"]]},"page":"519-531","title":"Doppler Ultrasound of the Umbilical Artery: Clinical Application","type":"article-journal","volume":"44"},"uris":["http://www.mendeley.com/documents/?uuid=782b896b-ce8d-4aa6-b359-d8d7406f08f7"]}],"mendeley":{"formattedCitation":"(Rocha &lt;i&gt;et al.&lt;/i&gt;, 2022)","plainTextFormattedCitation":"(Rocha et al., 2022)","previouslyFormattedCitation":"(Rocha &lt;i&gt;et al.&lt;/i&gt;, 2022)"},"properties":{"noteIndex":0},"schema":"https://github.com/citation-style-language/schema/raw/master/csl-citation.json"}</w:instrText>
      </w:r>
      <w:r>
        <w:rPr>
          <w:rFonts w:ascii="Arial" w:hAnsi="Arial" w:cs="Arial"/>
          <w:b w:val="0"/>
          <w:sz w:val="20"/>
        </w:rPr>
        <w:fldChar w:fldCharType="separate"/>
      </w:r>
      <w:r w:rsidRPr="00AE4489">
        <w:rPr>
          <w:rFonts w:ascii="Arial" w:hAnsi="Arial" w:cs="Arial"/>
          <w:b w:val="0"/>
          <w:caps w:val="0"/>
          <w:noProof/>
          <w:sz w:val="20"/>
        </w:rPr>
        <w:t xml:space="preserve">(Rocha </w:t>
      </w:r>
      <w:r w:rsidRPr="00AE4489">
        <w:rPr>
          <w:rFonts w:ascii="Arial" w:hAnsi="Arial" w:cs="Arial"/>
          <w:b w:val="0"/>
          <w:i/>
          <w:caps w:val="0"/>
          <w:noProof/>
          <w:sz w:val="20"/>
        </w:rPr>
        <w:t>et al.</w:t>
      </w:r>
      <w:r w:rsidRPr="00AE4489">
        <w:rPr>
          <w:rFonts w:ascii="Arial" w:hAnsi="Arial" w:cs="Arial"/>
          <w:b w:val="0"/>
          <w:caps w:val="0"/>
          <w:noProof/>
          <w:sz w:val="20"/>
        </w:rPr>
        <w:t>, 2022)</w:t>
      </w:r>
      <w:r>
        <w:rPr>
          <w:rFonts w:ascii="Arial" w:hAnsi="Arial" w:cs="Arial"/>
          <w:b w:val="0"/>
          <w:sz w:val="20"/>
        </w:rPr>
        <w:fldChar w:fldCharType="end"/>
      </w:r>
    </w:p>
    <w:p w14:paraId="61E94DA9" w14:textId="4C17A6B2" w:rsidR="00FD7E85" w:rsidRDefault="00F456FA">
      <w:pPr>
        <w:pStyle w:val="ReferHead"/>
        <w:spacing w:after="0"/>
        <w:rPr>
          <w:rFonts w:ascii="Arial" w:hAnsi="Arial" w:cs="Arial"/>
          <w:b w:val="0"/>
          <w:sz w:val="20"/>
        </w:rPr>
      </w:pPr>
      <w:r>
        <w:rPr>
          <w:rFonts w:ascii="Arial" w:hAnsi="Arial" w:cs="Arial"/>
          <w:caps w:val="0"/>
          <w:sz w:val="20"/>
        </w:rPr>
        <w:t>Reversed End diastolic Flow</w:t>
      </w:r>
      <w:r>
        <w:rPr>
          <w:rFonts w:ascii="Arial" w:hAnsi="Arial" w:cs="Arial"/>
          <w:bCs/>
          <w:sz w:val="20"/>
        </w:rPr>
        <w:t xml:space="preserve">: </w:t>
      </w:r>
      <w:r>
        <w:rPr>
          <w:rFonts w:ascii="Arial" w:hAnsi="Arial" w:cs="Arial"/>
          <w:b w:val="0"/>
          <w:caps w:val="0"/>
          <w:sz w:val="20"/>
        </w:rPr>
        <w:t>refers to loss of normal forward flow during diastolic phase of umbilical flow pattern attributed with increased flow resistance in the fetal umbilical artery</w:t>
      </w:r>
      <w:r>
        <w:rPr>
          <w:rFonts w:ascii="Arial" w:hAnsi="Arial" w:cs="Arial"/>
          <w:b w:val="0"/>
          <w:sz w:val="20"/>
        </w:rPr>
        <w:fldChar w:fldCharType="begin" w:fldLock="1"/>
      </w:r>
      <w:r w:rsidR="00AE4489">
        <w:rPr>
          <w:rFonts w:ascii="Arial" w:hAnsi="Arial" w:cs="Arial"/>
          <w:b w:val="0"/>
          <w:sz w:val="20"/>
        </w:rPr>
        <w:instrText>ADDIN CSL_CITATION {"citationItems":[{"id":"ITEM-1","itemData":{"DOI":"10.1055/s-0042-1743097","ISBN":"0042174309","ISSN":"01007203","PMID":"35405757","abstract":"Objective To provide a survey of relevant literature on umbilical artery Doppler ultrasound use in clinical practice, technical considerations and limitations, and future perspectives. Methods Literature searches were conducted in PubMed and Medline, restricted to articles written in English. Additionally, the references of all analyzed studies were searched to obtain necessary information. Results The use of this technique as a routine surveillance method is only recommended for high-risk pregnancies with impaired placentation. Meta-analyses of randomized trials have established that obstetric management guided by umbilical artery Doppler findings can improve perinatal mortality and morbidity. The values of the indices of Umbilical artery Doppler decrease with advancing gestational age; however, a lack of consensus on reference ranges prevails. Conclusion Important clinical decisions are based on the information obtained with umbilical artery Doppler ultrasound. Future efforts in research are imperative to overcome the current limitations of the technique.","author":[{"dropping-particle":"","family":"Rocha","given":"Ana Sá","non-dropping-particle":"","parse-names":false,"suffix":""},{"dropping-particle":"","family":"Andrade","given":"Ana Rosa Araújo","non-dropping-particle":"","parse-names":false,"suffix":""},{"dropping-particle":"","family":"Moleiro","given":"Maria Lúcia","non-dropping-particle":"","parse-names":false,"suffix":""},{"dropping-particle":"","family":"Guedes-Martins","given":"Luís","non-dropping-particle":"","parse-names":false,"suffix":""}],"container-title":"Revista Brasileira de Ginecologia e Obstetricia","id":"ITEM-1","issue":"5","issued":{"date-parts":[["2022"]]},"page":"519-531","title":"Doppler Ultrasound of the Umbilical Artery: Clinical Application","type":"article-journal","volume":"44"},"uris":["http://www.mendeley.com/documents/?uuid=782b896b-ce8d-4aa6-b359-d8d7406f08f7"]}],"mendeley":{"formattedCitation":"(Rocha &lt;i&gt;et al.&lt;/i&gt;, 2022)","plainTextFormattedCitation":"(Rocha et al., 2022)","previouslyFormattedCitation":"(Rocha &lt;i&gt;et al.&lt;/i&gt;, 2022)"},"properties":{"noteIndex":0},"schema":"https://github.com/citation-style-language/schema/raw/master/csl-citation.json"}</w:instrText>
      </w:r>
      <w:r>
        <w:rPr>
          <w:rFonts w:ascii="Arial" w:hAnsi="Arial" w:cs="Arial"/>
          <w:b w:val="0"/>
          <w:sz w:val="20"/>
        </w:rPr>
        <w:fldChar w:fldCharType="separate"/>
      </w:r>
      <w:r w:rsidRPr="00AE4489">
        <w:rPr>
          <w:rFonts w:ascii="Arial" w:hAnsi="Arial" w:cs="Arial"/>
          <w:b w:val="0"/>
          <w:caps w:val="0"/>
          <w:noProof/>
          <w:sz w:val="20"/>
        </w:rPr>
        <w:t xml:space="preserve">(Rocha </w:t>
      </w:r>
      <w:r w:rsidRPr="00AE4489">
        <w:rPr>
          <w:rFonts w:ascii="Arial" w:hAnsi="Arial" w:cs="Arial"/>
          <w:b w:val="0"/>
          <w:i/>
          <w:caps w:val="0"/>
          <w:noProof/>
          <w:sz w:val="20"/>
        </w:rPr>
        <w:t>et al.</w:t>
      </w:r>
      <w:r w:rsidRPr="00AE4489">
        <w:rPr>
          <w:rFonts w:ascii="Arial" w:hAnsi="Arial" w:cs="Arial"/>
          <w:b w:val="0"/>
          <w:caps w:val="0"/>
          <w:noProof/>
          <w:sz w:val="20"/>
        </w:rPr>
        <w:t>, 2022)</w:t>
      </w:r>
      <w:r>
        <w:rPr>
          <w:rFonts w:ascii="Arial" w:hAnsi="Arial" w:cs="Arial"/>
          <w:b w:val="0"/>
          <w:sz w:val="20"/>
        </w:rPr>
        <w:fldChar w:fldCharType="end"/>
      </w:r>
      <w:r>
        <w:rPr>
          <w:rFonts w:ascii="Arial" w:hAnsi="Arial" w:cs="Arial"/>
          <w:b w:val="0"/>
          <w:sz w:val="20"/>
        </w:rPr>
        <w:t>.</w:t>
      </w:r>
    </w:p>
    <w:p w14:paraId="4262D2DB" w14:textId="33C57537" w:rsidR="00634DDF" w:rsidRDefault="00634DDF">
      <w:pPr>
        <w:pStyle w:val="ReferHead"/>
        <w:spacing w:after="0"/>
        <w:rPr>
          <w:rFonts w:ascii="Arial" w:hAnsi="Arial" w:cs="Arial"/>
          <w:b w:val="0"/>
          <w:sz w:val="20"/>
        </w:rPr>
      </w:pPr>
    </w:p>
    <w:p w14:paraId="217DF23F" w14:textId="77777777" w:rsidR="00634DDF" w:rsidRPr="00005ED1" w:rsidRDefault="00634DDF" w:rsidP="00634DDF">
      <w:pPr>
        <w:pStyle w:val="NoSpacing"/>
        <w:rPr>
          <w:rFonts w:ascii="Arial" w:hAnsi="Arial" w:cs="Arial"/>
          <w:highlight w:val="yellow"/>
        </w:rPr>
      </w:pPr>
      <w:bookmarkStart w:id="48" w:name="_Hlk198031404"/>
      <w:r w:rsidRPr="00005ED1">
        <w:rPr>
          <w:rFonts w:ascii="Arial" w:hAnsi="Arial" w:cs="Arial"/>
          <w:highlight w:val="yellow"/>
        </w:rPr>
        <w:t>Disclaimer (Artificial intelligence)</w:t>
      </w:r>
    </w:p>
    <w:p w14:paraId="77C31C4C" w14:textId="77777777" w:rsidR="00634DDF" w:rsidRPr="00005ED1" w:rsidRDefault="00634DDF" w:rsidP="00634DDF">
      <w:pPr>
        <w:pStyle w:val="NoSpacing"/>
        <w:rPr>
          <w:rFonts w:ascii="Arial" w:hAnsi="Arial" w:cs="Arial"/>
          <w:highlight w:val="yellow"/>
        </w:rPr>
      </w:pPr>
    </w:p>
    <w:p w14:paraId="13217F68" w14:textId="77777777" w:rsidR="00634DDF" w:rsidRPr="00005ED1" w:rsidRDefault="00634DDF" w:rsidP="00634DDF">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48"/>
    <w:p w14:paraId="07216C8F" w14:textId="77777777" w:rsidR="00634DDF" w:rsidRDefault="00634DDF" w:rsidP="00634DDF">
      <w:pPr>
        <w:pStyle w:val="NoSpacing"/>
        <w:rPr>
          <w:rFonts w:ascii="Arial" w:hAnsi="Arial" w:cs="Arial"/>
        </w:rPr>
      </w:pPr>
    </w:p>
    <w:p w14:paraId="284E7122" w14:textId="77777777" w:rsidR="00634DDF" w:rsidRDefault="00634DDF" w:rsidP="00634DDF">
      <w:pPr>
        <w:pStyle w:val="NoSpacing"/>
        <w:rPr>
          <w:rFonts w:ascii="Arial" w:hAnsi="Arial" w:cs="Arial"/>
        </w:rPr>
      </w:pPr>
    </w:p>
    <w:p w14:paraId="6456EE41" w14:textId="77777777" w:rsidR="00634DDF" w:rsidRPr="00005ED1" w:rsidRDefault="00634DDF" w:rsidP="00634DDF">
      <w:pPr>
        <w:pStyle w:val="NoSpacing"/>
        <w:rPr>
          <w:rFonts w:ascii="Arial" w:hAnsi="Arial" w:cs="Arial"/>
        </w:rPr>
      </w:pPr>
    </w:p>
    <w:p w14:paraId="392E8D95" w14:textId="77777777" w:rsidR="00634DDF" w:rsidRDefault="00634DDF">
      <w:pPr>
        <w:pStyle w:val="ReferHead"/>
        <w:spacing w:after="0"/>
        <w:rPr>
          <w:rFonts w:ascii="Arial" w:hAnsi="Arial" w:cs="Arial"/>
          <w:b w:val="0"/>
          <w:sz w:val="20"/>
        </w:rPr>
      </w:pPr>
    </w:p>
    <w:p w14:paraId="4E553106" w14:textId="77777777" w:rsidR="00FD7E85" w:rsidRDefault="00FD7E85">
      <w:pPr>
        <w:pStyle w:val="ReferHead"/>
        <w:spacing w:after="0"/>
        <w:jc w:val="both"/>
        <w:rPr>
          <w:rFonts w:ascii="Arial" w:hAnsi="Arial" w:cs="Arial"/>
        </w:rPr>
      </w:pPr>
    </w:p>
    <w:p w14:paraId="35468AD9" w14:textId="77777777" w:rsidR="00FD7E85" w:rsidRDefault="00F456FA">
      <w:pPr>
        <w:pStyle w:val="ReferHead"/>
        <w:spacing w:after="0"/>
        <w:jc w:val="both"/>
        <w:rPr>
          <w:rFonts w:ascii="Arial" w:hAnsi="Arial" w:cs="Arial"/>
        </w:rPr>
      </w:pPr>
      <w:r>
        <w:rPr>
          <w:rFonts w:ascii="Arial" w:hAnsi="Arial" w:cs="Arial"/>
        </w:rPr>
        <w:t>References</w:t>
      </w:r>
    </w:p>
    <w:p w14:paraId="002BBCF6" w14:textId="02C03BE8" w:rsidR="00AE4489" w:rsidRPr="008741D3" w:rsidRDefault="00F456FA"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eastAsia="Calibri" w:hAnsi="Arial" w:cs="Arial"/>
        </w:rPr>
        <w:t xml:space="preserve"> </w:t>
      </w:r>
      <w:r>
        <w:rPr>
          <w:rFonts w:ascii="Arial" w:eastAsia="Calibri" w:hAnsi="Arial" w:cs="Arial"/>
        </w:rPr>
        <w:fldChar w:fldCharType="begin" w:fldLock="1"/>
      </w:r>
      <w:r w:rsidRPr="008741D3">
        <w:rPr>
          <w:rFonts w:ascii="Arial" w:eastAsia="Calibri" w:hAnsi="Arial" w:cs="Arial"/>
        </w:rPr>
        <w:instrText xml:space="preserve">ADDIN Mendeley Bibliography CSL_BIBLIOGRAPHY </w:instrText>
      </w:r>
      <w:r>
        <w:rPr>
          <w:rFonts w:ascii="Arial" w:eastAsia="Calibri" w:hAnsi="Arial" w:cs="Arial"/>
        </w:rPr>
        <w:fldChar w:fldCharType="separate"/>
      </w:r>
      <w:r w:rsidR="00AE4489" w:rsidRPr="008741D3">
        <w:rPr>
          <w:rFonts w:ascii="Arial" w:hAnsi="Arial" w:cs="Arial"/>
          <w:noProof/>
        </w:rPr>
        <w:t xml:space="preserve">Agarwal, R. </w:t>
      </w:r>
      <w:r w:rsidR="00AE4489" w:rsidRPr="008741D3">
        <w:rPr>
          <w:rFonts w:ascii="Arial" w:hAnsi="Arial" w:cs="Arial"/>
          <w:i/>
          <w:iCs/>
          <w:noProof/>
        </w:rPr>
        <w:t>et al.</w:t>
      </w:r>
      <w:r w:rsidR="00AE4489" w:rsidRPr="008741D3">
        <w:rPr>
          <w:rFonts w:ascii="Arial" w:hAnsi="Arial" w:cs="Arial"/>
          <w:noProof/>
        </w:rPr>
        <w:t xml:space="preserve"> (2017) “Abnormal umbilical artery Doppler velocimetry and placental histopathological correlation in fetal growth restriction,” 23(1), pp. 12–16. Available at: https://doi.org/10.7196/SAJOG.2017.v23i1.1109.</w:t>
      </w:r>
    </w:p>
    <w:p w14:paraId="28FCD2F4" w14:textId="77777777" w:rsidR="00AE4489" w:rsidRPr="008741D3"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t xml:space="preserve">Estimation, C.M. and Gaigbe-togbe, V. (2020) </w:t>
      </w:r>
      <w:r w:rsidRPr="008741D3">
        <w:rPr>
          <w:rFonts w:ascii="Arial" w:hAnsi="Arial" w:cs="Arial"/>
          <w:i/>
          <w:iCs/>
          <w:noProof/>
        </w:rPr>
        <w:t>The global burden of stillbirths</w:t>
      </w:r>
      <w:r w:rsidRPr="008741D3">
        <w:rPr>
          <w:rFonts w:ascii="Arial" w:hAnsi="Arial" w:cs="Arial"/>
          <w:noProof/>
        </w:rPr>
        <w:t>.</w:t>
      </w:r>
    </w:p>
    <w:p w14:paraId="0635AD38" w14:textId="77777777" w:rsidR="00AE4489" w:rsidRPr="008741D3"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t xml:space="preserve">Gimei, P. </w:t>
      </w:r>
      <w:r w:rsidRPr="008741D3">
        <w:rPr>
          <w:rFonts w:ascii="Arial" w:hAnsi="Arial" w:cs="Arial"/>
          <w:i/>
          <w:iCs/>
          <w:noProof/>
        </w:rPr>
        <w:t>et al.</w:t>
      </w:r>
      <w:r w:rsidRPr="008741D3">
        <w:rPr>
          <w:rFonts w:ascii="Arial" w:hAnsi="Arial" w:cs="Arial"/>
          <w:noProof/>
        </w:rPr>
        <w:t xml:space="preserve"> (2017) “Umbilical artery doppler abnormalities and associated factors in women with pre-eclampsia at Mulago Hospital- a cross sectional study,” </w:t>
      </w:r>
      <w:r w:rsidRPr="008741D3">
        <w:rPr>
          <w:rFonts w:ascii="Arial" w:hAnsi="Arial" w:cs="Arial"/>
          <w:i/>
          <w:iCs/>
          <w:noProof/>
        </w:rPr>
        <w:t>East African Medical Journal</w:t>
      </w:r>
      <w:r w:rsidRPr="008741D3">
        <w:rPr>
          <w:rFonts w:ascii="Arial" w:hAnsi="Arial" w:cs="Arial"/>
          <w:noProof/>
        </w:rPr>
        <w:t>, 94(5), pp. 344–352.</w:t>
      </w:r>
    </w:p>
    <w:p w14:paraId="5442DF49" w14:textId="77777777" w:rsidR="00AE4489" w:rsidRPr="008741D3"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t>Guideline, P. (2010) “Factors Associated with Perinatal Mortality :,” 2(April), pp. 49–51.</w:t>
      </w:r>
    </w:p>
    <w:p w14:paraId="247CD83A" w14:textId="77777777" w:rsidR="00AE4489" w:rsidRPr="008741D3"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t xml:space="preserve">Al Hamayel, N.A. </w:t>
      </w:r>
      <w:r w:rsidRPr="008741D3">
        <w:rPr>
          <w:rFonts w:ascii="Arial" w:hAnsi="Arial" w:cs="Arial"/>
          <w:i/>
          <w:iCs/>
          <w:noProof/>
        </w:rPr>
        <w:t>et al.</w:t>
      </w:r>
      <w:r w:rsidRPr="008741D3">
        <w:rPr>
          <w:rFonts w:ascii="Arial" w:hAnsi="Arial" w:cs="Arial"/>
          <w:noProof/>
        </w:rPr>
        <w:t xml:space="preserve"> (2020) “Significance of abnormal umbilical artery Doppler studies in normally grown fetuses,” </w:t>
      </w:r>
      <w:r w:rsidRPr="008741D3">
        <w:rPr>
          <w:rFonts w:ascii="Arial" w:hAnsi="Arial" w:cs="Arial"/>
          <w:i/>
          <w:iCs/>
          <w:noProof/>
        </w:rPr>
        <w:t>Maternal Health, Neonatology and Perinatology</w:t>
      </w:r>
      <w:r w:rsidRPr="008741D3">
        <w:rPr>
          <w:rFonts w:ascii="Arial" w:hAnsi="Arial" w:cs="Arial"/>
          <w:noProof/>
        </w:rPr>
        <w:t>, 6(1), pp. 1–7. Available at: https://doi.org/10.1186/s40748-020-0115-7.</w:t>
      </w:r>
    </w:p>
    <w:p w14:paraId="647FE157" w14:textId="77777777" w:rsidR="00AE4489" w:rsidRPr="008741D3"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t xml:space="preserve">Hlongwane, T.M.A.G. </w:t>
      </w:r>
      <w:r w:rsidRPr="008741D3">
        <w:rPr>
          <w:rFonts w:ascii="Arial" w:hAnsi="Arial" w:cs="Arial"/>
          <w:i/>
          <w:iCs/>
          <w:noProof/>
        </w:rPr>
        <w:t>et al.</w:t>
      </w:r>
      <w:r w:rsidRPr="008741D3">
        <w:rPr>
          <w:rFonts w:ascii="Arial" w:hAnsi="Arial" w:cs="Arial"/>
          <w:noProof/>
        </w:rPr>
        <w:t xml:space="preserve"> (2021) “The prevalence of abnormal Doppler’s of the umbilical artery in a low-risk pregnant population in South Africa,” </w:t>
      </w:r>
      <w:r w:rsidRPr="008741D3">
        <w:rPr>
          <w:rFonts w:ascii="Arial" w:hAnsi="Arial" w:cs="Arial"/>
          <w:i/>
          <w:iCs/>
          <w:noProof/>
        </w:rPr>
        <w:t>EClinicalMedicine</w:t>
      </w:r>
      <w:r w:rsidRPr="008741D3">
        <w:rPr>
          <w:rFonts w:ascii="Arial" w:hAnsi="Arial" w:cs="Arial"/>
          <w:noProof/>
        </w:rPr>
        <w:t>, 34, p. 100792. Available at: https://doi.org/10.1016/j.eclinm.2021.100792.</w:t>
      </w:r>
    </w:p>
    <w:p w14:paraId="18F4B042" w14:textId="77777777" w:rsidR="00AE4489" w:rsidRPr="008741D3"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t xml:space="preserve">Hug, L. </w:t>
      </w:r>
      <w:r w:rsidRPr="008741D3">
        <w:rPr>
          <w:rFonts w:ascii="Arial" w:hAnsi="Arial" w:cs="Arial"/>
          <w:i/>
          <w:iCs/>
          <w:noProof/>
        </w:rPr>
        <w:t>et al.</w:t>
      </w:r>
      <w:r w:rsidRPr="008741D3">
        <w:rPr>
          <w:rFonts w:ascii="Arial" w:hAnsi="Arial" w:cs="Arial"/>
          <w:noProof/>
        </w:rPr>
        <w:t xml:space="preserve"> (2021) “Global , regional , and national estimates and trends in stillbirths from 2000 to 2019 : a systematic assessment,” </w:t>
      </w:r>
      <w:r w:rsidRPr="008741D3">
        <w:rPr>
          <w:rFonts w:ascii="Arial" w:hAnsi="Arial" w:cs="Arial"/>
          <w:i/>
          <w:iCs/>
          <w:noProof/>
        </w:rPr>
        <w:t>The Lancet</w:t>
      </w:r>
      <w:r w:rsidRPr="008741D3">
        <w:rPr>
          <w:rFonts w:ascii="Arial" w:hAnsi="Arial" w:cs="Arial"/>
          <w:noProof/>
        </w:rPr>
        <w:t>, 398(10302), pp. 772–785. Available at: https://doi.org/10.1016/S0140-6736(21)01112-0.</w:t>
      </w:r>
    </w:p>
    <w:p w14:paraId="7E1A8BCB" w14:textId="77777777" w:rsidR="00AE4489" w:rsidRPr="008741D3"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t xml:space="preserve">Irowa, O., Hameed, M., </w:t>
      </w:r>
      <w:r w:rsidRPr="008741D3">
        <w:rPr>
          <w:rFonts w:ascii="Arial" w:hAnsi="Arial" w:cs="Arial"/>
          <w:i/>
          <w:iCs/>
          <w:noProof/>
        </w:rPr>
        <w:t>et al.</w:t>
      </w:r>
      <w:r w:rsidRPr="008741D3">
        <w:rPr>
          <w:rFonts w:ascii="Arial" w:hAnsi="Arial" w:cs="Arial"/>
          <w:noProof/>
        </w:rPr>
        <w:t xml:space="preserve"> (2023) “The role of umbilical artery doppler indices in predicting perinatal outcome in preeclampsia,” 11(2), pp. 465–470.</w:t>
      </w:r>
    </w:p>
    <w:p w14:paraId="5B71F74F" w14:textId="77777777" w:rsidR="00AE4489" w:rsidRPr="008741D3"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t xml:space="preserve">Irowa, O., Mohammad Hameed, </w:t>
      </w:r>
      <w:r w:rsidRPr="008741D3">
        <w:rPr>
          <w:rFonts w:ascii="Arial" w:hAnsi="Arial" w:cs="Arial"/>
          <w:i/>
          <w:iCs/>
          <w:noProof/>
        </w:rPr>
        <w:t>et al.</w:t>
      </w:r>
      <w:r w:rsidRPr="008741D3">
        <w:rPr>
          <w:rFonts w:ascii="Arial" w:hAnsi="Arial" w:cs="Arial"/>
          <w:noProof/>
        </w:rPr>
        <w:t xml:space="preserve"> (2023) “The role of umbilical artery doppler </w:t>
      </w:r>
      <w:r w:rsidRPr="008741D3">
        <w:rPr>
          <w:rFonts w:ascii="Arial" w:hAnsi="Arial" w:cs="Arial"/>
          <w:noProof/>
        </w:rPr>
        <w:lastRenderedPageBreak/>
        <w:t xml:space="preserve">indices in predicting perinatal outcome in preeclampsia,” </w:t>
      </w:r>
      <w:r w:rsidRPr="008741D3">
        <w:rPr>
          <w:rFonts w:ascii="Arial" w:hAnsi="Arial" w:cs="Arial"/>
          <w:i/>
          <w:iCs/>
          <w:noProof/>
        </w:rPr>
        <w:t>International Journal of Research in Medical Sciences</w:t>
      </w:r>
      <w:r w:rsidRPr="008741D3">
        <w:rPr>
          <w:rFonts w:ascii="Arial" w:hAnsi="Arial" w:cs="Arial"/>
          <w:noProof/>
        </w:rPr>
        <w:t>, 11(2), pp. 465–470. Available at: https://doi.org/10.18203/2320-6012.ijrms20230154.</w:t>
      </w:r>
    </w:p>
    <w:p w14:paraId="3E29889C" w14:textId="77777777" w:rsidR="00AE4489" w:rsidRPr="008741D3"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t xml:space="preserve">Jaleta, D.D., Gebremedhin, T. and Jebena, M.G. (2021) “Perinatal outcomes of women with hypertensive disorders of pregnancy in Jimma Medical Center, southwest Ethiopia: Retrospective cohort study,” </w:t>
      </w:r>
      <w:r w:rsidRPr="008741D3">
        <w:rPr>
          <w:rFonts w:ascii="Arial" w:hAnsi="Arial" w:cs="Arial"/>
          <w:i/>
          <w:iCs/>
          <w:noProof/>
        </w:rPr>
        <w:t>PLoS ONE</w:t>
      </w:r>
      <w:r w:rsidRPr="008741D3">
        <w:rPr>
          <w:rFonts w:ascii="Arial" w:hAnsi="Arial" w:cs="Arial"/>
          <w:noProof/>
        </w:rPr>
        <w:t>, 16(8 August), pp. 1–13. Available at: https://doi.org/10.1371/journal.pone.0256520.</w:t>
      </w:r>
    </w:p>
    <w:p w14:paraId="5A6AACA0" w14:textId="77777777" w:rsidR="00AE4489" w:rsidRPr="008741D3"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t>Komuhangi, P., Byanyima, R.K. and Nakisige, C. (2013) “Umbilical artery doppler flow patterns in high-risk pregnancy and foetal outcome in Mulago hospital,” 2(9), pp. 554–561.</w:t>
      </w:r>
    </w:p>
    <w:p w14:paraId="496D5BCD" w14:textId="77777777" w:rsidR="00AE4489" w:rsidRPr="008741D3"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t>Machano, M.M. and Joho, A.A. (2020) “Prevalence and risk factors associated with severe pre-eclampsia among postpartum women in Zanzibar : a cross-sectional study,” pp. 1–10.</w:t>
      </w:r>
    </w:p>
    <w:p w14:paraId="0367B3F9" w14:textId="77777777" w:rsidR="00AE4489" w:rsidRPr="008741D3"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t xml:space="preserve">Magwe, E.A. (2024) “Prevalence and Factors Associated with High Blood Pressure Among Pregnant Women Attending Antenatal Care in Iringa Municipality, Tanzania,” </w:t>
      </w:r>
      <w:r w:rsidRPr="008741D3">
        <w:rPr>
          <w:rFonts w:ascii="Arial" w:hAnsi="Arial" w:cs="Arial"/>
          <w:i/>
          <w:iCs/>
          <w:noProof/>
        </w:rPr>
        <w:t>Zagazig University Medical Journal</w:t>
      </w:r>
      <w:r w:rsidRPr="008741D3">
        <w:rPr>
          <w:rFonts w:ascii="Arial" w:hAnsi="Arial" w:cs="Arial"/>
          <w:noProof/>
        </w:rPr>
        <w:t>, (February), pp. 0–0. Available at: https://doi.org/10.21608/zumj.2024.341005.3714.</w:t>
      </w:r>
    </w:p>
    <w:p w14:paraId="3C700B88" w14:textId="77777777" w:rsidR="00AE4489" w:rsidRPr="008741D3"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t>Mahajan, K.S., Dewani, D. and Duragkar, S. (2023a) “Umbilical Artery Doppler Indices in Hypertensive Disorders of Pregnancy : Impact on Fetal Outcomes,” 15(12). Available at: https://doi.org/10.7759/cureus.50876.</w:t>
      </w:r>
    </w:p>
    <w:p w14:paraId="31774376" w14:textId="77777777" w:rsidR="00AE4489" w:rsidRPr="008741D3"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t xml:space="preserve">Mahajan, K.S., Dewani, D. and Duragkar, S. (2023b) “Umbilical Artery Doppler Indices in Hypertensive Disorders of Pregnancy: Impact on Fetal Outcomes,” </w:t>
      </w:r>
      <w:r w:rsidRPr="008741D3">
        <w:rPr>
          <w:rFonts w:ascii="Arial" w:hAnsi="Arial" w:cs="Arial"/>
          <w:i/>
          <w:iCs/>
          <w:noProof/>
        </w:rPr>
        <w:t>Cureus</w:t>
      </w:r>
      <w:r w:rsidRPr="008741D3">
        <w:rPr>
          <w:rFonts w:ascii="Arial" w:hAnsi="Arial" w:cs="Arial"/>
          <w:noProof/>
        </w:rPr>
        <w:t>, 15(12). Available at: https://doi.org/10.7759/cureus.50876.</w:t>
      </w:r>
    </w:p>
    <w:p w14:paraId="4763E4A7" w14:textId="77777777" w:rsidR="00AE4489" w:rsidRPr="008741D3"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t xml:space="preserve">Mamah, J.E. </w:t>
      </w:r>
      <w:r w:rsidRPr="008741D3">
        <w:rPr>
          <w:rFonts w:ascii="Arial" w:hAnsi="Arial" w:cs="Arial"/>
          <w:i/>
          <w:iCs/>
          <w:noProof/>
        </w:rPr>
        <w:t>et al.</w:t>
      </w:r>
      <w:r w:rsidRPr="008741D3">
        <w:rPr>
          <w:rFonts w:ascii="Arial" w:hAnsi="Arial" w:cs="Arial"/>
          <w:noProof/>
        </w:rPr>
        <w:t xml:space="preserve"> (2023) “Fetal Umbilical Artery Velocimetry Indices and Pregnancy Outcome Among Preeclamptic Women at the Federal Teaching Hospital , Abakaliki , Southeast Nigeria,” 08(09), pp. 10–12.</w:t>
      </w:r>
    </w:p>
    <w:p w14:paraId="5E47ABE4" w14:textId="77777777" w:rsidR="00AE4489" w:rsidRPr="008741D3"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t>Merina, G. and Ramesh, P. (2019) “O R I G I N A L A RTICL E Study of abnormal umbilical artery doppler and neonatal outcome,” 10(5), pp. 2–5. Available at: https://doi.org/10.3126/ajms.v10i5.25135.</w:t>
      </w:r>
    </w:p>
    <w:p w14:paraId="7E9A1FC4" w14:textId="77777777" w:rsidR="00AE4489" w:rsidRPr="008741D3"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t xml:space="preserve">Pembe, A.B. </w:t>
      </w:r>
      <w:r w:rsidRPr="008741D3">
        <w:rPr>
          <w:rFonts w:ascii="Arial" w:hAnsi="Arial" w:cs="Arial"/>
          <w:i/>
          <w:iCs/>
          <w:noProof/>
        </w:rPr>
        <w:t>et al.</w:t>
      </w:r>
      <w:r w:rsidRPr="008741D3">
        <w:rPr>
          <w:rFonts w:ascii="Arial" w:hAnsi="Arial" w:cs="Arial"/>
          <w:noProof/>
        </w:rPr>
        <w:t xml:space="preserve"> (2025) “Hypertensive disorders of pregnancy and perinatal outcomes: Two prospective cohort studies of nulliparous women in India and Tanzania,” </w:t>
      </w:r>
      <w:r w:rsidRPr="008741D3">
        <w:rPr>
          <w:rFonts w:ascii="Arial" w:hAnsi="Arial" w:cs="Arial"/>
          <w:i/>
          <w:iCs/>
          <w:noProof/>
        </w:rPr>
        <w:t>BMJ Global Health</w:t>
      </w:r>
      <w:r w:rsidRPr="008741D3">
        <w:rPr>
          <w:rFonts w:ascii="Arial" w:hAnsi="Arial" w:cs="Arial"/>
          <w:noProof/>
        </w:rPr>
        <w:t>, 10(7), pp. 1–10. Available at: https://doi.org/10.1136/bmjgh-2024-016339.</w:t>
      </w:r>
    </w:p>
    <w:p w14:paraId="79C1AF84" w14:textId="77777777" w:rsidR="00AE4489" w:rsidRPr="008741D3"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t xml:space="preserve">Qu, H. and Khalil, R.A. (2020) “Vascular mechanisms and molecular targets in hypertensive pregnancy and preeclampsia,” </w:t>
      </w:r>
      <w:r w:rsidRPr="008741D3">
        <w:rPr>
          <w:rFonts w:ascii="Arial" w:hAnsi="Arial" w:cs="Arial"/>
          <w:i/>
          <w:iCs/>
          <w:noProof/>
        </w:rPr>
        <w:t>American Journal of Physiology - Heart and Circulatory Physiology</w:t>
      </w:r>
      <w:r w:rsidRPr="008741D3">
        <w:rPr>
          <w:rFonts w:ascii="Arial" w:hAnsi="Arial" w:cs="Arial"/>
          <w:noProof/>
        </w:rPr>
        <w:t xml:space="preserve">, 319(3), pp. H661–H681. Available at: </w:t>
      </w:r>
      <w:r w:rsidRPr="008741D3">
        <w:rPr>
          <w:rFonts w:ascii="Arial" w:hAnsi="Arial" w:cs="Arial"/>
          <w:noProof/>
        </w:rPr>
        <w:lastRenderedPageBreak/>
        <w:t>https://doi.org/10.1152/ajpheart.00202.2020.</w:t>
      </w:r>
    </w:p>
    <w:p w14:paraId="16774AF9" w14:textId="77777777" w:rsidR="00AE4489" w:rsidRPr="008741D3"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t xml:space="preserve">R., S. and Rodrigo, M.R. (2019) “A prospective study on the role of umbilical artery doppler velocimetry in the perinatal outcome of growth restricted fetuses,” </w:t>
      </w:r>
      <w:r w:rsidRPr="008741D3">
        <w:rPr>
          <w:rFonts w:ascii="Arial" w:hAnsi="Arial" w:cs="Arial"/>
          <w:i/>
          <w:iCs/>
          <w:noProof/>
        </w:rPr>
        <w:t>International Journal of Reproduction, Contraception, Obstetrics and Gynecology</w:t>
      </w:r>
      <w:r w:rsidRPr="008741D3">
        <w:rPr>
          <w:rFonts w:ascii="Arial" w:hAnsi="Arial" w:cs="Arial"/>
          <w:noProof/>
        </w:rPr>
        <w:t>, 8(12), p. 4930. Available at: https://doi.org/10.18203/2320-1770.ijrcog20195347.</w:t>
      </w:r>
    </w:p>
    <w:p w14:paraId="7983FB36" w14:textId="77777777" w:rsidR="00AE4489" w:rsidRPr="008741D3"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t xml:space="preserve">Rai, L. and Lekshmi, S. (2010) “Value of Third Trimester Uterine Artery Doppler in High-risk Pregnancies for Prediction of Adverse Perinatal Outcome,” </w:t>
      </w:r>
      <w:r w:rsidRPr="008741D3">
        <w:rPr>
          <w:rFonts w:ascii="Arial" w:hAnsi="Arial" w:cs="Arial"/>
          <w:i/>
          <w:iCs/>
          <w:noProof/>
        </w:rPr>
        <w:t>Journal of South Asian Federation of Obstetrics and Gynaecology</w:t>
      </w:r>
      <w:r w:rsidRPr="008741D3">
        <w:rPr>
          <w:rFonts w:ascii="Arial" w:hAnsi="Arial" w:cs="Arial"/>
          <w:noProof/>
        </w:rPr>
        <w:t>, 2(1), pp. 31–35. Available at: https://doi.org/10.5005/jp-journals-10006-1056.</w:t>
      </w:r>
    </w:p>
    <w:p w14:paraId="57492EC4" w14:textId="77777777" w:rsidR="00AE4489" w:rsidRPr="008741D3"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t>Rani, A.P., Saraswathi, K. and Vani, K. (2021) “Correlation Between the Doppler Study with Fetal Outcome and Analysis of the Association of Abnormal Doppler Velocimetry in Perinatal Outcome,” 9(5), pp. 156–169.</w:t>
      </w:r>
    </w:p>
    <w:p w14:paraId="2D9401A0" w14:textId="77777777" w:rsidR="00AE4489" w:rsidRPr="008741D3"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t xml:space="preserve">Rocha, A.S. </w:t>
      </w:r>
      <w:r w:rsidRPr="008741D3">
        <w:rPr>
          <w:rFonts w:ascii="Arial" w:hAnsi="Arial" w:cs="Arial"/>
          <w:i/>
          <w:iCs/>
          <w:noProof/>
        </w:rPr>
        <w:t>et al.</w:t>
      </w:r>
      <w:r w:rsidRPr="008741D3">
        <w:rPr>
          <w:rFonts w:ascii="Arial" w:hAnsi="Arial" w:cs="Arial"/>
          <w:noProof/>
        </w:rPr>
        <w:t xml:space="preserve"> (2022) “Doppler Ultrasound of the Umbilical Artery: Clinical Application,” </w:t>
      </w:r>
      <w:r w:rsidRPr="008741D3">
        <w:rPr>
          <w:rFonts w:ascii="Arial" w:hAnsi="Arial" w:cs="Arial"/>
          <w:i/>
          <w:iCs/>
          <w:noProof/>
        </w:rPr>
        <w:t>Revista Brasileira de Ginecologia e Obstetricia</w:t>
      </w:r>
      <w:r w:rsidRPr="008741D3">
        <w:rPr>
          <w:rFonts w:ascii="Arial" w:hAnsi="Arial" w:cs="Arial"/>
          <w:noProof/>
        </w:rPr>
        <w:t>, 44(5), pp. 519–531. Available at: https://doi.org/10.1055/s-0042-1743097.</w:t>
      </w:r>
    </w:p>
    <w:p w14:paraId="220F2A99" w14:textId="77777777" w:rsidR="00AE4489" w:rsidRPr="008741D3"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t xml:space="preserve">Sasi, N. </w:t>
      </w:r>
      <w:r w:rsidRPr="008741D3">
        <w:rPr>
          <w:rFonts w:ascii="Arial" w:hAnsi="Arial" w:cs="Arial"/>
          <w:i/>
          <w:iCs/>
          <w:noProof/>
        </w:rPr>
        <w:t>et al.</w:t>
      </w:r>
      <w:r w:rsidRPr="008741D3">
        <w:rPr>
          <w:rFonts w:ascii="Arial" w:hAnsi="Arial" w:cs="Arial"/>
          <w:noProof/>
        </w:rPr>
        <w:t xml:space="preserve"> (2022) “Neonatal outcome of abnormal versus normal antenatal Doppler in high-risk pregnancies,” 9(5), pp. 466–472.</w:t>
      </w:r>
    </w:p>
    <w:p w14:paraId="3AE1F065" w14:textId="77777777" w:rsidR="00AE4489" w:rsidRPr="008741D3"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t xml:space="preserve">Shahzad, N. </w:t>
      </w:r>
      <w:r w:rsidRPr="008741D3">
        <w:rPr>
          <w:rFonts w:ascii="Arial" w:hAnsi="Arial" w:cs="Arial"/>
          <w:i/>
          <w:iCs/>
          <w:noProof/>
        </w:rPr>
        <w:t>et al.</w:t>
      </w:r>
      <w:r w:rsidRPr="008741D3">
        <w:rPr>
          <w:rFonts w:ascii="Arial" w:hAnsi="Arial" w:cs="Arial"/>
          <w:noProof/>
        </w:rPr>
        <w:t xml:space="preserve"> (2018) “Efficacy of umbilical artery doppler for the prediction of perinatal outcome in pre-ecalmpsia,” </w:t>
      </w:r>
      <w:r w:rsidRPr="008741D3">
        <w:rPr>
          <w:rFonts w:ascii="Arial" w:hAnsi="Arial" w:cs="Arial"/>
          <w:i/>
          <w:iCs/>
          <w:noProof/>
        </w:rPr>
        <w:t>Pakistan Journal of Medical and Health Sciences</w:t>
      </w:r>
      <w:r w:rsidRPr="008741D3">
        <w:rPr>
          <w:rFonts w:ascii="Arial" w:hAnsi="Arial" w:cs="Arial"/>
          <w:noProof/>
        </w:rPr>
        <w:t>, 12(4), pp. 1342–1344.</w:t>
      </w:r>
    </w:p>
    <w:p w14:paraId="08D0311B" w14:textId="77777777" w:rsidR="00AE4489" w:rsidRPr="008741D3"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t>Sharma, P., Gyawali, M. and Sd, G. (2020) “Role of Umbilical Artery Doppler in Predicting Intrauterine Growth Restriction and Foetal Outcome in Pregnant Ladies with Pregnancy Induced Hypertension,” (March 2018), pp. 2–8. Available at: https://doi.org/10.3126/njr.v7i1-2.19350.</w:t>
      </w:r>
    </w:p>
    <w:p w14:paraId="35F88731" w14:textId="77777777" w:rsidR="00AE4489" w:rsidRPr="008741D3"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t xml:space="preserve">Shenoy, H.T., Shenoy, S. and James, S.X. (2019) “Doppler patterns in growth restricted foetuses: determinants and outcome in a tertiary hospital in South Kerala, India,” </w:t>
      </w:r>
      <w:r w:rsidRPr="008741D3">
        <w:rPr>
          <w:rFonts w:ascii="Arial" w:hAnsi="Arial" w:cs="Arial"/>
          <w:i/>
          <w:iCs/>
          <w:noProof/>
        </w:rPr>
        <w:t>International Journal of Reproduction, Contraception, Obstetrics and Gynecology</w:t>
      </w:r>
      <w:r w:rsidRPr="008741D3">
        <w:rPr>
          <w:rFonts w:ascii="Arial" w:hAnsi="Arial" w:cs="Arial"/>
          <w:noProof/>
        </w:rPr>
        <w:t>, 8(2), p. 453. Available at: https://doi.org/10.18203/2320-1770.ijrcog20190267.</w:t>
      </w:r>
    </w:p>
    <w:p w14:paraId="1A6726FD" w14:textId="77777777" w:rsidR="00AE4489" w:rsidRPr="008741D3"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t>Sumathi, R., Rodrigo, M.R. and Rodrigo, M.R. (2019) “Original Research Article A prospective study on the role of umbilical artery doppler velocimetry in the perinatal outcome of growth restricted fetuses,” 8(12), pp. 4930–4938.</w:t>
      </w:r>
    </w:p>
    <w:p w14:paraId="024F76A1" w14:textId="77777777" w:rsidR="00AE4489" w:rsidRPr="008741D3"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t xml:space="preserve">TDHS (2022) “Demographic and Health Survey and Malaria Indicator Survey,” </w:t>
      </w:r>
      <w:r w:rsidRPr="008741D3">
        <w:rPr>
          <w:rFonts w:ascii="Arial" w:hAnsi="Arial" w:cs="Arial"/>
          <w:i/>
          <w:iCs/>
          <w:noProof/>
        </w:rPr>
        <w:t>Paper Knowledge . Toward a Media History of Documents</w:t>
      </w:r>
      <w:r w:rsidRPr="008741D3">
        <w:rPr>
          <w:rFonts w:ascii="Arial" w:hAnsi="Arial" w:cs="Arial"/>
          <w:noProof/>
        </w:rPr>
        <w:t>, pp. 1–23.</w:t>
      </w:r>
    </w:p>
    <w:p w14:paraId="3D86B33D" w14:textId="77777777" w:rsidR="00AE4489" w:rsidRPr="008741D3"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t xml:space="preserve">UN DESA (2023) “SDGs Report 2023,” </w:t>
      </w:r>
      <w:r w:rsidRPr="008741D3">
        <w:rPr>
          <w:rFonts w:ascii="Arial" w:hAnsi="Arial" w:cs="Arial"/>
          <w:i/>
          <w:iCs/>
          <w:noProof/>
        </w:rPr>
        <w:t>The Sustainable development Goals Report 2023: Special Edition</w:t>
      </w:r>
      <w:r w:rsidRPr="008741D3">
        <w:rPr>
          <w:rFonts w:ascii="Arial" w:hAnsi="Arial" w:cs="Arial"/>
          <w:noProof/>
        </w:rPr>
        <w:t>, p. 80. Available at: https://unstats.un.org/sdgs/report/2023/.</w:t>
      </w:r>
    </w:p>
    <w:p w14:paraId="73970034" w14:textId="77777777" w:rsidR="00AE4489" w:rsidRPr="008741D3"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lastRenderedPageBreak/>
        <w:t xml:space="preserve">Vannevel, V., Vogel, Joshua P, </w:t>
      </w:r>
      <w:r w:rsidRPr="008741D3">
        <w:rPr>
          <w:rFonts w:ascii="Arial" w:hAnsi="Arial" w:cs="Arial"/>
          <w:i/>
          <w:iCs/>
          <w:noProof/>
        </w:rPr>
        <w:t>et al.</w:t>
      </w:r>
      <w:r w:rsidRPr="008741D3">
        <w:rPr>
          <w:rFonts w:ascii="Arial" w:hAnsi="Arial" w:cs="Arial"/>
          <w:noProof/>
        </w:rPr>
        <w:t xml:space="preserve"> (2022) “Antenatal Doppler screening for fetuses at risk of adverse outcomes : a multicountry cohort study of the prevalence of abnormal resistance index in low- ­ risk pregnant women,” pp. 1–10. Available at: https://doi.org/10.1136/bmjopen-2021-053622.</w:t>
      </w:r>
    </w:p>
    <w:p w14:paraId="02EFC1F5" w14:textId="77777777" w:rsidR="00AE4489" w:rsidRPr="008741D3"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t xml:space="preserve">Vannevel, V., Vogel, Joshua P., </w:t>
      </w:r>
      <w:r w:rsidRPr="008741D3">
        <w:rPr>
          <w:rFonts w:ascii="Arial" w:hAnsi="Arial" w:cs="Arial"/>
          <w:i/>
          <w:iCs/>
          <w:noProof/>
        </w:rPr>
        <w:t>et al.</w:t>
      </w:r>
      <w:r w:rsidRPr="008741D3">
        <w:rPr>
          <w:rFonts w:ascii="Arial" w:hAnsi="Arial" w:cs="Arial"/>
          <w:noProof/>
        </w:rPr>
        <w:t xml:space="preserve"> (2022) “Antenatal Doppler screening for fetuses at risk of adverse outcomes: a multicountry cohort study of the prevalence of abnormal resistance index in low-risk pregnant women,” </w:t>
      </w:r>
      <w:r w:rsidRPr="008741D3">
        <w:rPr>
          <w:rFonts w:ascii="Arial" w:hAnsi="Arial" w:cs="Arial"/>
          <w:i/>
          <w:iCs/>
          <w:noProof/>
        </w:rPr>
        <w:t>BMJ open</w:t>
      </w:r>
      <w:r w:rsidRPr="008741D3">
        <w:rPr>
          <w:rFonts w:ascii="Arial" w:hAnsi="Arial" w:cs="Arial"/>
          <w:noProof/>
        </w:rPr>
        <w:t>, 12(3), p. e053622. Available at: https://doi.org/10.1136/bmjopen-2021-053622.</w:t>
      </w:r>
    </w:p>
    <w:p w14:paraId="42F0793E" w14:textId="77777777" w:rsidR="00AE4489" w:rsidRPr="008741D3"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t xml:space="preserve">Vogel, J.P. </w:t>
      </w:r>
      <w:r w:rsidRPr="008741D3">
        <w:rPr>
          <w:rFonts w:ascii="Arial" w:hAnsi="Arial" w:cs="Arial"/>
          <w:i/>
          <w:iCs/>
          <w:noProof/>
        </w:rPr>
        <w:t>et al.</w:t>
      </w:r>
      <w:r w:rsidRPr="008741D3">
        <w:rPr>
          <w:rFonts w:ascii="Arial" w:hAnsi="Arial" w:cs="Arial"/>
          <w:noProof/>
        </w:rPr>
        <w:t xml:space="preserve"> (2021) “Prevalence of abnormal umbilical arterial flow on Doppler ultrasound in low-risk and unselected pregnant women: a systematic review,” </w:t>
      </w:r>
      <w:r w:rsidRPr="008741D3">
        <w:rPr>
          <w:rFonts w:ascii="Arial" w:hAnsi="Arial" w:cs="Arial"/>
          <w:i/>
          <w:iCs/>
          <w:noProof/>
        </w:rPr>
        <w:t>Reproductive Health</w:t>
      </w:r>
      <w:r w:rsidRPr="008741D3">
        <w:rPr>
          <w:rFonts w:ascii="Arial" w:hAnsi="Arial" w:cs="Arial"/>
          <w:noProof/>
        </w:rPr>
        <w:t>, 18(1), pp. 1–7. Available at: https://doi.org/10.1186/s12978-021-01088-w.</w:t>
      </w:r>
    </w:p>
    <w:p w14:paraId="1E6823EF" w14:textId="77777777" w:rsidR="00AE4489" w:rsidRPr="008741D3"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t xml:space="preserve">Wang, W. </w:t>
      </w:r>
      <w:r w:rsidRPr="008741D3">
        <w:rPr>
          <w:rFonts w:ascii="Arial" w:hAnsi="Arial" w:cs="Arial"/>
          <w:i/>
          <w:iCs/>
          <w:noProof/>
        </w:rPr>
        <w:t>et al.</w:t>
      </w:r>
      <w:r w:rsidRPr="008741D3">
        <w:rPr>
          <w:rFonts w:ascii="Arial" w:hAnsi="Arial" w:cs="Arial"/>
          <w:noProof/>
        </w:rPr>
        <w:t xml:space="preserve"> (2021) “Epidemiological trends of maternal hypertensive disorders of pregnancy at the global , regional , and national levels : a population </w:t>
      </w:r>
      <w:r w:rsidRPr="008741D3">
        <w:rPr>
          <w:rFonts w:ascii="Cambria Math" w:hAnsi="Cambria Math" w:cs="Cambria Math"/>
          <w:noProof/>
        </w:rPr>
        <w:t>‐</w:t>
      </w:r>
      <w:r w:rsidRPr="008741D3">
        <w:rPr>
          <w:rFonts w:ascii="Arial" w:hAnsi="Arial" w:cs="Arial"/>
          <w:noProof/>
        </w:rPr>
        <w:t xml:space="preserve"> based study,” 2, pp. 1–10.</w:t>
      </w:r>
    </w:p>
    <w:p w14:paraId="1C373B3A" w14:textId="6B523A00" w:rsidR="00AE4489" w:rsidRDefault="00AE4489" w:rsidP="008741D3">
      <w:pPr>
        <w:pStyle w:val="ListParagraph"/>
        <w:widowControl w:val="0"/>
        <w:numPr>
          <w:ilvl w:val="0"/>
          <w:numId w:val="8"/>
        </w:numPr>
        <w:autoSpaceDE w:val="0"/>
        <w:autoSpaceDN w:val="0"/>
        <w:adjustRightInd w:val="0"/>
        <w:spacing w:after="160" w:line="360" w:lineRule="auto"/>
        <w:rPr>
          <w:rFonts w:ascii="Arial" w:hAnsi="Arial" w:cs="Arial"/>
          <w:noProof/>
        </w:rPr>
      </w:pPr>
      <w:r w:rsidRPr="008741D3">
        <w:rPr>
          <w:rFonts w:ascii="Arial" w:hAnsi="Arial" w:cs="Arial"/>
          <w:noProof/>
        </w:rPr>
        <w:t>Yadufashije, C. and Samuel, R. (2017) “Factors Associated with Perinatal Mortality in Africa,” (September). Available at: https://doi.org/10.2139/ssrn.3034972.</w:t>
      </w:r>
    </w:p>
    <w:p w14:paraId="4C87F295" w14:textId="582D8A35" w:rsidR="00007D3B" w:rsidRDefault="00007D3B" w:rsidP="00007D3B">
      <w:pPr>
        <w:widowControl w:val="0"/>
        <w:autoSpaceDE w:val="0"/>
        <w:autoSpaceDN w:val="0"/>
        <w:adjustRightInd w:val="0"/>
        <w:spacing w:after="160" w:line="360" w:lineRule="auto"/>
        <w:rPr>
          <w:rFonts w:ascii="Arial" w:hAnsi="Arial" w:cs="Arial"/>
          <w:noProof/>
        </w:rPr>
      </w:pPr>
    </w:p>
    <w:p w14:paraId="492F9284" w14:textId="77777777" w:rsidR="00007D3B" w:rsidRDefault="00007D3B" w:rsidP="00007D3B">
      <w:pPr>
        <w:pStyle w:val="ReferHead"/>
        <w:jc w:val="both"/>
        <w:rPr>
          <w:rFonts w:ascii="Arial" w:hAnsi="Arial" w:cs="Arial"/>
          <w:b w:val="0"/>
        </w:rPr>
      </w:pPr>
      <w:bookmarkStart w:id="49" w:name="_Toc202869637"/>
      <w:r>
        <w:rPr>
          <w:rFonts w:ascii="Arial" w:hAnsi="Arial" w:cs="Arial"/>
          <w:bCs/>
        </w:rPr>
        <w:t>LIST OF ABBREVIATIONS</w:t>
      </w:r>
      <w:bookmarkEnd w:id="49"/>
    </w:p>
    <w:p w14:paraId="4114A20D" w14:textId="77777777" w:rsidR="00007D3B" w:rsidRDefault="00007D3B" w:rsidP="00007D3B">
      <w:pPr>
        <w:pStyle w:val="ReferHead"/>
        <w:spacing w:after="0"/>
        <w:rPr>
          <w:rFonts w:ascii="Arial" w:hAnsi="Arial" w:cs="Arial"/>
          <w:b w:val="0"/>
          <w:sz w:val="20"/>
        </w:rPr>
      </w:pPr>
      <w:r>
        <w:rPr>
          <w:rFonts w:ascii="Arial" w:hAnsi="Arial" w:cs="Arial"/>
          <w:b w:val="0"/>
          <w:sz w:val="20"/>
        </w:rPr>
        <w:t xml:space="preserve">AEDF </w:t>
      </w:r>
      <w:r>
        <w:rPr>
          <w:rFonts w:ascii="Arial" w:hAnsi="Arial" w:cs="Arial"/>
          <w:b w:val="0"/>
          <w:sz w:val="20"/>
        </w:rPr>
        <w:tab/>
      </w:r>
      <w:r>
        <w:rPr>
          <w:rFonts w:ascii="Arial" w:hAnsi="Arial" w:cs="Arial"/>
          <w:b w:val="0"/>
          <w:sz w:val="20"/>
        </w:rPr>
        <w:tab/>
      </w:r>
      <w:r>
        <w:rPr>
          <w:rFonts w:ascii="Arial" w:hAnsi="Arial" w:cs="Arial"/>
          <w:b w:val="0"/>
          <w:sz w:val="20"/>
        </w:rPr>
        <w:tab/>
      </w:r>
      <w:r>
        <w:rPr>
          <w:rFonts w:ascii="Arial" w:hAnsi="Arial" w:cs="Arial"/>
          <w:b w:val="0"/>
          <w:caps w:val="0"/>
          <w:sz w:val="20"/>
        </w:rPr>
        <w:t>Absent End Diastolic Flow</w:t>
      </w:r>
      <w:bookmarkStart w:id="50" w:name="_GoBack"/>
      <w:bookmarkEnd w:id="50"/>
    </w:p>
    <w:p w14:paraId="4F99AD3B" w14:textId="77777777" w:rsidR="00007D3B" w:rsidRDefault="00007D3B" w:rsidP="00007D3B">
      <w:pPr>
        <w:pStyle w:val="ReferHead"/>
        <w:spacing w:after="0"/>
        <w:rPr>
          <w:rFonts w:ascii="Arial" w:hAnsi="Arial" w:cs="Arial"/>
          <w:b w:val="0"/>
          <w:sz w:val="20"/>
        </w:rPr>
      </w:pPr>
      <w:r>
        <w:rPr>
          <w:rFonts w:ascii="Arial" w:hAnsi="Arial" w:cs="Arial"/>
          <w:b w:val="0"/>
          <w:sz w:val="20"/>
        </w:rPr>
        <w:t>AGA</w:t>
      </w:r>
      <w:r>
        <w:rPr>
          <w:rFonts w:ascii="Arial" w:hAnsi="Arial" w:cs="Arial"/>
          <w:b w:val="0"/>
          <w:sz w:val="20"/>
        </w:rPr>
        <w:tab/>
      </w:r>
      <w:r>
        <w:rPr>
          <w:rFonts w:ascii="Arial" w:hAnsi="Arial" w:cs="Arial"/>
          <w:b w:val="0"/>
          <w:sz w:val="20"/>
        </w:rPr>
        <w:tab/>
      </w:r>
      <w:r>
        <w:rPr>
          <w:rFonts w:ascii="Arial" w:hAnsi="Arial" w:cs="Arial"/>
          <w:b w:val="0"/>
          <w:sz w:val="20"/>
        </w:rPr>
        <w:tab/>
      </w:r>
      <w:r>
        <w:rPr>
          <w:rFonts w:ascii="Arial" w:hAnsi="Arial" w:cs="Arial"/>
          <w:b w:val="0"/>
          <w:caps w:val="0"/>
          <w:sz w:val="20"/>
        </w:rPr>
        <w:t>Appropriate for gestation age</w:t>
      </w:r>
    </w:p>
    <w:p w14:paraId="55978879" w14:textId="77777777" w:rsidR="00007D3B" w:rsidRDefault="00007D3B" w:rsidP="00007D3B">
      <w:pPr>
        <w:pStyle w:val="ReferHead"/>
        <w:spacing w:after="0"/>
        <w:rPr>
          <w:rFonts w:ascii="Arial" w:hAnsi="Arial" w:cs="Arial"/>
          <w:b w:val="0"/>
          <w:sz w:val="20"/>
        </w:rPr>
      </w:pPr>
      <w:r>
        <w:rPr>
          <w:rFonts w:ascii="Arial" w:hAnsi="Arial" w:cs="Arial"/>
          <w:b w:val="0"/>
          <w:sz w:val="20"/>
        </w:rPr>
        <w:t>ANC</w:t>
      </w:r>
      <w:r>
        <w:rPr>
          <w:rFonts w:ascii="Arial" w:hAnsi="Arial" w:cs="Arial"/>
          <w:b w:val="0"/>
          <w:sz w:val="20"/>
        </w:rPr>
        <w:tab/>
      </w:r>
      <w:r>
        <w:rPr>
          <w:rFonts w:ascii="Arial" w:hAnsi="Arial" w:cs="Arial"/>
          <w:b w:val="0"/>
          <w:sz w:val="20"/>
        </w:rPr>
        <w:tab/>
      </w:r>
      <w:r>
        <w:rPr>
          <w:rFonts w:ascii="Arial" w:hAnsi="Arial" w:cs="Arial"/>
          <w:b w:val="0"/>
          <w:sz w:val="20"/>
        </w:rPr>
        <w:tab/>
      </w:r>
      <w:r>
        <w:rPr>
          <w:rFonts w:ascii="Arial" w:hAnsi="Arial" w:cs="Arial"/>
          <w:b w:val="0"/>
          <w:caps w:val="0"/>
          <w:sz w:val="20"/>
        </w:rPr>
        <w:t>Antenatal Care</w:t>
      </w:r>
    </w:p>
    <w:p w14:paraId="315B7435" w14:textId="77777777" w:rsidR="00007D3B" w:rsidRDefault="00007D3B" w:rsidP="00007D3B">
      <w:pPr>
        <w:pStyle w:val="ReferHead"/>
        <w:spacing w:after="0"/>
        <w:ind w:left="2160" w:hanging="2160"/>
        <w:rPr>
          <w:rFonts w:ascii="Arial" w:hAnsi="Arial" w:cs="Arial"/>
          <w:b w:val="0"/>
          <w:sz w:val="20"/>
        </w:rPr>
      </w:pPr>
      <w:r>
        <w:rPr>
          <w:rFonts w:ascii="Arial" w:hAnsi="Arial" w:cs="Arial"/>
          <w:b w:val="0"/>
          <w:sz w:val="20"/>
        </w:rPr>
        <w:t xml:space="preserve">APGAR SCORE </w:t>
      </w:r>
      <w:r>
        <w:rPr>
          <w:rFonts w:ascii="Arial" w:hAnsi="Arial" w:cs="Arial"/>
          <w:b w:val="0"/>
          <w:sz w:val="20"/>
        </w:rPr>
        <w:tab/>
      </w:r>
      <w:r>
        <w:rPr>
          <w:rFonts w:ascii="Arial" w:hAnsi="Arial" w:cs="Arial"/>
          <w:b w:val="0"/>
          <w:caps w:val="0"/>
          <w:sz w:val="20"/>
        </w:rPr>
        <w:t>Appearance, Pulse, Grimace, Activity, Respiration</w:t>
      </w:r>
    </w:p>
    <w:p w14:paraId="1C85DE76" w14:textId="77777777" w:rsidR="00007D3B" w:rsidRDefault="00007D3B" w:rsidP="00007D3B">
      <w:pPr>
        <w:pStyle w:val="ReferHead"/>
        <w:spacing w:after="0"/>
        <w:rPr>
          <w:rFonts w:ascii="Arial" w:hAnsi="Arial" w:cs="Arial"/>
          <w:b w:val="0"/>
          <w:sz w:val="20"/>
        </w:rPr>
      </w:pPr>
      <w:r>
        <w:rPr>
          <w:rFonts w:ascii="Arial" w:hAnsi="Arial" w:cs="Arial"/>
          <w:b w:val="0"/>
          <w:sz w:val="20"/>
        </w:rPr>
        <w:t>CDC</w:t>
      </w:r>
      <w:r>
        <w:rPr>
          <w:rFonts w:ascii="Arial" w:hAnsi="Arial" w:cs="Arial"/>
          <w:b w:val="0"/>
          <w:sz w:val="20"/>
        </w:rPr>
        <w:tab/>
      </w:r>
      <w:r>
        <w:rPr>
          <w:rFonts w:ascii="Arial" w:hAnsi="Arial" w:cs="Arial"/>
          <w:b w:val="0"/>
          <w:sz w:val="20"/>
        </w:rPr>
        <w:tab/>
      </w:r>
      <w:r>
        <w:rPr>
          <w:rFonts w:ascii="Arial" w:hAnsi="Arial" w:cs="Arial"/>
          <w:b w:val="0"/>
          <w:sz w:val="20"/>
        </w:rPr>
        <w:tab/>
      </w:r>
      <w:r>
        <w:rPr>
          <w:rFonts w:ascii="Arial" w:hAnsi="Arial" w:cs="Arial"/>
          <w:b w:val="0"/>
          <w:caps w:val="0"/>
          <w:sz w:val="20"/>
        </w:rPr>
        <w:t>Center of Disease Control</w:t>
      </w:r>
    </w:p>
    <w:p w14:paraId="56B41A1A" w14:textId="77777777" w:rsidR="00007D3B" w:rsidRDefault="00007D3B" w:rsidP="00007D3B">
      <w:pPr>
        <w:pStyle w:val="ReferHead"/>
        <w:spacing w:after="0"/>
        <w:rPr>
          <w:rFonts w:ascii="Arial" w:hAnsi="Arial" w:cs="Arial"/>
          <w:b w:val="0"/>
          <w:sz w:val="20"/>
        </w:rPr>
      </w:pPr>
      <w:r>
        <w:rPr>
          <w:rFonts w:ascii="Arial" w:hAnsi="Arial" w:cs="Arial"/>
          <w:b w:val="0"/>
          <w:sz w:val="20"/>
        </w:rPr>
        <w:t>EDV</w:t>
      </w:r>
      <w:r>
        <w:rPr>
          <w:rFonts w:ascii="Arial" w:hAnsi="Arial" w:cs="Arial"/>
          <w:b w:val="0"/>
          <w:sz w:val="20"/>
        </w:rPr>
        <w:tab/>
      </w:r>
      <w:r>
        <w:rPr>
          <w:rFonts w:ascii="Arial" w:hAnsi="Arial" w:cs="Arial"/>
          <w:b w:val="0"/>
          <w:sz w:val="20"/>
        </w:rPr>
        <w:tab/>
      </w:r>
      <w:r>
        <w:rPr>
          <w:rFonts w:ascii="Arial" w:hAnsi="Arial" w:cs="Arial"/>
          <w:b w:val="0"/>
          <w:sz w:val="20"/>
        </w:rPr>
        <w:tab/>
      </w:r>
      <w:r>
        <w:rPr>
          <w:rFonts w:ascii="Arial" w:hAnsi="Arial" w:cs="Arial"/>
          <w:b w:val="0"/>
          <w:caps w:val="0"/>
          <w:sz w:val="20"/>
        </w:rPr>
        <w:t>End Diastolic Volume</w:t>
      </w:r>
    </w:p>
    <w:p w14:paraId="565A2AFD" w14:textId="77777777" w:rsidR="00007D3B" w:rsidRDefault="00007D3B" w:rsidP="00007D3B">
      <w:pPr>
        <w:pStyle w:val="ReferHead"/>
        <w:spacing w:after="0"/>
        <w:rPr>
          <w:rFonts w:ascii="Arial" w:hAnsi="Arial" w:cs="Arial"/>
          <w:b w:val="0"/>
          <w:sz w:val="20"/>
        </w:rPr>
      </w:pPr>
      <w:r>
        <w:rPr>
          <w:rFonts w:ascii="Arial" w:hAnsi="Arial" w:cs="Arial"/>
          <w:b w:val="0"/>
          <w:sz w:val="20"/>
        </w:rPr>
        <w:t xml:space="preserve">IUFD </w:t>
      </w:r>
      <w:r>
        <w:rPr>
          <w:rFonts w:ascii="Arial" w:hAnsi="Arial" w:cs="Arial"/>
          <w:b w:val="0"/>
          <w:sz w:val="20"/>
        </w:rPr>
        <w:tab/>
      </w:r>
      <w:r>
        <w:rPr>
          <w:rFonts w:ascii="Arial" w:hAnsi="Arial" w:cs="Arial"/>
          <w:b w:val="0"/>
          <w:sz w:val="20"/>
        </w:rPr>
        <w:tab/>
      </w:r>
      <w:r>
        <w:rPr>
          <w:rFonts w:ascii="Arial" w:hAnsi="Arial" w:cs="Arial"/>
          <w:b w:val="0"/>
          <w:sz w:val="20"/>
        </w:rPr>
        <w:tab/>
      </w:r>
      <w:r>
        <w:rPr>
          <w:rFonts w:ascii="Arial" w:hAnsi="Arial" w:cs="Arial"/>
          <w:b w:val="0"/>
          <w:caps w:val="0"/>
          <w:sz w:val="20"/>
        </w:rPr>
        <w:t>Intrauterine Fetal Death</w:t>
      </w:r>
    </w:p>
    <w:p w14:paraId="5C301A0E" w14:textId="77777777" w:rsidR="00007D3B" w:rsidRDefault="00007D3B" w:rsidP="00007D3B">
      <w:pPr>
        <w:pStyle w:val="ReferHead"/>
        <w:spacing w:after="0"/>
        <w:rPr>
          <w:rFonts w:ascii="Arial" w:hAnsi="Arial" w:cs="Arial"/>
          <w:b w:val="0"/>
          <w:sz w:val="20"/>
        </w:rPr>
      </w:pPr>
      <w:r>
        <w:rPr>
          <w:rFonts w:ascii="Arial" w:hAnsi="Arial" w:cs="Arial"/>
          <w:b w:val="0"/>
          <w:sz w:val="20"/>
        </w:rPr>
        <w:t>IUGR</w:t>
      </w:r>
      <w:r>
        <w:rPr>
          <w:rFonts w:ascii="Arial" w:hAnsi="Arial" w:cs="Arial"/>
          <w:b w:val="0"/>
          <w:sz w:val="20"/>
        </w:rPr>
        <w:tab/>
      </w:r>
      <w:r>
        <w:rPr>
          <w:rFonts w:ascii="Arial" w:hAnsi="Arial" w:cs="Arial"/>
          <w:b w:val="0"/>
          <w:sz w:val="20"/>
        </w:rPr>
        <w:tab/>
      </w:r>
      <w:r>
        <w:rPr>
          <w:rFonts w:ascii="Arial" w:hAnsi="Arial" w:cs="Arial"/>
          <w:b w:val="0"/>
          <w:sz w:val="20"/>
        </w:rPr>
        <w:tab/>
      </w:r>
      <w:r>
        <w:rPr>
          <w:rFonts w:ascii="Arial" w:hAnsi="Arial" w:cs="Arial"/>
          <w:b w:val="0"/>
          <w:caps w:val="0"/>
          <w:sz w:val="20"/>
        </w:rPr>
        <w:t>Intrauterine Growth Restriction</w:t>
      </w:r>
    </w:p>
    <w:p w14:paraId="3C646560" w14:textId="77777777" w:rsidR="00007D3B" w:rsidRDefault="00007D3B" w:rsidP="00007D3B">
      <w:pPr>
        <w:pStyle w:val="ReferHead"/>
        <w:spacing w:after="0"/>
        <w:rPr>
          <w:rFonts w:ascii="Arial" w:hAnsi="Arial" w:cs="Arial"/>
          <w:b w:val="0"/>
          <w:sz w:val="20"/>
        </w:rPr>
      </w:pPr>
      <w:r>
        <w:rPr>
          <w:rFonts w:ascii="Arial" w:hAnsi="Arial" w:cs="Arial"/>
          <w:b w:val="0"/>
          <w:sz w:val="20"/>
        </w:rPr>
        <w:t>KCMC</w:t>
      </w:r>
      <w:r>
        <w:rPr>
          <w:rFonts w:ascii="Arial" w:hAnsi="Arial" w:cs="Arial"/>
          <w:b w:val="0"/>
          <w:sz w:val="20"/>
        </w:rPr>
        <w:tab/>
      </w:r>
      <w:r>
        <w:rPr>
          <w:rFonts w:ascii="Arial" w:hAnsi="Arial" w:cs="Arial"/>
          <w:b w:val="0"/>
          <w:sz w:val="20"/>
        </w:rPr>
        <w:tab/>
      </w:r>
      <w:r>
        <w:rPr>
          <w:rFonts w:ascii="Arial" w:hAnsi="Arial" w:cs="Arial"/>
          <w:b w:val="0"/>
          <w:sz w:val="20"/>
        </w:rPr>
        <w:tab/>
      </w:r>
      <w:r>
        <w:rPr>
          <w:rFonts w:ascii="Arial" w:hAnsi="Arial" w:cs="Arial"/>
          <w:b w:val="0"/>
          <w:caps w:val="0"/>
          <w:sz w:val="20"/>
        </w:rPr>
        <w:t>Kilimanjaro Medical Center</w:t>
      </w:r>
    </w:p>
    <w:p w14:paraId="7291E8FE" w14:textId="77777777" w:rsidR="00007D3B" w:rsidRDefault="00007D3B" w:rsidP="00007D3B">
      <w:pPr>
        <w:pStyle w:val="ReferHead"/>
        <w:spacing w:after="0"/>
        <w:rPr>
          <w:rFonts w:ascii="Arial" w:hAnsi="Arial" w:cs="Arial"/>
          <w:b w:val="0"/>
          <w:sz w:val="20"/>
        </w:rPr>
      </w:pPr>
      <w:r>
        <w:rPr>
          <w:rFonts w:ascii="Arial" w:hAnsi="Arial" w:cs="Arial"/>
          <w:b w:val="0"/>
          <w:sz w:val="20"/>
        </w:rPr>
        <w:t>KCMCU</w:t>
      </w:r>
      <w:r>
        <w:rPr>
          <w:rFonts w:ascii="Arial" w:hAnsi="Arial" w:cs="Arial"/>
          <w:b w:val="0"/>
          <w:sz w:val="20"/>
        </w:rPr>
        <w:tab/>
      </w:r>
      <w:r>
        <w:rPr>
          <w:rFonts w:ascii="Arial" w:hAnsi="Arial" w:cs="Arial"/>
          <w:b w:val="0"/>
          <w:sz w:val="20"/>
        </w:rPr>
        <w:tab/>
      </w:r>
      <w:r>
        <w:rPr>
          <w:rFonts w:ascii="Arial" w:hAnsi="Arial" w:cs="Arial"/>
          <w:b w:val="0"/>
          <w:caps w:val="0"/>
          <w:sz w:val="20"/>
        </w:rPr>
        <w:t>Kilimanjaro Christian Medical University</w:t>
      </w:r>
    </w:p>
    <w:p w14:paraId="62A43F4C" w14:textId="77777777" w:rsidR="00007D3B" w:rsidRDefault="00007D3B" w:rsidP="00007D3B">
      <w:pPr>
        <w:pStyle w:val="ReferHead"/>
        <w:spacing w:after="0"/>
        <w:rPr>
          <w:rFonts w:ascii="Arial" w:hAnsi="Arial" w:cs="Arial"/>
          <w:b w:val="0"/>
          <w:sz w:val="20"/>
        </w:rPr>
      </w:pPr>
      <w:r>
        <w:rPr>
          <w:rFonts w:ascii="Arial" w:hAnsi="Arial" w:cs="Arial"/>
          <w:b w:val="0"/>
          <w:sz w:val="20"/>
        </w:rPr>
        <w:t>PI</w:t>
      </w:r>
      <w:r>
        <w:rPr>
          <w:rFonts w:ascii="Arial" w:hAnsi="Arial" w:cs="Arial"/>
          <w:b w:val="0"/>
          <w:sz w:val="20"/>
        </w:rPr>
        <w:tab/>
      </w:r>
      <w:r>
        <w:rPr>
          <w:rFonts w:ascii="Arial" w:hAnsi="Arial" w:cs="Arial"/>
          <w:b w:val="0"/>
          <w:sz w:val="20"/>
        </w:rPr>
        <w:tab/>
      </w:r>
      <w:r>
        <w:rPr>
          <w:rFonts w:ascii="Arial" w:hAnsi="Arial" w:cs="Arial"/>
          <w:b w:val="0"/>
          <w:sz w:val="20"/>
        </w:rPr>
        <w:tab/>
      </w:r>
      <w:proofErr w:type="spellStart"/>
      <w:r>
        <w:rPr>
          <w:rFonts w:ascii="Arial" w:hAnsi="Arial" w:cs="Arial"/>
          <w:b w:val="0"/>
          <w:caps w:val="0"/>
          <w:sz w:val="20"/>
        </w:rPr>
        <w:t>Pulsatility</w:t>
      </w:r>
      <w:proofErr w:type="spellEnd"/>
      <w:r>
        <w:rPr>
          <w:rFonts w:ascii="Arial" w:hAnsi="Arial" w:cs="Arial"/>
          <w:b w:val="0"/>
          <w:caps w:val="0"/>
          <w:sz w:val="20"/>
        </w:rPr>
        <w:t xml:space="preserve"> Index</w:t>
      </w:r>
    </w:p>
    <w:p w14:paraId="521D3D85" w14:textId="77777777" w:rsidR="00007D3B" w:rsidRDefault="00007D3B" w:rsidP="00007D3B">
      <w:pPr>
        <w:pStyle w:val="ReferHead"/>
        <w:spacing w:after="0"/>
        <w:rPr>
          <w:rFonts w:ascii="Arial" w:hAnsi="Arial" w:cs="Arial"/>
          <w:b w:val="0"/>
          <w:sz w:val="20"/>
        </w:rPr>
      </w:pPr>
      <w:r>
        <w:rPr>
          <w:rFonts w:ascii="Arial" w:hAnsi="Arial" w:cs="Arial"/>
          <w:b w:val="0"/>
          <w:sz w:val="20"/>
        </w:rPr>
        <w:t>PIH</w:t>
      </w:r>
      <w:r>
        <w:rPr>
          <w:rFonts w:ascii="Arial" w:hAnsi="Arial" w:cs="Arial"/>
          <w:b w:val="0"/>
          <w:sz w:val="20"/>
        </w:rPr>
        <w:tab/>
      </w:r>
      <w:r>
        <w:rPr>
          <w:rFonts w:ascii="Arial" w:hAnsi="Arial" w:cs="Arial"/>
          <w:b w:val="0"/>
          <w:sz w:val="20"/>
        </w:rPr>
        <w:tab/>
      </w:r>
      <w:r>
        <w:rPr>
          <w:rFonts w:ascii="Arial" w:hAnsi="Arial" w:cs="Arial"/>
          <w:b w:val="0"/>
          <w:sz w:val="20"/>
        </w:rPr>
        <w:tab/>
      </w:r>
      <w:r>
        <w:rPr>
          <w:rFonts w:ascii="Arial" w:hAnsi="Arial" w:cs="Arial"/>
          <w:b w:val="0"/>
          <w:caps w:val="0"/>
          <w:sz w:val="20"/>
        </w:rPr>
        <w:t>Pregnancy Induced Hypertension</w:t>
      </w:r>
    </w:p>
    <w:p w14:paraId="46CDFB45" w14:textId="77777777" w:rsidR="00007D3B" w:rsidRDefault="00007D3B" w:rsidP="00007D3B">
      <w:pPr>
        <w:pStyle w:val="ReferHead"/>
        <w:spacing w:after="0"/>
        <w:rPr>
          <w:rFonts w:ascii="Arial" w:hAnsi="Arial" w:cs="Arial"/>
          <w:b w:val="0"/>
          <w:sz w:val="20"/>
        </w:rPr>
      </w:pPr>
      <w:r>
        <w:rPr>
          <w:rFonts w:ascii="Arial" w:hAnsi="Arial" w:cs="Arial"/>
          <w:b w:val="0"/>
          <w:sz w:val="20"/>
        </w:rPr>
        <w:t>RCH</w:t>
      </w:r>
      <w:r>
        <w:rPr>
          <w:rFonts w:ascii="Arial" w:hAnsi="Arial" w:cs="Arial"/>
          <w:b w:val="0"/>
          <w:sz w:val="20"/>
        </w:rPr>
        <w:tab/>
      </w:r>
      <w:r>
        <w:rPr>
          <w:rFonts w:ascii="Arial" w:hAnsi="Arial" w:cs="Arial"/>
          <w:b w:val="0"/>
          <w:sz w:val="20"/>
        </w:rPr>
        <w:tab/>
      </w:r>
      <w:r>
        <w:rPr>
          <w:rFonts w:ascii="Arial" w:hAnsi="Arial" w:cs="Arial"/>
          <w:b w:val="0"/>
          <w:sz w:val="20"/>
        </w:rPr>
        <w:tab/>
      </w:r>
      <w:r>
        <w:rPr>
          <w:rFonts w:ascii="Arial" w:hAnsi="Arial" w:cs="Arial"/>
          <w:b w:val="0"/>
          <w:caps w:val="0"/>
          <w:sz w:val="20"/>
        </w:rPr>
        <w:t>Reproductive and Child Health</w:t>
      </w:r>
    </w:p>
    <w:p w14:paraId="672D6BBE" w14:textId="77777777" w:rsidR="00007D3B" w:rsidRDefault="00007D3B" w:rsidP="00007D3B">
      <w:pPr>
        <w:pStyle w:val="ReferHead"/>
        <w:spacing w:after="0"/>
        <w:rPr>
          <w:rFonts w:ascii="Arial" w:hAnsi="Arial" w:cs="Arial"/>
          <w:b w:val="0"/>
          <w:sz w:val="20"/>
        </w:rPr>
      </w:pPr>
      <w:r>
        <w:rPr>
          <w:rFonts w:ascii="Arial" w:hAnsi="Arial" w:cs="Arial"/>
          <w:b w:val="0"/>
          <w:sz w:val="20"/>
        </w:rPr>
        <w:t>REDF</w:t>
      </w:r>
      <w:r>
        <w:rPr>
          <w:rFonts w:ascii="Arial" w:hAnsi="Arial" w:cs="Arial"/>
          <w:b w:val="0"/>
          <w:sz w:val="20"/>
        </w:rPr>
        <w:tab/>
      </w:r>
      <w:r>
        <w:rPr>
          <w:rFonts w:ascii="Arial" w:hAnsi="Arial" w:cs="Arial"/>
          <w:b w:val="0"/>
          <w:sz w:val="20"/>
        </w:rPr>
        <w:tab/>
      </w:r>
      <w:r>
        <w:rPr>
          <w:rFonts w:ascii="Arial" w:hAnsi="Arial" w:cs="Arial"/>
          <w:b w:val="0"/>
          <w:sz w:val="20"/>
        </w:rPr>
        <w:tab/>
      </w:r>
      <w:r>
        <w:rPr>
          <w:rFonts w:ascii="Arial" w:hAnsi="Arial" w:cs="Arial"/>
          <w:b w:val="0"/>
          <w:caps w:val="0"/>
          <w:sz w:val="20"/>
        </w:rPr>
        <w:t>Reversed End Diastolic Flow</w:t>
      </w:r>
    </w:p>
    <w:p w14:paraId="548B4485" w14:textId="77777777" w:rsidR="00007D3B" w:rsidRDefault="00007D3B" w:rsidP="00007D3B">
      <w:pPr>
        <w:pStyle w:val="ReferHead"/>
        <w:spacing w:after="0"/>
        <w:rPr>
          <w:rFonts w:ascii="Arial" w:hAnsi="Arial" w:cs="Arial"/>
          <w:b w:val="0"/>
          <w:sz w:val="20"/>
        </w:rPr>
      </w:pPr>
      <w:r>
        <w:rPr>
          <w:rFonts w:ascii="Arial" w:hAnsi="Arial" w:cs="Arial"/>
          <w:b w:val="0"/>
          <w:sz w:val="20"/>
        </w:rPr>
        <w:t>RI</w:t>
      </w:r>
      <w:r>
        <w:rPr>
          <w:rFonts w:ascii="Arial" w:hAnsi="Arial" w:cs="Arial"/>
          <w:b w:val="0"/>
          <w:sz w:val="20"/>
        </w:rPr>
        <w:tab/>
      </w:r>
      <w:r>
        <w:rPr>
          <w:rFonts w:ascii="Arial" w:hAnsi="Arial" w:cs="Arial"/>
          <w:b w:val="0"/>
          <w:sz w:val="20"/>
        </w:rPr>
        <w:tab/>
      </w:r>
      <w:r>
        <w:rPr>
          <w:rFonts w:ascii="Arial" w:hAnsi="Arial" w:cs="Arial"/>
          <w:b w:val="0"/>
          <w:sz w:val="20"/>
        </w:rPr>
        <w:tab/>
      </w:r>
      <w:r>
        <w:rPr>
          <w:rFonts w:ascii="Arial" w:hAnsi="Arial" w:cs="Arial"/>
          <w:b w:val="0"/>
          <w:caps w:val="0"/>
          <w:sz w:val="20"/>
        </w:rPr>
        <w:t>Resistivity Index</w:t>
      </w:r>
    </w:p>
    <w:p w14:paraId="7DD07CC0" w14:textId="77777777" w:rsidR="00007D3B" w:rsidRDefault="00007D3B" w:rsidP="00007D3B">
      <w:pPr>
        <w:pStyle w:val="ReferHead"/>
        <w:spacing w:after="0"/>
        <w:ind w:left="2160" w:hanging="2160"/>
        <w:rPr>
          <w:rFonts w:ascii="Arial" w:hAnsi="Arial" w:cs="Arial"/>
          <w:b w:val="0"/>
          <w:sz w:val="20"/>
        </w:rPr>
      </w:pPr>
      <w:r>
        <w:rPr>
          <w:rFonts w:ascii="Arial" w:hAnsi="Arial" w:cs="Arial"/>
          <w:b w:val="0"/>
          <w:sz w:val="20"/>
        </w:rPr>
        <w:t>S/D</w:t>
      </w:r>
      <w:r>
        <w:rPr>
          <w:rFonts w:ascii="Arial" w:hAnsi="Arial" w:cs="Arial"/>
          <w:b w:val="0"/>
          <w:sz w:val="20"/>
        </w:rPr>
        <w:tab/>
      </w:r>
      <w:r>
        <w:rPr>
          <w:rFonts w:ascii="Arial" w:hAnsi="Arial" w:cs="Arial"/>
          <w:b w:val="0"/>
          <w:caps w:val="0"/>
          <w:sz w:val="20"/>
        </w:rPr>
        <w:t>Peak Systolic Velocity to Peak Diastolic Velocity Ratio</w:t>
      </w:r>
    </w:p>
    <w:p w14:paraId="424EDB2B" w14:textId="77777777" w:rsidR="00007D3B" w:rsidRDefault="00007D3B" w:rsidP="00007D3B">
      <w:pPr>
        <w:pStyle w:val="ReferHead"/>
        <w:spacing w:after="0"/>
        <w:rPr>
          <w:rFonts w:ascii="Arial" w:hAnsi="Arial" w:cs="Arial"/>
          <w:b w:val="0"/>
          <w:sz w:val="20"/>
        </w:rPr>
      </w:pPr>
      <w:r>
        <w:rPr>
          <w:rFonts w:ascii="Arial" w:hAnsi="Arial" w:cs="Arial"/>
          <w:b w:val="0"/>
          <w:sz w:val="20"/>
        </w:rPr>
        <w:t>SDG</w:t>
      </w:r>
      <w:r>
        <w:rPr>
          <w:rFonts w:ascii="Arial" w:hAnsi="Arial" w:cs="Arial"/>
          <w:b w:val="0"/>
          <w:sz w:val="20"/>
        </w:rPr>
        <w:tab/>
      </w:r>
      <w:r>
        <w:rPr>
          <w:rFonts w:ascii="Arial" w:hAnsi="Arial" w:cs="Arial"/>
          <w:b w:val="0"/>
          <w:sz w:val="20"/>
        </w:rPr>
        <w:tab/>
      </w:r>
      <w:r>
        <w:rPr>
          <w:rFonts w:ascii="Arial" w:hAnsi="Arial" w:cs="Arial"/>
          <w:b w:val="0"/>
          <w:sz w:val="20"/>
        </w:rPr>
        <w:tab/>
      </w:r>
      <w:r>
        <w:rPr>
          <w:rFonts w:ascii="Arial" w:hAnsi="Arial" w:cs="Arial"/>
          <w:b w:val="0"/>
          <w:caps w:val="0"/>
          <w:sz w:val="20"/>
        </w:rPr>
        <w:t>Sustainable Developmental Goals</w:t>
      </w:r>
    </w:p>
    <w:p w14:paraId="663ADF8E" w14:textId="77777777" w:rsidR="00007D3B" w:rsidRDefault="00007D3B" w:rsidP="00007D3B">
      <w:pPr>
        <w:pStyle w:val="ReferHead"/>
        <w:spacing w:after="0"/>
        <w:rPr>
          <w:rFonts w:ascii="Arial" w:hAnsi="Arial" w:cs="Arial"/>
          <w:b w:val="0"/>
          <w:sz w:val="20"/>
        </w:rPr>
      </w:pPr>
      <w:r>
        <w:rPr>
          <w:rFonts w:ascii="Arial" w:hAnsi="Arial" w:cs="Arial"/>
          <w:b w:val="0"/>
          <w:sz w:val="20"/>
        </w:rPr>
        <w:t>SFH</w:t>
      </w:r>
      <w:r>
        <w:rPr>
          <w:rFonts w:ascii="Arial" w:hAnsi="Arial" w:cs="Arial"/>
          <w:b w:val="0"/>
          <w:sz w:val="20"/>
        </w:rPr>
        <w:tab/>
      </w:r>
      <w:r>
        <w:rPr>
          <w:rFonts w:ascii="Arial" w:hAnsi="Arial" w:cs="Arial"/>
          <w:b w:val="0"/>
          <w:sz w:val="20"/>
        </w:rPr>
        <w:tab/>
      </w:r>
      <w:r>
        <w:rPr>
          <w:rFonts w:ascii="Arial" w:hAnsi="Arial" w:cs="Arial"/>
          <w:b w:val="0"/>
          <w:sz w:val="20"/>
        </w:rPr>
        <w:tab/>
      </w:r>
      <w:r>
        <w:rPr>
          <w:rFonts w:ascii="Arial" w:hAnsi="Arial" w:cs="Arial"/>
          <w:b w:val="0"/>
          <w:caps w:val="0"/>
          <w:sz w:val="20"/>
        </w:rPr>
        <w:t>Symphysis Fundal Height</w:t>
      </w:r>
    </w:p>
    <w:p w14:paraId="7B9F29BE" w14:textId="77777777" w:rsidR="00007D3B" w:rsidRDefault="00007D3B" w:rsidP="00007D3B">
      <w:pPr>
        <w:pStyle w:val="ReferHead"/>
        <w:spacing w:after="0"/>
        <w:rPr>
          <w:rFonts w:ascii="Arial" w:hAnsi="Arial" w:cs="Arial"/>
          <w:b w:val="0"/>
          <w:sz w:val="20"/>
        </w:rPr>
      </w:pPr>
      <w:r>
        <w:rPr>
          <w:rFonts w:ascii="Arial" w:hAnsi="Arial" w:cs="Arial"/>
          <w:b w:val="0"/>
          <w:sz w:val="20"/>
        </w:rPr>
        <w:t>SGA</w:t>
      </w:r>
      <w:r>
        <w:rPr>
          <w:rFonts w:ascii="Arial" w:hAnsi="Arial" w:cs="Arial"/>
          <w:b w:val="0"/>
          <w:sz w:val="20"/>
        </w:rPr>
        <w:tab/>
      </w:r>
      <w:r>
        <w:rPr>
          <w:rFonts w:ascii="Arial" w:hAnsi="Arial" w:cs="Arial"/>
          <w:b w:val="0"/>
          <w:sz w:val="20"/>
        </w:rPr>
        <w:tab/>
      </w:r>
      <w:r>
        <w:rPr>
          <w:rFonts w:ascii="Arial" w:hAnsi="Arial" w:cs="Arial"/>
          <w:b w:val="0"/>
          <w:sz w:val="20"/>
        </w:rPr>
        <w:tab/>
      </w:r>
      <w:r>
        <w:rPr>
          <w:rFonts w:ascii="Arial" w:hAnsi="Arial" w:cs="Arial"/>
          <w:b w:val="0"/>
          <w:caps w:val="0"/>
          <w:sz w:val="20"/>
        </w:rPr>
        <w:t>Small for Gestation Age</w:t>
      </w:r>
    </w:p>
    <w:p w14:paraId="24115217" w14:textId="77777777" w:rsidR="00007D3B" w:rsidRDefault="00007D3B" w:rsidP="00007D3B">
      <w:pPr>
        <w:pStyle w:val="ReferHead"/>
        <w:spacing w:after="0"/>
        <w:rPr>
          <w:rFonts w:ascii="Arial" w:hAnsi="Arial" w:cs="Arial"/>
          <w:b w:val="0"/>
          <w:sz w:val="20"/>
        </w:rPr>
      </w:pPr>
      <w:r>
        <w:rPr>
          <w:rFonts w:ascii="Arial" w:hAnsi="Arial" w:cs="Arial"/>
          <w:b w:val="0"/>
          <w:sz w:val="20"/>
        </w:rPr>
        <w:t>TDHS</w:t>
      </w:r>
      <w:r>
        <w:rPr>
          <w:rFonts w:ascii="Arial" w:hAnsi="Arial" w:cs="Arial"/>
          <w:b w:val="0"/>
          <w:sz w:val="20"/>
        </w:rPr>
        <w:tab/>
      </w:r>
      <w:r>
        <w:rPr>
          <w:rFonts w:ascii="Arial" w:hAnsi="Arial" w:cs="Arial"/>
          <w:b w:val="0"/>
          <w:sz w:val="20"/>
        </w:rPr>
        <w:tab/>
      </w:r>
      <w:r>
        <w:rPr>
          <w:rFonts w:ascii="Arial" w:hAnsi="Arial" w:cs="Arial"/>
          <w:b w:val="0"/>
          <w:sz w:val="20"/>
        </w:rPr>
        <w:tab/>
        <w:t>T</w:t>
      </w:r>
      <w:r>
        <w:rPr>
          <w:rFonts w:ascii="Arial" w:hAnsi="Arial" w:cs="Arial"/>
          <w:b w:val="0"/>
          <w:caps w:val="0"/>
          <w:sz w:val="20"/>
        </w:rPr>
        <w:t>anzania</w:t>
      </w:r>
      <w:r>
        <w:rPr>
          <w:rFonts w:ascii="Arial" w:hAnsi="Arial" w:cs="Arial"/>
          <w:b w:val="0"/>
          <w:sz w:val="20"/>
        </w:rPr>
        <w:t xml:space="preserve"> </w:t>
      </w:r>
      <w:r>
        <w:rPr>
          <w:rFonts w:ascii="Arial" w:hAnsi="Arial" w:cs="Arial"/>
          <w:b w:val="0"/>
          <w:caps w:val="0"/>
          <w:sz w:val="20"/>
        </w:rPr>
        <w:t>demographic and health survey</w:t>
      </w:r>
    </w:p>
    <w:p w14:paraId="4786FDC5" w14:textId="77777777" w:rsidR="00007D3B" w:rsidRDefault="00007D3B" w:rsidP="00007D3B">
      <w:pPr>
        <w:pStyle w:val="ReferHead"/>
        <w:spacing w:after="0"/>
        <w:rPr>
          <w:rFonts w:ascii="Arial" w:hAnsi="Arial" w:cs="Arial"/>
          <w:b w:val="0"/>
          <w:sz w:val="20"/>
        </w:rPr>
      </w:pPr>
      <w:r>
        <w:rPr>
          <w:rFonts w:ascii="Arial" w:hAnsi="Arial" w:cs="Arial"/>
          <w:b w:val="0"/>
          <w:sz w:val="20"/>
        </w:rPr>
        <w:t>WHO</w:t>
      </w:r>
      <w:r>
        <w:rPr>
          <w:rFonts w:ascii="Arial" w:hAnsi="Arial" w:cs="Arial"/>
          <w:b w:val="0"/>
          <w:sz w:val="20"/>
        </w:rPr>
        <w:tab/>
      </w:r>
      <w:r>
        <w:rPr>
          <w:rFonts w:ascii="Arial" w:hAnsi="Arial" w:cs="Arial"/>
          <w:b w:val="0"/>
          <w:sz w:val="20"/>
        </w:rPr>
        <w:tab/>
      </w:r>
      <w:r>
        <w:rPr>
          <w:rFonts w:ascii="Arial" w:hAnsi="Arial" w:cs="Arial"/>
          <w:b w:val="0"/>
          <w:sz w:val="20"/>
        </w:rPr>
        <w:tab/>
      </w:r>
      <w:r>
        <w:rPr>
          <w:rFonts w:ascii="Arial" w:hAnsi="Arial" w:cs="Arial"/>
          <w:b w:val="0"/>
          <w:caps w:val="0"/>
          <w:sz w:val="20"/>
        </w:rPr>
        <w:t>Word Heath Organization</w:t>
      </w:r>
    </w:p>
    <w:p w14:paraId="661C05E4" w14:textId="77777777" w:rsidR="00007D3B" w:rsidRPr="00007D3B" w:rsidRDefault="00007D3B" w:rsidP="00007D3B">
      <w:pPr>
        <w:widowControl w:val="0"/>
        <w:autoSpaceDE w:val="0"/>
        <w:autoSpaceDN w:val="0"/>
        <w:adjustRightInd w:val="0"/>
        <w:spacing w:after="160" w:line="360" w:lineRule="auto"/>
        <w:rPr>
          <w:rFonts w:ascii="Arial" w:hAnsi="Arial" w:cs="Arial"/>
          <w:noProof/>
        </w:rPr>
      </w:pPr>
    </w:p>
    <w:p w14:paraId="071AA18D" w14:textId="77777777" w:rsidR="00FD7E85" w:rsidRDefault="00F456FA" w:rsidP="008741D3">
      <w:pPr>
        <w:pStyle w:val="ReferHead"/>
        <w:numPr>
          <w:ilvl w:val="0"/>
          <w:numId w:val="8"/>
        </w:numPr>
        <w:spacing w:after="0"/>
        <w:jc w:val="both"/>
        <w:rPr>
          <w:rFonts w:ascii="Arial" w:hAnsi="Arial" w:cs="Arial"/>
        </w:rPr>
      </w:pPr>
      <w:r>
        <w:rPr>
          <w:rFonts w:ascii="Arial" w:eastAsia="Calibri" w:hAnsi="Arial" w:cs="Arial"/>
          <w:b w:val="0"/>
          <w:caps w:val="0"/>
          <w:sz w:val="20"/>
        </w:rPr>
        <w:lastRenderedPageBreak/>
        <w:fldChar w:fldCharType="end"/>
      </w:r>
      <w:r>
        <w:rPr>
          <w:rFonts w:ascii="Arial" w:hAnsi="Arial" w:cs="Arial"/>
        </w:rPr>
        <w:t xml:space="preserve">APPENDIX </w:t>
      </w:r>
    </w:p>
    <w:p w14:paraId="23B4524D" w14:textId="77777777" w:rsidR="00FD7E85" w:rsidRDefault="00F456FA">
      <w:pPr>
        <w:pStyle w:val="Appendix"/>
        <w:spacing w:after="0"/>
        <w:jc w:val="both"/>
        <w:rPr>
          <w:rFonts w:ascii="Arial" w:hAnsi="Arial" w:cs="Arial"/>
          <w:sz w:val="20"/>
        </w:rPr>
      </w:pPr>
      <w:r>
        <w:rPr>
          <w:rFonts w:ascii="Arial" w:hAnsi="Arial" w:cs="Arial"/>
          <w:caps w:val="0"/>
          <w:sz w:val="20"/>
        </w:rPr>
        <w:t>Appendix I: Ethical clearance form</w:t>
      </w:r>
    </w:p>
    <w:p w14:paraId="57C610AA" w14:textId="77777777" w:rsidR="00FD7E85" w:rsidRDefault="00FD7E85">
      <w:pPr>
        <w:pStyle w:val="Appendix"/>
        <w:spacing w:after="0"/>
        <w:jc w:val="both"/>
        <w:rPr>
          <w:rFonts w:ascii="Arial" w:hAnsi="Arial" w:cs="Arial"/>
        </w:rPr>
      </w:pPr>
    </w:p>
    <w:p w14:paraId="647A288A" w14:textId="77777777" w:rsidR="00FD7E85" w:rsidRDefault="00F456FA">
      <w:pPr>
        <w:pStyle w:val="Appendix"/>
        <w:spacing w:after="0"/>
        <w:jc w:val="both"/>
        <w:rPr>
          <w:rFonts w:ascii="Arial" w:hAnsi="Arial" w:cs="Arial"/>
          <w:b w:val="0"/>
        </w:rPr>
        <w:sectPr w:rsidR="00FD7E85">
          <w:footerReference w:type="default" r:id="rId13"/>
          <w:type w:val="continuous"/>
          <w:pgSz w:w="12240" w:h="15840"/>
          <w:pgMar w:top="1440" w:right="2016" w:bottom="2016" w:left="2016" w:header="720" w:footer="1123" w:gutter="0"/>
          <w:lnNumType w:countBy="1" w:restart="continuous"/>
          <w:cols w:space="720"/>
          <w:docGrid w:linePitch="272"/>
        </w:sectPr>
      </w:pPr>
      <w:r>
        <w:rPr>
          <w:rFonts w:ascii="Times New Roman" w:eastAsia="Calibri" w:hAnsi="Times New Roman"/>
          <w:b w:val="0"/>
          <w:caps w:val="0"/>
          <w:noProof/>
          <w:sz w:val="24"/>
          <w:szCs w:val="24"/>
        </w:rPr>
        <w:drawing>
          <wp:inline distT="0" distB="0" distL="0" distR="0" wp14:anchorId="4F99E0A7" wp14:editId="5D4C4779">
            <wp:extent cx="5212080" cy="5890895"/>
            <wp:effectExtent l="0" t="0" r="0" b="0"/>
            <wp:docPr id="7" name="Picture 7" descr="C:\Users\JULIETH\Pictures\img20250708_1215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JULIETH\Pictures\img20250708_12150671.jpg"/>
                    <pic:cNvPicPr>
                      <a:picLocks noChangeAspect="1" noChangeArrowheads="1"/>
                    </pic:cNvPicPr>
                  </pic:nvPicPr>
                  <pic:blipFill>
                    <a:blip r:embed="rId14" cstate="print">
                      <a:extLst>
                        <a:ext uri="{28A0092B-C50C-407E-A947-70E740481C1C}">
                          <a14:useLocalDpi xmlns:a14="http://schemas.microsoft.com/office/drawing/2010/main" val="0"/>
                        </a:ext>
                      </a:extLst>
                    </a:blip>
                    <a:srcRect t="12775"/>
                    <a:stretch>
                      <a:fillRect/>
                    </a:stretch>
                  </pic:blipFill>
                  <pic:spPr>
                    <a:xfrm>
                      <a:off x="0" y="0"/>
                      <a:ext cx="5212080" cy="5891505"/>
                    </a:xfrm>
                    <a:prstGeom prst="rect">
                      <a:avLst/>
                    </a:prstGeom>
                    <a:noFill/>
                    <a:ln>
                      <a:noFill/>
                    </a:ln>
                  </pic:spPr>
                </pic:pic>
              </a:graphicData>
            </a:graphic>
          </wp:inline>
        </w:drawing>
      </w:r>
    </w:p>
    <w:p w14:paraId="3D722DB8" w14:textId="77777777" w:rsidR="00FD7E85" w:rsidRDefault="00FD7E85">
      <w:pPr>
        <w:pStyle w:val="Appendix"/>
        <w:spacing w:after="0"/>
        <w:jc w:val="both"/>
        <w:rPr>
          <w:rFonts w:ascii="Arial" w:hAnsi="Arial" w:cs="Arial"/>
          <w:b w:val="0"/>
        </w:rPr>
      </w:pPr>
    </w:p>
    <w:p w14:paraId="6050C1C9" w14:textId="77777777" w:rsidR="00FD7E85" w:rsidRDefault="00F456FA">
      <w:pPr>
        <w:pStyle w:val="Appendix"/>
        <w:spacing w:after="0"/>
        <w:jc w:val="both"/>
        <w:rPr>
          <w:rFonts w:ascii="Arial" w:hAnsi="Arial" w:cs="Arial"/>
          <w:b w:val="0"/>
          <w:caps w:val="0"/>
        </w:rPr>
      </w:pPr>
      <w:r>
        <w:rPr>
          <w:rFonts w:ascii="Arial" w:hAnsi="Arial" w:cs="Arial"/>
          <w:b w:val="0"/>
        </w:rPr>
        <w:t>A</w:t>
      </w:r>
      <w:r>
        <w:rPr>
          <w:rFonts w:ascii="Arial" w:hAnsi="Arial" w:cs="Arial"/>
          <w:b w:val="0"/>
          <w:caps w:val="0"/>
        </w:rPr>
        <w:t>ppendix</w:t>
      </w:r>
      <w:r>
        <w:rPr>
          <w:rFonts w:ascii="Arial" w:hAnsi="Arial" w:cs="Arial"/>
          <w:b w:val="0"/>
        </w:rPr>
        <w:t xml:space="preserve"> II: </w:t>
      </w:r>
      <w:r>
        <w:rPr>
          <w:rFonts w:ascii="Arial" w:hAnsi="Arial" w:cs="Arial"/>
          <w:b w:val="0"/>
          <w:caps w:val="0"/>
        </w:rPr>
        <w:t>Permission letters</w:t>
      </w:r>
    </w:p>
    <w:p w14:paraId="152722F9" w14:textId="77777777" w:rsidR="00FD7E85" w:rsidRDefault="00F456FA">
      <w:pPr>
        <w:pStyle w:val="Appendix"/>
        <w:spacing w:after="0"/>
        <w:jc w:val="both"/>
        <w:rPr>
          <w:rFonts w:ascii="Arial" w:hAnsi="Arial" w:cs="Arial"/>
          <w:b w:val="0"/>
        </w:rPr>
      </w:pPr>
      <w:r>
        <w:rPr>
          <w:rFonts w:ascii="Arial" w:hAnsi="Arial" w:cs="Arial"/>
          <w:b w:val="0"/>
          <w:noProof/>
        </w:rPr>
        <w:drawing>
          <wp:inline distT="0" distB="0" distL="0" distR="0" wp14:anchorId="525EE0DF" wp14:editId="1CE5A4C7">
            <wp:extent cx="5944235" cy="7505065"/>
            <wp:effectExtent l="0" t="0" r="0" b="0"/>
            <wp:docPr id="1108068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68308"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4235" cy="7505065"/>
                    </a:xfrm>
                    <a:prstGeom prst="rect">
                      <a:avLst/>
                    </a:prstGeom>
                    <a:noFill/>
                  </pic:spPr>
                </pic:pic>
              </a:graphicData>
            </a:graphic>
          </wp:inline>
        </w:drawing>
      </w:r>
    </w:p>
    <w:p w14:paraId="197573F7" w14:textId="77777777" w:rsidR="00FD7E85" w:rsidRDefault="00FD7E85">
      <w:pPr>
        <w:pStyle w:val="Appendix"/>
        <w:spacing w:after="0"/>
        <w:jc w:val="both"/>
        <w:rPr>
          <w:rFonts w:ascii="Arial" w:hAnsi="Arial" w:cs="Arial"/>
          <w:b w:val="0"/>
        </w:rPr>
      </w:pPr>
    </w:p>
    <w:p w14:paraId="49EE8579" w14:textId="77777777" w:rsidR="00FD7E85" w:rsidRDefault="00FD7E85">
      <w:pPr>
        <w:pStyle w:val="Appendix"/>
        <w:spacing w:after="0"/>
        <w:jc w:val="both"/>
        <w:rPr>
          <w:rFonts w:ascii="Arial" w:hAnsi="Arial" w:cs="Arial"/>
          <w:b w:val="0"/>
        </w:rPr>
      </w:pPr>
    </w:p>
    <w:p w14:paraId="5E835C61" w14:textId="77777777" w:rsidR="00FD7E85" w:rsidRDefault="00F456FA">
      <w:pPr>
        <w:pStyle w:val="Appendix"/>
        <w:spacing w:after="0"/>
        <w:jc w:val="both"/>
        <w:rPr>
          <w:rFonts w:ascii="Arial" w:hAnsi="Arial" w:cs="Arial"/>
          <w:b w:val="0"/>
        </w:rPr>
      </w:pPr>
      <w:r>
        <w:rPr>
          <w:rFonts w:ascii="Arial" w:hAnsi="Arial" w:cs="Arial"/>
          <w:b w:val="0"/>
          <w:noProof/>
        </w:rPr>
        <w:lastRenderedPageBreak/>
        <w:drawing>
          <wp:inline distT="0" distB="0" distL="0" distR="0" wp14:anchorId="30EF30FF" wp14:editId="63378425">
            <wp:extent cx="5944235" cy="7840345"/>
            <wp:effectExtent l="0" t="0" r="0" b="0"/>
            <wp:docPr id="13397401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40125"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4235" cy="7840345"/>
                    </a:xfrm>
                    <a:prstGeom prst="rect">
                      <a:avLst/>
                    </a:prstGeom>
                    <a:noFill/>
                  </pic:spPr>
                </pic:pic>
              </a:graphicData>
            </a:graphic>
          </wp:inline>
        </w:drawing>
      </w:r>
    </w:p>
    <w:sectPr w:rsidR="00FD7E85">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309A3D" w14:textId="77777777" w:rsidR="00A55F66" w:rsidRDefault="00A55F66">
      <w:r>
        <w:separator/>
      </w:r>
    </w:p>
  </w:endnote>
  <w:endnote w:type="continuationSeparator" w:id="0">
    <w:p w14:paraId="761295CA" w14:textId="77777777" w:rsidR="00A55F66" w:rsidRDefault="00A55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CC489" w14:textId="77777777" w:rsidR="00FD7E85" w:rsidRDefault="00FD7E85">
    <w:pPr>
      <w:pStyle w:val="Footer"/>
      <w:rPr>
        <w:rFonts w:ascii="Arial" w:hAnsi="Arial" w:cs="Arial"/>
        <w:sz w:val="16"/>
      </w:rPr>
    </w:pPr>
  </w:p>
  <w:p w14:paraId="671C89C5" w14:textId="77777777" w:rsidR="00FD7E85" w:rsidRDefault="00F456F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4CDE27C7" w14:textId="77777777" w:rsidR="00FD7E85" w:rsidRDefault="00FD7E85">
    <w:pPr>
      <w:pStyle w:val="Footer"/>
      <w:rPr>
        <w:rFonts w:ascii="Arial" w:hAnsi="Arial" w:cs="Arial"/>
        <w:sz w:val="16"/>
      </w:rPr>
    </w:pPr>
  </w:p>
  <w:p w14:paraId="01A8D5A3" w14:textId="77777777" w:rsidR="00FD7E85" w:rsidRDefault="00F456FA">
    <w:pPr>
      <w:pStyle w:val="Footer"/>
      <w:rPr>
        <w:rFonts w:ascii="Arial" w:hAnsi="Arial" w:cs="Arial"/>
        <w:i/>
        <w:sz w:val="16"/>
      </w:rPr>
    </w:pPr>
    <w:r>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74AC1" w14:textId="77777777" w:rsidR="00FD7E85" w:rsidRDefault="00FD7E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5294F7" w14:textId="77777777" w:rsidR="00A55F66" w:rsidRDefault="00A55F66">
      <w:r>
        <w:separator/>
      </w:r>
    </w:p>
  </w:footnote>
  <w:footnote w:type="continuationSeparator" w:id="0">
    <w:p w14:paraId="6BAB117B" w14:textId="77777777" w:rsidR="00A55F66" w:rsidRDefault="00A55F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3C47B" w14:textId="77777777" w:rsidR="00FD7E85" w:rsidRDefault="00FD7E85">
    <w:pPr>
      <w:ind w:left="2160"/>
      <w:jc w:val="center"/>
      <w:rPr>
        <w:rFonts w:ascii="Times New Roman" w:eastAsia="Calibri" w:hAnsi="Times New Roman"/>
        <w:i/>
        <w:sz w:val="18"/>
        <w:szCs w:val="22"/>
      </w:rPr>
    </w:pPr>
  </w:p>
  <w:p w14:paraId="160549B9" w14:textId="77777777" w:rsidR="00FD7E85" w:rsidRDefault="00F456FA">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63EA0A08" w14:textId="77777777" w:rsidR="00FD7E85" w:rsidRDefault="00F456FA">
    <w:pPr>
      <w:jc w:val="center"/>
      <w:rPr>
        <w:rFonts w:ascii="Times New Roman" w:eastAsia="Calibri" w:hAnsi="Times New Roman"/>
        <w:i/>
        <w:sz w:val="18"/>
        <w:szCs w:val="22"/>
      </w:rPr>
    </w:pPr>
    <w:r>
      <w:rPr>
        <w:rFonts w:ascii="Times New Roman" w:eastAsia="Calibri" w:hAnsi="Times New Roman"/>
        <w:i/>
        <w:sz w:val="18"/>
        <w:szCs w:val="22"/>
      </w:rPr>
      <w:t>.</w:t>
    </w:r>
  </w:p>
  <w:p w14:paraId="248FCE38" w14:textId="77777777" w:rsidR="00FD7E85" w:rsidRDefault="00F456FA">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3BE6F0BE" w14:textId="77777777" w:rsidR="00FD7E85" w:rsidRDefault="00F456FA">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25AE7DEB" w14:textId="77777777" w:rsidR="00FD7E85" w:rsidRDefault="00F456FA">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221727E" w14:textId="77777777" w:rsidR="00FD7E85" w:rsidRDefault="00F456F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0B2E87"/>
    <w:multiLevelType w:val="multilevel"/>
    <w:tmpl w:val="1F0B2E87"/>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DEA7CF6"/>
    <w:multiLevelType w:val="hybridMultilevel"/>
    <w:tmpl w:val="963E4C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E575DEC"/>
    <w:multiLevelType w:val="multilevel"/>
    <w:tmpl w:val="3E575D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B680E23"/>
    <w:multiLevelType w:val="multilevel"/>
    <w:tmpl w:val="4B680E23"/>
    <w:lvl w:ilvl="0">
      <w:start w:val="1"/>
      <w:numFmt w:val="bullet"/>
      <w:lvlText w:val=""/>
      <w:lvlJc w:val="left"/>
      <w:pPr>
        <w:ind w:left="630" w:hanging="360"/>
      </w:pPr>
      <w:rPr>
        <w:rFonts w:ascii="Symbol" w:hAnsi="Symbol" w:hint="default"/>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abstractNum w:abstractNumId="4" w15:restartNumberingAfterBreak="0">
    <w:nsid w:val="4D9C0ED2"/>
    <w:multiLevelType w:val="multilevel"/>
    <w:tmpl w:val="4D9C0ED2"/>
    <w:lvl w:ilvl="0">
      <w:start w:val="1"/>
      <w:numFmt w:val="bullet"/>
      <w:lvlText w:val=""/>
      <w:lvlJc w:val="left"/>
      <w:pPr>
        <w:ind w:left="630" w:hanging="360"/>
      </w:pPr>
      <w:rPr>
        <w:rFonts w:ascii="Symbol" w:hAnsi="Symbol" w:hint="default"/>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abstractNum w:abstractNumId="5" w15:restartNumberingAfterBreak="0">
    <w:nsid w:val="6CB52AA2"/>
    <w:multiLevelType w:val="multilevel"/>
    <w:tmpl w:val="6CB52AA2"/>
    <w:lvl w:ilvl="0">
      <w:start w:val="1"/>
      <w:numFmt w:val="bullet"/>
      <w:lvlText w:val=""/>
      <w:lvlJc w:val="left"/>
      <w:pPr>
        <w:ind w:left="767" w:hanging="360"/>
      </w:pPr>
      <w:rPr>
        <w:rFonts w:ascii="Symbol" w:hAnsi="Symbol" w:hint="default"/>
      </w:rPr>
    </w:lvl>
    <w:lvl w:ilvl="1">
      <w:start w:val="1"/>
      <w:numFmt w:val="bullet"/>
      <w:lvlText w:val="o"/>
      <w:lvlJc w:val="left"/>
      <w:pPr>
        <w:ind w:left="1487" w:hanging="360"/>
      </w:pPr>
      <w:rPr>
        <w:rFonts w:ascii="Courier New" w:hAnsi="Courier New" w:cs="Courier New" w:hint="default"/>
      </w:rPr>
    </w:lvl>
    <w:lvl w:ilvl="2">
      <w:start w:val="1"/>
      <w:numFmt w:val="bullet"/>
      <w:lvlText w:val=""/>
      <w:lvlJc w:val="left"/>
      <w:pPr>
        <w:ind w:left="2207" w:hanging="360"/>
      </w:pPr>
      <w:rPr>
        <w:rFonts w:ascii="Wingdings" w:hAnsi="Wingdings" w:hint="default"/>
      </w:rPr>
    </w:lvl>
    <w:lvl w:ilvl="3">
      <w:start w:val="1"/>
      <w:numFmt w:val="bullet"/>
      <w:lvlText w:val=""/>
      <w:lvlJc w:val="left"/>
      <w:pPr>
        <w:ind w:left="2927" w:hanging="360"/>
      </w:pPr>
      <w:rPr>
        <w:rFonts w:ascii="Symbol" w:hAnsi="Symbol" w:hint="default"/>
      </w:rPr>
    </w:lvl>
    <w:lvl w:ilvl="4">
      <w:start w:val="1"/>
      <w:numFmt w:val="bullet"/>
      <w:lvlText w:val="o"/>
      <w:lvlJc w:val="left"/>
      <w:pPr>
        <w:ind w:left="3647" w:hanging="360"/>
      </w:pPr>
      <w:rPr>
        <w:rFonts w:ascii="Courier New" w:hAnsi="Courier New" w:cs="Courier New" w:hint="default"/>
      </w:rPr>
    </w:lvl>
    <w:lvl w:ilvl="5">
      <w:start w:val="1"/>
      <w:numFmt w:val="bullet"/>
      <w:lvlText w:val=""/>
      <w:lvlJc w:val="left"/>
      <w:pPr>
        <w:ind w:left="4367" w:hanging="360"/>
      </w:pPr>
      <w:rPr>
        <w:rFonts w:ascii="Wingdings" w:hAnsi="Wingdings" w:hint="default"/>
      </w:rPr>
    </w:lvl>
    <w:lvl w:ilvl="6">
      <w:start w:val="1"/>
      <w:numFmt w:val="bullet"/>
      <w:lvlText w:val=""/>
      <w:lvlJc w:val="left"/>
      <w:pPr>
        <w:ind w:left="5087" w:hanging="360"/>
      </w:pPr>
      <w:rPr>
        <w:rFonts w:ascii="Symbol" w:hAnsi="Symbol" w:hint="default"/>
      </w:rPr>
    </w:lvl>
    <w:lvl w:ilvl="7">
      <w:start w:val="1"/>
      <w:numFmt w:val="bullet"/>
      <w:lvlText w:val="o"/>
      <w:lvlJc w:val="left"/>
      <w:pPr>
        <w:ind w:left="5807" w:hanging="360"/>
      </w:pPr>
      <w:rPr>
        <w:rFonts w:ascii="Courier New" w:hAnsi="Courier New" w:cs="Courier New" w:hint="default"/>
      </w:rPr>
    </w:lvl>
    <w:lvl w:ilvl="8">
      <w:start w:val="1"/>
      <w:numFmt w:val="bullet"/>
      <w:lvlText w:val=""/>
      <w:lvlJc w:val="left"/>
      <w:pPr>
        <w:ind w:left="6527" w:hanging="360"/>
      </w:pPr>
      <w:rPr>
        <w:rFonts w:ascii="Wingdings" w:hAnsi="Wingdings" w:hint="default"/>
      </w:rPr>
    </w:lvl>
  </w:abstractNum>
  <w:abstractNum w:abstractNumId="6"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abstractNum w:abstractNumId="7" w15:restartNumberingAfterBreak="0">
    <w:nsid w:val="7BE540EA"/>
    <w:multiLevelType w:val="multilevel"/>
    <w:tmpl w:val="7BE540EA"/>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num w:numId="1">
    <w:abstractNumId w:val="6"/>
  </w:num>
  <w:num w:numId="2">
    <w:abstractNumId w:val="3"/>
  </w:num>
  <w:num w:numId="3">
    <w:abstractNumId w:val="4"/>
  </w:num>
  <w:num w:numId="4">
    <w:abstractNumId w:val="5"/>
  </w:num>
  <w:num w:numId="5">
    <w:abstractNumId w:val="2"/>
  </w:num>
  <w:num w:numId="6">
    <w:abstractNumId w:val="7"/>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7D3B"/>
    <w:rsid w:val="0002017C"/>
    <w:rsid w:val="00030174"/>
    <w:rsid w:val="00032D2F"/>
    <w:rsid w:val="00040C48"/>
    <w:rsid w:val="00044E5C"/>
    <w:rsid w:val="0004579C"/>
    <w:rsid w:val="00056D04"/>
    <w:rsid w:val="00060C52"/>
    <w:rsid w:val="00062FBD"/>
    <w:rsid w:val="000666F3"/>
    <w:rsid w:val="00095723"/>
    <w:rsid w:val="000A47FA"/>
    <w:rsid w:val="000A5AD4"/>
    <w:rsid w:val="000A65D3"/>
    <w:rsid w:val="000B0F14"/>
    <w:rsid w:val="000B1A84"/>
    <w:rsid w:val="000B1E33"/>
    <w:rsid w:val="000C523E"/>
    <w:rsid w:val="000D1FC8"/>
    <w:rsid w:val="000D689F"/>
    <w:rsid w:val="000E3617"/>
    <w:rsid w:val="000E7B7B"/>
    <w:rsid w:val="000E7D62"/>
    <w:rsid w:val="00103357"/>
    <w:rsid w:val="00113121"/>
    <w:rsid w:val="00122773"/>
    <w:rsid w:val="00123C9F"/>
    <w:rsid w:val="00126190"/>
    <w:rsid w:val="00130F17"/>
    <w:rsid w:val="001320BF"/>
    <w:rsid w:val="001328D7"/>
    <w:rsid w:val="00134B4C"/>
    <w:rsid w:val="001407E4"/>
    <w:rsid w:val="00150276"/>
    <w:rsid w:val="00153311"/>
    <w:rsid w:val="0016107A"/>
    <w:rsid w:val="001626FE"/>
    <w:rsid w:val="00163BC4"/>
    <w:rsid w:val="00186C10"/>
    <w:rsid w:val="00190BF1"/>
    <w:rsid w:val="00191062"/>
    <w:rsid w:val="00192B72"/>
    <w:rsid w:val="0019510E"/>
    <w:rsid w:val="001A29D8"/>
    <w:rsid w:val="001A5CAA"/>
    <w:rsid w:val="001A5D06"/>
    <w:rsid w:val="001B0427"/>
    <w:rsid w:val="001B050A"/>
    <w:rsid w:val="001C748D"/>
    <w:rsid w:val="001D12A9"/>
    <w:rsid w:val="001D3A51"/>
    <w:rsid w:val="001E10D2"/>
    <w:rsid w:val="001E25B4"/>
    <w:rsid w:val="001E44FE"/>
    <w:rsid w:val="001E68EB"/>
    <w:rsid w:val="001E708C"/>
    <w:rsid w:val="001F1A25"/>
    <w:rsid w:val="00200595"/>
    <w:rsid w:val="00200C1B"/>
    <w:rsid w:val="00204835"/>
    <w:rsid w:val="00204DF0"/>
    <w:rsid w:val="00215A94"/>
    <w:rsid w:val="0021796B"/>
    <w:rsid w:val="00217C90"/>
    <w:rsid w:val="00225572"/>
    <w:rsid w:val="00231920"/>
    <w:rsid w:val="0023195C"/>
    <w:rsid w:val="0024282C"/>
    <w:rsid w:val="002460DC"/>
    <w:rsid w:val="00250985"/>
    <w:rsid w:val="002556F6"/>
    <w:rsid w:val="002654A7"/>
    <w:rsid w:val="0027050B"/>
    <w:rsid w:val="0027440C"/>
    <w:rsid w:val="00283105"/>
    <w:rsid w:val="00284C4C"/>
    <w:rsid w:val="00287E68"/>
    <w:rsid w:val="00292395"/>
    <w:rsid w:val="00296529"/>
    <w:rsid w:val="002A6D31"/>
    <w:rsid w:val="002B27FB"/>
    <w:rsid w:val="002B6327"/>
    <w:rsid w:val="002B685A"/>
    <w:rsid w:val="002C57D2"/>
    <w:rsid w:val="002D081B"/>
    <w:rsid w:val="002D7815"/>
    <w:rsid w:val="002E0D56"/>
    <w:rsid w:val="002E1020"/>
    <w:rsid w:val="002E15F0"/>
    <w:rsid w:val="002E3B40"/>
    <w:rsid w:val="002E73B3"/>
    <w:rsid w:val="003008A1"/>
    <w:rsid w:val="00300B26"/>
    <w:rsid w:val="00300E10"/>
    <w:rsid w:val="00315186"/>
    <w:rsid w:val="0032671D"/>
    <w:rsid w:val="0033343E"/>
    <w:rsid w:val="00343E80"/>
    <w:rsid w:val="003512C2"/>
    <w:rsid w:val="00371FB6"/>
    <w:rsid w:val="003763C1"/>
    <w:rsid w:val="0037687D"/>
    <w:rsid w:val="00376BBE"/>
    <w:rsid w:val="00377B97"/>
    <w:rsid w:val="00390BF8"/>
    <w:rsid w:val="0039224F"/>
    <w:rsid w:val="003950D2"/>
    <w:rsid w:val="003A43A4"/>
    <w:rsid w:val="003A7E18"/>
    <w:rsid w:val="003C4C86"/>
    <w:rsid w:val="003C6258"/>
    <w:rsid w:val="003C67A7"/>
    <w:rsid w:val="003D5C7F"/>
    <w:rsid w:val="003E2904"/>
    <w:rsid w:val="003F39AE"/>
    <w:rsid w:val="003F3BF8"/>
    <w:rsid w:val="003F3CE1"/>
    <w:rsid w:val="003F6B96"/>
    <w:rsid w:val="00401927"/>
    <w:rsid w:val="0041027F"/>
    <w:rsid w:val="00412475"/>
    <w:rsid w:val="00421D61"/>
    <w:rsid w:val="00422079"/>
    <w:rsid w:val="00423789"/>
    <w:rsid w:val="00423E3F"/>
    <w:rsid w:val="004244DC"/>
    <w:rsid w:val="00427350"/>
    <w:rsid w:val="0043022A"/>
    <w:rsid w:val="00433DEC"/>
    <w:rsid w:val="00434413"/>
    <w:rsid w:val="00440F43"/>
    <w:rsid w:val="00441B6F"/>
    <w:rsid w:val="00446221"/>
    <w:rsid w:val="00446B49"/>
    <w:rsid w:val="00447D33"/>
    <w:rsid w:val="00450E62"/>
    <w:rsid w:val="00453568"/>
    <w:rsid w:val="004539DB"/>
    <w:rsid w:val="00462F08"/>
    <w:rsid w:val="004635B6"/>
    <w:rsid w:val="004644E1"/>
    <w:rsid w:val="00465B8F"/>
    <w:rsid w:val="00471A80"/>
    <w:rsid w:val="00487AAD"/>
    <w:rsid w:val="004962E9"/>
    <w:rsid w:val="004A6602"/>
    <w:rsid w:val="004D305E"/>
    <w:rsid w:val="004D4277"/>
    <w:rsid w:val="004E0341"/>
    <w:rsid w:val="004E10E2"/>
    <w:rsid w:val="004F0493"/>
    <w:rsid w:val="004F1440"/>
    <w:rsid w:val="00501A97"/>
    <w:rsid w:val="00502516"/>
    <w:rsid w:val="00505F06"/>
    <w:rsid w:val="00506828"/>
    <w:rsid w:val="00507F29"/>
    <w:rsid w:val="00510454"/>
    <w:rsid w:val="0053056E"/>
    <w:rsid w:val="00534C04"/>
    <w:rsid w:val="005420DF"/>
    <w:rsid w:val="00545938"/>
    <w:rsid w:val="00554FDA"/>
    <w:rsid w:val="00567F7A"/>
    <w:rsid w:val="00583856"/>
    <w:rsid w:val="00587C56"/>
    <w:rsid w:val="005A066C"/>
    <w:rsid w:val="005A59E2"/>
    <w:rsid w:val="005B6BFF"/>
    <w:rsid w:val="005C4D8F"/>
    <w:rsid w:val="005C784C"/>
    <w:rsid w:val="005D17F6"/>
    <w:rsid w:val="005D264C"/>
    <w:rsid w:val="005D6B64"/>
    <w:rsid w:val="005E5539"/>
    <w:rsid w:val="005F06D5"/>
    <w:rsid w:val="005F18FD"/>
    <w:rsid w:val="00602BF5"/>
    <w:rsid w:val="00606E08"/>
    <w:rsid w:val="00617FDD"/>
    <w:rsid w:val="00633614"/>
    <w:rsid w:val="00633F68"/>
    <w:rsid w:val="00634DDF"/>
    <w:rsid w:val="00636E87"/>
    <w:rsid w:val="00636EB2"/>
    <w:rsid w:val="006375B8"/>
    <w:rsid w:val="00641BF0"/>
    <w:rsid w:val="0064394E"/>
    <w:rsid w:val="00643C9D"/>
    <w:rsid w:val="0066510A"/>
    <w:rsid w:val="00673F9F"/>
    <w:rsid w:val="00674942"/>
    <w:rsid w:val="0067676B"/>
    <w:rsid w:val="00680D9E"/>
    <w:rsid w:val="00684FDE"/>
    <w:rsid w:val="00686953"/>
    <w:rsid w:val="00687DEA"/>
    <w:rsid w:val="00687E67"/>
    <w:rsid w:val="00696161"/>
    <w:rsid w:val="006967F7"/>
    <w:rsid w:val="006970B4"/>
    <w:rsid w:val="006A250C"/>
    <w:rsid w:val="006A71D0"/>
    <w:rsid w:val="006B21D3"/>
    <w:rsid w:val="006B57D0"/>
    <w:rsid w:val="006C2012"/>
    <w:rsid w:val="006D30FF"/>
    <w:rsid w:val="006D3435"/>
    <w:rsid w:val="006D6940"/>
    <w:rsid w:val="006D7C2A"/>
    <w:rsid w:val="006D7DFB"/>
    <w:rsid w:val="006E61C4"/>
    <w:rsid w:val="006E77F2"/>
    <w:rsid w:val="006F11EC"/>
    <w:rsid w:val="0070082C"/>
    <w:rsid w:val="00720C9B"/>
    <w:rsid w:val="00731CD9"/>
    <w:rsid w:val="00734D99"/>
    <w:rsid w:val="007369E6"/>
    <w:rsid w:val="00746E59"/>
    <w:rsid w:val="007535BE"/>
    <w:rsid w:val="00754758"/>
    <w:rsid w:val="00754C9A"/>
    <w:rsid w:val="0075599A"/>
    <w:rsid w:val="00761D52"/>
    <w:rsid w:val="00772D52"/>
    <w:rsid w:val="007739DA"/>
    <w:rsid w:val="00775744"/>
    <w:rsid w:val="0077749E"/>
    <w:rsid w:val="00777BF2"/>
    <w:rsid w:val="0078438F"/>
    <w:rsid w:val="00790ADA"/>
    <w:rsid w:val="00793B60"/>
    <w:rsid w:val="00796215"/>
    <w:rsid w:val="007A51BD"/>
    <w:rsid w:val="007A7667"/>
    <w:rsid w:val="007B45FB"/>
    <w:rsid w:val="007D1C0E"/>
    <w:rsid w:val="007D2288"/>
    <w:rsid w:val="007E088F"/>
    <w:rsid w:val="007E5510"/>
    <w:rsid w:val="007F7B32"/>
    <w:rsid w:val="00804BC2"/>
    <w:rsid w:val="00812E0A"/>
    <w:rsid w:val="0081431A"/>
    <w:rsid w:val="00817F4A"/>
    <w:rsid w:val="0083216F"/>
    <w:rsid w:val="00860000"/>
    <w:rsid w:val="00863BD3"/>
    <w:rsid w:val="00864084"/>
    <w:rsid w:val="008641ED"/>
    <w:rsid w:val="00866D66"/>
    <w:rsid w:val="008671C6"/>
    <w:rsid w:val="008674C6"/>
    <w:rsid w:val="00867AB0"/>
    <w:rsid w:val="00870914"/>
    <w:rsid w:val="008741D3"/>
    <w:rsid w:val="00875803"/>
    <w:rsid w:val="00883A52"/>
    <w:rsid w:val="008863E0"/>
    <w:rsid w:val="0089137C"/>
    <w:rsid w:val="008B459E"/>
    <w:rsid w:val="008D29E0"/>
    <w:rsid w:val="008D48C7"/>
    <w:rsid w:val="008E13AE"/>
    <w:rsid w:val="008E1506"/>
    <w:rsid w:val="008E21C6"/>
    <w:rsid w:val="008E710C"/>
    <w:rsid w:val="008F276E"/>
    <w:rsid w:val="008F69D6"/>
    <w:rsid w:val="008F6D45"/>
    <w:rsid w:val="00901813"/>
    <w:rsid w:val="00902823"/>
    <w:rsid w:val="009044F1"/>
    <w:rsid w:val="0090466C"/>
    <w:rsid w:val="009058C4"/>
    <w:rsid w:val="00915CA6"/>
    <w:rsid w:val="00927834"/>
    <w:rsid w:val="0093275B"/>
    <w:rsid w:val="009500A6"/>
    <w:rsid w:val="00955D61"/>
    <w:rsid w:val="00957C18"/>
    <w:rsid w:val="009659BA"/>
    <w:rsid w:val="0096709F"/>
    <w:rsid w:val="00974FF5"/>
    <w:rsid w:val="0097549B"/>
    <w:rsid w:val="00983040"/>
    <w:rsid w:val="009B390B"/>
    <w:rsid w:val="009B3FB9"/>
    <w:rsid w:val="009C2465"/>
    <w:rsid w:val="009C6188"/>
    <w:rsid w:val="009D35A0"/>
    <w:rsid w:val="009D7EB7"/>
    <w:rsid w:val="009E048A"/>
    <w:rsid w:val="009E08E9"/>
    <w:rsid w:val="009E1670"/>
    <w:rsid w:val="009E3DB9"/>
    <w:rsid w:val="009E4765"/>
    <w:rsid w:val="009E6E35"/>
    <w:rsid w:val="009F0EDA"/>
    <w:rsid w:val="009F55B6"/>
    <w:rsid w:val="009F69F7"/>
    <w:rsid w:val="00A03B96"/>
    <w:rsid w:val="00A05B19"/>
    <w:rsid w:val="00A1134E"/>
    <w:rsid w:val="00A14A28"/>
    <w:rsid w:val="00A21D84"/>
    <w:rsid w:val="00A24E7E"/>
    <w:rsid w:val="00A258C3"/>
    <w:rsid w:val="00A347C0"/>
    <w:rsid w:val="00A50B4A"/>
    <w:rsid w:val="00A51431"/>
    <w:rsid w:val="00A51A29"/>
    <w:rsid w:val="00A539AD"/>
    <w:rsid w:val="00A55F66"/>
    <w:rsid w:val="00A62E83"/>
    <w:rsid w:val="00A63C48"/>
    <w:rsid w:val="00A7080A"/>
    <w:rsid w:val="00A82047"/>
    <w:rsid w:val="00A822D3"/>
    <w:rsid w:val="00A94063"/>
    <w:rsid w:val="00AA6219"/>
    <w:rsid w:val="00AA74E0"/>
    <w:rsid w:val="00AB3091"/>
    <w:rsid w:val="00AB703F"/>
    <w:rsid w:val="00AC0B86"/>
    <w:rsid w:val="00AC6BB8"/>
    <w:rsid w:val="00AD24E3"/>
    <w:rsid w:val="00AE008F"/>
    <w:rsid w:val="00AE2C8A"/>
    <w:rsid w:val="00AE4489"/>
    <w:rsid w:val="00AF4F86"/>
    <w:rsid w:val="00B01FCD"/>
    <w:rsid w:val="00B052CE"/>
    <w:rsid w:val="00B134B8"/>
    <w:rsid w:val="00B1776C"/>
    <w:rsid w:val="00B26296"/>
    <w:rsid w:val="00B52583"/>
    <w:rsid w:val="00B52896"/>
    <w:rsid w:val="00B52E20"/>
    <w:rsid w:val="00B91080"/>
    <w:rsid w:val="00B921C6"/>
    <w:rsid w:val="00B95236"/>
    <w:rsid w:val="00B96BD9"/>
    <w:rsid w:val="00BA1B01"/>
    <w:rsid w:val="00BA2641"/>
    <w:rsid w:val="00BB37AA"/>
    <w:rsid w:val="00BB4A6E"/>
    <w:rsid w:val="00BB6588"/>
    <w:rsid w:val="00BC53A0"/>
    <w:rsid w:val="00BD1415"/>
    <w:rsid w:val="00BE4810"/>
    <w:rsid w:val="00BE62AD"/>
    <w:rsid w:val="00BF121F"/>
    <w:rsid w:val="00BF1580"/>
    <w:rsid w:val="00BF1F80"/>
    <w:rsid w:val="00C12E40"/>
    <w:rsid w:val="00C166EF"/>
    <w:rsid w:val="00C17EB0"/>
    <w:rsid w:val="00C257AD"/>
    <w:rsid w:val="00C27F5F"/>
    <w:rsid w:val="00C30A0F"/>
    <w:rsid w:val="00C30DA2"/>
    <w:rsid w:val="00C37E61"/>
    <w:rsid w:val="00C611BB"/>
    <w:rsid w:val="00C6786E"/>
    <w:rsid w:val="00C70F1B"/>
    <w:rsid w:val="00C71A47"/>
    <w:rsid w:val="00C7464C"/>
    <w:rsid w:val="00C75AA6"/>
    <w:rsid w:val="00C81895"/>
    <w:rsid w:val="00C8312F"/>
    <w:rsid w:val="00C83B94"/>
    <w:rsid w:val="00C85588"/>
    <w:rsid w:val="00C85AF6"/>
    <w:rsid w:val="00C9370B"/>
    <w:rsid w:val="00C944BB"/>
    <w:rsid w:val="00C95FCC"/>
    <w:rsid w:val="00CA795E"/>
    <w:rsid w:val="00CA7963"/>
    <w:rsid w:val="00CB2367"/>
    <w:rsid w:val="00CB6469"/>
    <w:rsid w:val="00CC1243"/>
    <w:rsid w:val="00CC4354"/>
    <w:rsid w:val="00CC5E97"/>
    <w:rsid w:val="00CD060E"/>
    <w:rsid w:val="00CD48E7"/>
    <w:rsid w:val="00CD6755"/>
    <w:rsid w:val="00CD6856"/>
    <w:rsid w:val="00CE0089"/>
    <w:rsid w:val="00CE4460"/>
    <w:rsid w:val="00CE793C"/>
    <w:rsid w:val="00CF193C"/>
    <w:rsid w:val="00D022C1"/>
    <w:rsid w:val="00D07107"/>
    <w:rsid w:val="00D173F1"/>
    <w:rsid w:val="00D22D0C"/>
    <w:rsid w:val="00D27414"/>
    <w:rsid w:val="00D57BAF"/>
    <w:rsid w:val="00D74CB0"/>
    <w:rsid w:val="00D80615"/>
    <w:rsid w:val="00D8295D"/>
    <w:rsid w:val="00D847EC"/>
    <w:rsid w:val="00D9791F"/>
    <w:rsid w:val="00D97AD1"/>
    <w:rsid w:val="00DA2B70"/>
    <w:rsid w:val="00DC2A65"/>
    <w:rsid w:val="00DC736F"/>
    <w:rsid w:val="00DE15F0"/>
    <w:rsid w:val="00DE5663"/>
    <w:rsid w:val="00DE78AA"/>
    <w:rsid w:val="00DF6214"/>
    <w:rsid w:val="00E053D0"/>
    <w:rsid w:val="00E12C1C"/>
    <w:rsid w:val="00E13101"/>
    <w:rsid w:val="00E158F5"/>
    <w:rsid w:val="00E15994"/>
    <w:rsid w:val="00E3114E"/>
    <w:rsid w:val="00E31A70"/>
    <w:rsid w:val="00E35B02"/>
    <w:rsid w:val="00E5146F"/>
    <w:rsid w:val="00E5461D"/>
    <w:rsid w:val="00E60408"/>
    <w:rsid w:val="00E66496"/>
    <w:rsid w:val="00E66B35"/>
    <w:rsid w:val="00E66E10"/>
    <w:rsid w:val="00E769F6"/>
    <w:rsid w:val="00E8407C"/>
    <w:rsid w:val="00E84491"/>
    <w:rsid w:val="00E84F3C"/>
    <w:rsid w:val="00E87D46"/>
    <w:rsid w:val="00E95478"/>
    <w:rsid w:val="00E95566"/>
    <w:rsid w:val="00E969EC"/>
    <w:rsid w:val="00EA012C"/>
    <w:rsid w:val="00EA0C00"/>
    <w:rsid w:val="00EB3471"/>
    <w:rsid w:val="00EC6A55"/>
    <w:rsid w:val="00ED0288"/>
    <w:rsid w:val="00EE2B17"/>
    <w:rsid w:val="00EE52CB"/>
    <w:rsid w:val="00EE5AD4"/>
    <w:rsid w:val="00EF581D"/>
    <w:rsid w:val="00EF7BFF"/>
    <w:rsid w:val="00EF7FD8"/>
    <w:rsid w:val="00F01881"/>
    <w:rsid w:val="00F06F59"/>
    <w:rsid w:val="00F15323"/>
    <w:rsid w:val="00F15CDF"/>
    <w:rsid w:val="00F17988"/>
    <w:rsid w:val="00F34F38"/>
    <w:rsid w:val="00F407F6"/>
    <w:rsid w:val="00F42D35"/>
    <w:rsid w:val="00F456FA"/>
    <w:rsid w:val="00F469F0"/>
    <w:rsid w:val="00F53273"/>
    <w:rsid w:val="00F61287"/>
    <w:rsid w:val="00F65C24"/>
    <w:rsid w:val="00F72263"/>
    <w:rsid w:val="00F755E4"/>
    <w:rsid w:val="00F77D02"/>
    <w:rsid w:val="00F81A73"/>
    <w:rsid w:val="00F95A3F"/>
    <w:rsid w:val="00FB1F56"/>
    <w:rsid w:val="00FB3A86"/>
    <w:rsid w:val="00FB6D6E"/>
    <w:rsid w:val="00FC3590"/>
    <w:rsid w:val="00FC7C63"/>
    <w:rsid w:val="00FD037B"/>
    <w:rsid w:val="00FD152F"/>
    <w:rsid w:val="00FD36C8"/>
    <w:rsid w:val="00FD7E85"/>
    <w:rsid w:val="00FE5902"/>
    <w:rsid w:val="00FE6713"/>
    <w:rsid w:val="00FF5035"/>
    <w:rsid w:val="00FF6398"/>
    <w:rsid w:val="5517705C"/>
    <w:rsid w:val="59B65C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36DE816"/>
  <w15:docId w15:val="{A00CD679-F515-4CB9-B208-04E367A8D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pPr>
      <w:keepNext/>
      <w:keepLines/>
      <w:spacing w:before="40"/>
      <w:outlineLvl w:val="2"/>
    </w:pPr>
    <w:rPr>
      <w:rFonts w:asciiTheme="majorHAnsi" w:eastAsiaTheme="majorEastAsia" w:hAnsiTheme="majorHAnsi" w:cstheme="majorBidi"/>
      <w:color w:val="781049"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style>
  <w:style w:type="paragraph" w:styleId="Signature">
    <w:name w:val="Signature"/>
    <w:basedOn w:val="Normal"/>
    <w:qFormat/>
    <w:pPr>
      <w:ind w:left="4320"/>
    </w:p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ing3Char">
    <w:name w:val="Heading 3 Char"/>
    <w:basedOn w:val="DefaultParagraphFont"/>
    <w:link w:val="Heading3"/>
    <w:semiHidden/>
    <w:rPr>
      <w:rFonts w:asciiTheme="majorHAnsi" w:eastAsiaTheme="majorEastAsia" w:hAnsiTheme="majorHAnsi" w:cstheme="majorBidi"/>
      <w:color w:val="781049" w:themeColor="accent1" w:themeShade="80"/>
      <w:sz w:val="24"/>
      <w:szCs w:val="24"/>
    </w:rPr>
  </w:style>
  <w:style w:type="paragraph" w:styleId="ListParagraph">
    <w:name w:val="List Paragraph"/>
    <w:basedOn w:val="Normal"/>
    <w:uiPriority w:val="34"/>
    <w:qFormat/>
    <w:pPr>
      <w:ind w:left="720"/>
      <w:contextualSpacing/>
    </w:pPr>
  </w:style>
  <w:style w:type="paragraph" w:styleId="NormalWeb">
    <w:name w:val="Normal (Web)"/>
    <w:basedOn w:val="Normal"/>
    <w:semiHidden/>
    <w:unhideWhenUsed/>
    <w:rsid w:val="00B052CE"/>
    <w:rPr>
      <w:rFonts w:ascii="Times New Roman" w:hAnsi="Times New Roman"/>
      <w:sz w:val="24"/>
      <w:szCs w:val="24"/>
    </w:rPr>
  </w:style>
  <w:style w:type="character" w:styleId="IntenseEmphasis">
    <w:name w:val="Intense Emphasis"/>
    <w:basedOn w:val="DefaultParagraphFont"/>
    <w:uiPriority w:val="21"/>
    <w:qFormat/>
    <w:rsid w:val="00545938"/>
    <w:rPr>
      <w:i/>
      <w:iCs/>
      <w:color w:val="B3186D" w:themeColor="accent1" w:themeShade="BF"/>
    </w:rPr>
  </w:style>
  <w:style w:type="paragraph" w:styleId="NoSpacing">
    <w:name w:val="No Spacing"/>
    <w:uiPriority w:val="1"/>
    <w:qFormat/>
    <w:rsid w:val="00634DDF"/>
    <w:rPr>
      <w:rFonts w:asciiTheme="minorHAnsi" w:eastAsiaTheme="minorHAnsi" w:hAnsiTheme="minorHAnsi" w:cstheme="minorBidi"/>
      <w:kern w:val="2"/>
      <w:sz w:val="22"/>
      <w:szCs w:val="22"/>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983280">
      <w:bodyDiv w:val="1"/>
      <w:marLeft w:val="0"/>
      <w:marRight w:val="0"/>
      <w:marTop w:val="0"/>
      <w:marBottom w:val="0"/>
      <w:divBdr>
        <w:top w:val="none" w:sz="0" w:space="0" w:color="auto"/>
        <w:left w:val="none" w:sz="0" w:space="0" w:color="auto"/>
        <w:bottom w:val="none" w:sz="0" w:space="0" w:color="auto"/>
        <w:right w:val="none" w:sz="0" w:space="0" w:color="auto"/>
      </w:divBdr>
    </w:div>
    <w:div w:id="525412565">
      <w:bodyDiv w:val="1"/>
      <w:marLeft w:val="0"/>
      <w:marRight w:val="0"/>
      <w:marTop w:val="0"/>
      <w:marBottom w:val="0"/>
      <w:divBdr>
        <w:top w:val="none" w:sz="0" w:space="0" w:color="auto"/>
        <w:left w:val="none" w:sz="0" w:space="0" w:color="auto"/>
        <w:bottom w:val="none" w:sz="0" w:space="0" w:color="auto"/>
        <w:right w:val="none" w:sz="0" w:space="0" w:color="auto"/>
      </w:divBdr>
    </w:div>
    <w:div w:id="799156183">
      <w:bodyDiv w:val="1"/>
      <w:marLeft w:val="0"/>
      <w:marRight w:val="0"/>
      <w:marTop w:val="0"/>
      <w:marBottom w:val="0"/>
      <w:divBdr>
        <w:top w:val="none" w:sz="0" w:space="0" w:color="auto"/>
        <w:left w:val="none" w:sz="0" w:space="0" w:color="auto"/>
        <w:bottom w:val="none" w:sz="0" w:space="0" w:color="auto"/>
        <w:right w:val="none" w:sz="0" w:space="0" w:color="auto"/>
      </w:divBdr>
    </w:div>
    <w:div w:id="979119523">
      <w:bodyDiv w:val="1"/>
      <w:marLeft w:val="0"/>
      <w:marRight w:val="0"/>
      <w:marTop w:val="0"/>
      <w:marBottom w:val="0"/>
      <w:divBdr>
        <w:top w:val="none" w:sz="0" w:space="0" w:color="auto"/>
        <w:left w:val="none" w:sz="0" w:space="0" w:color="auto"/>
        <w:bottom w:val="none" w:sz="0" w:space="0" w:color="auto"/>
        <w:right w:val="none" w:sz="0" w:space="0" w:color="auto"/>
      </w:divBdr>
    </w:div>
    <w:div w:id="1037270881">
      <w:bodyDiv w:val="1"/>
      <w:marLeft w:val="0"/>
      <w:marRight w:val="0"/>
      <w:marTop w:val="0"/>
      <w:marBottom w:val="0"/>
      <w:divBdr>
        <w:top w:val="none" w:sz="0" w:space="0" w:color="auto"/>
        <w:left w:val="none" w:sz="0" w:space="0" w:color="auto"/>
        <w:bottom w:val="none" w:sz="0" w:space="0" w:color="auto"/>
        <w:right w:val="none" w:sz="0" w:space="0" w:color="auto"/>
      </w:divBdr>
    </w:div>
    <w:div w:id="1303847752">
      <w:bodyDiv w:val="1"/>
      <w:marLeft w:val="0"/>
      <w:marRight w:val="0"/>
      <w:marTop w:val="0"/>
      <w:marBottom w:val="0"/>
      <w:divBdr>
        <w:top w:val="none" w:sz="0" w:space="0" w:color="auto"/>
        <w:left w:val="none" w:sz="0" w:space="0" w:color="auto"/>
        <w:bottom w:val="none" w:sz="0" w:space="0" w:color="auto"/>
        <w:right w:val="none" w:sz="0" w:space="0" w:color="auto"/>
      </w:divBdr>
    </w:div>
    <w:div w:id="1374188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tx>
            <c:strRef>
              <c:f>Sheet1!$B$1</c:f>
              <c:strCache>
                <c:ptCount val="1"/>
                <c:pt idx="0">
                  <c:v>percentages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F6FF-4283-A3B5-68A6000BEF3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F6FF-4283-A3B5-68A6000BEF38}"/>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Sheet1!$A$2:$A$3</c:f>
              <c:strCache>
                <c:ptCount val="2"/>
                <c:pt idx="0">
                  <c:v>abnormal umbilical doppler USS</c:v>
                </c:pt>
                <c:pt idx="1">
                  <c:v>normal umbilical doppler USS</c:v>
                </c:pt>
              </c:strCache>
            </c:strRef>
          </c:cat>
          <c:val>
            <c:numRef>
              <c:f>Sheet1!$B$2:$B$3</c:f>
              <c:numCache>
                <c:formatCode>0.00%</c:formatCode>
                <c:ptCount val="2"/>
                <c:pt idx="0">
                  <c:v>0.47420000000000001</c:v>
                </c:pt>
                <c:pt idx="1">
                  <c:v>0.52580000000000005</c:v>
                </c:pt>
              </c:numCache>
            </c:numRef>
          </c:val>
          <c:extLst>
            <c:ext xmlns:c16="http://schemas.microsoft.com/office/drawing/2014/chart" uri="{C3380CC4-5D6E-409C-BE32-E72D297353CC}">
              <c16:uniqueId val="{00000004-F6FF-4283-A3B5-68A6000BEF38}"/>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legend>
    <c:plotVisOnly val="1"/>
    <c:dispBlanksAs val="gap"/>
    <c:showDLblsOverMax val="0"/>
    <c:extLst>
      <c:ext uri="{0b15fc19-7d7d-44ad-8c2d-2c3a37ce22c3}">
        <chartProps xmlns="https://web.wps.cn/et/2018/main" chartId="{d207d057-e80b-4515-9e19-ace8093cb98c}"/>
      </c:ext>
    </c:extLst>
  </c:chart>
  <c:spPr>
    <a:solidFill>
      <a:schemeClr val="bg1"/>
    </a:solidFill>
    <a:ln w="9525" cap="flat" cmpd="sng" algn="ctr">
      <a:solidFill>
        <a:schemeClr val="tx2">
          <a:lumMod val="15000"/>
          <a:lumOff val="85000"/>
        </a:schemeClr>
      </a:solidFill>
      <a:round/>
    </a:ln>
    <a:effectLst/>
  </c:spPr>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921979763501197E-2"/>
          <c:y val="4.5567693420001797E-2"/>
          <c:w val="0.92861148360356005"/>
          <c:h val="0.63623499142367101"/>
        </c:manualLayout>
      </c:layout>
      <c:barChart>
        <c:barDir val="col"/>
        <c:grouping val="clustered"/>
        <c:varyColors val="0"/>
        <c:ser>
          <c:idx val="0"/>
          <c:order val="0"/>
          <c:tx>
            <c:strRef>
              <c:f>Sheet1!$B$1</c:f>
              <c:strCache>
                <c:ptCount val="1"/>
                <c:pt idx="0">
                  <c:v>Fetal APGAR SCORE</c:v>
                </c:pt>
              </c:strCache>
            </c:strRef>
          </c:tx>
          <c:spPr>
            <a:solidFill>
              <a:schemeClr val="accent3">
                <a:lumMod val="60000"/>
                <a:lumOff val="40000"/>
              </a:schemeClr>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Normal</c:v>
                </c:pt>
                <c:pt idx="1">
                  <c:v>Moderate birth asphyxia</c:v>
                </c:pt>
                <c:pt idx="2">
                  <c:v>Severe birth asphyxia</c:v>
                </c:pt>
                <c:pt idx="3">
                  <c:v>Normal</c:v>
                </c:pt>
                <c:pt idx="4">
                  <c:v>LBW</c:v>
                </c:pt>
                <c:pt idx="5">
                  <c:v>VLBW</c:v>
                </c:pt>
                <c:pt idx="6">
                  <c:v>Live Birth</c:v>
                </c:pt>
                <c:pt idx="7">
                  <c:v>Fresh Stillbirth</c:v>
                </c:pt>
                <c:pt idx="8">
                  <c:v>Macerated Stillbirth</c:v>
                </c:pt>
                <c:pt idx="9">
                  <c:v>Postnatal Death</c:v>
                </c:pt>
                <c:pt idx="10">
                  <c:v>Preterm</c:v>
                </c:pt>
                <c:pt idx="11">
                  <c:v>Term</c:v>
                </c:pt>
              </c:strCache>
            </c:strRef>
          </c:cat>
          <c:val>
            <c:numRef>
              <c:f>Sheet1!$B$2:$B$13</c:f>
              <c:numCache>
                <c:formatCode>0%</c:formatCode>
                <c:ptCount val="12"/>
                <c:pt idx="0" formatCode="0.00%">
                  <c:v>0.79800000000000004</c:v>
                </c:pt>
                <c:pt idx="1">
                  <c:v>0.14000000000000001</c:v>
                </c:pt>
                <c:pt idx="2" formatCode="0.00%">
                  <c:v>6.0999999999999999E-2</c:v>
                </c:pt>
              </c:numCache>
            </c:numRef>
          </c:val>
          <c:extLst>
            <c:ext xmlns:c16="http://schemas.microsoft.com/office/drawing/2014/chart" uri="{C3380CC4-5D6E-409C-BE32-E72D297353CC}">
              <c16:uniqueId val="{00000000-97F7-4891-B3DF-00889B7FE22B}"/>
            </c:ext>
          </c:extLst>
        </c:ser>
        <c:ser>
          <c:idx val="1"/>
          <c:order val="1"/>
          <c:tx>
            <c:strRef>
              <c:f>Sheet1!$C$1</c:f>
              <c:strCache>
                <c:ptCount val="1"/>
                <c:pt idx="0">
                  <c:v>Birth Weight</c:v>
                </c:pt>
              </c:strCache>
            </c:strRef>
          </c:tx>
          <c:spPr>
            <a:solidFill>
              <a:srgbClr val="92D050"/>
            </a:solidFill>
            <a:ln>
              <a:noFill/>
            </a:ln>
            <a:effectLst/>
          </c:spPr>
          <c:invertIfNegative val="0"/>
          <c:dLbls>
            <c:dLbl>
              <c:idx val="3"/>
              <c:layout>
                <c:manualLayout>
                  <c:x val="0"/>
                  <c:y val="1.50300601202405E-3"/>
                </c:manualLayout>
              </c:layout>
              <c:tx>
                <c:rich>
                  <a:bodyPr/>
                  <a:lstStyle/>
                  <a:p>
                    <a:r>
                      <a:rPr lang="en-US"/>
                      <a:t>67.2%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F7-4891-B3DF-00889B7FE22B}"/>
                </c:ext>
              </c:extLst>
            </c:dLbl>
            <c:dLbl>
              <c:idx val="4"/>
              <c:layout>
                <c:manualLayout>
                  <c:x val="-2.0724125320004901E-3"/>
                  <c:y val="0"/>
                </c:manualLayout>
              </c:layout>
              <c:tx>
                <c:rich>
                  <a:bodyPr/>
                  <a:lstStyle/>
                  <a:p>
                    <a:r>
                      <a:rPr lang="en-US"/>
                      <a:t>22.4%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F7-4891-B3DF-00889B7FE22B}"/>
                </c:ext>
              </c:extLst>
            </c:dLbl>
            <c:dLbl>
              <c:idx val="5"/>
              <c:tx>
                <c:rich>
                  <a:bodyPr/>
                  <a:lstStyle/>
                  <a:p>
                    <a:r>
                      <a:rPr lang="en-US"/>
                      <a:t>10.3%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F7-4891-B3DF-00889B7FE22B}"/>
                </c:ext>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Normal</c:v>
                </c:pt>
                <c:pt idx="1">
                  <c:v>Moderate birth asphyxia</c:v>
                </c:pt>
                <c:pt idx="2">
                  <c:v>Severe birth asphyxia</c:v>
                </c:pt>
                <c:pt idx="3">
                  <c:v>Normal</c:v>
                </c:pt>
                <c:pt idx="4">
                  <c:v>LBW</c:v>
                </c:pt>
                <c:pt idx="5">
                  <c:v>VLBW</c:v>
                </c:pt>
                <c:pt idx="6">
                  <c:v>Live Birth</c:v>
                </c:pt>
                <c:pt idx="7">
                  <c:v>Fresh Stillbirth</c:v>
                </c:pt>
                <c:pt idx="8">
                  <c:v>Macerated Stillbirth</c:v>
                </c:pt>
                <c:pt idx="9">
                  <c:v>Postnatal Death</c:v>
                </c:pt>
                <c:pt idx="10">
                  <c:v>Preterm</c:v>
                </c:pt>
                <c:pt idx="11">
                  <c:v>Term</c:v>
                </c:pt>
              </c:strCache>
            </c:strRef>
          </c:cat>
          <c:val>
            <c:numRef>
              <c:f>Sheet1!$C$2:$C$13</c:f>
              <c:numCache>
                <c:formatCode>General</c:formatCode>
                <c:ptCount val="12"/>
                <c:pt idx="3" formatCode="0.00%">
                  <c:v>0.67200000000000004</c:v>
                </c:pt>
                <c:pt idx="4" formatCode="0.00%">
                  <c:v>0.224</c:v>
                </c:pt>
                <c:pt idx="5" formatCode="0.00%">
                  <c:v>0.10299999999999999</c:v>
                </c:pt>
              </c:numCache>
            </c:numRef>
          </c:val>
          <c:extLst>
            <c:ext xmlns:c16="http://schemas.microsoft.com/office/drawing/2014/chart" uri="{C3380CC4-5D6E-409C-BE32-E72D297353CC}">
              <c16:uniqueId val="{00000004-97F7-4891-B3DF-00889B7FE22B}"/>
            </c:ext>
          </c:extLst>
        </c:ser>
        <c:ser>
          <c:idx val="2"/>
          <c:order val="2"/>
          <c:tx>
            <c:strRef>
              <c:f>Sheet1!$D$1</c:f>
              <c:strCache>
                <c:ptCount val="1"/>
                <c:pt idx="0">
                  <c:v>Fetal status at delivery</c:v>
                </c:pt>
              </c:strCache>
            </c:strRef>
          </c:tx>
          <c:spPr>
            <a:solidFill>
              <a:srgbClr val="C00000"/>
            </a:solidFill>
            <a:ln>
              <a:noFill/>
            </a:ln>
            <a:effectLst/>
          </c:spPr>
          <c:invertIfNegative val="0"/>
          <c:dLbls>
            <c:dLbl>
              <c:idx val="6"/>
              <c:numFmt formatCode="0.0%" sourceLinked="0"/>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97F7-4891-B3DF-00889B7FE22B}"/>
                </c:ext>
              </c:extLst>
            </c:dLbl>
            <c:dLbl>
              <c:idx val="7"/>
              <c:tx>
                <c:rich>
                  <a:bodyPr/>
                  <a:lstStyle/>
                  <a:p>
                    <a:r>
                      <a:rPr lang="en-US"/>
                      <a:t>3.5%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7F7-4891-B3DF-00889B7FE22B}"/>
                </c:ext>
              </c:extLst>
            </c:dLbl>
            <c:dLbl>
              <c:idx val="8"/>
              <c:tx>
                <c:rich>
                  <a:bodyPr/>
                  <a:lstStyle/>
                  <a:p>
                    <a:r>
                      <a:rPr lang="en-US"/>
                      <a:t>2.6%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F7-4891-B3DF-00889B7FE22B}"/>
                </c:ext>
              </c:extLst>
            </c:dLbl>
            <c:dLbl>
              <c:idx val="9"/>
              <c:tx>
                <c:rich>
                  <a:bodyPr/>
                  <a:lstStyle/>
                  <a:p>
                    <a:r>
                      <a:rPr lang="en-US"/>
                      <a:t>0.9%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7F7-4891-B3DF-00889B7FE22B}"/>
                </c:ext>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Normal</c:v>
                </c:pt>
                <c:pt idx="1">
                  <c:v>Moderate birth asphyxia</c:v>
                </c:pt>
                <c:pt idx="2">
                  <c:v>Severe birth asphyxia</c:v>
                </c:pt>
                <c:pt idx="3">
                  <c:v>Normal</c:v>
                </c:pt>
                <c:pt idx="4">
                  <c:v>LBW</c:v>
                </c:pt>
                <c:pt idx="5">
                  <c:v>VLBW</c:v>
                </c:pt>
                <c:pt idx="6">
                  <c:v>Live Birth</c:v>
                </c:pt>
                <c:pt idx="7">
                  <c:v>Fresh Stillbirth</c:v>
                </c:pt>
                <c:pt idx="8">
                  <c:v>Macerated Stillbirth</c:v>
                </c:pt>
                <c:pt idx="9">
                  <c:v>Postnatal Death</c:v>
                </c:pt>
                <c:pt idx="10">
                  <c:v>Preterm</c:v>
                </c:pt>
                <c:pt idx="11">
                  <c:v>Term</c:v>
                </c:pt>
              </c:strCache>
            </c:strRef>
          </c:cat>
          <c:val>
            <c:numRef>
              <c:f>Sheet1!$D$2:$D$13</c:f>
              <c:numCache>
                <c:formatCode>General</c:formatCode>
                <c:ptCount val="12"/>
                <c:pt idx="6" formatCode="0.00%">
                  <c:v>0.93100000000000005</c:v>
                </c:pt>
                <c:pt idx="7" formatCode="0.00%">
                  <c:v>3.5000000000000003E-2</c:v>
                </c:pt>
                <c:pt idx="8" formatCode="0.00%">
                  <c:v>2.5999999999999999E-2</c:v>
                </c:pt>
                <c:pt idx="9" formatCode="0.00%">
                  <c:v>8.9999999999999993E-3</c:v>
                </c:pt>
              </c:numCache>
            </c:numRef>
          </c:val>
          <c:extLst>
            <c:ext xmlns:c16="http://schemas.microsoft.com/office/drawing/2014/chart" uri="{C3380CC4-5D6E-409C-BE32-E72D297353CC}">
              <c16:uniqueId val="{00000009-97F7-4891-B3DF-00889B7FE22B}"/>
            </c:ext>
          </c:extLst>
        </c:ser>
        <c:ser>
          <c:idx val="3"/>
          <c:order val="3"/>
          <c:tx>
            <c:strRef>
              <c:f>Sheet1!$E$1</c:f>
              <c:strCache>
                <c:ptCount val="1"/>
                <c:pt idx="0">
                  <c:v>Gestation age at delivery</c:v>
                </c:pt>
              </c:strCache>
            </c:strRef>
          </c:tx>
          <c:spPr>
            <a:solidFill>
              <a:schemeClr val="accent1">
                <a:lumMod val="60000"/>
                <a:lumOff val="40000"/>
              </a:schemeClr>
            </a:solidFill>
            <a:ln>
              <a:noFill/>
            </a:ln>
            <a:effectLst/>
          </c:spPr>
          <c:invertIfNegative val="0"/>
          <c:dLbls>
            <c:dLbl>
              <c:idx val="10"/>
              <c:tx>
                <c:rich>
                  <a:bodyPr/>
                  <a:lstStyle/>
                  <a:p>
                    <a:r>
                      <a:rPr lang="en-US"/>
                      <a:t>32.8%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7F7-4891-B3DF-00889B7FE22B}"/>
                </c:ext>
              </c:extLst>
            </c:dLbl>
            <c:dLbl>
              <c:idx val="11"/>
              <c:layout>
                <c:manualLayout>
                  <c:x val="0"/>
                  <c:y val="4.1750167000667998E-3"/>
                </c:manualLayout>
              </c:layout>
              <c:tx>
                <c:rich>
                  <a:bodyPr/>
                  <a:lstStyle/>
                  <a:p>
                    <a:r>
                      <a:rPr lang="en-US"/>
                      <a:t>67.2%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7F7-4891-B3DF-00889B7FE22B}"/>
                </c:ext>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Normal</c:v>
                </c:pt>
                <c:pt idx="1">
                  <c:v>Moderate birth asphyxia</c:v>
                </c:pt>
                <c:pt idx="2">
                  <c:v>Severe birth asphyxia</c:v>
                </c:pt>
                <c:pt idx="3">
                  <c:v>Normal</c:v>
                </c:pt>
                <c:pt idx="4">
                  <c:v>LBW</c:v>
                </c:pt>
                <c:pt idx="5">
                  <c:v>VLBW</c:v>
                </c:pt>
                <c:pt idx="6">
                  <c:v>Live Birth</c:v>
                </c:pt>
                <c:pt idx="7">
                  <c:v>Fresh Stillbirth</c:v>
                </c:pt>
                <c:pt idx="8">
                  <c:v>Macerated Stillbirth</c:v>
                </c:pt>
                <c:pt idx="9">
                  <c:v>Postnatal Death</c:v>
                </c:pt>
                <c:pt idx="10">
                  <c:v>Preterm</c:v>
                </c:pt>
                <c:pt idx="11">
                  <c:v>Term</c:v>
                </c:pt>
              </c:strCache>
            </c:strRef>
          </c:cat>
          <c:val>
            <c:numRef>
              <c:f>Sheet1!$E$2:$E$13</c:f>
              <c:numCache>
                <c:formatCode>General</c:formatCode>
                <c:ptCount val="12"/>
                <c:pt idx="10" formatCode="0.00%">
                  <c:v>0.32800000000000001</c:v>
                </c:pt>
                <c:pt idx="11" formatCode="0.00%">
                  <c:v>0.67200000000000004</c:v>
                </c:pt>
              </c:numCache>
            </c:numRef>
          </c:val>
          <c:extLst>
            <c:ext xmlns:c16="http://schemas.microsoft.com/office/drawing/2014/chart" uri="{C3380CC4-5D6E-409C-BE32-E72D297353CC}">
              <c16:uniqueId val="{0000000C-97F7-4891-B3DF-00889B7FE22B}"/>
            </c:ext>
          </c:extLst>
        </c:ser>
        <c:dLbls>
          <c:showLegendKey val="0"/>
          <c:showVal val="0"/>
          <c:showCatName val="0"/>
          <c:showSerName val="0"/>
          <c:showPercent val="0"/>
          <c:showBubbleSize val="0"/>
        </c:dLbls>
        <c:gapWidth val="50"/>
        <c:overlap val="98"/>
        <c:axId val="518867110"/>
        <c:axId val="755876795"/>
      </c:barChart>
      <c:catAx>
        <c:axId val="51886711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755876795"/>
        <c:crosses val="autoZero"/>
        <c:auto val="1"/>
        <c:lblAlgn val="ctr"/>
        <c:lblOffset val="100"/>
        <c:noMultiLvlLbl val="0"/>
      </c:catAx>
      <c:valAx>
        <c:axId val="755876795"/>
        <c:scaling>
          <c:orientation val="minMax"/>
        </c:scaling>
        <c:delete val="0"/>
        <c:axPos val="l"/>
        <c:majorGridlines>
          <c:spPr>
            <a:ln w="28575" cap="flat" cmpd="sng" algn="ctr">
              <a:solidFill>
                <a:schemeClr val="lt1">
                  <a:lumMod val="90200"/>
                  <a:alpha val="85000"/>
                </a:schemeClr>
              </a:solidFill>
              <a:round/>
            </a:ln>
            <a:effectLst/>
          </c:spPr>
        </c:majorGridlines>
        <c:numFmt formatCode="0%" sourceLinked="0"/>
        <c:majorTickMark val="none"/>
        <c:minorTickMark val="none"/>
        <c:tickLblPos val="low"/>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18867110"/>
        <c:crosses val="autoZero"/>
        <c:crossBetween val="between"/>
        <c:majorUnit val="0.2"/>
      </c:valAx>
      <c:spPr>
        <a:noFill/>
        <a:ln>
          <a:noFill/>
        </a:ln>
        <a:effectLst/>
      </c:spPr>
    </c:plotArea>
    <c:legend>
      <c:legendPos val="b"/>
      <c:overlay val="0"/>
      <c:spPr>
        <a:noFill/>
        <a:ln>
          <a:noFill/>
        </a:ln>
        <a:effectLst/>
      </c:spPr>
      <c:txPr>
        <a:bodyPr rot="0" spcFirstLastPara="0" vertOverflow="ellipsis" vert="horz" wrap="square" anchor="t"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e390f9f1-1ab1-4d44-b908-675d425ff040}"/>
      </c:ext>
    </c:extLst>
  </c:chart>
  <c:spPr>
    <a:solidFill>
      <a:schemeClr val="bg1"/>
    </a:solidFill>
    <a:ln w="6350" cap="flat" cmpd="sng" algn="ctr">
      <a:no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5E0637-6417-4FEE-8EDE-3F1B715B9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759</TotalTime>
  <Pages>24</Pages>
  <Words>23696</Words>
  <Characters>135069</Characters>
  <Application>Microsoft Office Word</Application>
  <DocSecurity>0</DocSecurity>
  <Lines>1125</Lines>
  <Paragraphs>316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158449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1158</cp:lastModifiedBy>
  <cp:revision>61</cp:revision>
  <cp:lastPrinted>1999-07-06T11:00:00Z</cp:lastPrinted>
  <dcterms:created xsi:type="dcterms:W3CDTF">2026-03-16T08:31:00Z</dcterms:created>
  <dcterms:modified xsi:type="dcterms:W3CDTF">2026-03-30T05:52:00Z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12th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594752d3-0401-3b53-9cfd-cf869748f38d</vt:lpwstr>
  </property>
  <property fmtid="{D5CDD505-2E9C-101B-9397-08002B2CF9AE}" pid="24" name="Mendeley Citation Style_1">
    <vt:lpwstr>http://www.zotero.org/styles/harvard1</vt:lpwstr>
  </property>
  <property fmtid="{D5CDD505-2E9C-101B-9397-08002B2CF9AE}" pid="25" name="KSOProductBuildVer">
    <vt:lpwstr>1033-12.2.0.23196</vt:lpwstr>
  </property>
  <property fmtid="{D5CDD505-2E9C-101B-9397-08002B2CF9AE}" pid="26" name="ICV">
    <vt:lpwstr>7C33EB9B8DAA49718A6D1FC50A1D94CB_13</vt:lpwstr>
  </property>
</Properties>
</file>