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63A8A" w14:textId="77777777" w:rsidR="00F4300D" w:rsidRPr="0073272B" w:rsidRDefault="00F4300D" w:rsidP="00F4300D">
      <w:pPr>
        <w:pStyle w:val="BodyText"/>
        <w:rPr>
          <w:rFonts w:ascii="Arial" w:hAnsi="Arial" w:cs="Arial"/>
          <w:b/>
          <w:bCs/>
          <w:sz w:val="20"/>
          <w:szCs w:val="20"/>
          <w:u w:val="single"/>
          <w:lang w:val="en-GB"/>
        </w:rPr>
      </w:pPr>
    </w:p>
    <w:p w14:paraId="2D03334C" w14:textId="6C3469B4" w:rsidR="00AE5419" w:rsidRPr="0095607E" w:rsidRDefault="006F0D79" w:rsidP="003B0C52">
      <w:pPr>
        <w:spacing w:line="240" w:lineRule="auto"/>
        <w:jc w:val="center"/>
        <w:rPr>
          <w:rFonts w:ascii="Times New Roman" w:hAnsi="Times New Roman" w:cs="Times New Roman"/>
          <w:b/>
          <w:bCs/>
        </w:rPr>
      </w:pPr>
      <w:r w:rsidRPr="0095607E">
        <w:rPr>
          <w:rFonts w:ascii="Times New Roman" w:hAnsi="Times New Roman" w:cs="Times New Roman"/>
          <w:b/>
          <w:bCs/>
        </w:rPr>
        <w:t>MULTILEVEL BETA REGRESSION MODEL FOR POTATO POST-HARVEST LOSSES ALONG THE FARM-MARKET VALUE CHAIN</w:t>
      </w:r>
      <w:r w:rsidR="00437DD0" w:rsidRPr="0095607E">
        <w:rPr>
          <w:rFonts w:ascii="Times New Roman" w:hAnsi="Times New Roman" w:cs="Times New Roman"/>
          <w:b/>
          <w:bCs/>
        </w:rPr>
        <w:t xml:space="preserve"> IN KENYA</w:t>
      </w:r>
    </w:p>
    <w:p w14:paraId="2E24E72A" w14:textId="77777777" w:rsidR="000D1E8C" w:rsidRPr="0095607E" w:rsidRDefault="000D1E8C" w:rsidP="003B0C52">
      <w:pPr>
        <w:spacing w:after="0" w:line="240" w:lineRule="auto"/>
        <w:contextualSpacing/>
        <w:rPr>
          <w:rFonts w:ascii="Times New Roman" w:hAnsi="Times New Roman" w:cs="Times New Roman"/>
          <w:b/>
          <w:bCs/>
        </w:rPr>
      </w:pPr>
    </w:p>
    <w:p w14:paraId="16A65332" w14:textId="77777777" w:rsidR="000D1E8C" w:rsidRPr="0095607E" w:rsidRDefault="000D1E8C" w:rsidP="003B0C52">
      <w:pPr>
        <w:spacing w:after="0" w:line="240" w:lineRule="auto"/>
        <w:contextualSpacing/>
        <w:rPr>
          <w:rFonts w:ascii="Times New Roman" w:hAnsi="Times New Roman" w:cs="Times New Roman"/>
          <w:b/>
          <w:bCs/>
        </w:rPr>
      </w:pPr>
    </w:p>
    <w:p w14:paraId="0A76A41D" w14:textId="0A513BEB" w:rsidR="000D1E8C" w:rsidRPr="0095607E" w:rsidRDefault="000D1E8C"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Abstract</w:t>
      </w:r>
    </w:p>
    <w:p w14:paraId="32708B6F" w14:textId="3B16D361" w:rsidR="000D1E8C" w:rsidRPr="0095607E" w:rsidRDefault="000D1E8C" w:rsidP="003B0C52">
      <w:pPr>
        <w:spacing w:after="0" w:line="240" w:lineRule="auto"/>
        <w:contextualSpacing/>
        <w:jc w:val="both"/>
        <w:rPr>
          <w:rFonts w:ascii="Times New Roman" w:hAnsi="Times New Roman" w:cs="Times New Roman"/>
        </w:rPr>
      </w:pPr>
      <w:r w:rsidRPr="0095607E">
        <w:rPr>
          <w:rFonts w:ascii="Times New Roman" w:hAnsi="Times New Roman" w:cs="Times New Roman"/>
        </w:rPr>
        <w:t>Post-harvest losses in potato value chain is one of the major threats to food security and farmers livelihoods in Kenya. This paper uses multilevel beta regression modeling approach to study the determinants and spatial heterogeneity of post-harvest potato losses in Kenya farm-market value chain</w:t>
      </w:r>
      <w:r w:rsidR="007D69F5" w:rsidRPr="0095607E">
        <w:rPr>
          <w:rFonts w:ascii="Times New Roman" w:hAnsi="Times New Roman" w:cs="Times New Roman"/>
        </w:rPr>
        <w:t xml:space="preserve"> u</w:t>
      </w:r>
      <w:r w:rsidRPr="0095607E">
        <w:rPr>
          <w:rFonts w:ascii="Times New Roman" w:hAnsi="Times New Roman" w:cs="Times New Roman"/>
        </w:rPr>
        <w:t xml:space="preserve">sing data from stratified cross-sectional survey of 628 value chain actors within Nakuru and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counties, the major potato producing highlands in the country. Five models were estimated in succession; Poisson baseline, single-level Negative Binomial (NB), multilevel NB, single-level Beta regression, and the final multilevel Beta regression model. We </w:t>
      </w:r>
      <w:r w:rsidR="007D69F5" w:rsidRPr="0095607E">
        <w:rPr>
          <w:rFonts w:ascii="Times New Roman" w:hAnsi="Times New Roman" w:cs="Times New Roman"/>
        </w:rPr>
        <w:t>found</w:t>
      </w:r>
      <w:r w:rsidRPr="0095607E">
        <w:rPr>
          <w:rFonts w:ascii="Times New Roman" w:hAnsi="Times New Roman" w:cs="Times New Roman"/>
        </w:rPr>
        <w:t xml:space="preserve"> that the multilevel beta regression is the best model </w:t>
      </w:r>
      <w:r w:rsidRPr="0095607E">
        <w:rPr>
          <w:rFonts w:ascii="Times New Roman" w:hAnsi="Times New Roman" w:cs="Times New Roman"/>
          <w:iCs/>
        </w:rPr>
        <w:t xml:space="preserve">(AIC=2711.30, log-likelihood=1375.65, LRT: </w:t>
      </w:r>
      <m:oMath>
        <m:sSup>
          <m:sSupPr>
            <m:ctrlPr>
              <w:rPr>
                <w:rFonts w:ascii="Cambria Math" w:hAnsi="Cambria Math" w:cs="Times New Roman"/>
                <w:iCs/>
              </w:rPr>
            </m:ctrlPr>
          </m:sSupPr>
          <m:e>
            <m:r>
              <m:rPr>
                <m:sty m:val="p"/>
              </m:rP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=27.07, df=2, p&lt;0.001)</m:t>
        </m:r>
      </m:oMath>
      <w:r w:rsidRPr="0095607E">
        <w:rPr>
          <w:rFonts w:ascii="Times New Roman" w:hAnsi="Times New Roman" w:cs="Times New Roman"/>
        </w:rPr>
        <w:t xml:space="preserve"> confirming appropriateness of Beta distribution for the bounded proportional loss and need for multilevel model. The storage methods were the most powerful explanatory variable </w:t>
      </w:r>
      <m:oMath>
        <m:r>
          <w:rPr>
            <w:rFonts w:ascii="Cambria Math" w:hAnsi="Cambria Math" w:cs="Times New Roman"/>
          </w:rPr>
          <m:t xml:space="preserve">(Wald </m:t>
        </m:r>
        <m:sSup>
          <m:sSupPr>
            <m:ctrlPr>
              <w:rPr>
                <w:rFonts w:ascii="Cambria Math" w:hAnsi="Cambria Math" w:cs="Times New Roman"/>
                <w:iCs/>
              </w:rPr>
            </m:ctrlPr>
          </m:sSupPr>
          <m:e>
            <m:r>
              <m:rPr>
                <m:sty m:val="p"/>
              </m:rPr>
              <w:rPr>
                <w:rFonts w:ascii="Cambria Math" w:hAnsi="Cambria Math" w:cs="Times New Roman"/>
              </w:rPr>
              <m:t>χ</m:t>
            </m:r>
          </m:e>
          <m:sup>
            <m:r>
              <m:rPr>
                <m:sty m:val="p"/>
              </m:rPr>
              <w:rPr>
                <w:rFonts w:ascii="Cambria Math" w:hAnsi="Cambria Math" w:cs="Times New Roman"/>
              </w:rPr>
              <m:t>2</m:t>
            </m:r>
          </m:sup>
        </m:sSup>
        <m:r>
          <w:rPr>
            <w:rFonts w:ascii="Cambria Math" w:hAnsi="Cambria Math" w:cs="Times New Roman"/>
          </w:rPr>
          <m:t>=1182.71, p&lt;0.001)</m:t>
        </m:r>
      </m:oMath>
      <w:r w:rsidRPr="0095607E">
        <w:rPr>
          <w:rFonts w:ascii="Times New Roman" w:hAnsi="Times New Roman" w:cs="Times New Roman"/>
        </w:rPr>
        <w:t>; the cold storage reduce proportion</w:t>
      </w:r>
      <w:r w:rsidR="002D0C98">
        <w:rPr>
          <w:rFonts w:ascii="Times New Roman" w:hAnsi="Times New Roman" w:cs="Times New Roman"/>
        </w:rPr>
        <w:t>al loss</w:t>
      </w:r>
      <w:r w:rsidRPr="0095607E">
        <w:rPr>
          <w:rFonts w:ascii="Times New Roman" w:hAnsi="Times New Roman" w:cs="Times New Roman"/>
        </w:rPr>
        <w:t xml:space="preserve"> by 13.07 percentage points loss while dark room storage by 7.44 percent relative to the traditional storage methods. Storage duration, market distance, the usage of chemicals, extension and training and transportation method also proved to be highly significant explanatory variables while the education of actor had insignificant impact on </w:t>
      </w:r>
      <w:r w:rsidR="00A153AD">
        <w:rPr>
          <w:rFonts w:ascii="Times New Roman" w:hAnsi="Times New Roman" w:cs="Times New Roman"/>
        </w:rPr>
        <w:t>potato p</w:t>
      </w:r>
      <w:r w:rsidR="00A153AD" w:rsidRPr="0095607E">
        <w:rPr>
          <w:rFonts w:ascii="Times New Roman" w:hAnsi="Times New Roman" w:cs="Times New Roman"/>
        </w:rPr>
        <w:t>ost-harvest losses</w:t>
      </w:r>
      <w:r w:rsidR="00A153AD">
        <w:rPr>
          <w:rFonts w:ascii="Times New Roman" w:hAnsi="Times New Roman" w:cs="Times New Roman"/>
        </w:rPr>
        <w:t>.</w:t>
      </w:r>
      <w:r w:rsidRPr="0095607E">
        <w:rPr>
          <w:rFonts w:ascii="Times New Roman" w:hAnsi="Times New Roman" w:cs="Times New Roman"/>
        </w:rPr>
        <w:t xml:space="preserve"> Random intercepts at county level are close to zero and </w:t>
      </w:r>
      <w:r w:rsidR="003776AA" w:rsidRPr="0095607E">
        <w:rPr>
          <w:rFonts w:ascii="Times New Roman" w:hAnsi="Times New Roman" w:cs="Times New Roman"/>
        </w:rPr>
        <w:t>likelihood ratio</w:t>
      </w:r>
      <w:r w:rsidRPr="0095607E">
        <w:rPr>
          <w:rFonts w:ascii="Times New Roman" w:hAnsi="Times New Roman" w:cs="Times New Roman"/>
        </w:rPr>
        <w:t xml:space="preserve"> test indicated a significant model fit improvement with multilevel model. Residual diagnostics by </w:t>
      </w:r>
      <w:proofErr w:type="spellStart"/>
      <w:r w:rsidRPr="0095607E">
        <w:rPr>
          <w:rFonts w:ascii="Times New Roman" w:hAnsi="Times New Roman" w:cs="Times New Roman"/>
        </w:rPr>
        <w:t>DHARMa</w:t>
      </w:r>
      <w:proofErr w:type="spellEnd"/>
      <w:r w:rsidRPr="0095607E">
        <w:rPr>
          <w:rFonts w:ascii="Times New Roman" w:hAnsi="Times New Roman" w:cs="Times New Roman"/>
        </w:rPr>
        <w:t xml:space="preserve"> showed validity of Beta distribution assumption. The findings are policy-relevant in investment decisions aimed at reduction of </w:t>
      </w:r>
      <w:r w:rsidR="00A153AD">
        <w:rPr>
          <w:rFonts w:ascii="Times New Roman" w:hAnsi="Times New Roman" w:cs="Times New Roman"/>
        </w:rPr>
        <w:t>p</w:t>
      </w:r>
      <w:r w:rsidR="00A153AD" w:rsidRPr="0095607E">
        <w:rPr>
          <w:rFonts w:ascii="Times New Roman" w:hAnsi="Times New Roman" w:cs="Times New Roman"/>
        </w:rPr>
        <w:t>ost-harvest losses</w:t>
      </w:r>
      <w:r w:rsidRPr="0095607E">
        <w:rPr>
          <w:rFonts w:ascii="Times New Roman" w:hAnsi="Times New Roman" w:cs="Times New Roman"/>
        </w:rPr>
        <w:t xml:space="preserve"> along the Kenyan potato value chain through provision of access to cheaper storage infrastructure, integration of extension-input system and transport infrastructure improvement.</w:t>
      </w:r>
    </w:p>
    <w:p w14:paraId="036C344E" w14:textId="77777777" w:rsidR="0075761C" w:rsidRPr="0095607E" w:rsidRDefault="0075761C" w:rsidP="003B0C52">
      <w:pPr>
        <w:spacing w:after="0" w:line="240" w:lineRule="auto"/>
        <w:contextualSpacing/>
        <w:jc w:val="both"/>
        <w:rPr>
          <w:rFonts w:ascii="Times New Roman" w:hAnsi="Times New Roman" w:cs="Times New Roman"/>
        </w:rPr>
      </w:pPr>
    </w:p>
    <w:p w14:paraId="2FB81F67" w14:textId="7F34542A" w:rsidR="0075761C" w:rsidRPr="0095607E" w:rsidRDefault="0075761C" w:rsidP="003B0C52">
      <w:pPr>
        <w:spacing w:after="0" w:line="240" w:lineRule="auto"/>
        <w:contextualSpacing/>
        <w:jc w:val="both"/>
        <w:rPr>
          <w:rFonts w:ascii="Times New Roman" w:hAnsi="Times New Roman" w:cs="Times New Roman"/>
        </w:rPr>
      </w:pPr>
      <w:r w:rsidRPr="0095607E">
        <w:rPr>
          <w:rFonts w:ascii="Times New Roman" w:hAnsi="Times New Roman" w:cs="Times New Roman"/>
          <w:b/>
          <w:bCs/>
        </w:rPr>
        <w:t xml:space="preserve">Keywords: </w:t>
      </w:r>
      <w:r w:rsidRPr="0095607E">
        <w:rPr>
          <w:rFonts w:ascii="Times New Roman" w:hAnsi="Times New Roman" w:cs="Times New Roman"/>
        </w:rPr>
        <w:t>Multilevel beta regression, Post-Harvest Losses, Negative Binomial</w:t>
      </w:r>
    </w:p>
    <w:p w14:paraId="48B37AAC" w14:textId="77777777" w:rsidR="006F0D79" w:rsidRPr="0095607E" w:rsidRDefault="006F0D79" w:rsidP="003B0C52">
      <w:pPr>
        <w:pStyle w:val="Heading2"/>
        <w:spacing w:line="240" w:lineRule="auto"/>
        <w:rPr>
          <w:rFonts w:ascii="Times New Roman" w:hAnsi="Times New Roman" w:cs="Times New Roman"/>
          <w:b/>
          <w:bCs/>
          <w:color w:val="auto"/>
          <w:sz w:val="24"/>
          <w:szCs w:val="24"/>
        </w:rPr>
      </w:pPr>
      <w:bookmarkStart w:id="0" w:name="_Toc225180537"/>
      <w:r w:rsidRPr="0095607E">
        <w:rPr>
          <w:rFonts w:ascii="Times New Roman" w:hAnsi="Times New Roman" w:cs="Times New Roman"/>
          <w:b/>
          <w:bCs/>
          <w:color w:val="auto"/>
          <w:sz w:val="24"/>
          <w:szCs w:val="24"/>
        </w:rPr>
        <w:t>1.1</w:t>
      </w:r>
      <w:r w:rsidRPr="0095607E">
        <w:rPr>
          <w:rFonts w:ascii="Times New Roman" w:hAnsi="Times New Roman" w:cs="Times New Roman"/>
          <w:b/>
          <w:bCs/>
          <w:color w:val="auto"/>
          <w:sz w:val="24"/>
          <w:szCs w:val="24"/>
        </w:rPr>
        <w:tab/>
        <w:t>Background of The Study</w:t>
      </w:r>
      <w:bookmarkEnd w:id="0"/>
    </w:p>
    <w:p w14:paraId="2875E3B7" w14:textId="2179E771" w:rsidR="006F0D79" w:rsidRPr="0095607E" w:rsidRDefault="006F0D79" w:rsidP="003B0C52">
      <w:pPr>
        <w:spacing w:line="240" w:lineRule="auto"/>
        <w:jc w:val="both"/>
        <w:rPr>
          <w:rFonts w:ascii="Times New Roman" w:hAnsi="Times New Roman" w:cs="Times New Roman"/>
        </w:rPr>
      </w:pPr>
      <w:r w:rsidRPr="0095607E">
        <w:rPr>
          <w:rFonts w:ascii="Times New Roman" w:hAnsi="Times New Roman" w:cs="Times New Roman"/>
        </w:rPr>
        <w:t xml:space="preserve">Agriculture is the staple of economic growth in most developing nations especially in sub-Saharan Africa. The industry is a significant contributor to gross domestic product (GDP) and has high percentage workforce in rural regions and supports household food security and income source. The Food and Agriculture Organization of the United Nation’s reports that agriculture contributes around 23% of GDP in sub-Saharan Africa and provides more than 60% of labor force </w:t>
      </w:r>
      <w:sdt>
        <w:sdtPr>
          <w:rPr>
            <w:rFonts w:ascii="Times New Roman" w:hAnsi="Times New Roman" w:cs="Times New Roman"/>
            <w:color w:val="000000"/>
          </w:rPr>
          <w:tag w:val="MENDELEY_CITATION_v3_eyJjaXRhdGlvbklEIjoiTUVOREVMRVlfQ0lUQVRJT05fNDZiYWU5MjctN2U1MS00YjI2LTk5ODQtNDdiYzgzZDhkNGFk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1170609979"/>
          <w:placeholder>
            <w:docPart w:val="65FB3147C4C44538BC1BA27EBA71E0E8"/>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Although there have been tremendous improvements in agricultural production and policy support, there is still a high percentage of food produce that goes to waste before it reaches final consumers. These losses, which are also referred to as post-harvest-losses (PHL), are also one of the most urgent problems that food systems in developing economies face.</w:t>
      </w:r>
    </w:p>
    <w:p w14:paraId="4DADA50B" w14:textId="64367A55" w:rsidR="006F0D79" w:rsidRPr="0095607E" w:rsidRDefault="006F0D79" w:rsidP="003B0C52">
      <w:pPr>
        <w:spacing w:line="240" w:lineRule="auto"/>
        <w:jc w:val="both"/>
        <w:rPr>
          <w:rFonts w:ascii="Times New Roman" w:hAnsi="Times New Roman" w:cs="Times New Roman"/>
          <w:color w:val="000000"/>
        </w:rPr>
      </w:pPr>
      <w:r w:rsidRPr="0095607E">
        <w:rPr>
          <w:rFonts w:ascii="Times New Roman" w:hAnsi="Times New Roman" w:cs="Times New Roman"/>
        </w:rPr>
        <w:t xml:space="preserve">Post-harvest losses refer to quantifiable quantitative and qualitative losses in food quantity, quality, or nutritional value that takes place between point of harvest and the point of consumption. This loss is experienced at different points of the agricultural value chain such as during harvesting, handling, storage, processing, transportation and marketing. It has been estimated that developing countries suffer post-harvest losses of between 20 and 40 percent of all agricultural production </w:t>
      </w:r>
      <w:r w:rsidRPr="0095607E">
        <w:rPr>
          <w:rFonts w:ascii="Times New Roman" w:hAnsi="Times New Roman" w:cs="Times New Roman"/>
        </w:rPr>
        <w:lastRenderedPageBreak/>
        <w:t xml:space="preserve">each year </w:t>
      </w:r>
      <w:sdt>
        <w:sdtPr>
          <w:rPr>
            <w:rFonts w:ascii="Times New Roman" w:hAnsi="Times New Roman" w:cs="Times New Roman"/>
            <w:color w:val="000000"/>
          </w:rPr>
          <w:tag w:val="MENDELEY_CITATION_v3_eyJjaXRhdGlvbklEIjoiTUVOREVMRVlfQ0lUQVRJT05fYmIxZmY0OTAtNDBmNS00ZGY3LTlmNGMtZDQ3OWU3NzFhM2Jm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768748641"/>
          <w:placeholder>
            <w:docPart w:val="65FB3147C4C44538BC1BA27EBA71E0E8"/>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color w:val="000000"/>
        </w:rPr>
        <w:t>,</w:t>
      </w:r>
      <w:r w:rsidRPr="0095607E">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"/>
          <w:id w:val="-491408435"/>
          <w:placeholder>
            <w:docPart w:val="65FB3147C4C44538BC1BA27EBA71E0E8"/>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Zsögön</w:t>
          </w:r>
          <w:proofErr w:type="spellEnd"/>
          <w:r w:rsidR="00F611F9" w:rsidRPr="0095607E">
            <w:rPr>
              <w:rFonts w:ascii="Times New Roman" w:hAnsi="Times New Roman" w:cs="Times New Roman"/>
              <w:color w:val="000000"/>
            </w:rPr>
            <w:t xml:space="preserve"> et al., 2022)</w:t>
          </w:r>
        </w:sdtContent>
      </w:sdt>
      <w:r w:rsidRPr="0095607E">
        <w:rPr>
          <w:rFonts w:ascii="Times New Roman" w:hAnsi="Times New Roman" w:cs="Times New Roman"/>
        </w:rPr>
        <w:t xml:space="preserve">. In the case of perishable commodities like fruits, vegetables and root crops, these numbers may be even greater. The impacts are extensive, including loss of income in smallholder farmers, high consumer prices, food insecurity and unwarranted environmental impacts due to the wastages of land, water and energy </w:t>
      </w:r>
      <w:sdt>
        <w:sdtPr>
          <w:rPr>
            <w:rFonts w:ascii="Times New Roman" w:hAnsi="Times New Roman" w:cs="Times New Roman"/>
            <w:color w:val="000000"/>
          </w:rPr>
          <w:tag w:val="MENDELEY_CITATION_v3_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"/>
          <w:id w:val="438571712"/>
          <w:placeholder>
            <w:docPart w:val="65FB3147C4C44538BC1BA27EBA71E0E8"/>
          </w:placeholder>
        </w:sdtPr>
        <w:sdtEndPr/>
        <w:sdtContent>
          <w:r w:rsidR="00F611F9" w:rsidRPr="0095607E">
            <w:rPr>
              <w:rFonts w:ascii="Times New Roman" w:hAnsi="Times New Roman" w:cs="Times New Roman"/>
              <w:color w:val="000000"/>
            </w:rPr>
            <w:t>(Mburu et al., 2023; Mugo et al., 2021)</w:t>
          </w:r>
        </w:sdtContent>
      </w:sdt>
      <w:r w:rsidRPr="0095607E">
        <w:rPr>
          <w:rFonts w:ascii="Times New Roman" w:hAnsi="Times New Roman" w:cs="Times New Roman"/>
          <w:color w:val="000000"/>
        </w:rPr>
        <w:t>.</w:t>
      </w:r>
    </w:p>
    <w:p w14:paraId="4BD4CA62" w14:textId="62E13B99"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The potato crop in Kenya forms a very essential part of the national food system as both staple food and a very important source of income to millions of smallholder farming households. The crop is mainly grown in highlands of the country such as the Rift Valley, Central and East, that offer the cool weather and fertile soils that support growth of tubers</w:t>
      </w:r>
      <w:sdt>
        <w:sdtPr>
          <w:rPr>
            <w:rFonts w:ascii="Times New Roman" w:hAnsi="Times New Roman" w:cs="Times New Roman"/>
            <w:color w:val="000000"/>
          </w:rPr>
          <w:tag w:val="MENDELEY_CITATION_v3_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"/>
          <w:id w:val="-1890561042"/>
          <w:placeholder>
            <w:docPart w:val="FEE97E92E78E469A9E42D0A329741840"/>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Mwakidoshi</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xml:space="preserve">. Current statistics show that Kenya yields about 2.5 million metric tons of potato every year, which makes it one of the top potato producing nations in the sub-Saharan region </w:t>
      </w:r>
      <w:sdt>
        <w:sdtPr>
          <w:rPr>
            <w:rFonts w:ascii="Times New Roman" w:hAnsi="Times New Roman" w:cs="Times New Roman"/>
            <w:color w:val="000000"/>
          </w:rPr>
          <w:tag w:val="MENDELEY_CITATION_v3_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"/>
          <w:id w:val="406662126"/>
          <w:placeholder>
            <w:docPart w:val="FEE97E92E78E469A9E42D0A329741840"/>
          </w:placeholder>
        </w:sdtPr>
        <w:sdtEndPr/>
        <w:sdtContent>
          <w:r w:rsidR="00F611F9" w:rsidRPr="0095607E">
            <w:rPr>
              <w:rFonts w:ascii="Times New Roman" w:hAnsi="Times New Roman" w:cs="Times New Roman"/>
              <w:color w:val="000000"/>
            </w:rPr>
            <w:t>(Mburu et al., 2023)</w:t>
          </w:r>
        </w:sdtContent>
      </w:sdt>
      <w:r w:rsidRPr="0095607E">
        <w:rPr>
          <w:rFonts w:ascii="Times New Roman" w:hAnsi="Times New Roman" w:cs="Times New Roman"/>
        </w:rPr>
        <w:t>.</w:t>
      </w:r>
    </w:p>
    <w:p w14:paraId="089EB1E7" w14:textId="4396A803"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post-harvest loss data are difficult to statistically analyze in several aspects. Post-harvest losses are often given as proportions or rates i.e. the percentage of total produce that is lost at a particular stage and these measures lie between zero and one. These proportional results are not in line with the assumptions of the traditional linear regression models, which assume the presence of a continuous unbounded response variable with constant error variance </w:t>
      </w:r>
      <w:sdt>
        <w:sdtPr>
          <w:rPr>
            <w:rFonts w:ascii="Times New Roman" w:hAnsi="Times New Roman" w:cs="Times New Roman"/>
            <w:color w:val="000000"/>
          </w:rPr>
          <w:tag w:val="MENDELEY_CITATION_v3_eyJjaXRhdGlvbklEIjoiTUVOREVMRVlfQ0lUQVRJT05fZjc3NjA5ODEtOGY1Yy00ODhlLWFkYjktZTk3Y2E3NTM5Yzk4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
          <w:id w:val="1752232632"/>
          <w:placeholder>
            <w:docPart w:val="E4F3727B80994DD3B06B933B054E4E69"/>
          </w:placeholder>
        </w:sdtPr>
        <w:sdtEndPr/>
        <w:sdtContent>
          <w:r w:rsidR="00F611F9" w:rsidRPr="0095607E">
            <w:rPr>
              <w:rFonts w:ascii="Times New Roman" w:eastAsia="Times New Roman" w:hAnsi="Times New Roman" w:cs="Times New Roman"/>
              <w:color w:val="000000"/>
            </w:rPr>
            <w:t>(Chen &amp; Yang, 2024)</w:t>
          </w:r>
        </w:sdtContent>
      </w:sdt>
      <w:r w:rsidRPr="0095607E">
        <w:rPr>
          <w:rFonts w:ascii="Times New Roman" w:hAnsi="Times New Roman" w:cs="Times New Roman"/>
        </w:rPr>
        <w:t xml:space="preserve">. Beta regression was specifically written to regress continuous proportional observations on the open interval (0, 1) using a logit link function, and is capable of dealing with the skewness and heteroscedasticity inherent in proportional data </w:t>
      </w:r>
      <w:sdt>
        <w:sdtPr>
          <w:rPr>
            <w:rFonts w:ascii="Times New Roman" w:hAnsi="Times New Roman" w:cs="Times New Roman"/>
            <w:color w:val="000000"/>
          </w:rPr>
          <w:tag w:val="MENDELEY_CITATION_v3_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"/>
          <w:id w:val="-47767417"/>
          <w:placeholder>
            <w:docPart w:val="E4F3727B80994DD3B06B933B054E4E69"/>
          </w:placeholder>
        </w:sdtPr>
        <w:sdtEndPr/>
        <w:sdtContent>
          <w:r w:rsidR="00F611F9" w:rsidRPr="0095607E">
            <w:rPr>
              <w:rFonts w:ascii="Times New Roman" w:hAnsi="Times New Roman" w:cs="Times New Roman"/>
              <w:color w:val="000000"/>
            </w:rPr>
            <w:t>(Geissinger et al., 2022a).</w:t>
          </w:r>
        </w:sdtContent>
      </w:sdt>
    </w:p>
    <w:p w14:paraId="3239EEBB" w14:textId="38929F26" w:rsidR="002D26E1" w:rsidRPr="0095607E" w:rsidRDefault="002D26E1" w:rsidP="003B0C52">
      <w:pPr>
        <w:spacing w:line="240" w:lineRule="auto"/>
        <w:jc w:val="both"/>
        <w:rPr>
          <w:rFonts w:ascii="Times New Roman" w:hAnsi="Times New Roman" w:cs="Times New Roman"/>
        </w:rPr>
      </w:pPr>
      <w:bookmarkStart w:id="1" w:name="_Toc225180547"/>
      <w:r w:rsidRPr="0095607E">
        <w:rPr>
          <w:rFonts w:ascii="Times New Roman" w:hAnsi="Times New Roman" w:cs="Times New Roman"/>
        </w:rPr>
        <w:t>This research paper addresses these methodological challenges by developing and applying multilevel beta regression model to analyze determinants and spatial heterogeneity of post-harvest potato losses across the potato farm-market value chain in Kenya. It is a very powerful methodology that has an excellent theoretical basis applied to approximate the determinants of proportional losses, quantify the between-county, and between-stage variation, and generate policy-relevant information regarding how to minimize post-harvest losses in the Kenyan potato industry by reconciling the flexibility of the beta distribution plus the hierarchical nature of multilevel modeling. The objective of the study was to compare the performance of multilevel Poisson, Negative Binomial and Beta regression models in the analysis of determinants of post-harvest losses along the potato farm-market value chain in Kenya.</w:t>
      </w:r>
    </w:p>
    <w:p w14:paraId="5EFC9967" w14:textId="5BD806DA" w:rsidR="002D26E1" w:rsidRPr="0095607E" w:rsidRDefault="002D26E1"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2</w:t>
      </w:r>
      <w:r w:rsidR="006F0D79" w:rsidRPr="0095607E">
        <w:rPr>
          <w:rFonts w:ascii="Times New Roman" w:hAnsi="Times New Roman" w:cs="Times New Roman"/>
          <w:b/>
          <w:bCs/>
          <w:color w:val="auto"/>
          <w:sz w:val="24"/>
          <w:szCs w:val="24"/>
        </w:rPr>
        <w:t>.0</w:t>
      </w:r>
      <w:r w:rsidR="006F0D79" w:rsidRPr="0095607E">
        <w:rPr>
          <w:rFonts w:ascii="Times New Roman" w:hAnsi="Times New Roman" w:cs="Times New Roman"/>
          <w:b/>
          <w:bCs/>
          <w:color w:val="auto"/>
          <w:sz w:val="24"/>
          <w:szCs w:val="24"/>
        </w:rPr>
        <w:tab/>
      </w:r>
      <w:r w:rsidRPr="0095607E">
        <w:rPr>
          <w:rFonts w:ascii="Times New Roman" w:hAnsi="Times New Roman" w:cs="Times New Roman"/>
          <w:b/>
          <w:bCs/>
          <w:color w:val="auto"/>
          <w:sz w:val="24"/>
          <w:szCs w:val="24"/>
        </w:rPr>
        <w:t>Literature Review</w:t>
      </w:r>
    </w:p>
    <w:p w14:paraId="4F99AF5B" w14:textId="04C1744D"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Post-harvest losses (PHL) are the quantifiable both in quantity and quality losses in agricultural produce between the time of harvest and the time of final consumption. The concept includes not only physical losses the weight or volume of produce decreases but also the qualitative losses that decrease the nutritional value, marketability, or consumer safety </w:t>
      </w:r>
      <w:sdt>
        <w:sdtPr>
          <w:rPr>
            <w:rFonts w:ascii="Times New Roman" w:hAnsi="Times New Roman" w:cs="Times New Roman"/>
            <w:color w:val="000000"/>
          </w:rPr>
          <w:tag w:val="MENDELEY_CITATION_v3_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"/>
          <w:id w:val="1383899615"/>
          <w:placeholder>
            <w:docPart w:val="04FC6EF0E7C34A2FAB436D52F96F448F"/>
          </w:placeholder>
        </w:sdtPr>
        <w:sdtEndPr/>
        <w:sdtContent>
          <w:r w:rsidR="00F611F9" w:rsidRPr="0095607E">
            <w:rPr>
              <w:rFonts w:ascii="Times New Roman" w:hAnsi="Times New Roman" w:cs="Times New Roman"/>
              <w:color w:val="000000"/>
            </w:rPr>
            <w:t>(Levaj et al., 2023)</w:t>
          </w:r>
        </w:sdtContent>
      </w:sdt>
      <w:r w:rsidRPr="0095607E">
        <w:rPr>
          <w:rFonts w:ascii="Times New Roman" w:hAnsi="Times New Roman" w:cs="Times New Roman"/>
        </w:rPr>
        <w:t xml:space="preserve">. According to the estimates made by Food Agricultural Organization (2019), about a third of all food that is produced worldwide to be consumed by humans is lost or wasted, with post-harvest losses within this category making a significant part of this data </w:t>
      </w:r>
      <w:sdt>
        <w:sdtPr>
          <w:rPr>
            <w:rFonts w:ascii="Times New Roman" w:hAnsi="Times New Roman" w:cs="Times New Roman"/>
            <w:color w:val="000000"/>
          </w:rPr>
          <w:tag w:val="MENDELEY_CITATION_v3_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"/>
          <w:id w:val="1096599636"/>
          <w:placeholder>
            <w:docPart w:val="C2671109D8E94522837BCAF42FCC5F9C"/>
          </w:placeholder>
        </w:sdtPr>
        <w:sdtEndPr/>
        <w:sdtContent>
          <w:r w:rsidR="00F611F9" w:rsidRPr="0095607E">
            <w:rPr>
              <w:rFonts w:ascii="Times New Roman" w:hAnsi="Times New Roman" w:cs="Times New Roman"/>
              <w:color w:val="000000"/>
            </w:rPr>
            <w:t xml:space="preserve">(Mugo et al., 2021; </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xml:space="preserve">. In sub-Saharan Africa, the total losses in form of cereals at the farm and storage levels have been estimated to cost the smallholder farmers a total of US 4 billion each year </w:t>
      </w:r>
      <w:sdt>
        <w:sdtPr>
          <w:rPr>
            <w:rFonts w:ascii="Times New Roman" w:hAnsi="Times New Roman" w:cs="Times New Roman"/>
            <w:color w:val="000000"/>
          </w:rPr>
          <w:tag w:val="MENDELEY_CITATION_v3_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"/>
          <w:id w:val="-222065632"/>
          <w:placeholder>
            <w:docPart w:val="C2671109D8E94522837BCAF42FCC5F9C"/>
          </w:placeholder>
        </w:sdtPr>
        <w:sdtEndPr/>
        <w:sdtContent>
          <w:r w:rsidR="00F611F9" w:rsidRPr="0095607E">
            <w:rPr>
              <w:rFonts w:ascii="Times New Roman" w:eastAsia="Times New Roman" w:hAnsi="Times New Roman" w:cs="Times New Roman"/>
              <w:color w:val="000000"/>
            </w:rPr>
            <w:t>(</w:t>
          </w:r>
          <w:proofErr w:type="spellStart"/>
          <w:r w:rsidR="00F611F9" w:rsidRPr="0095607E">
            <w:rPr>
              <w:rFonts w:ascii="Times New Roman" w:eastAsia="Times New Roman" w:hAnsi="Times New Roman" w:cs="Times New Roman"/>
              <w:color w:val="000000"/>
            </w:rPr>
            <w:t>Ariong</w:t>
          </w:r>
          <w:proofErr w:type="spellEnd"/>
          <w:r w:rsidR="00F611F9" w:rsidRPr="0095607E">
            <w:rPr>
              <w:rFonts w:ascii="Times New Roman" w:eastAsia="Times New Roman" w:hAnsi="Times New Roman" w:cs="Times New Roman"/>
              <w:color w:val="000000"/>
            </w:rPr>
            <w:t xml:space="preserve"> et al., 2023; Yonas et al., 2021)</w:t>
          </w:r>
        </w:sdtContent>
      </w:sdt>
      <w:r w:rsidRPr="0095607E">
        <w:rPr>
          <w:rFonts w:ascii="Times New Roman" w:hAnsi="Times New Roman" w:cs="Times New Roman"/>
        </w:rPr>
        <w:t>.</w:t>
      </w:r>
    </w:p>
    <w:p w14:paraId="07E237F2" w14:textId="7777777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2" w:name="_Toc225180542"/>
      <w:r w:rsidRPr="0095607E">
        <w:rPr>
          <w:rFonts w:ascii="Times New Roman" w:hAnsi="Times New Roman" w:cs="Times New Roman"/>
          <w:b/>
          <w:bCs/>
          <w:color w:val="auto"/>
          <w:sz w:val="24"/>
          <w:szCs w:val="24"/>
        </w:rPr>
        <w:t>2.1</w:t>
      </w:r>
      <w:r w:rsidRPr="0095607E">
        <w:rPr>
          <w:rFonts w:ascii="Times New Roman" w:hAnsi="Times New Roman" w:cs="Times New Roman"/>
          <w:b/>
          <w:bCs/>
          <w:color w:val="auto"/>
          <w:sz w:val="24"/>
          <w:szCs w:val="24"/>
        </w:rPr>
        <w:tab/>
        <w:t>Poisson Regression in Agricultural and Post-Harvest Loss Modeling</w:t>
      </w:r>
      <w:bookmarkEnd w:id="2"/>
      <w:r w:rsidRPr="0095607E">
        <w:rPr>
          <w:rFonts w:ascii="Times New Roman" w:hAnsi="Times New Roman" w:cs="Times New Roman"/>
          <w:b/>
          <w:bCs/>
          <w:color w:val="auto"/>
          <w:sz w:val="24"/>
          <w:szCs w:val="24"/>
        </w:rPr>
        <w:t xml:space="preserve"> </w:t>
      </w:r>
    </w:p>
    <w:p w14:paraId="29B99041" w14:textId="5D71484D"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Poisson regression is the model of the analysis of count data and has been used extensively in the agricultural sciences to model discrete count non-negativity outcomes, including the number </w:t>
      </w:r>
      <w:r w:rsidRPr="0095607E">
        <w:rPr>
          <w:rFonts w:ascii="Times New Roman" w:hAnsi="Times New Roman" w:cs="Times New Roman"/>
        </w:rPr>
        <w:lastRenderedPageBreak/>
        <w:t xml:space="preserve">of pests, the occurrence of a disease and the number of units of produce lost during storage or handling </w:t>
      </w:r>
      <w:sdt>
        <w:sdtPr>
          <w:rPr>
            <w:rFonts w:ascii="Times New Roman" w:hAnsi="Times New Roman" w:cs="Times New Roman"/>
            <w:color w:val="000000"/>
          </w:rPr>
          <w:tag w:val="MENDELEY_CITATION_v3_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"/>
          <w:id w:val="1194426992"/>
          <w:placeholder>
            <w:docPart w:val="5BFD738DA0024DB4BEF01CA2847C5ECC"/>
          </w:placeholder>
        </w:sdtPr>
        <w:sdtEndPr/>
        <w:sdtContent>
          <w:r w:rsidR="00F611F9" w:rsidRPr="0095607E">
            <w:rPr>
              <w:rFonts w:ascii="Times New Roman" w:hAnsi="Times New Roman" w:cs="Times New Roman"/>
              <w:color w:val="000000"/>
            </w:rPr>
            <w:t>(Ma et al., 2025)</w:t>
          </w:r>
        </w:sdtContent>
      </w:sdt>
      <w:r w:rsidRPr="0095607E">
        <w:rPr>
          <w:rFonts w:ascii="Times New Roman" w:hAnsi="Times New Roman" w:cs="Times New Roman"/>
        </w:rPr>
        <w:t xml:space="preserve">. The model is built on the assumption that the response variable is a Poisson variable with mean equal to the variance and a log linking function </w:t>
      </w:r>
      <w:r w:rsidR="00B20D0A" w:rsidRPr="0095607E">
        <w:rPr>
          <w:rFonts w:ascii="Times New Roman" w:hAnsi="Times New Roman" w:cs="Times New Roman"/>
        </w:rPr>
        <w:t>was</w:t>
      </w:r>
      <w:r w:rsidRPr="0095607E">
        <w:rPr>
          <w:rFonts w:ascii="Times New Roman" w:hAnsi="Times New Roman" w:cs="Times New Roman"/>
        </w:rPr>
        <w:t xml:space="preserve"> used so that it is the expected count that is related to a linear predictor of covariates </w:t>
      </w:r>
      <w:sdt>
        <w:sdtPr>
          <w:rPr>
            <w:rFonts w:ascii="Times New Roman" w:hAnsi="Times New Roman" w:cs="Times New Roman"/>
            <w:color w:val="000000"/>
          </w:rPr>
          <w:tag w:val="MENDELEY_CITATION_v3_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"/>
          <w:id w:val="330024803"/>
          <w:placeholder>
            <w:docPart w:val="362633488D044C03B23899C367ABC14C"/>
          </w:placeholder>
        </w:sdtPr>
        <w:sdtEndPr/>
        <w:sdtContent>
          <w:r w:rsidR="00F611F9" w:rsidRPr="0095607E">
            <w:rPr>
              <w:rFonts w:ascii="Times New Roman" w:hAnsi="Times New Roman" w:cs="Times New Roman"/>
              <w:color w:val="000000"/>
            </w:rPr>
            <w:t>(Saha et al., 2026)</w:t>
          </w:r>
        </w:sdtContent>
      </w:sdt>
      <w:r w:rsidRPr="0095607E">
        <w:rPr>
          <w:rFonts w:ascii="Times New Roman" w:hAnsi="Times New Roman" w:cs="Times New Roman"/>
        </w:rPr>
        <w:t>. Poisson regression has been applied to food loss studies to estimate the quantity of damaged units at each stage of the supply chain, which serves as a statistically based baseline model.</w:t>
      </w:r>
    </w:p>
    <w:p w14:paraId="1ABE55B8" w14:textId="7777777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3" w:name="_Toc225180543"/>
      <w:r w:rsidRPr="0095607E">
        <w:rPr>
          <w:rFonts w:ascii="Times New Roman" w:hAnsi="Times New Roman" w:cs="Times New Roman"/>
          <w:b/>
          <w:bCs/>
          <w:color w:val="auto"/>
          <w:sz w:val="24"/>
          <w:szCs w:val="24"/>
        </w:rPr>
        <w:t>2.2</w:t>
      </w:r>
      <w:r w:rsidRPr="0095607E">
        <w:rPr>
          <w:rFonts w:ascii="Times New Roman" w:hAnsi="Times New Roman" w:cs="Times New Roman"/>
          <w:b/>
          <w:bCs/>
          <w:color w:val="auto"/>
          <w:sz w:val="24"/>
          <w:szCs w:val="24"/>
        </w:rPr>
        <w:tab/>
        <w:t>Negative Binomial Regression</w:t>
      </w:r>
      <w:bookmarkEnd w:id="3"/>
    </w:p>
    <w:p w14:paraId="610F7954" w14:textId="51A94696" w:rsidR="002D26E1" w:rsidRPr="0095607E" w:rsidRDefault="002D26E1" w:rsidP="003B0C52">
      <w:pPr>
        <w:spacing w:line="240" w:lineRule="auto"/>
        <w:jc w:val="both"/>
        <w:rPr>
          <w:rFonts w:ascii="Times New Roman" w:hAnsi="Times New Roman" w:cs="Times New Roman"/>
          <w:color w:val="000000"/>
        </w:rPr>
      </w:pPr>
      <w:r w:rsidRPr="0095607E">
        <w:rPr>
          <w:rFonts w:ascii="Times New Roman" w:hAnsi="Times New Roman" w:cs="Times New Roman"/>
        </w:rPr>
        <w:t xml:space="preserve">The most common extension of the Poisson regression to the over dispersed count data is negative binomial (NB) regression model. It is defined as a Poisson-Gamma mixture, but the Poisson rate parameter itself is a Gamma-distributed random variable, with an extra dispersion parameter, which loosens the </w:t>
      </w:r>
      <w:proofErr w:type="spellStart"/>
      <w:r w:rsidRPr="0095607E">
        <w:rPr>
          <w:rFonts w:ascii="Times New Roman" w:hAnsi="Times New Roman" w:cs="Times New Roman"/>
        </w:rPr>
        <w:t>equidispersion</w:t>
      </w:r>
      <w:proofErr w:type="spellEnd"/>
      <w:r w:rsidRPr="0095607E">
        <w:rPr>
          <w:rFonts w:ascii="Times New Roman" w:hAnsi="Times New Roman" w:cs="Times New Roman"/>
        </w:rPr>
        <w:t xml:space="preserve"> condition </w:t>
      </w:r>
      <w:sdt>
        <w:sdtPr>
          <w:rPr>
            <w:rFonts w:ascii="Times New Roman" w:hAnsi="Times New Roman" w:cs="Times New Roman"/>
            <w:color w:val="000000"/>
          </w:rPr>
          <w:tag w:val="MENDELEY_CITATION_v3_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"/>
          <w:id w:val="-729610963"/>
          <w:placeholder>
            <w:docPart w:val="4F199BB065CE4F8C99699CBC1E553FD8"/>
          </w:placeholder>
        </w:sdtPr>
        <w:sdtEndPr/>
        <w:sdtContent>
          <w:r w:rsidR="00F611F9" w:rsidRPr="0095607E">
            <w:rPr>
              <w:rFonts w:ascii="Times New Roman" w:eastAsia="Times New Roman" w:hAnsi="Times New Roman" w:cs="Times New Roman"/>
              <w:color w:val="000000"/>
            </w:rPr>
            <w:t>(Morris &amp; Sellers, 2022)</w:t>
          </w:r>
        </w:sdtContent>
      </w:sdt>
      <w:r w:rsidRPr="0095607E">
        <w:rPr>
          <w:rFonts w:ascii="Times New Roman" w:hAnsi="Times New Roman" w:cs="Times New Roman"/>
        </w:rPr>
        <w:t xml:space="preserve">. The NB model has found broad application in health sciences, ecology, and agricultural economics to model counts with more variability than is possible with the Poisson model. Negative binomial 2 parameterization also abbreviated </w:t>
      </w:r>
      <m:oMath>
        <m:r>
          <w:rPr>
            <w:rFonts w:ascii="Cambria Math" w:hAnsi="Cambria Math" w:cs="Times New Roman"/>
          </w:rPr>
          <m:t>NB</m:t>
        </m:r>
        <m:d>
          <m:dPr>
            <m:ctrlPr>
              <w:rPr>
                <w:rFonts w:ascii="Cambria Math" w:hAnsi="Cambria Math" w:cs="Times New Roman"/>
                <w:i/>
              </w:rPr>
            </m:ctrlPr>
          </m:dPr>
          <m:e>
            <m:r>
              <w:rPr>
                <w:rFonts w:ascii="Cambria Math" w:hAnsi="Cambria Math" w:cs="Times New Roman"/>
              </w:rPr>
              <m:t>μ, θ</m:t>
            </m:r>
          </m:e>
        </m:d>
        <m:r>
          <w:rPr>
            <w:rFonts w:ascii="Cambria Math" w:hAnsi="Cambria Math" w:cs="Times New Roman"/>
          </w:rPr>
          <m:t xml:space="preserve"> </m:t>
        </m:r>
      </m:oMath>
      <w:r w:rsidRPr="0095607E">
        <w:rPr>
          <w:rFonts w:ascii="Times New Roman" w:hAnsi="Times New Roman" w:cs="Times New Roman"/>
        </w:rPr>
        <w:t xml:space="preserve">when </w:t>
      </w:r>
      <m:oMath>
        <m:r>
          <w:rPr>
            <w:rFonts w:ascii="Cambria Math" w:hAnsi="Cambria Math" w:cs="Times New Roman"/>
          </w:rPr>
          <m:t xml:space="preserve">var(Y) = μ +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μ</m:t>
                </m:r>
              </m:e>
              <m:sup>
                <m:r>
                  <w:rPr>
                    <w:rFonts w:ascii="Cambria Math" w:hAnsi="Cambria Math" w:cs="Times New Roman"/>
                  </w:rPr>
                  <m:t>2</m:t>
                </m:r>
              </m:sup>
            </m:sSup>
          </m:num>
          <m:den>
            <m:r>
              <w:rPr>
                <w:rFonts w:ascii="Cambria Math" w:hAnsi="Cambria Math" w:cs="Times New Roman"/>
              </w:rPr>
              <m:t>θ</m:t>
            </m:r>
          </m:den>
        </m:f>
      </m:oMath>
      <w:r w:rsidRPr="0095607E">
        <w:rPr>
          <w:rFonts w:ascii="Times New Roman" w:hAnsi="Times New Roman" w:cs="Times New Roman"/>
        </w:rPr>
        <w:t xml:space="preserve"> is by far the most used in practice since it can have dispersion that increases with the mean, which is empirically true of most agricultural and ecological count data </w:t>
      </w:r>
      <w:sdt>
        <w:sdtPr>
          <w:rPr>
            <w:rFonts w:ascii="Times New Roman" w:hAnsi="Times New Roman" w:cs="Times New Roman"/>
            <w:color w:val="000000"/>
          </w:rPr>
          <w:tag w:val="MENDELEY_CITATION_v3_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"/>
          <w:id w:val="456685035"/>
          <w:placeholder>
            <w:docPart w:val="119585E35D4644E38AF4B6BCA37672BB"/>
          </w:placeholder>
        </w:sdtPr>
        <w:sdtEndPr/>
        <w:sdtContent>
          <w:r w:rsidR="00F611F9" w:rsidRPr="0095607E">
            <w:rPr>
              <w:rFonts w:ascii="Times New Roman" w:eastAsia="Times New Roman" w:hAnsi="Times New Roman" w:cs="Times New Roman"/>
              <w:color w:val="000000"/>
            </w:rPr>
            <w:t>(Almasi et al., 2016; Khan &amp; Hasan, 2022)</w:t>
          </w:r>
        </w:sdtContent>
      </w:sdt>
      <w:r w:rsidRPr="0095607E">
        <w:rPr>
          <w:rFonts w:ascii="Times New Roman" w:hAnsi="Times New Roman" w:cs="Times New Roman"/>
          <w:color w:val="000000"/>
        </w:rPr>
        <w:t>.</w:t>
      </w:r>
    </w:p>
    <w:p w14:paraId="73A168DB" w14:textId="7777777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4" w:name="_Toc225180544"/>
      <w:r w:rsidRPr="0095607E">
        <w:rPr>
          <w:rFonts w:ascii="Times New Roman" w:hAnsi="Times New Roman" w:cs="Times New Roman"/>
          <w:b/>
          <w:bCs/>
          <w:color w:val="auto"/>
          <w:sz w:val="24"/>
          <w:szCs w:val="24"/>
        </w:rPr>
        <w:t>2.3</w:t>
      </w:r>
      <w:r w:rsidRPr="0095607E">
        <w:rPr>
          <w:rFonts w:ascii="Times New Roman" w:hAnsi="Times New Roman" w:cs="Times New Roman"/>
          <w:b/>
          <w:bCs/>
          <w:color w:val="auto"/>
          <w:sz w:val="24"/>
          <w:szCs w:val="24"/>
        </w:rPr>
        <w:tab/>
        <w:t>Beta Regression for Proportional Outcomes</w:t>
      </w:r>
      <w:bookmarkEnd w:id="4"/>
    </w:p>
    <w:p w14:paraId="76B927F5" w14:textId="25440157"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Ferrari and Cribari-Neto (2004) introduced beta regression to the statistical literature as a regression model specifically designed to estimate continuous response variables that are in the open unit interval </w:t>
      </w:r>
      <m:oMath>
        <m:d>
          <m:dPr>
            <m:ctrlPr>
              <w:rPr>
                <w:rFonts w:ascii="Cambria Math" w:hAnsi="Cambria Math" w:cs="Times New Roman"/>
                <w:i/>
              </w:rPr>
            </m:ctrlPr>
          </m:dPr>
          <m:e>
            <m:r>
              <w:rPr>
                <w:rFonts w:ascii="Cambria Math" w:hAnsi="Cambria Math" w:cs="Times New Roman"/>
              </w:rPr>
              <m:t>0, 1</m:t>
            </m:r>
          </m:e>
        </m:d>
      </m:oMath>
      <w:r w:rsidRPr="0095607E">
        <w:rPr>
          <w:rFonts w:ascii="Times New Roman" w:eastAsiaTheme="minorEastAsia" w:hAnsi="Times New Roman" w:cs="Times New Roman"/>
        </w:rPr>
        <w:t xml:space="preserve"> </w:t>
      </w:r>
      <w:sdt>
        <w:sdtPr>
          <w:rPr>
            <w:rFonts w:ascii="Times New Roman" w:hAnsi="Times New Roman" w:cs="Times New Roman"/>
            <w:color w:val="000000"/>
          </w:rPr>
          <w:tag w:val="MENDELEY_CITATION_v3_eyJjaXRhdGlvbklEIjoiTUVOREVMRVlfQ0lUQVRJT05fODk2YWUyMjYtNTk0Yy00MjkxLWJlNDAtMWFmY2UxM2M3YmVh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
          <w:id w:val="-1366130903"/>
          <w:placeholder>
            <w:docPart w:val="C991004DF140497BAB0AD1B2D561FDFF"/>
          </w:placeholder>
        </w:sdtPr>
        <w:sdtEndPr/>
        <w:sdtContent>
          <w:r w:rsidR="00F611F9" w:rsidRPr="0095607E">
            <w:rPr>
              <w:rFonts w:ascii="Times New Roman" w:eastAsia="Times New Roman" w:hAnsi="Times New Roman" w:cs="Times New Roman"/>
              <w:color w:val="000000"/>
            </w:rPr>
            <w:t>(Chen &amp; Yang, 2024)</w:t>
          </w:r>
        </w:sdtContent>
      </w:sdt>
      <w:r w:rsidRPr="0095607E">
        <w:rPr>
          <w:rFonts w:ascii="Times New Roman" w:hAnsi="Times New Roman" w:cs="Times New Roman"/>
          <w:color w:val="000000"/>
        </w:rPr>
        <w:t xml:space="preserve">. The </w:t>
      </w:r>
      <w:r w:rsidRPr="0095607E">
        <w:rPr>
          <w:rFonts w:ascii="Times New Roman" w:hAnsi="Times New Roman" w:cs="Times New Roman"/>
        </w:rPr>
        <w:t xml:space="preserve">beta distribution reparametrized using a mean parameter </w:t>
      </w:r>
      <w:r w:rsidRPr="0095607E">
        <w:rPr>
          <w:rFonts w:ascii="Times New Roman" w:hAnsi="Times New Roman" w:cs="Times New Roman"/>
          <w:i/>
        </w:rPr>
        <w:t>μ</w:t>
      </w:r>
      <w:r w:rsidRPr="0095607E">
        <w:rPr>
          <w:rFonts w:ascii="Times New Roman" w:hAnsi="Times New Roman" w:cs="Times New Roman"/>
        </w:rPr>
        <w:t xml:space="preserve"> and a precision parameter </w:t>
      </w:r>
      <m:oMath>
        <m:r>
          <w:rPr>
            <w:rFonts w:ascii="Cambria Math" w:hAnsi="Cambria Math" w:cs="Times New Roman"/>
          </w:rPr>
          <m:t>ϕ</m:t>
        </m:r>
      </m:oMath>
      <w:r w:rsidRPr="0095607E">
        <w:rPr>
          <w:rFonts w:ascii="Times New Roman" w:hAnsi="Times New Roman" w:cs="Times New Roman"/>
          <w:i/>
        </w:rPr>
        <w:t xml:space="preserve"> </w:t>
      </w:r>
      <w:r w:rsidRPr="0095607E">
        <w:rPr>
          <w:rFonts w:ascii="Times New Roman" w:hAnsi="Times New Roman" w:cs="Times New Roman"/>
        </w:rPr>
        <w:t xml:space="preserve">and related the mean to a linear predictor using the logit function. Smithson and Verkuilen (2006) demonstrated that the ordinary least squares (OLS) with proportion data gives biased coefficient estimates, inappropriate standard errors and predicted values that do not lie under the </w:t>
      </w:r>
      <m:oMath>
        <m:r>
          <w:rPr>
            <w:rFonts w:ascii="Cambria Math" w:hAnsi="Cambria Math" w:cs="Times New Roman"/>
          </w:rPr>
          <m:t>(0, 1)</m:t>
        </m:r>
      </m:oMath>
      <w:r w:rsidRPr="0095607E">
        <w:rPr>
          <w:rFonts w:ascii="Times New Roman" w:hAnsi="Times New Roman" w:cs="Times New Roman"/>
        </w:rPr>
        <w:t xml:space="preserve"> interval </w:t>
      </w:r>
      <w:sdt>
        <w:sdtPr>
          <w:rPr>
            <w:rFonts w:ascii="Times New Roman" w:hAnsi="Times New Roman" w:cs="Times New Roman"/>
            <w:color w:val="000000"/>
          </w:rPr>
          <w:tag w:val="MENDELEY_CITATION_v3_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"/>
          <w:id w:val="352230148"/>
          <w:placeholder>
            <w:docPart w:val="2F4A68035A224B338AEC1DC0C90D0B2E"/>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Abonazel</w:t>
          </w:r>
          <w:proofErr w:type="spellEnd"/>
          <w:r w:rsidR="00F611F9" w:rsidRPr="0095607E">
            <w:rPr>
              <w:rFonts w:ascii="Times New Roman" w:hAnsi="Times New Roman" w:cs="Times New Roman"/>
              <w:color w:val="000000"/>
            </w:rPr>
            <w:t xml:space="preserve"> et al., 2022).</w:t>
          </w:r>
        </w:sdtContent>
      </w:sdt>
      <w:r w:rsidRPr="0095607E">
        <w:rPr>
          <w:rFonts w:ascii="Times New Roman" w:hAnsi="Times New Roman" w:cs="Times New Roman"/>
          <w:color w:val="000000"/>
        </w:rPr>
        <w:t xml:space="preserve"> </w:t>
      </w:r>
      <w:r w:rsidRPr="0095607E">
        <w:rPr>
          <w:rFonts w:ascii="Times New Roman" w:hAnsi="Times New Roman" w:cs="Times New Roman"/>
        </w:rPr>
        <w:t xml:space="preserve">Beta regression has been applied to model various proportional results in the agriculture, economics and health sciences </w:t>
      </w:r>
      <w:sdt>
        <w:sdtPr>
          <w:rPr>
            <w:rFonts w:ascii="Times New Roman" w:hAnsi="Times New Roman" w:cs="Times New Roman"/>
            <w:color w:val="000000"/>
          </w:rPr>
          <w:tag w:val="MENDELEY_CITATION_v3_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"/>
          <w:id w:val="1106321622"/>
          <w:placeholder>
            <w:docPart w:val="D034066F733B47B0ABAAD3CA524F6E36"/>
          </w:placeholder>
        </w:sdtPr>
        <w:sdtEndPr/>
        <w:sdtContent>
          <w:r w:rsidR="00F611F9" w:rsidRPr="0095607E">
            <w:rPr>
              <w:rFonts w:ascii="Times New Roman" w:hAnsi="Times New Roman" w:cs="Times New Roman"/>
              <w:color w:val="000000"/>
            </w:rPr>
            <w:t>(Marina Pare, 2025)</w:t>
          </w:r>
        </w:sdtContent>
      </w:sdt>
      <w:r w:rsidRPr="0095607E">
        <w:rPr>
          <w:rFonts w:ascii="Times New Roman" w:hAnsi="Times New Roman" w:cs="Times New Roman"/>
          <w:color w:val="000000"/>
        </w:rPr>
        <w:t xml:space="preserve">. They </w:t>
      </w:r>
      <w:r w:rsidRPr="0095607E">
        <w:rPr>
          <w:rFonts w:ascii="Times New Roman" w:hAnsi="Times New Roman" w:cs="Times New Roman"/>
        </w:rPr>
        <w:t xml:space="preserve">demonstrated that the ordinary least squares (OLS) with proportion data gives biased coefficient estimates, inappropriate standard errors and predicted values that do not lie under the </w:t>
      </w:r>
      <m:oMath>
        <m:r>
          <w:rPr>
            <w:rFonts w:ascii="Cambria Math" w:hAnsi="Cambria Math" w:cs="Times New Roman"/>
          </w:rPr>
          <m:t>(0, 1)</m:t>
        </m:r>
      </m:oMath>
      <w:r w:rsidRPr="0095607E">
        <w:rPr>
          <w:rFonts w:ascii="Times New Roman" w:hAnsi="Times New Roman" w:cs="Times New Roman"/>
        </w:rPr>
        <w:t xml:space="preserve"> interval that are removed when using beta regression.</w:t>
      </w:r>
    </w:p>
    <w:p w14:paraId="1C2B25D9" w14:textId="5188D11B" w:rsidR="006F0D79" w:rsidRPr="0095607E" w:rsidRDefault="002D26E1"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3.0</w:t>
      </w:r>
      <w:r w:rsidRPr="0095607E">
        <w:rPr>
          <w:rFonts w:ascii="Times New Roman" w:hAnsi="Times New Roman" w:cs="Times New Roman"/>
          <w:b/>
          <w:bCs/>
          <w:color w:val="auto"/>
          <w:sz w:val="24"/>
          <w:szCs w:val="24"/>
        </w:rPr>
        <w:tab/>
        <w:t xml:space="preserve">Materials and </w:t>
      </w:r>
      <w:r w:rsidR="006F0D79" w:rsidRPr="0095607E">
        <w:rPr>
          <w:rFonts w:ascii="Times New Roman" w:hAnsi="Times New Roman" w:cs="Times New Roman"/>
          <w:b/>
          <w:bCs/>
          <w:color w:val="auto"/>
          <w:sz w:val="24"/>
          <w:szCs w:val="24"/>
        </w:rPr>
        <w:t>Method</w:t>
      </w:r>
      <w:r w:rsidRPr="0095607E">
        <w:rPr>
          <w:rFonts w:ascii="Times New Roman" w:hAnsi="Times New Roman" w:cs="Times New Roman"/>
          <w:b/>
          <w:bCs/>
          <w:color w:val="auto"/>
          <w:sz w:val="24"/>
          <w:szCs w:val="24"/>
        </w:rPr>
        <w:t>s</w:t>
      </w:r>
      <w:bookmarkEnd w:id="1"/>
      <w:r w:rsidR="006F0D79" w:rsidRPr="0095607E">
        <w:rPr>
          <w:rFonts w:ascii="Times New Roman" w:hAnsi="Times New Roman" w:cs="Times New Roman"/>
          <w:b/>
          <w:bCs/>
          <w:color w:val="auto"/>
          <w:sz w:val="24"/>
          <w:szCs w:val="24"/>
        </w:rPr>
        <w:t xml:space="preserve"> </w:t>
      </w:r>
    </w:p>
    <w:p w14:paraId="2CD2416E" w14:textId="793473B1" w:rsidR="006F0D79" w:rsidRPr="0095607E" w:rsidRDefault="002D26E1" w:rsidP="003B0C52">
      <w:pPr>
        <w:pStyle w:val="Heading2"/>
        <w:spacing w:line="240" w:lineRule="auto"/>
        <w:rPr>
          <w:rFonts w:ascii="Times New Roman" w:hAnsi="Times New Roman" w:cs="Times New Roman"/>
          <w:b/>
          <w:bCs/>
          <w:color w:val="auto"/>
          <w:sz w:val="24"/>
          <w:szCs w:val="24"/>
        </w:rPr>
      </w:pPr>
      <w:bookmarkStart w:id="5" w:name="_Toc225180549"/>
      <w:r w:rsidRPr="0095607E">
        <w:rPr>
          <w:rFonts w:ascii="Times New Roman" w:hAnsi="Times New Roman" w:cs="Times New Roman"/>
          <w:b/>
          <w:bCs/>
          <w:color w:val="auto"/>
          <w:sz w:val="24"/>
          <w:szCs w:val="24"/>
        </w:rPr>
        <w:t>3.1</w:t>
      </w:r>
      <w:r w:rsidR="006F0D79" w:rsidRPr="0095607E">
        <w:rPr>
          <w:rFonts w:ascii="Times New Roman" w:hAnsi="Times New Roman" w:cs="Times New Roman"/>
          <w:b/>
          <w:bCs/>
          <w:color w:val="auto"/>
          <w:sz w:val="24"/>
          <w:szCs w:val="24"/>
        </w:rPr>
        <w:tab/>
        <w:t>S</w:t>
      </w:r>
      <w:r w:rsidRPr="0095607E">
        <w:rPr>
          <w:rFonts w:ascii="Times New Roman" w:hAnsi="Times New Roman" w:cs="Times New Roman"/>
          <w:b/>
          <w:bCs/>
          <w:color w:val="auto"/>
          <w:sz w:val="24"/>
          <w:szCs w:val="24"/>
        </w:rPr>
        <w:t xml:space="preserve">ampling </w:t>
      </w:r>
      <w:r w:rsidR="006F0D79" w:rsidRPr="0095607E">
        <w:rPr>
          <w:rFonts w:ascii="Times New Roman" w:hAnsi="Times New Roman" w:cs="Times New Roman"/>
          <w:b/>
          <w:bCs/>
          <w:color w:val="auto"/>
          <w:sz w:val="24"/>
          <w:szCs w:val="24"/>
        </w:rPr>
        <w:t>Design</w:t>
      </w:r>
      <w:bookmarkEnd w:id="5"/>
      <w:r w:rsidRPr="0095607E">
        <w:rPr>
          <w:rFonts w:ascii="Times New Roman" w:hAnsi="Times New Roman" w:cs="Times New Roman"/>
          <w:b/>
          <w:bCs/>
          <w:color w:val="auto"/>
          <w:sz w:val="24"/>
          <w:szCs w:val="24"/>
        </w:rPr>
        <w:t xml:space="preserve"> and Data Collection</w:t>
      </w:r>
    </w:p>
    <w:p w14:paraId="48F9D5DA" w14:textId="6B71AFDB"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hAnsi="Times New Roman" w:cs="Times New Roman"/>
        </w:rPr>
        <w:t xml:space="preserve">Data was collected in Nakuru and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counties, which are among the most significant potato growing areas in Kenya. Both of the counties are located in the central highlands with cool weather, fertile volcanic soil, and consistent rainfalls that are very suitable in growth of potatoes. Nakuru County is a place that is highly productive in agriculture and is also inhabited by high density of wholesale and retail markets along the Nakuru Nairobi path. </w:t>
      </w:r>
      <w:proofErr w:type="spellStart"/>
      <w:r w:rsidRPr="0095607E">
        <w:rPr>
          <w:rFonts w:ascii="Times New Roman" w:hAnsi="Times New Roman" w:cs="Times New Roman"/>
        </w:rPr>
        <w:t>Nyandarua</w:t>
      </w:r>
      <w:proofErr w:type="spellEnd"/>
      <w:r w:rsidRPr="0095607E">
        <w:rPr>
          <w:rFonts w:ascii="Times New Roman" w:hAnsi="Times New Roman" w:cs="Times New Roman"/>
        </w:rPr>
        <w:t xml:space="preserve"> County is a county in the Aberdare Ranges and is among the highest potato-producing counties in the country and contributes a significant percentage of potatoes being consumed in Nairobi and the other urban areas </w:t>
      </w:r>
      <w:sdt>
        <w:sdtPr>
          <w:rPr>
            <w:rFonts w:ascii="Times New Roman" w:hAnsi="Times New Roman" w:cs="Times New Roman"/>
            <w:color w:val="000000"/>
          </w:rPr>
          <w:tag w:val="MENDELEY_CITATION_v3_eyJjaXRhdGlvbklEIjoiTUVOREVMRVlfQ0lUQVRJT05fNGMzNzkyOWUtN2JiYy00MjdlLThlMzItOTA3NWI1NmIzYjg0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
          <w:id w:val="1202215614"/>
          <w:placeholder>
            <w:docPart w:val="57E36098D7C84ABE84886BD3C4889B06"/>
          </w:placeholder>
        </w:sdtPr>
        <w:sdtEndPr/>
        <w:sdtContent>
          <w:r w:rsidR="00F611F9" w:rsidRPr="0095607E">
            <w:rPr>
              <w:rFonts w:ascii="Times New Roman" w:hAnsi="Times New Roman" w:cs="Times New Roman"/>
              <w:color w:val="000000"/>
            </w:rPr>
            <w:t>(</w:t>
          </w:r>
          <w:proofErr w:type="spellStart"/>
          <w:r w:rsidR="00F611F9" w:rsidRPr="0095607E">
            <w:rPr>
              <w:rFonts w:ascii="Times New Roman" w:hAnsi="Times New Roman" w:cs="Times New Roman"/>
              <w:color w:val="000000"/>
            </w:rPr>
            <w:t>Olakiumide</w:t>
          </w:r>
          <w:proofErr w:type="spellEnd"/>
          <w:r w:rsidR="00F611F9" w:rsidRPr="0095607E">
            <w:rPr>
              <w:rFonts w:ascii="Times New Roman" w:hAnsi="Times New Roman" w:cs="Times New Roman"/>
              <w:color w:val="000000"/>
            </w:rPr>
            <w:t>, 2021)</w:t>
          </w:r>
        </w:sdtContent>
      </w:sdt>
      <w:r w:rsidRPr="0095607E">
        <w:rPr>
          <w:rFonts w:ascii="Times New Roman" w:hAnsi="Times New Roman" w:cs="Times New Roman"/>
        </w:rPr>
        <w:t xml:space="preserve">. A stratified sampling technique </w:t>
      </w:r>
      <w:r w:rsidR="00B20D0A" w:rsidRPr="0095607E">
        <w:rPr>
          <w:rFonts w:ascii="Times New Roman" w:hAnsi="Times New Roman" w:cs="Times New Roman"/>
        </w:rPr>
        <w:t>was</w:t>
      </w:r>
      <w:r w:rsidRPr="0095607E">
        <w:rPr>
          <w:rFonts w:ascii="Times New Roman" w:hAnsi="Times New Roman" w:cs="Times New Roman"/>
        </w:rPr>
        <w:t xml:space="preserve"> used since it divides a population into small groups called strata based on geographical regions where potatoes are produced. A sample from each stratum </w:t>
      </w:r>
      <w:r w:rsidR="00B20D0A" w:rsidRPr="0095607E">
        <w:rPr>
          <w:rFonts w:ascii="Times New Roman" w:hAnsi="Times New Roman" w:cs="Times New Roman"/>
        </w:rPr>
        <w:t>was</w:t>
      </w:r>
      <w:r w:rsidRPr="0095607E">
        <w:rPr>
          <w:rFonts w:ascii="Times New Roman" w:hAnsi="Times New Roman" w:cs="Times New Roman"/>
        </w:rPr>
        <w:t xml:space="preserve"> selected, and the sample size </w:t>
      </w:r>
      <w:r w:rsidR="00B20D0A" w:rsidRPr="0095607E">
        <w:rPr>
          <w:rFonts w:ascii="Times New Roman" w:hAnsi="Times New Roman" w:cs="Times New Roman"/>
        </w:rPr>
        <w:t>was</w:t>
      </w:r>
      <w:r w:rsidRPr="0095607E">
        <w:rPr>
          <w:rFonts w:ascii="Times New Roman" w:hAnsi="Times New Roman" w:cs="Times New Roman"/>
        </w:rPr>
        <w:t xml:space="preserve"> determined using Cochran’s formula for population proportions: </w:t>
      </w:r>
      <m:oMath>
        <m:r>
          <w:rPr>
            <w:rFonts w:ascii="Cambria Math" w:hAnsi="Cambria Math" w:cs="Times New Roman"/>
          </w:rPr>
          <m:t>n=</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z</m:t>
                </m:r>
              </m:e>
              <m:sup>
                <m:r>
                  <w:rPr>
                    <w:rFonts w:ascii="Cambria Math" w:hAnsi="Cambria Math" w:cs="Times New Roman"/>
                  </w:rPr>
                  <m:t>2</m:t>
                </m:r>
              </m:sup>
            </m:sSup>
            <m:r>
              <w:rPr>
                <w:rFonts w:ascii="Cambria Math" w:hAnsi="Cambria Math" w:cs="Times New Roman"/>
              </w:rPr>
              <m:t>p(1-p)</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w:r w:rsidRPr="0095607E">
        <w:rPr>
          <w:rFonts w:ascii="Times New Roman" w:eastAsiaTheme="minorEastAsia" w:hAnsi="Times New Roman" w:cs="Times New Roman"/>
        </w:rPr>
        <w:t xml:space="preserve">, Where </w:t>
      </w:r>
      <m:oMath>
        <m:r>
          <w:rPr>
            <w:rFonts w:ascii="Cambria Math" w:hAnsi="Cambria Math" w:cs="Times New Roman"/>
          </w:rPr>
          <m:t>n</m:t>
        </m:r>
      </m:oMath>
      <w:r w:rsidRPr="0095607E">
        <w:rPr>
          <w:rFonts w:ascii="Times New Roman" w:eastAsiaTheme="minorEastAsia" w:hAnsi="Times New Roman" w:cs="Times New Roman"/>
        </w:rPr>
        <w:t xml:space="preserve"> is the sample size </w:t>
      </w:r>
      <m:oMath>
        <m:r>
          <w:rPr>
            <w:rFonts w:ascii="Cambria Math" w:hAnsi="Cambria Math" w:cs="Times New Roman"/>
          </w:rPr>
          <m:t>z</m:t>
        </m:r>
      </m:oMath>
      <w:r w:rsidRPr="0095607E">
        <w:rPr>
          <w:rFonts w:ascii="Times New Roman" w:hAnsi="Times New Roman" w:cs="Times New Roman"/>
          <w:i/>
        </w:rPr>
        <w:t xml:space="preserve"> </w:t>
      </w:r>
      <w:r w:rsidRPr="0095607E">
        <w:rPr>
          <w:rFonts w:ascii="Times New Roman" w:eastAsiaTheme="minorEastAsia" w:hAnsi="Times New Roman" w:cs="Times New Roman"/>
        </w:rPr>
        <w:t xml:space="preserve">is the Z-score which is based on the confidence level </w:t>
      </w:r>
      <m:oMath>
        <m:r>
          <w:rPr>
            <w:rFonts w:ascii="Cambria Math" w:hAnsi="Cambria Math" w:cs="Times New Roman"/>
          </w:rPr>
          <m:t>p</m:t>
        </m:r>
      </m:oMath>
      <w:r w:rsidR="007D69F5" w:rsidRPr="0095607E">
        <w:rPr>
          <w:rFonts w:ascii="Times New Roman" w:eastAsiaTheme="minorEastAsia" w:hAnsi="Times New Roman" w:cs="Times New Roman"/>
        </w:rPr>
        <w:t xml:space="preserve"> is </w:t>
      </w:r>
      <w:r w:rsidRPr="0095607E">
        <w:rPr>
          <w:rFonts w:ascii="Times New Roman" w:eastAsiaTheme="minorEastAsia" w:hAnsi="Times New Roman" w:cs="Times New Roman"/>
        </w:rPr>
        <w:t>the estimated population and</w:t>
      </w:r>
      <w:r w:rsidRPr="0095607E">
        <w:rPr>
          <w:rFonts w:ascii="Times New Roman" w:hAnsi="Times New Roman" w:cs="Times New Roman"/>
          <w:i/>
        </w:rPr>
        <w:t xml:space="preserve"> e </w:t>
      </w:r>
      <w:r w:rsidRPr="0095607E">
        <w:rPr>
          <w:rFonts w:ascii="Times New Roman" w:eastAsiaTheme="minorEastAsia" w:hAnsi="Times New Roman" w:cs="Times New Roman"/>
        </w:rPr>
        <w:t>the error margin.</w:t>
      </w:r>
      <w:r w:rsidRPr="0095607E">
        <w:rPr>
          <w:rFonts w:ascii="Times New Roman" w:hAnsi="Times New Roman" w:cs="Times New Roman"/>
        </w:rPr>
        <w:t xml:space="preserve"> A </w:t>
      </w:r>
      <w:r w:rsidRPr="0095607E">
        <w:rPr>
          <w:rFonts w:ascii="Times New Roman" w:hAnsi="Times New Roman" w:cs="Times New Roman"/>
        </w:rPr>
        <w:lastRenderedPageBreak/>
        <w:t xml:space="preserve">questionnaire survey </w:t>
      </w:r>
      <w:r w:rsidR="00B20D0A" w:rsidRPr="0095607E">
        <w:rPr>
          <w:rFonts w:ascii="Times New Roman" w:hAnsi="Times New Roman" w:cs="Times New Roman"/>
        </w:rPr>
        <w:t xml:space="preserve">was </w:t>
      </w:r>
      <w:r w:rsidRPr="0095607E">
        <w:rPr>
          <w:rFonts w:ascii="Times New Roman" w:hAnsi="Times New Roman" w:cs="Times New Roman"/>
        </w:rPr>
        <w:t xml:space="preserve">carried out to identify distinct factors associated with post-harvest losses, planting time, quality of seeds, harvesting time, insects' infestation, and climatic conditions. </w:t>
      </w:r>
      <w:r w:rsidRPr="0095607E">
        <w:rPr>
          <w:rFonts w:ascii="Times New Roman" w:eastAsiaTheme="minorEastAsia" w:hAnsi="Times New Roman" w:cs="Times New Roman"/>
        </w:rPr>
        <w:t xml:space="preserve">The questionnaire reliability was tested using Cronbach's Alpha </w:t>
      </w:r>
      <m:oMath>
        <m:d>
          <m:dPr>
            <m:ctrlPr>
              <w:rPr>
                <w:rFonts w:ascii="Cambria Math" w:eastAsiaTheme="minorEastAsia" w:hAnsi="Cambria Math" w:cs="Times New Roman"/>
                <w:i/>
              </w:rPr>
            </m:ctrlPr>
          </m:dPr>
          <m:e>
            <m:r>
              <w:rPr>
                <w:rFonts w:ascii="Cambria Math" w:eastAsiaTheme="minorEastAsia" w:hAnsi="Cambria Math" w:cs="Times New Roman"/>
              </w:rPr>
              <m:t>α≥0.7</m:t>
            </m:r>
          </m:e>
        </m:d>
      </m:oMath>
      <w:r w:rsidRPr="0095607E">
        <w:rPr>
          <w:rFonts w:ascii="Times New Roman" w:eastAsiaTheme="minorEastAsia" w:hAnsi="Times New Roman" w:cs="Times New Roman"/>
        </w:rPr>
        <w:t xml:space="preserve"> and validity through the content validity index (CVI). R statistical software </w:t>
      </w:r>
      <w:r w:rsidR="00B20D0A" w:rsidRPr="0095607E">
        <w:rPr>
          <w:rFonts w:ascii="Times New Roman" w:eastAsiaTheme="minorEastAsia" w:hAnsi="Times New Roman" w:cs="Times New Roman"/>
        </w:rPr>
        <w:t>was</w:t>
      </w:r>
      <w:r w:rsidRPr="0095607E">
        <w:rPr>
          <w:rFonts w:ascii="Times New Roman" w:eastAsiaTheme="minorEastAsia" w:hAnsi="Times New Roman" w:cs="Times New Roman"/>
        </w:rPr>
        <w:t xml:space="preserve"> used to analyze the data.</w:t>
      </w:r>
    </w:p>
    <w:p w14:paraId="21DB70AA" w14:textId="34466B39" w:rsidR="0095607E" w:rsidRPr="0095607E" w:rsidRDefault="0095607E" w:rsidP="00167107">
      <w:pPr>
        <w:pStyle w:val="Heading3"/>
        <w:rPr>
          <w:rFonts w:ascii="Times New Roman" w:hAnsi="Times New Roman" w:cs="Times New Roman"/>
        </w:rPr>
      </w:pPr>
      <w:r w:rsidRPr="0095607E">
        <w:rPr>
          <w:rFonts w:ascii="Times New Roman" w:hAnsi="Times New Roman" w:cs="Times New Roman"/>
          <w:b/>
          <w:bCs/>
          <w:color w:val="auto"/>
          <w:sz w:val="24"/>
          <w:szCs w:val="24"/>
        </w:rPr>
        <w:t>3.1.1</w:t>
      </w:r>
      <w:r w:rsidRPr="0095607E">
        <w:rPr>
          <w:rFonts w:ascii="Times New Roman" w:hAnsi="Times New Roman" w:cs="Times New Roman"/>
          <w:b/>
          <w:bCs/>
          <w:color w:val="auto"/>
          <w:sz w:val="24"/>
          <w:szCs w:val="24"/>
        </w:rPr>
        <w:tab/>
      </w:r>
    </w:p>
    <w:p w14:paraId="2BFF924F" w14:textId="543CE13D" w:rsidR="002D26E1" w:rsidRPr="0095607E" w:rsidRDefault="002D26E1"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3.2</w:t>
      </w:r>
      <w:r w:rsidRPr="0095607E">
        <w:rPr>
          <w:rFonts w:ascii="Times New Roman" w:hAnsi="Times New Roman" w:cs="Times New Roman"/>
          <w:b/>
          <w:bCs/>
          <w:color w:val="auto"/>
          <w:sz w:val="24"/>
          <w:szCs w:val="24"/>
        </w:rPr>
        <w:tab/>
        <w:t xml:space="preserve">Study Design </w:t>
      </w:r>
    </w:p>
    <w:p w14:paraId="16FF8CA2" w14:textId="3D796E22" w:rsidR="006F0D79"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This study adopt</w:t>
      </w:r>
      <w:r w:rsidR="00B20D0A" w:rsidRPr="0095607E">
        <w:rPr>
          <w:rFonts w:ascii="Times New Roman" w:hAnsi="Times New Roman" w:cs="Times New Roman"/>
        </w:rPr>
        <w:t>ed</w:t>
      </w:r>
      <w:r w:rsidRPr="0095607E">
        <w:rPr>
          <w:rFonts w:ascii="Times New Roman" w:hAnsi="Times New Roman" w:cs="Times New Roman"/>
        </w:rPr>
        <w:t xml:space="preserve"> a cross-sectional analytical design involving farmers and retailers. The research was carried out in two counties in Kenya that were purposely selected, which were considered important in the production and marketing of potatoes in the country. </w:t>
      </w:r>
      <w:r w:rsidR="006F0D79" w:rsidRPr="0095607E">
        <w:rPr>
          <w:rFonts w:ascii="Times New Roman"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oMath>
      <w:r w:rsidR="006F0D79" w:rsidRPr="0095607E">
        <w:rPr>
          <w:rFonts w:ascii="Times New Roman" w:hAnsi="Times New Roman" w:cs="Times New Roman"/>
        </w:rPr>
        <w:t xml:space="preserve"> represent the number of lost units of potatoes by individual </w:t>
      </w:r>
      <m:oMath>
        <m:r>
          <w:rPr>
            <w:rFonts w:ascii="Cambria Math" w:hAnsi="Cambria Math" w:cs="Times New Roman"/>
          </w:rPr>
          <m:t>i</m:t>
        </m:r>
      </m:oMath>
      <w:r w:rsidR="006F0D79" w:rsidRPr="0095607E">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i=1,2,…,n</m:t>
            </m:r>
          </m:e>
        </m:d>
      </m:oMath>
      <w:r w:rsidR="006F0D79" w:rsidRPr="0095607E">
        <w:rPr>
          <w:rFonts w:ascii="Times New Roman" w:eastAsiaTheme="minorEastAsia" w:hAnsi="Times New Roman" w:cs="Times New Roman"/>
        </w:rPr>
        <w:t xml:space="preserve">  </w:t>
      </w:r>
      <w:r w:rsidR="006F0D79" w:rsidRPr="0095607E">
        <w:rPr>
          <w:rFonts w:ascii="Times New Roman" w:hAnsi="Times New Roman" w:cs="Times New Roman"/>
        </w:rPr>
        <w:t xml:space="preserve">in county </w:t>
      </w:r>
      <m:oMath>
        <m:r>
          <w:rPr>
            <w:rFonts w:ascii="Cambria Math" w:hAnsi="Cambria Math" w:cs="Times New Roman"/>
          </w:rPr>
          <m:t xml:space="preserve">j, </m:t>
        </m:r>
        <m:d>
          <m:dPr>
            <m:ctrlPr>
              <w:rPr>
                <w:rFonts w:ascii="Cambria Math" w:hAnsi="Cambria Math" w:cs="Times New Roman"/>
                <w:i/>
              </w:rPr>
            </m:ctrlPr>
          </m:dPr>
          <m:e>
            <m:r>
              <w:rPr>
                <w:rFonts w:ascii="Cambria Math" w:hAnsi="Cambria Math" w:cs="Times New Roman"/>
              </w:rPr>
              <m:t>j=1,2</m:t>
            </m:r>
          </m:e>
        </m:d>
      </m:oMath>
      <w:r w:rsidR="006F0D79" w:rsidRPr="0095607E">
        <w:rPr>
          <w:rFonts w:ascii="Times New Roman" w:hAnsi="Times New Roman" w:cs="Times New Roman"/>
        </w:rPr>
        <w:t xml:space="preserve"> at the stage of the value chain number </w:t>
      </w:r>
      <w:r w:rsidR="006F0D79" w:rsidRPr="0095607E">
        <w:rPr>
          <w:rFonts w:ascii="Times New Roman" w:eastAsiaTheme="minorEastAsia" w:hAnsi="Times New Roman" w:cs="Times New Roman"/>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k=1,2,…,k</m:t>
            </m:r>
          </m:e>
        </m:d>
      </m:oMath>
      <w:r w:rsidR="006F0D79" w:rsidRPr="0095607E">
        <w:rPr>
          <w:rFonts w:ascii="Times New Roman" w:hAnsi="Times New Roman" w:cs="Times New Roman"/>
        </w:rPr>
        <w:t xml:space="preserve">. The overall number of respondents </w:t>
      </w:r>
      <w:r w:rsidR="00F55A6C" w:rsidRPr="0095607E">
        <w:rPr>
          <w:rFonts w:ascii="Times New Roman" w:hAnsi="Times New Roman" w:cs="Times New Roman"/>
        </w:rPr>
        <w:t>were</w:t>
      </w:r>
      <w:r w:rsidR="006F0D79" w:rsidRPr="0095607E">
        <w:rPr>
          <w:rFonts w:ascii="Times New Roman" w:hAnsi="Times New Roman" w:cs="Times New Roman"/>
        </w:rPr>
        <w:t xml:space="preserve"> 628 distributed between Nakuru </w:t>
      </w:r>
      <m:oMath>
        <m:r>
          <w:rPr>
            <w:rFonts w:ascii="Cambria Math" w:hAnsi="Cambria Math" w:cs="Times New Roman"/>
          </w:rPr>
          <m:t>(j = 1; n = 388)</m:t>
        </m:r>
      </m:oMath>
      <w:r w:rsidR="006F0D79" w:rsidRPr="0095607E">
        <w:rPr>
          <w:rFonts w:ascii="Times New Roman" w:hAnsi="Times New Roman" w:cs="Times New Roman"/>
        </w:rPr>
        <w:t xml:space="preserve"> and </w:t>
      </w:r>
      <w:proofErr w:type="spellStart"/>
      <w:r w:rsidR="006F0D79" w:rsidRPr="0095607E">
        <w:rPr>
          <w:rFonts w:ascii="Times New Roman" w:hAnsi="Times New Roman" w:cs="Times New Roman"/>
        </w:rPr>
        <w:t>Nyandarua</w:t>
      </w:r>
      <w:proofErr w:type="spellEnd"/>
      <w:r w:rsidR="006F0D79" w:rsidRPr="0095607E">
        <w:rPr>
          <w:rFonts w:ascii="Times New Roman" w:hAnsi="Times New Roman" w:cs="Times New Roman"/>
        </w:rPr>
        <w:t xml:space="preserve"> </w:t>
      </w:r>
      <m:oMath>
        <m:r>
          <w:rPr>
            <w:rFonts w:ascii="Cambria Math" w:hAnsi="Cambria Math" w:cs="Times New Roman"/>
          </w:rPr>
          <m:t>(j = 2; n=240).</m:t>
        </m:r>
      </m:oMath>
      <w:r w:rsidR="006F0D79" w:rsidRPr="0095607E">
        <w:rPr>
          <w:rFonts w:ascii="Times New Roman" w:hAnsi="Times New Roman" w:cs="Times New Roman"/>
        </w:rPr>
        <w:t xml:space="preserve"> The observations within each county are further subdivided into each value chain stage which is where a respondent is majorly operating. </w:t>
      </w:r>
    </w:p>
    <w:p w14:paraId="28566C07" w14:textId="2D406918" w:rsidR="006F0D79" w:rsidRPr="0095607E" w:rsidRDefault="002D26E1" w:rsidP="003B0C52">
      <w:pPr>
        <w:pStyle w:val="Heading2"/>
        <w:spacing w:line="240" w:lineRule="auto"/>
        <w:rPr>
          <w:rFonts w:ascii="Times New Roman" w:hAnsi="Times New Roman" w:cs="Times New Roman"/>
          <w:b/>
          <w:bCs/>
          <w:color w:val="auto"/>
          <w:sz w:val="24"/>
          <w:szCs w:val="24"/>
        </w:rPr>
      </w:pPr>
      <w:bookmarkStart w:id="6" w:name="_Toc225180551"/>
      <w:r w:rsidRPr="0095607E">
        <w:rPr>
          <w:rFonts w:ascii="Times New Roman" w:hAnsi="Times New Roman" w:cs="Times New Roman"/>
          <w:b/>
          <w:bCs/>
          <w:color w:val="auto"/>
          <w:sz w:val="24"/>
          <w:szCs w:val="24"/>
        </w:rPr>
        <w:t>3.3</w:t>
      </w:r>
      <w:r w:rsidR="006F0D79" w:rsidRPr="0095607E">
        <w:rPr>
          <w:rFonts w:ascii="Times New Roman" w:hAnsi="Times New Roman" w:cs="Times New Roman"/>
          <w:b/>
          <w:bCs/>
          <w:color w:val="auto"/>
          <w:sz w:val="24"/>
          <w:szCs w:val="24"/>
        </w:rPr>
        <w:tab/>
        <w:t>Multilevel Negative Binomial Model</w:t>
      </w:r>
      <w:bookmarkEnd w:id="6"/>
    </w:p>
    <w:p w14:paraId="0998ACAC" w14:textId="6E41EF19" w:rsidR="006F0D79" w:rsidRPr="0095607E" w:rsidRDefault="006F0D79" w:rsidP="003B0C52">
      <w:pPr>
        <w:spacing w:line="240" w:lineRule="auto"/>
        <w:jc w:val="both"/>
        <w:rPr>
          <w:rFonts w:ascii="Times New Roman" w:eastAsiaTheme="minorEastAsia" w:hAnsi="Times New Roman" w:cs="Times New Roman"/>
        </w:rPr>
      </w:pPr>
      <w:r w:rsidRPr="0095607E">
        <w:rPr>
          <w:rFonts w:ascii="Times New Roman" w:hAnsi="Times New Roman" w:cs="Times New Roman"/>
        </w:rPr>
        <w:t xml:space="preserve">Post harvest </w:t>
      </w:r>
      <w:r w:rsidR="002D26E1" w:rsidRPr="0095607E">
        <w:rPr>
          <w:rFonts w:ascii="Times New Roman" w:hAnsi="Times New Roman" w:cs="Times New Roman"/>
        </w:rPr>
        <w:t xml:space="preserve">count </w:t>
      </w:r>
      <w:r w:rsidRPr="0095607E">
        <w:rPr>
          <w:rFonts w:ascii="Times New Roman" w:hAnsi="Times New Roman" w:cs="Times New Roman"/>
        </w:rPr>
        <w:t xml:space="preserve">data </w:t>
      </w:r>
      <w:r w:rsidR="002D26E1" w:rsidRPr="0095607E">
        <w:rPr>
          <w:rFonts w:ascii="Times New Roman" w:hAnsi="Times New Roman" w:cs="Times New Roman"/>
        </w:rPr>
        <w:t xml:space="preserve">were modeled using Negative binomial model relaxes the </w:t>
      </w:r>
      <w:proofErr w:type="spellStart"/>
      <w:r w:rsidR="002D26E1" w:rsidRPr="0095607E">
        <w:rPr>
          <w:rFonts w:ascii="Times New Roman" w:hAnsi="Times New Roman" w:cs="Times New Roman"/>
        </w:rPr>
        <w:t>equi</w:t>
      </w:r>
      <w:proofErr w:type="spellEnd"/>
      <w:r w:rsidR="002D26E1" w:rsidRPr="0095607E">
        <w:rPr>
          <w:rFonts w:ascii="Times New Roman" w:hAnsi="Times New Roman" w:cs="Times New Roman"/>
        </w:rPr>
        <w:t xml:space="preserve">-dispersion assumption by introducing a dispersion parameter </w:t>
      </w:r>
      <m:oMath>
        <m:r>
          <w:rPr>
            <w:rFonts w:ascii="Cambria Math" w:hAnsi="Cambria Math" w:cs="Times New Roman"/>
          </w:rPr>
          <m:t>θ</m:t>
        </m:r>
      </m:oMath>
      <w:r w:rsidR="002D26E1" w:rsidRPr="0095607E">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w:rPr>
            <w:rFonts w:ascii="Cambria Math" w:hAnsi="Cambria Math" w:cs="Times New Roman"/>
          </w:rPr>
          <m:t>∼NB</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ijk</m:t>
                </m:r>
              </m:sub>
            </m:sSub>
            <m:r>
              <w:rPr>
                <w:rFonts w:ascii="Cambria Math" w:hAnsi="Cambria Math" w:cs="Times New Roman"/>
              </w:rPr>
              <m:t>,θ</m:t>
            </m:r>
          </m:e>
        </m:d>
      </m:oMath>
    </w:p>
    <w:tbl>
      <w:tblPr>
        <w:tblStyle w:val="TableGrid"/>
        <w:tblpPr w:leftFromText="180" w:rightFromText="180" w:vertAnchor="text" w:horzAnchor="margin" w:tblpY="-59"/>
        <w:tblW w:w="9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8611"/>
        <w:gridCol w:w="556"/>
      </w:tblGrid>
      <w:tr w:rsidR="00F611F9" w:rsidRPr="0095607E" w14:paraId="36D349C7" w14:textId="77777777" w:rsidTr="00F611F9">
        <w:trPr>
          <w:trHeight w:val="370"/>
        </w:trPr>
        <w:tc>
          <w:tcPr>
            <w:tcW w:w="556" w:type="dxa"/>
          </w:tcPr>
          <w:p w14:paraId="435A5A62" w14:textId="77777777" w:rsidR="00F611F9" w:rsidRPr="0095607E" w:rsidRDefault="00F611F9" w:rsidP="003B0C52">
            <w:pPr>
              <w:spacing w:after="173"/>
              <w:jc w:val="both"/>
              <w:rPr>
                <w:rFonts w:ascii="Times New Roman" w:hAnsi="Times New Roman" w:cs="Times New Roman"/>
              </w:rPr>
            </w:pPr>
          </w:p>
        </w:tc>
        <w:tc>
          <w:tcPr>
            <w:tcW w:w="8611" w:type="dxa"/>
          </w:tcPr>
          <w:p w14:paraId="7C4A31C5" w14:textId="50D08474" w:rsidR="00F611F9" w:rsidRPr="0095607E" w:rsidRDefault="00F611F9" w:rsidP="003B0C52">
            <w:pPr>
              <w:jc w:val="both"/>
              <w:rPr>
                <w:rFonts w:ascii="Times New Roman" w:eastAsiaTheme="minorEastAsia" w:hAnsi="Times New Roman" w:cs="Times New Roman"/>
              </w:rPr>
            </w:pPr>
            <m:oMathPara>
              <m:oMath>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ijk</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r=1</m:t>
                    </m:r>
                  </m:sub>
                  <m:sup>
                    <m:r>
                      <w:rPr>
                        <w:rFonts w:ascii="Cambria Math" w:eastAsiaTheme="minorEastAsia" w:hAnsi="Cambria Math" w:cs="Times New Roman"/>
                      </w:rPr>
                      <m:t>p</m:t>
                    </m: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r</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ijk</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nary>
              </m:oMath>
            </m:oMathPara>
          </w:p>
        </w:tc>
        <w:tc>
          <w:tcPr>
            <w:tcW w:w="556" w:type="dxa"/>
          </w:tcPr>
          <w:p w14:paraId="45646068" w14:textId="77777777" w:rsidR="00F611F9" w:rsidRPr="0095607E" w:rsidRDefault="00F611F9" w:rsidP="003B0C52">
            <w:pPr>
              <w:spacing w:after="173"/>
              <w:jc w:val="both"/>
              <w:rPr>
                <w:rFonts w:ascii="Times New Roman" w:hAnsi="Times New Roman" w:cs="Times New Roman"/>
              </w:rPr>
            </w:pPr>
            <w:r w:rsidRPr="0095607E">
              <w:rPr>
                <w:rFonts w:ascii="Times New Roman" w:hAnsi="Times New Roman" w:cs="Times New Roman"/>
              </w:rPr>
              <w:t>1</w:t>
            </w:r>
          </w:p>
        </w:tc>
      </w:tr>
    </w:tbl>
    <w:p w14:paraId="3A4CB2C9" w14:textId="77777777" w:rsidR="006F0D79" w:rsidRPr="0095607E" w:rsidRDefault="006F0D79" w:rsidP="003B0C52">
      <w:pPr>
        <w:spacing w:line="240" w:lineRule="auto"/>
        <w:jc w:val="both"/>
        <w:rPr>
          <w:rFonts w:ascii="Times New Roman" w:eastAsiaTheme="minorEastAsia" w:hAnsi="Times New Roman" w:cs="Times New Roman"/>
        </w:rPr>
      </w:pPr>
    </w:p>
    <w:p w14:paraId="0FB432A8" w14:textId="5307775D" w:rsidR="006F0D79" w:rsidRPr="0095607E" w:rsidRDefault="006F0D79" w:rsidP="003B0C52">
      <w:pPr>
        <w:spacing w:line="240" w:lineRule="auto"/>
        <w:jc w:val="both"/>
        <w:rPr>
          <w:rFonts w:ascii="Times New Roman" w:hAnsi="Times New Roman" w:cs="Times New Roman"/>
        </w:rPr>
      </w:pPr>
      <w:r w:rsidRPr="0095607E">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j</m:t>
            </m:r>
          </m:sub>
        </m:sSub>
        <m:r>
          <w:rPr>
            <w:rFonts w:ascii="Cambria Math" w:hAnsi="Cambria Math" w:cs="Times New Roman"/>
          </w:rPr>
          <m:t xml:space="preserve">~N(0,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u</m:t>
            </m:r>
          </m:sub>
        </m:sSub>
        <m:r>
          <w:rPr>
            <w:rFonts w:ascii="Cambria Math" w:hAnsi="Cambria Math" w:cs="Times New Roman"/>
          </w:rPr>
          <m:t>)</m:t>
        </m:r>
      </m:oMath>
      <w:r w:rsidRPr="0095607E">
        <w:rPr>
          <w:rFonts w:ascii="Times New Roman" w:eastAsiaTheme="minorEastAsia" w:hAnsi="Times New Roman" w:cs="Times New Roman"/>
        </w:rPr>
        <w:t xml:space="preserve"> is the random effects for county </w:t>
      </w:r>
      <m:oMath>
        <m:r>
          <w:rPr>
            <w:rFonts w:ascii="Cambria Math" w:eastAsiaTheme="minorEastAsia" w:hAnsi="Cambria Math" w:cs="Times New Roman"/>
          </w:rPr>
          <m:t>j=1,2</m:t>
        </m:r>
      </m:oMath>
      <w:r w:rsidRPr="0095607E">
        <w:rPr>
          <w:rFonts w:ascii="Times New Roman" w:eastAsiaTheme="minorEastAsia"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k</m:t>
            </m:r>
          </m:sub>
        </m:sSub>
        <m:r>
          <w:rPr>
            <w:rFonts w:ascii="Cambria Math" w:hAnsi="Cambria Math" w:cs="Times New Roman"/>
          </w:rPr>
          <m:t xml:space="preserve">~N(0, </m:t>
        </m:r>
        <m:sSub>
          <m:sSubPr>
            <m:ctrlPr>
              <w:rPr>
                <w:rFonts w:ascii="Cambria Math" w:hAnsi="Cambria Math" w:cs="Times New Roman"/>
                <w:i/>
              </w:rPr>
            </m:ctrlPr>
          </m:sSubPr>
          <m:e>
            <m:r>
              <w:rPr>
                <w:rFonts w:ascii="Cambria Math" w:hAnsi="Cambria Math" w:cs="Times New Roman"/>
              </w:rPr>
              <m:t>σ</m:t>
            </m:r>
          </m:e>
          <m:sub>
            <m:r>
              <w:rPr>
                <w:rFonts w:ascii="Cambria Math" w:hAnsi="Cambria Math" w:cs="Times New Roman"/>
              </w:rPr>
              <m:t>v</m:t>
            </m:r>
          </m:sub>
        </m:sSub>
        <m:r>
          <w:rPr>
            <w:rFonts w:ascii="Cambria Math" w:hAnsi="Cambria Math" w:cs="Times New Roman"/>
          </w:rPr>
          <m:t>)</m:t>
        </m:r>
      </m:oMath>
      <w:r w:rsidRPr="0095607E">
        <w:rPr>
          <w:rFonts w:ascii="Times New Roman" w:eastAsiaTheme="minorEastAsia" w:hAnsi="Times New Roman" w:cs="Times New Roman"/>
        </w:rPr>
        <w:t xml:space="preserve"> is the random effects for stage </w:t>
      </w:r>
      <m:oMath>
        <m:r>
          <w:rPr>
            <w:rFonts w:ascii="Cambria Math" w:eastAsiaTheme="minorEastAsia" w:hAnsi="Cambria Math" w:cs="Times New Roman"/>
          </w:rPr>
          <m:t>k</m:t>
        </m:r>
      </m:oMath>
      <w:r w:rsidRPr="0095607E">
        <w:rPr>
          <w:rFonts w:ascii="Times New Roman" w:eastAsiaTheme="minorEastAsia" w:hAnsi="Times New Roman" w:cs="Times New Roman"/>
        </w:rPr>
        <w:t xml:space="preserve">. </w:t>
      </w:r>
    </w:p>
    <w:p w14:paraId="6AD3575C" w14:textId="3DF9F51C" w:rsidR="006F0D79" w:rsidRPr="0095607E" w:rsidRDefault="002D26E1" w:rsidP="003B0C52">
      <w:pPr>
        <w:pStyle w:val="Heading2"/>
        <w:spacing w:line="240" w:lineRule="auto"/>
        <w:rPr>
          <w:rFonts w:ascii="Times New Roman" w:hAnsi="Times New Roman" w:cs="Times New Roman"/>
          <w:b/>
          <w:bCs/>
          <w:color w:val="auto"/>
          <w:sz w:val="24"/>
          <w:szCs w:val="24"/>
        </w:rPr>
      </w:pPr>
      <w:bookmarkStart w:id="7" w:name="_Toc225180552"/>
      <w:r w:rsidRPr="0095607E">
        <w:rPr>
          <w:rFonts w:ascii="Times New Roman" w:hAnsi="Times New Roman" w:cs="Times New Roman"/>
          <w:b/>
          <w:bCs/>
          <w:color w:val="auto"/>
          <w:sz w:val="24"/>
          <w:szCs w:val="24"/>
        </w:rPr>
        <w:t>3.3.1</w:t>
      </w:r>
      <w:r w:rsidR="006F0D79" w:rsidRPr="0095607E">
        <w:rPr>
          <w:rFonts w:ascii="Times New Roman" w:hAnsi="Times New Roman" w:cs="Times New Roman"/>
          <w:b/>
          <w:bCs/>
          <w:color w:val="auto"/>
          <w:sz w:val="24"/>
          <w:szCs w:val="24"/>
        </w:rPr>
        <w:tab/>
        <w:t>Likelihood Function</w:t>
      </w:r>
      <w:bookmarkEnd w:id="7"/>
    </w:p>
    <w:tbl>
      <w:tblPr>
        <w:tblStyle w:val="TableGrid"/>
        <w:tblpPr w:leftFromText="180" w:rightFromText="180" w:vertAnchor="text" w:horzAnchor="margin" w:tblpY="1583"/>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579"/>
        <w:gridCol w:w="553"/>
      </w:tblGrid>
      <w:tr w:rsidR="002D26E1" w:rsidRPr="0095607E" w14:paraId="191DC913" w14:textId="77777777" w:rsidTr="002D26E1">
        <w:trPr>
          <w:trHeight w:val="897"/>
        </w:trPr>
        <w:tc>
          <w:tcPr>
            <w:tcW w:w="553" w:type="dxa"/>
          </w:tcPr>
          <w:p w14:paraId="7CEA3B0B" w14:textId="77777777" w:rsidR="002D26E1" w:rsidRPr="0095607E" w:rsidRDefault="002D26E1" w:rsidP="003B0C52">
            <w:pPr>
              <w:spacing w:after="173"/>
              <w:jc w:val="both"/>
              <w:rPr>
                <w:rFonts w:ascii="Times New Roman" w:hAnsi="Times New Roman" w:cs="Times New Roman"/>
              </w:rPr>
            </w:pPr>
          </w:p>
        </w:tc>
        <w:tc>
          <w:tcPr>
            <w:tcW w:w="8579" w:type="dxa"/>
          </w:tcPr>
          <w:p w14:paraId="40E817BF" w14:textId="77777777" w:rsidR="002D26E1" w:rsidRPr="0095607E" w:rsidRDefault="002D26E1" w:rsidP="003B0C52">
            <w:pPr>
              <w:jc w:val="both"/>
              <w:rPr>
                <w:rFonts w:ascii="Times New Roman" w:eastAsiaTheme="minorEastAsia" w:hAnsi="Times New Roman" w:cs="Times New Roman"/>
              </w:rPr>
            </w:pPr>
            <m:oMathPara>
              <m:oMath>
                <m:r>
                  <w:rPr>
                    <w:rFonts w:ascii="Cambria Math" w:eastAsiaTheme="minorEastAsia" w:hAnsi="Cambria Math" w:cs="Times New Roman"/>
                  </w:rPr>
                  <m:t>L=</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k=1</m:t>
                    </m:r>
                  </m:sub>
                  <m:sup>
                    <m:r>
                      <w:rPr>
                        <w:rFonts w:ascii="Cambria Math" w:eastAsiaTheme="minorEastAsia" w:hAnsi="Cambria Math" w:cs="Times New Roman"/>
                      </w:rPr>
                      <m:t>K</m:t>
                    </m:r>
                  </m:sup>
                  <m:e>
                    <m:nary>
                      <m:naryPr>
                        <m:limLoc m:val="undOvr"/>
                        <m:subHide m:val="1"/>
                        <m:supHide m:val="1"/>
                        <m:ctrlPr>
                          <w:rPr>
                            <w:rFonts w:ascii="Cambria Math" w:eastAsiaTheme="minorEastAsia" w:hAnsi="Cambria Math" w:cs="Times New Roman"/>
                            <w:i/>
                          </w:rPr>
                        </m:ctrlPr>
                      </m:naryPr>
                      <m:sub/>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2</m:t>
                            </m:r>
                          </m:sup>
                          <m:e>
                            <m:nary>
                              <m:naryPr>
                                <m:chr m:val="∏"/>
                                <m:ctrlPr>
                                  <w:rPr>
                                    <w:rFonts w:ascii="Cambria Math" w:eastAsiaTheme="minorEastAsia"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k</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d>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e>
                                </m:d>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r>
                                  <w:rPr>
                                    <w:rFonts w:ascii="Cambria Math" w:eastAsiaTheme="minorEastAsia" w:hAnsi="Cambria Math" w:cs="Times New Roman"/>
                                  </w:rPr>
                                  <m:t>d</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nary>
                          </m:e>
                        </m:nary>
                      </m:e>
                    </m:nary>
                  </m:e>
                </m:nary>
              </m:oMath>
            </m:oMathPara>
          </w:p>
        </w:tc>
        <w:tc>
          <w:tcPr>
            <w:tcW w:w="553" w:type="dxa"/>
          </w:tcPr>
          <w:p w14:paraId="22E3D2E1" w14:textId="0E3FA9BA" w:rsidR="002D26E1" w:rsidRPr="0095607E" w:rsidRDefault="00F611F9" w:rsidP="003B0C52">
            <w:pPr>
              <w:spacing w:after="173"/>
              <w:jc w:val="both"/>
              <w:rPr>
                <w:rFonts w:ascii="Times New Roman" w:hAnsi="Times New Roman" w:cs="Times New Roman"/>
              </w:rPr>
            </w:pPr>
            <w:r w:rsidRPr="0095607E">
              <w:rPr>
                <w:rFonts w:ascii="Times New Roman" w:hAnsi="Times New Roman" w:cs="Times New Roman"/>
              </w:rPr>
              <w:t>2</w:t>
            </w:r>
          </w:p>
        </w:tc>
      </w:tr>
    </w:tbl>
    <w:p w14:paraId="65A4896F" w14:textId="26B78E62" w:rsidR="006F0D79" w:rsidRPr="0095607E" w:rsidRDefault="002D26E1" w:rsidP="003B0C52">
      <w:pPr>
        <w:spacing w:line="240" w:lineRule="auto"/>
        <w:rPr>
          <w:rFonts w:ascii="Times New Roman" w:eastAsiaTheme="minorEastAsia" w:hAnsi="Times New Roman" w:cs="Times New Roman"/>
        </w:rPr>
      </w:pPr>
      <w:r w:rsidRPr="0095607E">
        <w:rPr>
          <w:rFonts w:ascii="Times New Roman" w:eastAsiaTheme="minorEastAsia" w:hAnsi="Times New Roman" w:cs="Times New Roman"/>
        </w:rPr>
        <w:t xml:space="preserve"> </w:t>
      </w:r>
      <w:r w:rsidR="006F0D79" w:rsidRPr="0095607E">
        <w:rPr>
          <w:rFonts w:ascii="Times New Roman" w:eastAsiaTheme="minorEastAsia" w:hAnsi="Times New Roman" w:cs="Times New Roman"/>
        </w:rPr>
        <w:t xml:space="preserve">Let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ijk</m:t>
                </m:r>
              </m:sub>
            </m:sSub>
            <m:r>
              <w:rPr>
                <w:rFonts w:ascii="Cambria Math" w:eastAsiaTheme="minorEastAsia" w:hAnsi="Cambria Math" w:cs="Times New Roman"/>
              </w:rPr>
              <m:t>, θ</m:t>
            </m:r>
          </m:e>
        </m:d>
      </m:oMath>
      <w:r w:rsidR="006F0D79" w:rsidRPr="0095607E">
        <w:rPr>
          <w:rFonts w:ascii="Times New Roman" w:eastAsiaTheme="minorEastAsia" w:hAnsi="Times New Roman" w:cs="Times New Roman"/>
        </w:rPr>
        <w:t xml:space="preserve"> be the negative binomial probability function. The conditional likelihood is </w:t>
      </w:r>
      <m:oMath>
        <m:sSub>
          <m:sSubPr>
            <m:ctrlPr>
              <w:rPr>
                <w:rFonts w:ascii="Cambria Math" w:eastAsiaTheme="minorEastAsia" w:hAnsi="Cambria Math" w:cs="Times New Roman"/>
                <w:i/>
              </w:rPr>
            </m:ctrlPr>
          </m:sSubPr>
          <m:e>
            <m:r>
              <w:rPr>
                <w:rFonts w:ascii="Cambria Math" w:eastAsiaTheme="minorEastAsia" w:hAnsi="Cambria Math" w:cs="Times New Roman"/>
              </w:rPr>
              <m:t>L</m:t>
            </m:r>
          </m:e>
          <m:sub>
            <m:r>
              <w:rPr>
                <w:rFonts w:ascii="Cambria Math" w:eastAsiaTheme="minorEastAsia" w:hAnsi="Cambria Math" w:cs="Times New Roman"/>
              </w:rPr>
              <m:t>c</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j=1</m:t>
            </m:r>
          </m:sub>
          <m:sup>
            <m:r>
              <w:rPr>
                <w:rFonts w:ascii="Cambria Math" w:eastAsiaTheme="minorEastAsia" w:hAnsi="Cambria Math" w:cs="Times New Roman"/>
              </w:rPr>
              <m:t>2</m:t>
            </m:r>
          </m:sup>
          <m:e>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k=1</m:t>
                </m:r>
              </m:sub>
              <m:sup>
                <m:r>
                  <w:rPr>
                    <w:rFonts w:ascii="Cambria Math" w:eastAsiaTheme="minorEastAsia" w:hAnsi="Cambria Math" w:cs="Times New Roman"/>
                  </w:rPr>
                  <m:t>k</m:t>
                </m:r>
              </m:sup>
              <m:e>
                <m:nary>
                  <m:naryPr>
                    <m:chr m:val="∏"/>
                    <m:ctrlPr>
                      <w:rPr>
                        <w:rFonts w:ascii="Cambria Math" w:eastAsiaTheme="minorEastAsia" w:hAnsi="Cambria Math" w:cs="Times New Roman"/>
                        <w:i/>
                      </w:rPr>
                    </m:ctrlPr>
                  </m:naryPr>
                  <m:sub>
                    <m:r>
                      <w:rPr>
                        <w:rFonts w:ascii="Cambria Math" w:hAnsi="Cambria Math" w:cs="Times New Roman"/>
                      </w:rPr>
                      <m:t>i=1</m:t>
                    </m:r>
                  </m:sub>
                  <m:sup>
                    <m:r>
                      <w:rPr>
                        <w:rFonts w:ascii="Cambria Math" w:hAnsi="Cambria Math" w:cs="Times New Roman"/>
                      </w:rPr>
                      <m:t>n</m:t>
                    </m:r>
                  </m:sup>
                  <m:e>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ijk</m:t>
                            </m:r>
                          </m:sub>
                        </m:sSub>
                        <m:r>
                          <w:rPr>
                            <w:rFonts w:ascii="Cambria Math" w:eastAsiaTheme="minorEastAsia" w:hAnsi="Cambria Math" w:cs="Times New Roman"/>
                          </w:rPr>
                          <m:t>, θ</m:t>
                        </m:r>
                      </m:e>
                    </m:d>
                  </m:e>
                </m:nary>
              </m:e>
            </m:nary>
          </m:e>
        </m:nary>
      </m:oMath>
      <w:r w:rsidR="006F0D79" w:rsidRPr="0095607E">
        <w:rPr>
          <w:rFonts w:ascii="Times New Roman" w:eastAsiaTheme="minorEastAsia" w:hAnsi="Times New Roman" w:cs="Times New Roman"/>
        </w:rPr>
        <w:t xml:space="preserve">. The marginal likelihood integrates over random effects so that: </w:t>
      </w:r>
    </w:p>
    <w:p w14:paraId="4818A40A" w14:textId="77777777" w:rsidR="0024114E" w:rsidRPr="0095607E" w:rsidRDefault="0024114E" w:rsidP="003B0C52">
      <w:pPr>
        <w:spacing w:line="240" w:lineRule="auto"/>
        <w:rPr>
          <w:rFonts w:ascii="Times New Roman" w:eastAsiaTheme="minorEastAsia" w:hAnsi="Times New Roman" w:cs="Times New Roman"/>
        </w:rPr>
      </w:pPr>
    </w:p>
    <w:p w14:paraId="2BFE06E5" w14:textId="0E10589D" w:rsidR="006F0D79" w:rsidRPr="0095607E" w:rsidRDefault="006F0D79" w:rsidP="003B0C52">
      <w:pPr>
        <w:spacing w:line="240" w:lineRule="auto"/>
        <w:rPr>
          <w:rFonts w:ascii="Times New Roman" w:eastAsiaTheme="minorEastAsia" w:hAnsi="Times New Roman" w:cs="Times New Roman"/>
        </w:rPr>
      </w:pPr>
      <w:r w:rsidRPr="0095607E">
        <w:rPr>
          <w:rFonts w:ascii="Times New Roman" w:eastAsiaTheme="minorEastAsia" w:hAnsi="Times New Roman" w:cs="Times New Roman"/>
        </w:rPr>
        <w:t xml:space="preserve">where </w:t>
      </w:r>
      <m:oMath>
        <m:r>
          <w:rPr>
            <w:rFonts w:ascii="Cambria Math" w:eastAsiaTheme="minorEastAsia" w:hAnsi="Cambria Math" w:cs="Times New Roman"/>
          </w:rPr>
          <m:t>f</m:t>
        </m:r>
        <m:d>
          <m:dPr>
            <m:ctrlPr>
              <w:rPr>
                <w:rFonts w:ascii="Cambria Math" w:eastAsiaTheme="minorEastAsia"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ijk</m:t>
                </m:r>
              </m:sub>
            </m:sSub>
            <m:r>
              <m:rPr>
                <m:sty m:val="p"/>
              </m:rPr>
              <w:rPr>
                <w:rFonts w:ascii="Cambria Math" w:hAnsi="Cambria Math" w:cs="Times New Roman"/>
              </w:rPr>
              <m:t>Ι</m:t>
            </m:r>
            <m:sSub>
              <m:sSubPr>
                <m:ctrlPr>
                  <w:rPr>
                    <w:rFonts w:ascii="Cambria Math" w:eastAsiaTheme="minorEastAsia" w:hAnsi="Cambria Math" w:cs="Times New Roman"/>
                    <w:i/>
                  </w:rPr>
                </m:ctrlPr>
              </m:sSubPr>
              <m:e>
                <m:r>
                  <w:rPr>
                    <w:rFonts w:ascii="Cambria Math" w:eastAsiaTheme="minorEastAsia" w:hAnsi="Cambria Math" w:cs="Times New Roman"/>
                  </w:rPr>
                  <m:t>µ</m:t>
                </m:r>
              </m:e>
              <m:sub>
                <m:r>
                  <w:rPr>
                    <w:rFonts w:ascii="Cambria Math" w:eastAsiaTheme="minorEastAsia" w:hAnsi="Cambria Math" w:cs="Times New Roman"/>
                  </w:rPr>
                  <m:t>k</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k</m:t>
                </m:r>
              </m:sub>
            </m:sSub>
          </m:e>
        </m:d>
      </m:oMath>
      <w:r w:rsidRPr="0095607E">
        <w:rPr>
          <w:rFonts w:ascii="Times New Roman" w:eastAsiaTheme="minorEastAsia" w:hAnsi="Times New Roman" w:cs="Times New Roman"/>
        </w:rPr>
        <w:t xml:space="preserve"> is conditional negative binomial density and </w:t>
      </w:r>
      <m:oMath>
        <m:r>
          <w:rPr>
            <w:rFonts w:ascii="Cambria Math" w:eastAsiaTheme="minorEastAsia" w:hAnsi="Cambria Math" w:cs="Times New Roman"/>
          </w:rPr>
          <m:t>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e>
        </m:d>
        <m:r>
          <w:rPr>
            <w:rFonts w:ascii="Cambria Math" w:eastAsiaTheme="minorEastAsia" w:hAnsi="Cambria Math" w:cs="Times New Roman"/>
          </w:rPr>
          <m:t>, g</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e>
        </m:d>
      </m:oMath>
      <w:r w:rsidRPr="0095607E">
        <w:rPr>
          <w:rFonts w:ascii="Times New Roman" w:eastAsiaTheme="minorEastAsia" w:hAnsi="Times New Roman" w:cs="Times New Roman"/>
        </w:rPr>
        <w:t xml:space="preserve"> represent normal densities of a random effects where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μ</m:t>
                    </m:r>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jk</m:t>
                        </m:r>
                      </m:sub>
                    </m:sSub>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 xml:space="preserve">. The </w:t>
      </w:r>
      <w:r w:rsidR="002D26E1" w:rsidRPr="0095607E">
        <w:rPr>
          <w:rFonts w:ascii="Times New Roman" w:eastAsiaTheme="minorEastAsia" w:hAnsi="Times New Roman" w:cs="Times New Roman"/>
        </w:rPr>
        <w:t>marginal likelihood integrates over random effects and is approximated using La</w:t>
      </w:r>
      <w:r w:rsidRPr="0095607E">
        <w:rPr>
          <w:rFonts w:ascii="Times New Roman" w:eastAsiaTheme="minorEastAsia" w:hAnsi="Times New Roman" w:cs="Times New Roman"/>
        </w:rPr>
        <w:t>place transformation</w:t>
      </w:r>
      <w:r w:rsidR="002D26E1" w:rsidRPr="0095607E">
        <w:rPr>
          <w:rFonts w:ascii="Times New Roman" w:eastAsiaTheme="minorEastAsia" w:hAnsi="Times New Roman" w:cs="Times New Roman"/>
        </w:rPr>
        <w:t xml:space="preserve"> which expands the log-likelihood around the maximum using a second-order Taylor-expansion</w:t>
      </w:r>
      <w:r w:rsidRPr="0095607E">
        <w:rPr>
          <w:rFonts w:ascii="Times New Roman" w:eastAsiaTheme="minorEastAsia" w:hAnsi="Times New Roman" w:cs="Times New Roman"/>
        </w:rPr>
        <w:t>.</w:t>
      </w:r>
      <w:r w:rsidR="002D26E1" w:rsidRPr="0095607E">
        <w:rPr>
          <w:rFonts w:ascii="Times New Roman" w:eastAsiaTheme="minorEastAsia" w:hAnsi="Times New Roman" w:cs="Times New Roman"/>
        </w:rPr>
        <w:t xml:space="preserve"> The significance of fixed effects is assessed using the Wald test statistic </w:t>
      </w:r>
      <m:oMath>
        <m:r>
          <w:rPr>
            <w:rFonts w:ascii="Cambria Math" w:eastAsiaTheme="minorEastAsia" w:hAnsi="Cambria Math" w:cs="Times New Roman"/>
          </w:rPr>
          <m:t>Z=</m:t>
        </m:r>
        <m:f>
          <m:fPr>
            <m:ctrlPr>
              <w:rPr>
                <w:rFonts w:ascii="Cambria Math" w:eastAsiaTheme="minorEastAsia" w:hAnsi="Cambria Math" w:cs="Times New Roman"/>
                <w:i/>
              </w:rPr>
            </m:ctrlPr>
          </m:fPr>
          <m:num>
            <m:acc>
              <m:accPr>
                <m:ctrlPr>
                  <w:rPr>
                    <w:rFonts w:ascii="Cambria Math" w:eastAsiaTheme="minorEastAsia" w:hAnsi="Cambria Math" w:cs="Times New Roman"/>
                    <w:i/>
                  </w:rPr>
                </m:ctrlPr>
              </m:accPr>
              <m:e>
                <m:r>
                  <w:rPr>
                    <w:rFonts w:ascii="Cambria Math" w:eastAsiaTheme="minorEastAsia" w:hAnsi="Cambria Math" w:cs="Times New Roman"/>
                  </w:rPr>
                  <m:t>β</m:t>
                </m:r>
              </m:e>
            </m:acc>
          </m:num>
          <m:den>
            <m:r>
              <w:rPr>
                <w:rFonts w:ascii="Cambria Math" w:eastAsiaTheme="minorEastAsia" w:hAnsi="Cambria Math" w:cs="Times New Roman"/>
              </w:rPr>
              <m:t>SE</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β</m:t>
                    </m:r>
                  </m:e>
                </m:acc>
              </m:e>
            </m:d>
          </m:den>
        </m:f>
      </m:oMath>
      <w:r w:rsidR="002D26E1" w:rsidRPr="0095607E">
        <w:rPr>
          <w:rFonts w:ascii="Times New Roman" w:eastAsiaTheme="minorEastAsia" w:hAnsi="Times New Roman" w:cs="Times New Roman"/>
        </w:rPr>
        <w:t xml:space="preserve">,  </w:t>
      </w:r>
      <m:oMath>
        <m:r>
          <w:rPr>
            <w:rFonts w:ascii="Cambria Math" w:eastAsiaTheme="minorEastAsia" w:hAnsi="Cambria Math" w:cs="Times New Roman"/>
          </w:rPr>
          <m:t>SE</m:t>
        </m:r>
        <m:d>
          <m:dPr>
            <m:ctrlPr>
              <w:rPr>
                <w:rFonts w:ascii="Cambria Math" w:eastAsiaTheme="minorEastAsia" w:hAnsi="Cambria Math" w:cs="Times New Roman"/>
                <w:i/>
              </w:rPr>
            </m:ctrlPr>
          </m:dPr>
          <m:e>
            <m:acc>
              <m:accPr>
                <m:ctrlPr>
                  <w:rPr>
                    <w:rFonts w:ascii="Cambria Math" w:eastAsiaTheme="minorEastAsia" w:hAnsi="Cambria Math" w:cs="Times New Roman"/>
                    <w:i/>
                  </w:rPr>
                </m:ctrlPr>
              </m:accPr>
              <m:e>
                <m:r>
                  <w:rPr>
                    <w:rFonts w:ascii="Cambria Math" w:eastAsiaTheme="minorEastAsia" w:hAnsi="Cambria Math" w:cs="Times New Roman"/>
                  </w:rPr>
                  <m:t>β</m:t>
                </m:r>
              </m:e>
            </m:acc>
          </m:e>
        </m:d>
      </m:oMath>
      <w:r w:rsidR="002D26E1" w:rsidRPr="0095607E">
        <w:rPr>
          <w:rFonts w:ascii="Times New Roman" w:eastAsiaTheme="minorEastAsia" w:hAnsi="Times New Roman" w:cs="Times New Roman"/>
        </w:rPr>
        <w:t xml:space="preserve"> and random effects using the likelihood ratio test.</w:t>
      </w:r>
    </w:p>
    <w:p w14:paraId="58ACA041" w14:textId="7BD751E6" w:rsidR="006F0D79" w:rsidRPr="0095607E" w:rsidRDefault="0075761C" w:rsidP="003B0C52">
      <w:pPr>
        <w:pStyle w:val="Heading2"/>
        <w:spacing w:line="240" w:lineRule="auto"/>
        <w:rPr>
          <w:rFonts w:ascii="Times New Roman" w:hAnsi="Times New Roman" w:cs="Times New Roman"/>
          <w:b/>
          <w:bCs/>
          <w:color w:val="auto"/>
          <w:sz w:val="24"/>
          <w:szCs w:val="24"/>
        </w:rPr>
      </w:pPr>
      <w:bookmarkStart w:id="8" w:name="_Toc225180555"/>
      <w:r w:rsidRPr="0095607E">
        <w:rPr>
          <w:rFonts w:ascii="Times New Roman" w:hAnsi="Times New Roman" w:cs="Times New Roman"/>
          <w:b/>
          <w:bCs/>
          <w:color w:val="auto"/>
          <w:sz w:val="24"/>
          <w:szCs w:val="24"/>
        </w:rPr>
        <w:lastRenderedPageBreak/>
        <w:t>3.3.2</w:t>
      </w:r>
      <w:r w:rsidR="006F0D79" w:rsidRPr="0095607E">
        <w:rPr>
          <w:rFonts w:ascii="Times New Roman" w:hAnsi="Times New Roman" w:cs="Times New Roman"/>
          <w:b/>
          <w:bCs/>
          <w:color w:val="auto"/>
          <w:sz w:val="24"/>
          <w:szCs w:val="24"/>
        </w:rPr>
        <w:tab/>
        <w:t>Interclass Correlation Coefficients (ICC)</w:t>
      </w:r>
      <w:bookmarkEnd w:id="8"/>
    </w:p>
    <w:p w14:paraId="325BE1C0" w14:textId="15503169" w:rsidR="006F0D79" w:rsidRPr="0095607E" w:rsidRDefault="006F0D79"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This measures the proportion of the total variation in the response that is attributable to clustering effects.</w:t>
      </w:r>
      <w:r w:rsidR="002D26E1" w:rsidRPr="0095607E">
        <w:rPr>
          <w:rFonts w:ascii="Times New Roman" w:eastAsiaTheme="minorEastAsia" w:hAnsi="Times New Roman" w:cs="Times New Roman"/>
        </w:rPr>
        <w:t xml:space="preserve"> The county </w:t>
      </w:r>
      <w:r w:rsidRPr="0095607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ICC</m:t>
            </m:r>
          </m:e>
          <m:sub>
            <m:r>
              <w:rPr>
                <w:rFonts w:ascii="Cambria Math" w:eastAsiaTheme="minorEastAsia" w:hAnsi="Cambria Math" w:cs="Times New Roman"/>
              </w:rPr>
              <m:t>County</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μ</m:t>
                    </m:r>
                  </m:sub>
                </m:sSub>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μ</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e</m:t>
                    </m:r>
                  </m:sub>
                </m:sSub>
              </m:e>
              <m:sup>
                <m:r>
                  <w:rPr>
                    <w:rFonts w:ascii="Cambria Math" w:eastAsiaTheme="minorEastAsia" w:hAnsi="Cambria Math" w:cs="Times New Roman"/>
                  </w:rPr>
                  <m:t>2</m:t>
                </m:r>
              </m:sup>
            </m:sSup>
          </m:den>
        </m:f>
      </m:oMath>
      <w:r w:rsidR="002D26E1" w:rsidRPr="0095607E">
        <w:rPr>
          <w:rFonts w:ascii="Times New Roman" w:eastAsiaTheme="minorEastAsia" w:hAnsi="Times New Roman" w:cs="Times New Roman"/>
        </w:rPr>
        <w:t xml:space="preserve">  where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μ</m:t>
                </m:r>
              </m:sub>
            </m:sSub>
          </m:e>
          <m:sup>
            <m:r>
              <w:rPr>
                <w:rFonts w:ascii="Cambria Math" w:eastAsiaTheme="minorEastAsia" w:hAnsi="Cambria Math" w:cs="Times New Roman"/>
              </w:rPr>
              <m:t>2</m:t>
            </m:r>
          </m:sup>
        </m:sSup>
      </m:oMath>
      <w:r w:rsidR="002D26E1" w:rsidRPr="0095607E">
        <w:rPr>
          <w:rFonts w:ascii="Times New Roman" w:eastAsiaTheme="minorEastAsia" w:hAnsi="Times New Roman" w:cs="Times New Roman"/>
        </w:rPr>
        <w:t xml:space="preserve">is the county-level variance,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oMath>
      <w:r w:rsidR="002D26E1" w:rsidRPr="0095607E">
        <w:rPr>
          <w:rFonts w:ascii="Times New Roman" w:eastAsiaTheme="minorEastAsia" w:hAnsi="Times New Roman" w:cs="Times New Roman"/>
        </w:rPr>
        <w:t xml:space="preserve"> is stage-level variance and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e</m:t>
                </m:r>
              </m:sub>
            </m:sSub>
          </m:e>
          <m:sup>
            <m:r>
              <w:rPr>
                <w:rFonts w:ascii="Cambria Math" w:eastAsiaTheme="minorEastAsia" w:hAnsi="Cambria Math" w:cs="Times New Roman"/>
              </w:rPr>
              <m:t>2</m:t>
            </m:r>
          </m:sup>
        </m:sSup>
      </m:oMath>
      <w:r w:rsidR="002D26E1" w:rsidRPr="0095607E">
        <w:rPr>
          <w:rFonts w:ascii="Times New Roman" w:eastAsiaTheme="minorEastAsia" w:hAnsi="Times New Roman" w:cs="Times New Roman"/>
        </w:rPr>
        <w:t xml:space="preserve"> is the residual variance. </w:t>
      </w:r>
      <w:r w:rsidRPr="0095607E">
        <w:rPr>
          <w:rFonts w:ascii="Times New Roman" w:eastAsiaTheme="minorEastAsia" w:hAnsi="Times New Roman" w:cs="Times New Roman"/>
        </w:rPr>
        <w:t>The stage-level ICC</w:t>
      </w:r>
      <w:r w:rsidR="002D26E1" w:rsidRPr="0095607E">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ICC</m:t>
            </m:r>
          </m:e>
          <m:sub>
            <m:r>
              <w:rPr>
                <w:rFonts w:ascii="Cambria Math" w:eastAsiaTheme="minorEastAsia" w:hAnsi="Cambria Math" w:cs="Times New Roman"/>
              </w:rPr>
              <m:t>stage</m:t>
            </m:r>
          </m:sub>
        </m:sSub>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num>
          <m:den>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μ</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e</m:t>
                    </m:r>
                  </m:sub>
                </m:sSub>
              </m:e>
              <m:sup>
                <m:r>
                  <w:rPr>
                    <w:rFonts w:ascii="Cambria Math" w:eastAsiaTheme="minorEastAsia" w:hAnsi="Cambria Math" w:cs="Times New Roman"/>
                  </w:rPr>
                  <m:t>2</m:t>
                </m:r>
              </m:sup>
            </m:sSup>
          </m:den>
        </m:f>
      </m:oMath>
      <w:r w:rsidRPr="0095607E">
        <w:rPr>
          <w:rFonts w:ascii="Times New Roman" w:eastAsiaTheme="minorEastAsia" w:hAnsi="Times New Roman" w:cs="Times New Roman"/>
        </w:rPr>
        <w:t xml:space="preserve"> . </w:t>
      </w:r>
      <w:r w:rsidR="002D26E1" w:rsidRPr="0095607E">
        <w:rPr>
          <w:rFonts w:ascii="Times New Roman" w:eastAsiaTheme="minorEastAsia" w:hAnsi="Times New Roman" w:cs="Times New Roman"/>
        </w:rPr>
        <w:t>an ICC greater than 0.05 is considered sufficient to warrant a multilevel approach.</w:t>
      </w:r>
    </w:p>
    <w:p w14:paraId="28A80091" w14:textId="4CF54709" w:rsidR="002D26E1" w:rsidRPr="0095607E" w:rsidRDefault="0075761C"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3.4</w:t>
      </w:r>
      <w:r w:rsidR="002D26E1" w:rsidRPr="0095607E">
        <w:rPr>
          <w:rFonts w:ascii="Times New Roman" w:hAnsi="Times New Roman" w:cs="Times New Roman"/>
          <w:b/>
          <w:bCs/>
          <w:color w:val="auto"/>
          <w:sz w:val="24"/>
          <w:szCs w:val="24"/>
        </w:rPr>
        <w:tab/>
        <w:t>Multilevel Beta Regression Model</w:t>
      </w:r>
    </w:p>
    <w:p w14:paraId="252F2369" w14:textId="5733916B"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 xml:space="preserve">Let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oMath>
      <w:r w:rsidRPr="0095607E">
        <w:rPr>
          <w:rFonts w:ascii="Times New Roman" w:eastAsiaTheme="minorEastAsia" w:hAnsi="Times New Roman" w:cs="Times New Roman"/>
        </w:rPr>
        <w:t xml:space="preserve"> denote the proportional loss incurred by individual </w:t>
      </w:r>
      <m:oMath>
        <m:r>
          <w:rPr>
            <w:rFonts w:ascii="Cambria Math" w:eastAsiaTheme="minorEastAsia" w:hAnsi="Cambria Math" w:cs="Times New Roman"/>
          </w:rPr>
          <m:t>i</m:t>
        </m:r>
      </m:oMath>
      <w:r w:rsidRPr="0095607E">
        <w:rPr>
          <w:rFonts w:ascii="Times New Roman" w:eastAsiaTheme="minorEastAsia" w:hAnsi="Times New Roman" w:cs="Times New Roman"/>
        </w:rPr>
        <w:t xml:space="preserve"> in county </w:t>
      </w:r>
      <m:oMath>
        <m:r>
          <w:rPr>
            <w:rFonts w:ascii="Cambria Math" w:hAnsi="Cambria Math" w:cs="Times New Roman"/>
          </w:rPr>
          <m:t xml:space="preserve">j </m:t>
        </m:r>
      </m:oMath>
      <w:r w:rsidRPr="0095607E">
        <w:rPr>
          <w:rFonts w:ascii="Times New Roman" w:eastAsiaTheme="minorEastAsia" w:hAnsi="Times New Roman" w:cs="Times New Roman"/>
        </w:rPr>
        <w:t xml:space="preserve">at the value chain stage </w:t>
      </w:r>
      <m:oMath>
        <m:r>
          <w:rPr>
            <w:rFonts w:ascii="Cambria Math" w:hAnsi="Cambria Math" w:cs="Times New Roman"/>
          </w:rPr>
          <m:t xml:space="preserve">k </m:t>
        </m:r>
      </m:oMath>
      <w:r w:rsidRPr="0095607E">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0,1</m:t>
            </m:r>
          </m:e>
        </m:d>
      </m:oMath>
      <w:r w:rsidRPr="0095607E">
        <w:rPr>
          <w:rFonts w:ascii="Times New Roman" w:eastAsiaTheme="minorEastAsia" w:hAnsi="Times New Roman" w:cs="Times New Roman"/>
        </w:rPr>
        <w:t xml:space="preserve">. Under the beta regression parameterization suggested by </w:t>
      </w:r>
      <w:sdt>
        <w:sdtPr>
          <w:rPr>
            <w:rFonts w:ascii="Times New Roman" w:eastAsiaTheme="minorEastAsia" w:hAnsi="Times New Roman" w:cs="Times New Roman"/>
            <w:color w:val="000000"/>
          </w:rPr>
          <w:tag w:val="MENDELEY_CITATION_v3_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"/>
          <w:id w:val="-818804003"/>
          <w:placeholder>
            <w:docPart w:val="9DC98AA6C6AA473387ADD180482915EC"/>
          </w:placeholder>
        </w:sdtPr>
        <w:sdtEndPr/>
        <w:sdtContent>
          <w:r w:rsidR="00F611F9" w:rsidRPr="0095607E">
            <w:rPr>
              <w:rFonts w:ascii="Times New Roman" w:eastAsia="Times New Roman" w:hAnsi="Times New Roman" w:cs="Times New Roman"/>
              <w:color w:val="000000"/>
            </w:rPr>
            <w:t>(Ferrari &amp; Cribari-Neto, 2004)</w:t>
          </w:r>
        </w:sdtContent>
      </w:sdt>
      <w:r w:rsidRPr="0095607E">
        <w:rPr>
          <w:rFonts w:ascii="Times New Roman" w:eastAsiaTheme="minorEastAsia" w:hAnsi="Times New Roman" w:cs="Times New Roman"/>
        </w:rPr>
        <w:t xml:space="preserve"> such that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ijk</m:t>
            </m:r>
          </m:sub>
        </m:sSub>
        <m:r>
          <w:rPr>
            <w:rFonts w:ascii="Cambria Math" w:hAnsi="Cambria Math" w:cs="Times New Roman"/>
          </w:rPr>
          <m:t>~Beta(</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ijk</m:t>
            </m:r>
          </m:sub>
        </m:sSub>
        <m:r>
          <w:rPr>
            <w:rFonts w:ascii="Cambria Math" w:hAnsi="Cambria Math" w:cs="Times New Roman"/>
          </w:rPr>
          <m:t>, ∅)</m:t>
        </m:r>
      </m:oMath>
      <w:r w:rsidRPr="0095607E">
        <w:rPr>
          <w:rFonts w:ascii="Times New Roman" w:eastAsiaTheme="minorEastAsia"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ijk</m:t>
            </m:r>
          </m:sub>
        </m:sSub>
      </m:oMath>
      <w:r w:rsidRPr="0095607E">
        <w:rPr>
          <w:rFonts w:ascii="Times New Roman" w:eastAsiaTheme="minorEastAsia" w:hAnsi="Times New Roman" w:cs="Times New Roman"/>
        </w:rPr>
        <w:t xml:space="preserve"> is the conditional mean also called the proportional loss and </w:t>
      </w:r>
      <m:oMath>
        <m:r>
          <w:rPr>
            <w:rFonts w:ascii="Cambria Math" w:hAnsi="Cambria Math" w:cs="Times New Roman"/>
          </w:rPr>
          <m:t xml:space="preserve"> ∅&gt;0</m:t>
        </m:r>
      </m:oMath>
      <w:r w:rsidRPr="0095607E">
        <w:rPr>
          <w:rFonts w:ascii="Times New Roman" w:eastAsiaTheme="minorEastAsia" w:hAnsi="Times New Roman" w:cs="Times New Roman"/>
        </w:rPr>
        <w:t xml:space="preserve"> is the precision parameter. The conditional mean is linked to </w:t>
      </w:r>
    </w:p>
    <w:p w14:paraId="3056359B" w14:textId="29AD15B4" w:rsidR="00E4718B" w:rsidRDefault="002D26E1"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predictors via logit function given by:</w:t>
      </w:r>
      <w:r w:rsidR="00E4718B">
        <w:rPr>
          <w:rFonts w:ascii="Times New Roman" w:eastAsiaTheme="minorEastAsia" w:hAnsi="Times New Roman" w:cs="Times New Roman"/>
        </w:rPr>
        <w:t xml:space="preserve">  </w:t>
      </w:r>
      <m:oMath>
        <m:r>
          <w:rPr>
            <w:rFonts w:ascii="Cambria Math" w:eastAsiaTheme="minorEastAsia" w:hAnsi="Cambria Math" w:cs="Times New Roman"/>
          </w:rPr>
          <m:t>logit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e>
        </m:d>
        <m:r>
          <w:rPr>
            <w:rFonts w:ascii="Cambria Math" w:eastAsiaTheme="minorEastAsia" w:hAnsi="Cambria Math" w:cs="Times New Roman"/>
          </w:rPr>
          <m:t>=log</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1-μ</m:t>
                    </m:r>
                  </m:e>
                  <m:sub>
                    <m:r>
                      <w:rPr>
                        <w:rFonts w:ascii="Cambria Math" w:eastAsiaTheme="minorEastAsia" w:hAnsi="Cambria Math" w:cs="Times New Roman"/>
                      </w:rPr>
                      <m:t>ijk</m:t>
                    </m:r>
                  </m:sub>
                </m:sSub>
              </m:den>
            </m:f>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η</m:t>
            </m:r>
          </m:e>
          <m:sub>
            <m:r>
              <w:rPr>
                <w:rFonts w:ascii="Cambria Math" w:eastAsiaTheme="minorEastAsia" w:hAnsi="Cambria Math" w:cs="Times New Roman"/>
              </w:rPr>
              <m:t>ijk</m:t>
            </m:r>
          </m:sub>
        </m:sSub>
      </m:oMath>
      <w:r w:rsidR="00E4718B">
        <w:rPr>
          <w:rFonts w:ascii="Times New Roman" w:eastAsiaTheme="minorEastAsia" w:hAnsi="Times New Roman" w:cs="Times New Roman"/>
        </w:rPr>
        <w:t xml:space="preserve"> and the multilevel beta regression model is given by:</w:t>
      </w:r>
    </w:p>
    <w:tbl>
      <w:tblPr>
        <w:tblStyle w:val="TableGrid"/>
        <w:tblpPr w:leftFromText="180" w:rightFromText="180" w:vertAnchor="text" w:horzAnchor="margin" w:tblpY="486"/>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
        <w:gridCol w:w="8579"/>
        <w:gridCol w:w="553"/>
      </w:tblGrid>
      <w:tr w:rsidR="00E4718B" w:rsidRPr="005A54C1" w14:paraId="1E5DD2F2" w14:textId="77777777" w:rsidTr="00157A73">
        <w:trPr>
          <w:trHeight w:val="897"/>
        </w:trPr>
        <w:tc>
          <w:tcPr>
            <w:tcW w:w="553" w:type="dxa"/>
          </w:tcPr>
          <w:p w14:paraId="43374905" w14:textId="77777777" w:rsidR="00E4718B" w:rsidRPr="005A54C1" w:rsidRDefault="00E4718B" w:rsidP="00157A73">
            <w:pPr>
              <w:spacing w:after="173" w:line="480" w:lineRule="auto"/>
              <w:jc w:val="both"/>
              <w:rPr>
                <w:rFonts w:ascii="Times New Roman" w:hAnsi="Times New Roman" w:cs="Times New Roman"/>
              </w:rPr>
            </w:pPr>
          </w:p>
        </w:tc>
        <w:tc>
          <w:tcPr>
            <w:tcW w:w="8579" w:type="dxa"/>
          </w:tcPr>
          <w:p w14:paraId="3AF92EFE" w14:textId="77777777" w:rsidR="00E4718B" w:rsidRPr="004633AB" w:rsidRDefault="00E4718B" w:rsidP="00157A73">
            <w:pPr>
              <w:spacing w:line="480" w:lineRule="auto"/>
              <w:jc w:val="both"/>
              <w:rPr>
                <w:rFonts w:ascii="Times New Roman" w:eastAsiaTheme="minorEastAsia" w:hAnsi="Times New Roman" w:cs="Times New Roman"/>
              </w:rPr>
            </w:pPr>
            <m:oMathPara>
              <m:oMath>
                <m:r>
                  <w:rPr>
                    <w:rFonts w:ascii="Cambria Math" w:eastAsiaTheme="minorEastAsia" w:hAnsi="Cambria Math" w:cs="Times New Roman"/>
                  </w:rPr>
                  <m:t>logit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ijk</m:t>
                        </m:r>
                      </m:sub>
                    </m:sSub>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0</m:t>
                    </m:r>
                  </m:sub>
                </m:sSub>
                <m:r>
                  <w:rPr>
                    <w:rFonts w:ascii="Cambria Math" w:eastAsiaTheme="minorEastAsia" w:hAnsi="Cambria Math" w:cs="Times New Roman"/>
                  </w:rPr>
                  <m:t>+</m:t>
                </m:r>
                <m:nary>
                  <m:naryPr>
                    <m:chr m:val="∑"/>
                    <m:limLoc m:val="undOvr"/>
                    <m:ctrlPr>
                      <w:rPr>
                        <w:rFonts w:ascii="Cambria Math" w:eastAsiaTheme="minorEastAsia" w:hAnsi="Cambria Math" w:cs="Times New Roman"/>
                        <w:i/>
                      </w:rPr>
                    </m:ctrlPr>
                  </m:naryPr>
                  <m:sub>
                    <m:r>
                      <w:rPr>
                        <w:rFonts w:ascii="Cambria Math" w:eastAsiaTheme="minorEastAsia" w:hAnsi="Cambria Math" w:cs="Times New Roman"/>
                      </w:rPr>
                      <m:t>i=1</m:t>
                    </m:r>
                  </m:sub>
                  <m:sup>
                    <m:r>
                      <w:rPr>
                        <w:rFonts w:ascii="Cambria Math" w:eastAsiaTheme="minorEastAsia" w:hAnsi="Cambria Math" w:cs="Times New Roman"/>
                      </w:rPr>
                      <m:t>p</m:t>
                    </m:r>
                  </m:sup>
                  <m:e>
                    <m:sSub>
                      <m:sSubPr>
                        <m:ctrlPr>
                          <w:rPr>
                            <w:rFonts w:ascii="Cambria Math" w:eastAsiaTheme="minorEastAsia" w:hAnsi="Cambria Math" w:cs="Times New Roman"/>
                            <w:i/>
                          </w:rPr>
                        </m:ctrlPr>
                      </m:sSubPr>
                      <m:e>
                        <m:r>
                          <w:rPr>
                            <w:rFonts w:ascii="Cambria Math" w:eastAsiaTheme="minorEastAsia" w:hAnsi="Cambria Math" w:cs="Times New Roman"/>
                          </w:rPr>
                          <m:t>β</m:t>
                        </m:r>
                      </m:e>
                      <m:sub>
                        <m:r>
                          <w:rPr>
                            <w:rFonts w:ascii="Cambria Math" w:eastAsiaTheme="minorEastAsia" w:hAnsi="Cambria Math" w:cs="Times New Roman"/>
                          </w:rPr>
                          <m:t>r</m:t>
                        </m:r>
                      </m:sub>
                    </m:sSub>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ijk</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k</m:t>
                        </m:r>
                      </m:sub>
                    </m:sSub>
                  </m:e>
                </m:nary>
              </m:oMath>
            </m:oMathPara>
          </w:p>
        </w:tc>
        <w:tc>
          <w:tcPr>
            <w:tcW w:w="553" w:type="dxa"/>
          </w:tcPr>
          <w:p w14:paraId="048C8884" w14:textId="41694228" w:rsidR="00E4718B" w:rsidRPr="005A54C1" w:rsidRDefault="00E4718B" w:rsidP="00157A73">
            <w:pPr>
              <w:spacing w:after="173" w:line="480" w:lineRule="auto"/>
              <w:jc w:val="both"/>
              <w:rPr>
                <w:rFonts w:ascii="Times New Roman" w:hAnsi="Times New Roman" w:cs="Times New Roman"/>
              </w:rPr>
            </w:pPr>
            <w:r w:rsidRPr="005A54C1">
              <w:rPr>
                <w:rFonts w:ascii="Times New Roman" w:hAnsi="Times New Roman" w:cs="Times New Roman"/>
              </w:rPr>
              <w:t>3</w:t>
            </w:r>
          </w:p>
        </w:tc>
      </w:tr>
    </w:tbl>
    <w:p w14:paraId="7B6DED58" w14:textId="77777777" w:rsidR="00E4718B" w:rsidRPr="0095607E" w:rsidRDefault="00E4718B" w:rsidP="003B0C52">
      <w:pPr>
        <w:spacing w:line="240" w:lineRule="auto"/>
        <w:jc w:val="both"/>
        <w:rPr>
          <w:rFonts w:ascii="Times New Roman" w:eastAsiaTheme="minorEastAsia" w:hAnsi="Times New Roman" w:cs="Times New Roman"/>
        </w:rPr>
      </w:pPr>
    </w:p>
    <w:p w14:paraId="3E833D84" w14:textId="23AF5963" w:rsidR="002D26E1" w:rsidRPr="0095607E" w:rsidRDefault="002D26E1" w:rsidP="003B0C52">
      <w:pPr>
        <w:spacing w:line="240" w:lineRule="auto"/>
        <w:jc w:val="both"/>
        <w:rPr>
          <w:rFonts w:ascii="Times New Roman" w:eastAsiaTheme="minorEastAsia" w:hAnsi="Times New Roman" w:cs="Times New Roman"/>
        </w:rPr>
      </w:pPr>
      <w:r w:rsidRPr="0095607E">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j</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u</m:t>
                    </m:r>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w:t>
      </w:r>
      <w:r w:rsidRPr="0095607E">
        <w:rPr>
          <w:rFonts w:ascii="Times New Roman" w:eastAsiaTheme="minorEastAsia" w:hAnsi="Times New Roman" w:cs="Times New Roman"/>
          <w:i/>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k</m:t>
            </m:r>
          </m:sub>
        </m:sSub>
        <m:r>
          <w:rPr>
            <w:rFonts w:ascii="Cambria Math" w:eastAsiaTheme="minorEastAsia" w:hAnsi="Cambria Math" w:cs="Times New Roman"/>
          </w:rPr>
          <m:t>~N</m:t>
        </m:r>
        <m:d>
          <m:dPr>
            <m:ctrlPr>
              <w:rPr>
                <w:rFonts w:ascii="Cambria Math" w:eastAsiaTheme="minorEastAsia" w:hAnsi="Cambria Math" w:cs="Times New Roman"/>
                <w:i/>
              </w:rPr>
            </m:ctrlPr>
          </m:dPr>
          <m:e>
            <m:r>
              <w:rPr>
                <w:rFonts w:ascii="Cambria Math" w:eastAsiaTheme="minorEastAsia" w:hAnsi="Cambria Math" w:cs="Times New Roman"/>
              </w:rPr>
              <m:t xml:space="preserve">0, </m:t>
            </m:r>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w</m:t>
                    </m:r>
                  </m:sub>
                </m:sSub>
              </m:e>
              <m:sup>
                <m:r>
                  <w:rPr>
                    <w:rFonts w:ascii="Cambria Math" w:eastAsiaTheme="minorEastAsia" w:hAnsi="Cambria Math" w:cs="Times New Roman"/>
                  </w:rPr>
                  <m:t>2</m:t>
                </m:r>
              </m:sup>
            </m:sSup>
          </m:e>
        </m:d>
      </m:oMath>
      <w:r w:rsidRPr="0095607E">
        <w:rPr>
          <w:rFonts w:ascii="Times New Roman" w:eastAsiaTheme="minorEastAsia" w:hAnsi="Times New Roman" w:cs="Times New Roman"/>
        </w:rPr>
        <w:t xml:space="preserve">  are county and stage level random effects.</w:t>
      </w:r>
    </w:p>
    <w:p w14:paraId="369CF81A" w14:textId="3ADD5645" w:rsidR="002D26E1" w:rsidRPr="0095607E" w:rsidRDefault="001A4066" w:rsidP="003B0C52">
      <w:pPr>
        <w:pStyle w:val="Heading2"/>
        <w:spacing w:line="240" w:lineRule="auto"/>
        <w:rPr>
          <w:rFonts w:ascii="Times New Roman" w:hAnsi="Times New Roman" w:cs="Times New Roman"/>
          <w:b/>
          <w:bCs/>
          <w:color w:val="auto"/>
          <w:sz w:val="24"/>
          <w:szCs w:val="24"/>
        </w:rPr>
      </w:pPr>
      <w:bookmarkStart w:id="9" w:name="_Toc225180562"/>
      <w:r w:rsidRPr="0095607E">
        <w:rPr>
          <w:rFonts w:ascii="Times New Roman" w:hAnsi="Times New Roman" w:cs="Times New Roman"/>
          <w:b/>
          <w:bCs/>
          <w:color w:val="auto"/>
          <w:sz w:val="24"/>
          <w:szCs w:val="24"/>
        </w:rPr>
        <w:t>4</w:t>
      </w:r>
      <w:r w:rsidR="002D26E1" w:rsidRPr="0095607E">
        <w:rPr>
          <w:rFonts w:ascii="Times New Roman" w:hAnsi="Times New Roman" w:cs="Times New Roman"/>
          <w:b/>
          <w:bCs/>
          <w:color w:val="auto"/>
          <w:sz w:val="24"/>
          <w:szCs w:val="24"/>
        </w:rPr>
        <w:t>.0</w:t>
      </w:r>
      <w:r w:rsidR="002D26E1" w:rsidRPr="0095607E">
        <w:rPr>
          <w:rFonts w:ascii="Times New Roman" w:hAnsi="Times New Roman" w:cs="Times New Roman"/>
          <w:b/>
          <w:bCs/>
          <w:color w:val="auto"/>
          <w:sz w:val="24"/>
          <w:szCs w:val="24"/>
        </w:rPr>
        <w:tab/>
        <w:t>Results and Discussions</w:t>
      </w:r>
      <w:bookmarkEnd w:id="9"/>
    </w:p>
    <w:p w14:paraId="38B2BF22" w14:textId="2D2535EA" w:rsidR="002D26E1" w:rsidRPr="0095607E" w:rsidRDefault="001A4066" w:rsidP="003B0C52">
      <w:pPr>
        <w:pStyle w:val="Heading3"/>
        <w:spacing w:line="240" w:lineRule="auto"/>
        <w:rPr>
          <w:rFonts w:ascii="Times New Roman" w:hAnsi="Times New Roman" w:cs="Times New Roman"/>
          <w:b/>
          <w:bCs/>
          <w:color w:val="auto"/>
          <w:sz w:val="24"/>
          <w:szCs w:val="24"/>
        </w:rPr>
      </w:pPr>
      <w:bookmarkStart w:id="10" w:name="_Toc225180563"/>
      <w:r w:rsidRPr="0095607E">
        <w:rPr>
          <w:rFonts w:ascii="Times New Roman" w:hAnsi="Times New Roman" w:cs="Times New Roman"/>
          <w:b/>
          <w:bCs/>
          <w:color w:val="auto"/>
          <w:sz w:val="24"/>
          <w:szCs w:val="24"/>
        </w:rPr>
        <w:t>4</w:t>
      </w:r>
      <w:r w:rsidR="002D26E1" w:rsidRPr="0095607E">
        <w:rPr>
          <w:rFonts w:ascii="Times New Roman" w:hAnsi="Times New Roman" w:cs="Times New Roman"/>
          <w:b/>
          <w:bCs/>
          <w:color w:val="auto"/>
          <w:sz w:val="24"/>
          <w:szCs w:val="24"/>
        </w:rPr>
        <w:t>.1</w:t>
      </w:r>
      <w:r w:rsidR="002D26E1" w:rsidRPr="0095607E">
        <w:rPr>
          <w:rFonts w:ascii="Times New Roman" w:hAnsi="Times New Roman" w:cs="Times New Roman"/>
          <w:b/>
          <w:bCs/>
          <w:color w:val="auto"/>
          <w:sz w:val="24"/>
          <w:szCs w:val="24"/>
        </w:rPr>
        <w:tab/>
        <w:t>Model Selection and Fit statistics</w:t>
      </w:r>
      <w:bookmarkEnd w:id="10"/>
    </w:p>
    <w:p w14:paraId="3C5B45D5" w14:textId="3A7D3F23" w:rsidR="002D26E1" w:rsidRPr="0095607E" w:rsidRDefault="001A4066" w:rsidP="003B0C52">
      <w:pPr>
        <w:spacing w:line="240" w:lineRule="auto"/>
        <w:jc w:val="both"/>
        <w:rPr>
          <w:rFonts w:ascii="Times New Roman" w:hAnsi="Times New Roman" w:cs="Times New Roman"/>
        </w:rPr>
      </w:pPr>
      <w:r w:rsidRPr="0095607E">
        <w:rPr>
          <w:rFonts w:ascii="Times New Roman" w:hAnsi="Times New Roman" w:cs="Times New Roman"/>
        </w:rPr>
        <w:t>Five models were estimated sequentially.</w:t>
      </w:r>
      <w:r w:rsidR="002D26E1" w:rsidRPr="0095607E">
        <w:rPr>
          <w:rFonts w:ascii="Times New Roman" w:hAnsi="Times New Roman" w:cs="Times New Roman"/>
        </w:rPr>
        <w:t xml:space="preserve"> Poisson baseline model generated a deviance dispersion ratio of </w:t>
      </w:r>
      <m:oMath>
        <m:r>
          <w:rPr>
            <w:rFonts w:ascii="Cambria Math" w:hAnsi="Cambria Math" w:cs="Times New Roman"/>
          </w:rPr>
          <m:t>0.244</m:t>
        </m:r>
      </m:oMath>
      <w:r w:rsidR="002D26E1" w:rsidRPr="0095607E">
        <w:rPr>
          <w:rFonts w:ascii="Times New Roman" w:hAnsi="Times New Roman" w:cs="Times New Roman"/>
        </w:rPr>
        <w:t xml:space="preserve"> and a </w:t>
      </w:r>
      <m:oMath>
        <m:r>
          <w:rPr>
            <w:rFonts w:ascii="Cambria Math" w:hAnsi="Cambria Math" w:cs="Times New Roman"/>
          </w:rPr>
          <m:t xml:space="preserve">Pearson’s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∕degree of freedom ratio</m:t>
        </m:r>
      </m:oMath>
      <w:r w:rsidR="002D26E1" w:rsidRPr="0095607E">
        <w:rPr>
          <w:rFonts w:ascii="Times New Roman" w:hAnsi="Times New Roman" w:cs="Times New Roman"/>
        </w:rPr>
        <w:t xml:space="preserve"> </w:t>
      </w:r>
      <m:oMath>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num>
              <m:den>
                <m:r>
                  <w:rPr>
                    <w:rFonts w:ascii="Cambria Math" w:hAnsi="Cambria Math" w:cs="Times New Roman"/>
                  </w:rPr>
                  <m:t>df</m:t>
                </m:r>
              </m:den>
            </m:f>
            <m:r>
              <m:rPr>
                <m:sty m:val="p"/>
              </m:rPr>
              <w:rPr>
                <w:rFonts w:ascii="Cambria Math" w:hAnsi="Cambria Math" w:cs="Times New Roman"/>
              </w:rPr>
              <m:t xml:space="preserve"> </m:t>
            </m:r>
          </m:e>
        </m:d>
        <m:r>
          <w:rPr>
            <w:rFonts w:ascii="Cambria Math" w:hAnsi="Cambria Math" w:cs="Times New Roman"/>
          </w:rPr>
          <m:t xml:space="preserve"> </m:t>
        </m:r>
      </m:oMath>
      <w:r w:rsidR="002D26E1" w:rsidRPr="0095607E">
        <w:rPr>
          <w:rFonts w:ascii="Times New Roman" w:hAnsi="Times New Roman" w:cs="Times New Roman"/>
        </w:rPr>
        <w:t xml:space="preserve">of </w:t>
      </w:r>
      <m:oMath>
        <m:r>
          <w:rPr>
            <w:rFonts w:ascii="Cambria Math" w:hAnsi="Cambria Math" w:cs="Times New Roman"/>
          </w:rPr>
          <m:t>0.243 (p=1.00)</m:t>
        </m:r>
      </m:oMath>
      <w:r w:rsidR="002D26E1" w:rsidRPr="0095607E">
        <w:rPr>
          <w:rFonts w:ascii="Times New Roman" w:hAnsi="Times New Roman" w:cs="Times New Roman"/>
        </w:rPr>
        <w:t xml:space="preserve"> indicating that no overdispersion was found. The NB dispersion parameter deviated to infinity </w:t>
      </w:r>
      <m:oMath>
        <m:r>
          <w:rPr>
            <w:rFonts w:ascii="Cambria Math" w:eastAsiaTheme="minorEastAsia" w:hAnsi="Cambria Math" w:cs="Times New Roman"/>
          </w:rPr>
          <m:t>( θ= 2,393,074)</m:t>
        </m:r>
      </m:oMath>
      <w:r w:rsidR="002D26E1" w:rsidRPr="0095607E">
        <w:rPr>
          <w:rFonts w:ascii="Times New Roman" w:eastAsiaTheme="minorEastAsia" w:hAnsi="Times New Roman" w:cs="Times New Roman"/>
        </w:rPr>
        <w:t xml:space="preserve"> </w:t>
      </w:r>
      <w:r w:rsidR="002D26E1" w:rsidRPr="0095607E">
        <w:rPr>
          <w:rFonts w:ascii="Times New Roman" w:hAnsi="Times New Roman" w:cs="Times New Roman"/>
        </w:rPr>
        <w:t xml:space="preserve">showing the NB family is not better at the count outcome than Poisson, and the likelihood ratio test was non-significant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=-0.006, p = 1.000)</m:t>
        </m:r>
      </m:oMath>
      <w:r w:rsidR="002D26E1" w:rsidRPr="0095607E">
        <w:rPr>
          <w:rFonts w:ascii="Times New Roman" w:hAnsi="Times New Roman" w:cs="Times New Roman"/>
        </w:rPr>
        <w:t xml:space="preserve">. In the case where the loss is proportional, the single-level Beta regression was at pseudo- Pearson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m:t>
        </m:r>
        <m:r>
          <m:rPr>
            <m:sty m:val="p"/>
          </m:rPr>
          <w:rPr>
            <w:rFonts w:ascii="Cambria Math" w:hAnsi="Cambria Math" w:cs="Times New Roman"/>
          </w:rPr>
          <m:t>0.7612.</m:t>
        </m:r>
      </m:oMath>
      <w:r w:rsidR="002D26E1" w:rsidRPr="0095607E">
        <w:rPr>
          <w:rFonts w:ascii="Times New Roman" w:hAnsi="Times New Roman" w:cs="Times New Roman"/>
        </w:rPr>
        <w:t xml:space="preserve"> The multilevel Beta model was even a better fit </w:t>
      </w:r>
      <m:oMath>
        <m:r>
          <w:rPr>
            <w:rFonts w:ascii="Cambria Math" w:hAnsi="Cambria Math" w:cs="Times New Roman"/>
          </w:rPr>
          <m:t>(log-likelihood 1375.65 vs 1362.12),</m:t>
        </m:r>
      </m:oMath>
      <w:r w:rsidR="002D26E1" w:rsidRPr="0095607E">
        <w:rPr>
          <w:rFonts w:ascii="Times New Roman" w:hAnsi="Times New Roman" w:cs="Times New Roman"/>
        </w:rPr>
        <w:t xml:space="preserve"> and the LRT was very significant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=27.07, df=2, p &lt;0.001)</m:t>
        </m:r>
      </m:oMath>
      <w:r w:rsidR="002D26E1" w:rsidRPr="0095607E">
        <w:rPr>
          <w:rFonts w:ascii="Times New Roman" w:hAnsi="Times New Roman" w:cs="Times New Roman"/>
        </w:rPr>
        <w:t xml:space="preserve"> as shown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_Ref225963965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1</w:t>
      </w:r>
      <w:r w:rsidR="008A59B2" w:rsidRPr="0095607E">
        <w:rPr>
          <w:rFonts w:ascii="Times New Roman" w:hAnsi="Times New Roman" w:cs="Times New Roman"/>
        </w:rPr>
        <w:fldChar w:fldCharType="end"/>
      </w:r>
      <w:r w:rsidR="002D26E1" w:rsidRPr="0095607E">
        <w:rPr>
          <w:rFonts w:ascii="Times New Roman" w:hAnsi="Times New Roman" w:cs="Times New Roman"/>
        </w:rPr>
        <w:fldChar w:fldCharType="begin"/>
      </w:r>
      <w:r w:rsidR="002D26E1" w:rsidRPr="0095607E">
        <w:rPr>
          <w:rFonts w:ascii="Times New Roman" w:hAnsi="Times New Roman" w:cs="Times New Roman"/>
        </w:rPr>
        <w:instrText xml:space="preserve"> REF _Ref225191080 \h  \* MERGEFORMAT </w:instrText>
      </w:r>
      <w:r w:rsidR="002D26E1" w:rsidRPr="0095607E">
        <w:rPr>
          <w:rFonts w:ascii="Times New Roman" w:hAnsi="Times New Roman" w:cs="Times New Roman"/>
        </w:rPr>
      </w:r>
      <w:r w:rsidR="002D26E1" w:rsidRPr="0095607E">
        <w:rPr>
          <w:rFonts w:ascii="Times New Roman" w:hAnsi="Times New Roman" w:cs="Times New Roman"/>
        </w:rPr>
        <w:fldChar w:fldCharType="end"/>
      </w:r>
      <w:r w:rsidR="002D26E1" w:rsidRPr="0095607E">
        <w:rPr>
          <w:rFonts w:ascii="Times New Roman" w:hAnsi="Times New Roman" w:cs="Times New Roman"/>
        </w:rPr>
        <w:t xml:space="preserve"> below.</w:t>
      </w:r>
    </w:p>
    <w:p w14:paraId="5D9BD1C2" w14:textId="5E1BB10C" w:rsidR="002D26E1" w:rsidRPr="0095607E" w:rsidRDefault="008A59B2" w:rsidP="003B0C52">
      <w:pPr>
        <w:pStyle w:val="Caption"/>
        <w:rPr>
          <w:rFonts w:ascii="Times New Roman" w:hAnsi="Times New Roman" w:cs="Times New Roman"/>
          <w:b/>
          <w:bCs/>
          <w:color w:val="auto"/>
          <w:sz w:val="24"/>
          <w:szCs w:val="24"/>
        </w:rPr>
      </w:pPr>
      <w:bookmarkStart w:id="11" w:name="_Ref225963965"/>
      <w:r w:rsidRPr="0095607E">
        <w:rPr>
          <w:rFonts w:ascii="Times New Roman" w:hAnsi="Times New Roman" w:cs="Times New Roman"/>
          <w:b/>
          <w:bCs/>
          <w:sz w:val="24"/>
          <w:szCs w:val="24"/>
        </w:rPr>
        <w:t xml:space="preserve">Table </w:t>
      </w: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SEQ Table \* ARABIC </w:instrText>
      </w:r>
      <w:r w:rsidRPr="0095607E">
        <w:rPr>
          <w:rFonts w:ascii="Times New Roman" w:hAnsi="Times New Roman" w:cs="Times New Roman"/>
          <w:b/>
          <w:bCs/>
          <w:sz w:val="24"/>
          <w:szCs w:val="24"/>
        </w:rPr>
        <w:fldChar w:fldCharType="separate"/>
      </w:r>
      <w:r w:rsidRPr="0095607E">
        <w:rPr>
          <w:rFonts w:ascii="Times New Roman" w:hAnsi="Times New Roman" w:cs="Times New Roman"/>
          <w:b/>
          <w:bCs/>
          <w:noProof/>
          <w:sz w:val="24"/>
          <w:szCs w:val="24"/>
        </w:rPr>
        <w:t>1</w:t>
      </w:r>
      <w:r w:rsidRPr="0095607E">
        <w:rPr>
          <w:rFonts w:ascii="Times New Roman" w:hAnsi="Times New Roman" w:cs="Times New Roman"/>
          <w:b/>
          <w:bCs/>
          <w:sz w:val="24"/>
          <w:szCs w:val="24"/>
        </w:rPr>
        <w:fldChar w:fldCharType="end"/>
      </w:r>
      <w:bookmarkEnd w:id="11"/>
      <w:r w:rsidRPr="0095607E">
        <w:rPr>
          <w:rFonts w:ascii="Times New Roman" w:hAnsi="Times New Roman" w:cs="Times New Roman"/>
          <w:b/>
          <w:bCs/>
          <w:color w:val="auto"/>
          <w:sz w:val="24"/>
          <w:szCs w:val="24"/>
        </w:rPr>
        <w:t>:Model Comparison Statistics</w:t>
      </w:r>
    </w:p>
    <w:tbl>
      <w:tblPr>
        <w:tblStyle w:val="TableGrid"/>
        <w:tblW w:w="8766" w:type="dxa"/>
        <w:jc w:val="center"/>
        <w:tblLook w:val="04A0" w:firstRow="1" w:lastRow="0" w:firstColumn="1" w:lastColumn="0" w:noHBand="0" w:noVBand="1"/>
      </w:tblPr>
      <w:tblGrid>
        <w:gridCol w:w="3158"/>
        <w:gridCol w:w="1831"/>
        <w:gridCol w:w="1247"/>
        <w:gridCol w:w="1079"/>
        <w:gridCol w:w="1451"/>
      </w:tblGrid>
      <w:tr w:rsidR="002D26E1" w:rsidRPr="0095607E" w14:paraId="7E01ABAF" w14:textId="77777777" w:rsidTr="00F10821">
        <w:trPr>
          <w:trHeight w:val="213"/>
          <w:jc w:val="center"/>
        </w:trPr>
        <w:tc>
          <w:tcPr>
            <w:tcW w:w="3158" w:type="dxa"/>
            <w:tcBorders>
              <w:top w:val="single" w:sz="4" w:space="0" w:color="AAAAAA"/>
              <w:left w:val="single" w:sz="4" w:space="0" w:color="AAAAAA"/>
              <w:bottom w:val="single" w:sz="4" w:space="0" w:color="AAAAAA"/>
              <w:right w:val="single" w:sz="4" w:space="0" w:color="AAAAAA"/>
            </w:tcBorders>
            <w:vAlign w:val="center"/>
            <w:hideMark/>
          </w:tcPr>
          <w:p w14:paraId="3DCAF3FE"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Model</w:t>
            </w:r>
          </w:p>
        </w:tc>
        <w:tc>
          <w:tcPr>
            <w:tcW w:w="1831" w:type="dxa"/>
            <w:tcBorders>
              <w:top w:val="single" w:sz="4" w:space="0" w:color="AAAAAA"/>
              <w:left w:val="nil"/>
              <w:bottom w:val="single" w:sz="4" w:space="0" w:color="AAAAAA"/>
              <w:right w:val="single" w:sz="4" w:space="0" w:color="AAAAAA"/>
            </w:tcBorders>
            <w:vAlign w:val="center"/>
            <w:hideMark/>
          </w:tcPr>
          <w:p w14:paraId="2DFF1C0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Log-Likelihood</w:t>
            </w:r>
          </w:p>
        </w:tc>
        <w:tc>
          <w:tcPr>
            <w:tcW w:w="1247" w:type="dxa"/>
            <w:tcBorders>
              <w:top w:val="single" w:sz="4" w:space="0" w:color="AAAAAA"/>
              <w:left w:val="nil"/>
              <w:bottom w:val="single" w:sz="4" w:space="0" w:color="AAAAAA"/>
              <w:right w:val="single" w:sz="4" w:space="0" w:color="AAAAAA"/>
            </w:tcBorders>
            <w:vAlign w:val="center"/>
            <w:hideMark/>
          </w:tcPr>
          <w:p w14:paraId="2EE43B8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AIC</w:t>
            </w:r>
          </w:p>
        </w:tc>
        <w:tc>
          <w:tcPr>
            <w:tcW w:w="1079" w:type="dxa"/>
            <w:tcBorders>
              <w:top w:val="single" w:sz="4" w:space="0" w:color="AAAAAA"/>
              <w:left w:val="nil"/>
              <w:bottom w:val="single" w:sz="4" w:space="0" w:color="AAAAAA"/>
              <w:right w:val="single" w:sz="4" w:space="0" w:color="AAAAAA"/>
            </w:tcBorders>
            <w:vAlign w:val="center"/>
            <w:hideMark/>
          </w:tcPr>
          <w:p w14:paraId="04CD4A5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BIC</w:t>
            </w:r>
          </w:p>
        </w:tc>
        <w:tc>
          <w:tcPr>
            <w:tcW w:w="1451" w:type="dxa"/>
            <w:tcBorders>
              <w:top w:val="single" w:sz="4" w:space="0" w:color="AAAAAA"/>
              <w:left w:val="nil"/>
              <w:bottom w:val="single" w:sz="4" w:space="0" w:color="AAAAAA"/>
              <w:right w:val="single" w:sz="4" w:space="0" w:color="AAAAAA"/>
            </w:tcBorders>
            <w:vAlign w:val="center"/>
            <w:hideMark/>
          </w:tcPr>
          <w:p w14:paraId="52AAD030"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Parameters</w:t>
            </w:r>
          </w:p>
        </w:tc>
      </w:tr>
      <w:tr w:rsidR="002D26E1" w:rsidRPr="0095607E" w14:paraId="59691B86" w14:textId="77777777" w:rsidTr="00F10821">
        <w:trPr>
          <w:trHeight w:val="249"/>
          <w:jc w:val="center"/>
        </w:trPr>
        <w:tc>
          <w:tcPr>
            <w:tcW w:w="3158" w:type="dxa"/>
            <w:tcBorders>
              <w:top w:val="single" w:sz="4" w:space="0" w:color="AAAAAA"/>
              <w:left w:val="single" w:sz="4" w:space="0" w:color="AAAAAA"/>
              <w:bottom w:val="single" w:sz="4" w:space="0" w:color="AAAAAA"/>
              <w:right w:val="single" w:sz="4" w:space="0" w:color="AAAAAA"/>
            </w:tcBorders>
            <w:vAlign w:val="center"/>
            <w:hideMark/>
          </w:tcPr>
          <w:p w14:paraId="2124482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Poisson (SL)</w:t>
            </w:r>
          </w:p>
        </w:tc>
        <w:tc>
          <w:tcPr>
            <w:tcW w:w="1831" w:type="dxa"/>
            <w:tcBorders>
              <w:top w:val="single" w:sz="4" w:space="0" w:color="AAAAAA"/>
              <w:left w:val="nil"/>
              <w:bottom w:val="single" w:sz="4" w:space="0" w:color="AAAAAA"/>
              <w:right w:val="single" w:sz="4" w:space="0" w:color="AAAAAA"/>
            </w:tcBorders>
            <w:vAlign w:val="center"/>
            <w:hideMark/>
          </w:tcPr>
          <w:p w14:paraId="07F078C1"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-1718.41</w:t>
            </w:r>
          </w:p>
        </w:tc>
        <w:tc>
          <w:tcPr>
            <w:tcW w:w="1247" w:type="dxa"/>
            <w:tcBorders>
              <w:top w:val="single" w:sz="4" w:space="0" w:color="AAAAAA"/>
              <w:left w:val="nil"/>
              <w:bottom w:val="single" w:sz="4" w:space="0" w:color="AAAAAA"/>
              <w:right w:val="single" w:sz="4" w:space="0" w:color="AAAAAA"/>
            </w:tcBorders>
            <w:vAlign w:val="center"/>
            <w:hideMark/>
          </w:tcPr>
          <w:p w14:paraId="2F553844"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3470.82</w:t>
            </w:r>
          </w:p>
        </w:tc>
        <w:tc>
          <w:tcPr>
            <w:tcW w:w="1079" w:type="dxa"/>
            <w:tcBorders>
              <w:top w:val="single" w:sz="4" w:space="0" w:color="AAAAAA"/>
              <w:left w:val="nil"/>
              <w:bottom w:val="single" w:sz="4" w:space="0" w:color="AAAAAA"/>
              <w:right w:val="single" w:sz="4" w:space="0" w:color="AAAAAA"/>
            </w:tcBorders>
            <w:vAlign w:val="center"/>
            <w:hideMark/>
          </w:tcPr>
          <w:p w14:paraId="735C4C5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3546.18</w:t>
            </w:r>
          </w:p>
        </w:tc>
        <w:tc>
          <w:tcPr>
            <w:tcW w:w="1451" w:type="dxa"/>
            <w:tcBorders>
              <w:top w:val="single" w:sz="4" w:space="0" w:color="AAAAAA"/>
              <w:left w:val="nil"/>
              <w:bottom w:val="single" w:sz="4" w:space="0" w:color="AAAAAA"/>
              <w:right w:val="single" w:sz="4" w:space="0" w:color="AAAAAA"/>
            </w:tcBorders>
            <w:vAlign w:val="center"/>
            <w:hideMark/>
          </w:tcPr>
          <w:p w14:paraId="36EA6673"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w:t>
            </w:r>
          </w:p>
        </w:tc>
      </w:tr>
      <w:tr w:rsidR="002D26E1" w:rsidRPr="0095607E" w14:paraId="505CD1FE" w14:textId="77777777" w:rsidTr="00F10821">
        <w:trPr>
          <w:trHeight w:val="249"/>
          <w:jc w:val="center"/>
        </w:trPr>
        <w:tc>
          <w:tcPr>
            <w:tcW w:w="3158" w:type="dxa"/>
            <w:tcBorders>
              <w:top w:val="single" w:sz="4" w:space="0" w:color="AAAAAA"/>
              <w:left w:val="single" w:sz="4" w:space="0" w:color="AAAAAA"/>
              <w:bottom w:val="single" w:sz="4" w:space="0" w:color="AAAAAA"/>
              <w:right w:val="single" w:sz="4" w:space="0" w:color="AAAAAA"/>
            </w:tcBorders>
            <w:vAlign w:val="center"/>
            <w:hideMark/>
          </w:tcPr>
          <w:p w14:paraId="3051C40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NB (SL)</w:t>
            </w:r>
          </w:p>
        </w:tc>
        <w:tc>
          <w:tcPr>
            <w:tcW w:w="1831" w:type="dxa"/>
            <w:tcBorders>
              <w:top w:val="single" w:sz="4" w:space="0" w:color="AAAAAA"/>
              <w:left w:val="nil"/>
              <w:bottom w:val="single" w:sz="4" w:space="0" w:color="AAAAAA"/>
              <w:right w:val="single" w:sz="4" w:space="0" w:color="AAAAAA"/>
            </w:tcBorders>
            <w:vAlign w:val="center"/>
            <w:hideMark/>
          </w:tcPr>
          <w:p w14:paraId="4BDA7DB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-1718.41</w:t>
            </w:r>
          </w:p>
        </w:tc>
        <w:tc>
          <w:tcPr>
            <w:tcW w:w="1247" w:type="dxa"/>
            <w:tcBorders>
              <w:top w:val="single" w:sz="4" w:space="0" w:color="AAAAAA"/>
              <w:left w:val="nil"/>
              <w:bottom w:val="single" w:sz="4" w:space="0" w:color="AAAAAA"/>
              <w:right w:val="single" w:sz="4" w:space="0" w:color="AAAAAA"/>
            </w:tcBorders>
            <w:vAlign w:val="center"/>
            <w:hideMark/>
          </w:tcPr>
          <w:p w14:paraId="181687C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3472.83</w:t>
            </w:r>
          </w:p>
        </w:tc>
        <w:tc>
          <w:tcPr>
            <w:tcW w:w="1079" w:type="dxa"/>
            <w:tcBorders>
              <w:top w:val="single" w:sz="4" w:space="0" w:color="AAAAAA"/>
              <w:left w:val="nil"/>
              <w:bottom w:val="single" w:sz="4" w:space="0" w:color="AAAAAA"/>
              <w:right w:val="single" w:sz="4" w:space="0" w:color="AAAAAA"/>
            </w:tcBorders>
            <w:vAlign w:val="center"/>
            <w:hideMark/>
          </w:tcPr>
          <w:p w14:paraId="336418D7"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3552.62</w:t>
            </w:r>
          </w:p>
        </w:tc>
        <w:tc>
          <w:tcPr>
            <w:tcW w:w="1451" w:type="dxa"/>
            <w:tcBorders>
              <w:top w:val="single" w:sz="4" w:space="0" w:color="AAAAAA"/>
              <w:left w:val="nil"/>
              <w:bottom w:val="single" w:sz="4" w:space="0" w:color="AAAAAA"/>
              <w:right w:val="single" w:sz="4" w:space="0" w:color="AAAAAA"/>
            </w:tcBorders>
            <w:vAlign w:val="center"/>
            <w:hideMark/>
          </w:tcPr>
          <w:p w14:paraId="2219BC62"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17</w:t>
            </w:r>
          </w:p>
        </w:tc>
      </w:tr>
      <w:tr w:rsidR="002D26E1" w:rsidRPr="0095607E" w14:paraId="444A292D" w14:textId="77777777" w:rsidTr="00F10821">
        <w:trPr>
          <w:trHeight w:val="249"/>
          <w:jc w:val="center"/>
        </w:trPr>
        <w:tc>
          <w:tcPr>
            <w:tcW w:w="3158" w:type="dxa"/>
            <w:tcBorders>
              <w:top w:val="single" w:sz="4" w:space="0" w:color="AAAAAA"/>
              <w:left w:val="single" w:sz="4" w:space="0" w:color="AAAAAA"/>
              <w:bottom w:val="single" w:sz="4" w:space="0" w:color="AAAAAA"/>
              <w:right w:val="single" w:sz="4" w:space="0" w:color="AAAAAA"/>
            </w:tcBorders>
            <w:vAlign w:val="center"/>
            <w:hideMark/>
          </w:tcPr>
          <w:p w14:paraId="13F0E7A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NB (ML) *</w:t>
            </w:r>
          </w:p>
        </w:tc>
        <w:tc>
          <w:tcPr>
            <w:tcW w:w="1831" w:type="dxa"/>
            <w:tcBorders>
              <w:top w:val="single" w:sz="4" w:space="0" w:color="AAAAAA"/>
              <w:left w:val="nil"/>
              <w:bottom w:val="single" w:sz="4" w:space="0" w:color="AAAAAA"/>
              <w:right w:val="single" w:sz="4" w:space="0" w:color="AAAAAA"/>
            </w:tcBorders>
            <w:vAlign w:val="center"/>
            <w:hideMark/>
          </w:tcPr>
          <w:p w14:paraId="1BF488A1"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NA</w:t>
            </w:r>
          </w:p>
        </w:tc>
        <w:tc>
          <w:tcPr>
            <w:tcW w:w="1247" w:type="dxa"/>
            <w:tcBorders>
              <w:top w:val="single" w:sz="4" w:space="0" w:color="AAAAAA"/>
              <w:left w:val="nil"/>
              <w:bottom w:val="single" w:sz="4" w:space="0" w:color="AAAAAA"/>
              <w:right w:val="single" w:sz="4" w:space="0" w:color="AAAAAA"/>
            </w:tcBorders>
            <w:vAlign w:val="center"/>
            <w:hideMark/>
          </w:tcPr>
          <w:p w14:paraId="0F2A457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NA</w:t>
            </w:r>
          </w:p>
        </w:tc>
        <w:tc>
          <w:tcPr>
            <w:tcW w:w="1079" w:type="dxa"/>
            <w:tcBorders>
              <w:top w:val="single" w:sz="4" w:space="0" w:color="AAAAAA"/>
              <w:left w:val="nil"/>
              <w:bottom w:val="single" w:sz="4" w:space="0" w:color="AAAAAA"/>
              <w:right w:val="single" w:sz="4" w:space="0" w:color="AAAAAA"/>
            </w:tcBorders>
            <w:vAlign w:val="center"/>
            <w:hideMark/>
          </w:tcPr>
          <w:p w14:paraId="63B853F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NA</w:t>
            </w:r>
          </w:p>
        </w:tc>
        <w:tc>
          <w:tcPr>
            <w:tcW w:w="1451" w:type="dxa"/>
            <w:tcBorders>
              <w:top w:val="single" w:sz="4" w:space="0" w:color="AAAAAA"/>
              <w:left w:val="nil"/>
              <w:bottom w:val="single" w:sz="4" w:space="0" w:color="AAAAAA"/>
              <w:right w:val="single" w:sz="4" w:space="0" w:color="AAAAAA"/>
            </w:tcBorders>
            <w:vAlign w:val="center"/>
            <w:hideMark/>
          </w:tcPr>
          <w:p w14:paraId="317A84E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20</w:t>
            </w:r>
          </w:p>
        </w:tc>
      </w:tr>
      <w:tr w:rsidR="002D26E1" w:rsidRPr="0095607E" w14:paraId="028C1BDE" w14:textId="77777777" w:rsidTr="00F10821">
        <w:trPr>
          <w:trHeight w:val="249"/>
          <w:jc w:val="center"/>
        </w:trPr>
        <w:tc>
          <w:tcPr>
            <w:tcW w:w="3158" w:type="dxa"/>
            <w:tcBorders>
              <w:top w:val="single" w:sz="4" w:space="0" w:color="AAAAAA"/>
              <w:left w:val="single" w:sz="4" w:space="0" w:color="AAAAAA"/>
              <w:bottom w:val="single" w:sz="4" w:space="0" w:color="AAAAAA"/>
              <w:right w:val="single" w:sz="4" w:space="0" w:color="AAAAAA"/>
            </w:tcBorders>
            <w:vAlign w:val="center"/>
            <w:hideMark/>
          </w:tcPr>
          <w:p w14:paraId="6C1A7C36"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Beta Regression (SL)</w:t>
            </w:r>
          </w:p>
        </w:tc>
        <w:tc>
          <w:tcPr>
            <w:tcW w:w="1831" w:type="dxa"/>
            <w:tcBorders>
              <w:top w:val="single" w:sz="4" w:space="0" w:color="AAAAAA"/>
              <w:left w:val="nil"/>
              <w:bottom w:val="single" w:sz="4" w:space="0" w:color="AAAAAA"/>
              <w:right w:val="single" w:sz="4" w:space="0" w:color="AAAAAA"/>
            </w:tcBorders>
            <w:vAlign w:val="center"/>
            <w:hideMark/>
          </w:tcPr>
          <w:p w14:paraId="4F1C0DCA"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1362.12</w:t>
            </w:r>
          </w:p>
        </w:tc>
        <w:tc>
          <w:tcPr>
            <w:tcW w:w="1247" w:type="dxa"/>
            <w:tcBorders>
              <w:top w:val="single" w:sz="4" w:space="0" w:color="AAAAAA"/>
              <w:left w:val="nil"/>
              <w:bottom w:val="single" w:sz="4" w:space="0" w:color="AAAAAA"/>
              <w:right w:val="single" w:sz="4" w:space="0" w:color="AAAAAA"/>
            </w:tcBorders>
            <w:vAlign w:val="center"/>
            <w:hideMark/>
          </w:tcPr>
          <w:p w14:paraId="0249E710"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-2688.23</w:t>
            </w:r>
          </w:p>
        </w:tc>
        <w:tc>
          <w:tcPr>
            <w:tcW w:w="1079" w:type="dxa"/>
            <w:tcBorders>
              <w:top w:val="single" w:sz="4" w:space="0" w:color="AAAAAA"/>
              <w:left w:val="nil"/>
              <w:bottom w:val="single" w:sz="4" w:space="0" w:color="AAAAAA"/>
              <w:right w:val="single" w:sz="4" w:space="0" w:color="AAAAAA"/>
            </w:tcBorders>
            <w:vAlign w:val="center"/>
            <w:hideMark/>
          </w:tcPr>
          <w:p w14:paraId="6831FAC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-2608.44</w:t>
            </w:r>
          </w:p>
        </w:tc>
        <w:tc>
          <w:tcPr>
            <w:tcW w:w="1451" w:type="dxa"/>
            <w:tcBorders>
              <w:top w:val="single" w:sz="4" w:space="0" w:color="AAAAAA"/>
              <w:left w:val="nil"/>
              <w:bottom w:val="single" w:sz="4" w:space="0" w:color="AAAAAA"/>
              <w:right w:val="single" w:sz="4" w:space="0" w:color="AAAAAA"/>
            </w:tcBorders>
            <w:vAlign w:val="center"/>
            <w:hideMark/>
          </w:tcPr>
          <w:p w14:paraId="606E4CF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21</w:t>
            </w:r>
          </w:p>
        </w:tc>
      </w:tr>
      <w:tr w:rsidR="002D26E1" w:rsidRPr="0095607E" w14:paraId="1528844F" w14:textId="77777777" w:rsidTr="00F10821">
        <w:trPr>
          <w:trHeight w:val="463"/>
          <w:jc w:val="center"/>
        </w:trPr>
        <w:tc>
          <w:tcPr>
            <w:tcW w:w="3158" w:type="dxa"/>
            <w:tcBorders>
              <w:top w:val="single" w:sz="4" w:space="0" w:color="AAAAAA"/>
              <w:left w:val="single" w:sz="4" w:space="0" w:color="AAAAAA"/>
              <w:bottom w:val="single" w:sz="4" w:space="0" w:color="AAAAAA"/>
              <w:right w:val="single" w:sz="4" w:space="0" w:color="AAAAAA"/>
            </w:tcBorders>
            <w:vAlign w:val="center"/>
            <w:hideMark/>
          </w:tcPr>
          <w:p w14:paraId="5415CF97"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lastRenderedPageBreak/>
              <w:t xml:space="preserve">Multilevel Beta Regression </w:t>
            </w:r>
            <w:r w:rsidRPr="0095607E">
              <w:rPr>
                <w:rFonts w:ascii="Segoe UI Symbol" w:hAnsi="Segoe UI Symbol" w:cs="Segoe UI Symbol"/>
                <w:b/>
              </w:rPr>
              <w:t>✔</w:t>
            </w:r>
          </w:p>
        </w:tc>
        <w:tc>
          <w:tcPr>
            <w:tcW w:w="1831" w:type="dxa"/>
            <w:tcBorders>
              <w:top w:val="single" w:sz="4" w:space="0" w:color="AAAAAA"/>
              <w:left w:val="nil"/>
              <w:bottom w:val="single" w:sz="4" w:space="0" w:color="AAAAAA"/>
              <w:right w:val="single" w:sz="4" w:space="0" w:color="AAAAAA"/>
            </w:tcBorders>
            <w:vAlign w:val="center"/>
            <w:hideMark/>
          </w:tcPr>
          <w:p w14:paraId="63C9B9A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1375.65</w:t>
            </w:r>
          </w:p>
        </w:tc>
        <w:tc>
          <w:tcPr>
            <w:tcW w:w="1247" w:type="dxa"/>
            <w:tcBorders>
              <w:top w:val="single" w:sz="4" w:space="0" w:color="AAAAAA"/>
              <w:left w:val="nil"/>
              <w:bottom w:val="single" w:sz="4" w:space="0" w:color="AAAAAA"/>
              <w:right w:val="single" w:sz="4" w:space="0" w:color="AAAAAA"/>
            </w:tcBorders>
            <w:vAlign w:val="center"/>
            <w:hideMark/>
          </w:tcPr>
          <w:p w14:paraId="4CE559A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-2711.30</w:t>
            </w:r>
          </w:p>
        </w:tc>
        <w:tc>
          <w:tcPr>
            <w:tcW w:w="1079" w:type="dxa"/>
            <w:tcBorders>
              <w:top w:val="single" w:sz="4" w:space="0" w:color="AAAAAA"/>
              <w:left w:val="nil"/>
              <w:bottom w:val="single" w:sz="4" w:space="0" w:color="AAAAAA"/>
              <w:right w:val="single" w:sz="4" w:space="0" w:color="AAAAAA"/>
            </w:tcBorders>
            <w:vAlign w:val="center"/>
            <w:hideMark/>
          </w:tcPr>
          <w:p w14:paraId="15ACFE70"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-2622.64</w:t>
            </w:r>
          </w:p>
        </w:tc>
        <w:tc>
          <w:tcPr>
            <w:tcW w:w="1451" w:type="dxa"/>
            <w:tcBorders>
              <w:top w:val="single" w:sz="4" w:space="0" w:color="AAAAAA"/>
              <w:left w:val="nil"/>
              <w:bottom w:val="single" w:sz="4" w:space="0" w:color="AAAAAA"/>
              <w:right w:val="single" w:sz="4" w:space="0" w:color="AAAAAA"/>
            </w:tcBorders>
            <w:vAlign w:val="center"/>
            <w:hideMark/>
          </w:tcPr>
          <w:p w14:paraId="28A9CCF4"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20</w:t>
            </w:r>
          </w:p>
        </w:tc>
      </w:tr>
    </w:tbl>
    <w:p w14:paraId="1CB9F39F" w14:textId="6AE578D2" w:rsidR="002D26E1" w:rsidRPr="0095607E" w:rsidRDefault="001A4066" w:rsidP="003B0C52">
      <w:pPr>
        <w:spacing w:line="240" w:lineRule="auto"/>
        <w:jc w:val="both"/>
        <w:rPr>
          <w:rFonts w:ascii="Times New Roman" w:hAnsi="Times New Roman" w:cs="Times New Roman"/>
          <w:b/>
          <w:bCs/>
          <w:i/>
        </w:rPr>
      </w:pPr>
      <w:r w:rsidRPr="0095607E">
        <w:rPr>
          <w:rFonts w:ascii="Times New Roman" w:hAnsi="Times New Roman" w:cs="Times New Roman"/>
          <w:b/>
          <w:bCs/>
          <w:i/>
        </w:rPr>
        <w:t>Note: N</w:t>
      </w:r>
      <w:r w:rsidR="002D26E1" w:rsidRPr="0095607E">
        <w:rPr>
          <w:rFonts w:ascii="Times New Roman" w:hAnsi="Times New Roman" w:cs="Times New Roman"/>
          <w:b/>
          <w:bCs/>
          <w:i/>
        </w:rPr>
        <w:t xml:space="preserve">egative binomial </w:t>
      </w:r>
      <w:r w:rsidRPr="0095607E">
        <w:rPr>
          <w:rFonts w:ascii="Times New Roman" w:hAnsi="Times New Roman" w:cs="Times New Roman"/>
          <w:b/>
          <w:bCs/>
          <w:i/>
        </w:rPr>
        <w:t xml:space="preserve">Hessian not </w:t>
      </w:r>
      <w:r w:rsidR="002D26E1" w:rsidRPr="0095607E">
        <w:rPr>
          <w:rFonts w:ascii="Times New Roman" w:hAnsi="Times New Roman" w:cs="Times New Roman"/>
          <w:b/>
          <w:bCs/>
          <w:i/>
        </w:rPr>
        <w:t>positive definite</w:t>
      </w:r>
      <w:r w:rsidRPr="0095607E">
        <w:rPr>
          <w:rFonts w:ascii="Times New Roman" w:hAnsi="Times New Roman" w:cs="Times New Roman"/>
          <w:b/>
          <w:bCs/>
          <w:i/>
        </w:rPr>
        <w:t xml:space="preserve">; SL and ML denote single level and multilevel; </w:t>
      </w:r>
      <w:r w:rsidR="002D26E1" w:rsidRPr="0095607E">
        <w:rPr>
          <w:rFonts w:ascii="Times New Roman" w:hAnsi="Times New Roman" w:cs="Times New Roman"/>
          <w:b/>
          <w:bCs/>
          <w:i/>
        </w:rPr>
        <w:t>highlighted row i</w:t>
      </w:r>
      <w:r w:rsidRPr="0095607E">
        <w:rPr>
          <w:rFonts w:ascii="Times New Roman" w:hAnsi="Times New Roman" w:cs="Times New Roman"/>
          <w:b/>
          <w:bCs/>
          <w:i/>
        </w:rPr>
        <w:t>ndicates selected</w:t>
      </w:r>
      <w:r w:rsidR="002D26E1" w:rsidRPr="0095607E">
        <w:rPr>
          <w:rFonts w:ascii="Times New Roman" w:hAnsi="Times New Roman" w:cs="Times New Roman"/>
          <w:b/>
          <w:bCs/>
          <w:i/>
        </w:rPr>
        <w:t xml:space="preserve"> model</w:t>
      </w:r>
    </w:p>
    <w:p w14:paraId="634E54C6" w14:textId="28C2CF3D" w:rsidR="002D26E1" w:rsidRPr="0095607E" w:rsidRDefault="0075761C" w:rsidP="003B0C52">
      <w:pPr>
        <w:pStyle w:val="Heading3"/>
        <w:spacing w:line="240" w:lineRule="auto"/>
        <w:rPr>
          <w:rFonts w:ascii="Times New Roman" w:hAnsi="Times New Roman" w:cs="Times New Roman"/>
          <w:b/>
          <w:bCs/>
          <w:color w:val="auto"/>
          <w:sz w:val="24"/>
          <w:szCs w:val="24"/>
        </w:rPr>
      </w:pPr>
      <w:bookmarkStart w:id="12" w:name="_Toc225180564"/>
      <w:r w:rsidRPr="0095607E">
        <w:rPr>
          <w:rFonts w:ascii="Times New Roman" w:hAnsi="Times New Roman" w:cs="Times New Roman"/>
          <w:b/>
          <w:bCs/>
          <w:color w:val="auto"/>
          <w:sz w:val="24"/>
          <w:szCs w:val="24"/>
        </w:rPr>
        <w:t>4</w:t>
      </w:r>
      <w:r w:rsidR="002D26E1" w:rsidRPr="0095607E">
        <w:rPr>
          <w:rFonts w:ascii="Times New Roman" w:hAnsi="Times New Roman" w:cs="Times New Roman"/>
          <w:b/>
          <w:bCs/>
          <w:color w:val="auto"/>
          <w:sz w:val="24"/>
          <w:szCs w:val="24"/>
        </w:rPr>
        <w:t>.</w:t>
      </w:r>
      <w:r w:rsidRPr="0095607E">
        <w:rPr>
          <w:rFonts w:ascii="Times New Roman" w:hAnsi="Times New Roman" w:cs="Times New Roman"/>
          <w:b/>
          <w:bCs/>
          <w:color w:val="auto"/>
          <w:sz w:val="24"/>
          <w:szCs w:val="24"/>
        </w:rPr>
        <w:t>2</w:t>
      </w:r>
      <w:r w:rsidR="002D26E1" w:rsidRPr="0095607E">
        <w:rPr>
          <w:rFonts w:ascii="Times New Roman" w:hAnsi="Times New Roman" w:cs="Times New Roman"/>
          <w:b/>
          <w:bCs/>
          <w:color w:val="auto"/>
          <w:sz w:val="24"/>
          <w:szCs w:val="24"/>
        </w:rPr>
        <w:tab/>
        <w:t>Intraclass Correlation Coefficients (ICC)</w:t>
      </w:r>
      <w:bookmarkEnd w:id="12"/>
      <w:r w:rsidR="002D26E1" w:rsidRPr="0095607E">
        <w:rPr>
          <w:rFonts w:ascii="Times New Roman" w:hAnsi="Times New Roman" w:cs="Times New Roman"/>
          <w:b/>
          <w:bCs/>
          <w:color w:val="auto"/>
          <w:sz w:val="24"/>
          <w:szCs w:val="24"/>
        </w:rPr>
        <w:t xml:space="preserve"> </w:t>
      </w:r>
    </w:p>
    <w:p w14:paraId="4F170B31" w14:textId="3DF0E8C9"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null multilevel Beta model on the logit scale was computed to generate intraclass correlation coefficients (ICC) using the recommended latent Level-1 residual variance of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ε</m:t>
                </m:r>
              </m:sub>
            </m:sSub>
          </m:e>
          <m:sup>
            <m:r>
              <w:rPr>
                <w:rFonts w:ascii="Cambria Math" w:eastAsiaTheme="minorEastAsia" w:hAnsi="Cambria Math" w:cs="Times New Roman"/>
              </w:rPr>
              <m:t>2</m:t>
            </m:r>
          </m:sup>
        </m:sSup>
        <m:r>
          <w:rPr>
            <w:rFonts w:ascii="Cambria Math" w:eastAsiaTheme="minorEastAsia" w:hAnsi="Cambria Math" w:cs="Times New Roman"/>
          </w:rPr>
          <m:t>=</m:t>
        </m:r>
        <m:f>
          <m:fPr>
            <m:ctrlPr>
              <w:rPr>
                <w:rFonts w:ascii="Cambria Math" w:eastAsiaTheme="minorEastAsia" w:hAnsi="Cambria Math" w:cs="Times New Roman"/>
                <w:i/>
              </w:rPr>
            </m:ctrlPr>
          </m:fPr>
          <m:num>
            <m:sSup>
              <m:sSupPr>
                <m:ctrlPr>
                  <w:rPr>
                    <w:rFonts w:ascii="Cambria Math" w:eastAsiaTheme="minorEastAsia" w:hAnsi="Cambria Math" w:cs="Times New Roman"/>
                    <w:i/>
                  </w:rPr>
                </m:ctrlPr>
              </m:sSupPr>
              <m:e>
                <m:r>
                  <w:rPr>
                    <w:rFonts w:ascii="Cambria Math" w:hAnsi="Cambria Math" w:cs="Times New Roman"/>
                  </w:rPr>
                  <m:t>π</m:t>
                </m:r>
              </m:e>
              <m:sup>
                <m:r>
                  <w:rPr>
                    <w:rFonts w:ascii="Cambria Math" w:hAnsi="Cambria Math" w:cs="Times New Roman"/>
                  </w:rPr>
                  <m:t>2</m:t>
                </m:r>
              </m:sup>
            </m:sSup>
          </m:num>
          <m:den>
            <m:r>
              <w:rPr>
                <w:rFonts w:ascii="Cambria Math" w:eastAsiaTheme="minorEastAsia" w:hAnsi="Cambria Math" w:cs="Times New Roman"/>
              </w:rPr>
              <m:t>3</m:t>
            </m:r>
          </m:den>
        </m:f>
        <m:r>
          <w:rPr>
            <w:rFonts w:ascii="Cambria Math" w:eastAsiaTheme="minorEastAsia" w:hAnsi="Cambria Math" w:cs="Times New Roman"/>
          </w:rPr>
          <m:t>=3.290</m:t>
        </m:r>
      </m:oMath>
      <w:r w:rsidRPr="0095607E">
        <w:rPr>
          <w:rFonts w:ascii="Times New Roman" w:hAnsi="Times New Roman" w:cs="Times New Roman"/>
        </w:rPr>
        <w:t xml:space="preserve"> as recommended by </w:t>
      </w:r>
      <w:sdt>
        <w:sdtPr>
          <w:rPr>
            <w:rFonts w:ascii="Times New Roman" w:hAnsi="Times New Roman" w:cs="Times New Roman"/>
            <w:color w:val="000000"/>
          </w:rPr>
          <w:tag w:val="MENDELEY_CITATION_v3_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"/>
          <w:id w:val="1912816723"/>
          <w:placeholder>
            <w:docPart w:val="0951B184AB3745D6BCFAB56990B8B883"/>
          </w:placeholder>
        </w:sdtPr>
        <w:sdtEndPr/>
        <w:sdtContent>
          <w:r w:rsidR="00F611F9" w:rsidRPr="0095607E">
            <w:rPr>
              <w:rFonts w:ascii="Times New Roman" w:hAnsi="Times New Roman" w:cs="Times New Roman"/>
              <w:color w:val="000000"/>
            </w:rPr>
            <w:t>(Devine et al., 2024)</w:t>
          </w:r>
        </w:sdtContent>
      </w:sdt>
      <w:r w:rsidRPr="0095607E">
        <w:rPr>
          <w:rFonts w:ascii="Times New Roman" w:hAnsi="Times New Roman" w:cs="Times New Roman"/>
        </w:rPr>
        <w:t xml:space="preserve">. The variance at the county level was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u</m:t>
                </m:r>
              </m:sub>
            </m:sSub>
          </m:e>
          <m:sup>
            <m:r>
              <w:rPr>
                <w:rFonts w:ascii="Cambria Math" w:eastAsiaTheme="minorEastAsia" w:hAnsi="Cambria Math" w:cs="Times New Roman"/>
              </w:rPr>
              <m:t>2</m:t>
            </m:r>
          </m:sup>
        </m:sSup>
        <m:r>
          <w:rPr>
            <w:rFonts w:ascii="Cambria Math" w:hAnsi="Cambria Math" w:cs="Times New Roman"/>
          </w:rPr>
          <m:t xml:space="preserve"> = 0.000817 (ICC=0.02%)</m:t>
        </m:r>
      </m:oMath>
      <w:r w:rsidRPr="0095607E">
        <w:rPr>
          <w:rFonts w:ascii="Times New Roman" w:hAnsi="Times New Roman" w:cs="Times New Roman"/>
        </w:rPr>
        <w:t xml:space="preserve"> and the variance at the stage level was </w:t>
      </w:r>
      <m:oMath>
        <m:sSup>
          <m:sSupPr>
            <m:ctrlPr>
              <w:rPr>
                <w:rFonts w:ascii="Cambria Math" w:eastAsiaTheme="minorEastAsia" w:hAnsi="Cambria Math" w:cs="Times New Roman"/>
                <w:i/>
              </w:rPr>
            </m:ctrlPr>
          </m:sSup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v</m:t>
                </m:r>
              </m:sub>
            </m:sSub>
          </m:e>
          <m:sup>
            <m:r>
              <w:rPr>
                <w:rFonts w:ascii="Cambria Math" w:eastAsiaTheme="minorEastAsia" w:hAnsi="Cambria Math" w:cs="Times New Roman"/>
              </w:rPr>
              <m:t>2</m:t>
            </m:r>
          </m:sup>
        </m:sSup>
        <m:r>
          <w:rPr>
            <w:rFonts w:ascii="Cambria Math" w:hAnsi="Cambria Math" w:cs="Times New Roman"/>
          </w:rPr>
          <m:t>=0.001342 (ICC = 0.04%).</m:t>
        </m:r>
      </m:oMath>
      <w:r w:rsidRPr="0095607E">
        <w:rPr>
          <w:rFonts w:ascii="Times New Roman" w:hAnsi="Times New Roman" w:cs="Times New Roman"/>
        </w:rPr>
        <w:t xml:space="preserve"> Though the estimated values are lower than </w:t>
      </w:r>
      <w:r w:rsidR="001A4066" w:rsidRPr="0095607E">
        <w:rPr>
          <w:rFonts w:ascii="Times New Roman" w:hAnsi="Times New Roman" w:cs="Times New Roman"/>
        </w:rPr>
        <w:t>conventional</w:t>
      </w:r>
      <w:r w:rsidRPr="0095607E">
        <w:rPr>
          <w:rFonts w:ascii="Times New Roman" w:hAnsi="Times New Roman" w:cs="Times New Roman"/>
        </w:rPr>
        <w:t xml:space="preserve"> 0.05, </w:t>
      </w:r>
      <w:r w:rsidR="001A4066" w:rsidRPr="0095607E">
        <w:rPr>
          <w:rFonts w:ascii="Times New Roman" w:hAnsi="Times New Roman" w:cs="Times New Roman"/>
        </w:rPr>
        <w:t xml:space="preserve">this represent </w:t>
      </w:r>
      <w:r w:rsidR="00172536">
        <w:rPr>
          <w:rFonts w:ascii="Times New Roman" w:hAnsi="Times New Roman" w:cs="Times New Roman"/>
        </w:rPr>
        <w:t>a negligible proportion of the total variation</w:t>
      </w:r>
      <w:r w:rsidR="001A4066" w:rsidRPr="0095607E">
        <w:rPr>
          <w:rFonts w:ascii="Times New Roman" w:hAnsi="Times New Roman" w:cs="Times New Roman"/>
        </w:rPr>
        <w:t xml:space="preserve"> of high-level grouping units</w:t>
      </w:r>
      <w:r w:rsidRPr="0095607E">
        <w:rPr>
          <w:rFonts w:ascii="Times New Roman" w:hAnsi="Times New Roman" w:cs="Times New Roman"/>
        </w:rPr>
        <w:t>.</w:t>
      </w:r>
      <w:r w:rsidR="001A4066" w:rsidRPr="0095607E">
        <w:rPr>
          <w:rFonts w:ascii="Times New Roman" w:hAnsi="Times New Roman" w:cs="Times New Roman"/>
        </w:rPr>
        <w:t xml:space="preserve"> The</w:t>
      </w:r>
      <w:r w:rsidRPr="0095607E">
        <w:rPr>
          <w:rFonts w:ascii="Times New Roman" w:hAnsi="Times New Roman" w:cs="Times New Roman"/>
        </w:rPr>
        <w:t xml:space="preserve"> likelihood ratio test (LRT), which was very significant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=27.07, df=2, p=0.001),</m:t>
        </m:r>
      </m:oMath>
      <w:r w:rsidRPr="0095607E">
        <w:rPr>
          <w:rFonts w:ascii="Times New Roman" w:hAnsi="Times New Roman" w:cs="Times New Roman"/>
        </w:rPr>
        <w:t xml:space="preserve"> and proves the multilevel structure to be a significant factor that enhances the model fit. ICC estimates are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_Ref225191330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i/>
          <w:iCs/>
          <w:noProof/>
        </w:rPr>
        <w:t>2</w:t>
      </w:r>
      <w:r w:rsidR="008A59B2" w:rsidRPr="0095607E">
        <w:rPr>
          <w:rFonts w:ascii="Times New Roman" w:hAnsi="Times New Roman" w:cs="Times New Roman"/>
        </w:rPr>
        <w:fldChar w:fldCharType="end"/>
      </w:r>
      <w:r w:rsidRPr="0095607E">
        <w:rPr>
          <w:rFonts w:ascii="Times New Roman" w:hAnsi="Times New Roman" w:cs="Times New Roman"/>
        </w:rPr>
        <w:fldChar w:fldCharType="begin"/>
      </w:r>
      <w:r w:rsidRPr="0095607E">
        <w:rPr>
          <w:rFonts w:ascii="Times New Roman" w:hAnsi="Times New Roman" w:cs="Times New Roman"/>
        </w:rPr>
        <w:instrText xml:space="preserve"> REF _Ref225191330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 xml:space="preserve"> below.</w:t>
      </w:r>
    </w:p>
    <w:p w14:paraId="421539C8" w14:textId="66226C00" w:rsidR="002D26E1" w:rsidRPr="0095607E" w:rsidRDefault="002D26E1" w:rsidP="003B0C52">
      <w:pPr>
        <w:pStyle w:val="Caption"/>
        <w:rPr>
          <w:rFonts w:ascii="Times New Roman" w:hAnsi="Times New Roman" w:cs="Times New Roman"/>
          <w:b/>
          <w:bCs/>
          <w:i w:val="0"/>
          <w:iCs w:val="0"/>
          <w:color w:val="auto"/>
          <w:sz w:val="24"/>
          <w:szCs w:val="24"/>
        </w:rPr>
      </w:pPr>
      <w:bookmarkStart w:id="13" w:name="_Ref225191330"/>
      <w:bookmarkStart w:id="14" w:name="_Toc225196608"/>
      <w:r w:rsidRPr="0095607E">
        <w:rPr>
          <w:rFonts w:ascii="Times New Roman" w:hAnsi="Times New Roman" w:cs="Times New Roman"/>
          <w:b/>
          <w:bCs/>
          <w:i w:val="0"/>
          <w:iCs w:val="0"/>
          <w:color w:val="auto"/>
          <w:sz w:val="24"/>
          <w:szCs w:val="24"/>
        </w:rPr>
        <w:t xml:space="preserve">Table </w:t>
      </w:r>
      <w:r w:rsidRPr="0095607E">
        <w:rPr>
          <w:rFonts w:ascii="Times New Roman" w:hAnsi="Times New Roman" w:cs="Times New Roman"/>
          <w:b/>
          <w:bCs/>
          <w:i w:val="0"/>
          <w:iCs w:val="0"/>
          <w:color w:val="auto"/>
          <w:sz w:val="24"/>
          <w:szCs w:val="24"/>
        </w:rPr>
        <w:fldChar w:fldCharType="begin"/>
      </w:r>
      <w:r w:rsidRPr="0095607E">
        <w:rPr>
          <w:rFonts w:ascii="Times New Roman" w:hAnsi="Times New Roman" w:cs="Times New Roman"/>
          <w:b/>
          <w:bCs/>
          <w:i w:val="0"/>
          <w:iCs w:val="0"/>
          <w:color w:val="auto"/>
          <w:sz w:val="24"/>
          <w:szCs w:val="24"/>
        </w:rPr>
        <w:instrText xml:space="preserve"> SEQ Table \* ARABIC </w:instrText>
      </w:r>
      <w:r w:rsidRPr="0095607E">
        <w:rPr>
          <w:rFonts w:ascii="Times New Roman" w:hAnsi="Times New Roman" w:cs="Times New Roman"/>
          <w:b/>
          <w:bCs/>
          <w:i w:val="0"/>
          <w:iCs w:val="0"/>
          <w:color w:val="auto"/>
          <w:sz w:val="24"/>
          <w:szCs w:val="24"/>
        </w:rPr>
        <w:fldChar w:fldCharType="separate"/>
      </w:r>
      <w:r w:rsidR="008A59B2" w:rsidRPr="0095607E">
        <w:rPr>
          <w:rFonts w:ascii="Times New Roman" w:hAnsi="Times New Roman" w:cs="Times New Roman"/>
          <w:b/>
          <w:bCs/>
          <w:i w:val="0"/>
          <w:iCs w:val="0"/>
          <w:noProof/>
          <w:color w:val="auto"/>
          <w:sz w:val="24"/>
          <w:szCs w:val="24"/>
        </w:rPr>
        <w:t>2</w:t>
      </w:r>
      <w:r w:rsidRPr="0095607E">
        <w:rPr>
          <w:rFonts w:ascii="Times New Roman" w:hAnsi="Times New Roman" w:cs="Times New Roman"/>
          <w:b/>
          <w:bCs/>
          <w:i w:val="0"/>
          <w:iCs w:val="0"/>
          <w:color w:val="auto"/>
          <w:sz w:val="24"/>
          <w:szCs w:val="24"/>
        </w:rPr>
        <w:fldChar w:fldCharType="end"/>
      </w:r>
      <w:bookmarkEnd w:id="13"/>
      <w:r w:rsidRPr="0095607E">
        <w:rPr>
          <w:rFonts w:ascii="Times New Roman" w:hAnsi="Times New Roman" w:cs="Times New Roman"/>
          <w:b/>
          <w:bCs/>
          <w:i w:val="0"/>
          <w:iCs w:val="0"/>
          <w:color w:val="auto"/>
          <w:sz w:val="24"/>
          <w:szCs w:val="24"/>
        </w:rPr>
        <w:t>: Intraclass Correlation Coefficient</w:t>
      </w:r>
      <w:bookmarkEnd w:id="14"/>
    </w:p>
    <w:tbl>
      <w:tblPr>
        <w:tblStyle w:val="TableGrid"/>
        <w:tblW w:w="8994" w:type="dxa"/>
        <w:jc w:val="center"/>
        <w:tblLook w:val="04A0" w:firstRow="1" w:lastRow="0" w:firstColumn="1" w:lastColumn="0" w:noHBand="0" w:noVBand="1"/>
      </w:tblPr>
      <w:tblGrid>
        <w:gridCol w:w="3699"/>
        <w:gridCol w:w="1643"/>
        <w:gridCol w:w="1150"/>
        <w:gridCol w:w="1232"/>
        <w:gridCol w:w="1270"/>
      </w:tblGrid>
      <w:tr w:rsidR="002D26E1" w:rsidRPr="0095607E" w14:paraId="74819B1A" w14:textId="77777777" w:rsidTr="00F10821">
        <w:trPr>
          <w:trHeight w:val="430"/>
          <w:jc w:val="center"/>
        </w:trPr>
        <w:tc>
          <w:tcPr>
            <w:tcW w:w="3699" w:type="dxa"/>
            <w:tcBorders>
              <w:top w:val="single" w:sz="4" w:space="0" w:color="AAAAAA"/>
              <w:left w:val="single" w:sz="4" w:space="0" w:color="AAAAAA"/>
              <w:bottom w:val="single" w:sz="4" w:space="0" w:color="AAAAAA"/>
              <w:right w:val="single" w:sz="4" w:space="0" w:color="AAAAAA"/>
            </w:tcBorders>
            <w:vAlign w:val="center"/>
            <w:hideMark/>
          </w:tcPr>
          <w:p w14:paraId="43568579"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Grouping Level</w:t>
            </w:r>
          </w:p>
        </w:tc>
        <w:tc>
          <w:tcPr>
            <w:tcW w:w="1643" w:type="dxa"/>
            <w:tcBorders>
              <w:top w:val="single" w:sz="4" w:space="0" w:color="AAAAAA"/>
              <w:left w:val="nil"/>
              <w:bottom w:val="single" w:sz="4" w:space="0" w:color="AAAAAA"/>
              <w:right w:val="single" w:sz="4" w:space="0" w:color="AAAAAA"/>
            </w:tcBorders>
            <w:vAlign w:val="center"/>
            <w:hideMark/>
          </w:tcPr>
          <w:p w14:paraId="694B484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 xml:space="preserve">Variance </w:t>
            </w:r>
            <m:oMath>
              <m:d>
                <m:dPr>
                  <m:ctrlPr>
                    <w:rPr>
                      <w:rFonts w:ascii="Cambria Math" w:hAnsi="Cambria Math" w:cs="Times New Roman"/>
                      <w:b/>
                      <w:i/>
                    </w:rPr>
                  </m:ctrlPr>
                </m:dPr>
                <m:e>
                  <m:sSup>
                    <m:sSupPr>
                      <m:ctrlPr>
                        <w:rPr>
                          <w:rFonts w:ascii="Cambria Math" w:hAnsi="Cambria Math" w:cs="Times New Roman"/>
                          <w:b/>
                          <w:i/>
                        </w:rPr>
                      </m:ctrlPr>
                    </m:sSupPr>
                    <m:e>
                      <m:r>
                        <m:rPr>
                          <m:sty m:val="bi"/>
                        </m:rPr>
                        <w:rPr>
                          <w:rFonts w:ascii="Cambria Math" w:hAnsi="Cambria Math" w:cs="Times New Roman"/>
                        </w:rPr>
                        <m:t>σ</m:t>
                      </m:r>
                    </m:e>
                    <m:sup>
                      <m:r>
                        <m:rPr>
                          <m:sty m:val="bi"/>
                        </m:rPr>
                        <w:rPr>
                          <w:rFonts w:ascii="Cambria Math" w:hAnsi="Cambria Math" w:cs="Times New Roman"/>
                        </w:rPr>
                        <m:t>2</m:t>
                      </m:r>
                    </m:sup>
                  </m:sSup>
                </m:e>
              </m:d>
            </m:oMath>
          </w:p>
        </w:tc>
        <w:tc>
          <w:tcPr>
            <w:tcW w:w="1150" w:type="dxa"/>
            <w:tcBorders>
              <w:top w:val="single" w:sz="4" w:space="0" w:color="AAAAAA"/>
              <w:left w:val="nil"/>
              <w:bottom w:val="single" w:sz="4" w:space="0" w:color="AAAAAA"/>
              <w:right w:val="single" w:sz="4" w:space="0" w:color="AAAAAA"/>
            </w:tcBorders>
            <w:vAlign w:val="center"/>
            <w:hideMark/>
          </w:tcPr>
          <w:p w14:paraId="0821878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ICC</w:t>
            </w:r>
          </w:p>
        </w:tc>
        <w:tc>
          <w:tcPr>
            <w:tcW w:w="1232" w:type="dxa"/>
            <w:tcBorders>
              <w:top w:val="single" w:sz="4" w:space="0" w:color="AAAAAA"/>
              <w:left w:val="nil"/>
              <w:bottom w:val="single" w:sz="4" w:space="0" w:color="AAAAAA"/>
              <w:right w:val="single" w:sz="4" w:space="0" w:color="AAAAAA"/>
            </w:tcBorders>
            <w:vAlign w:val="center"/>
            <w:hideMark/>
          </w:tcPr>
          <w:p w14:paraId="0959A39C"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ICC (%)</w:t>
            </w:r>
          </w:p>
        </w:tc>
        <w:tc>
          <w:tcPr>
            <w:tcW w:w="1270" w:type="dxa"/>
            <w:tcBorders>
              <w:top w:val="single" w:sz="4" w:space="0" w:color="AAAAAA"/>
              <w:left w:val="nil"/>
              <w:bottom w:val="single" w:sz="4" w:space="0" w:color="AAAAAA"/>
              <w:right w:val="single" w:sz="4" w:space="0" w:color="AAAAAA"/>
            </w:tcBorders>
            <w:vAlign w:val="center"/>
            <w:hideMark/>
          </w:tcPr>
          <w:p w14:paraId="4EE64F6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b/>
              </w:rPr>
              <w:t>Justified?</w:t>
            </w:r>
          </w:p>
        </w:tc>
      </w:tr>
      <w:tr w:rsidR="002D26E1" w:rsidRPr="0095607E" w14:paraId="50C440E1" w14:textId="77777777" w:rsidTr="00F10821">
        <w:trPr>
          <w:trHeight w:val="241"/>
          <w:jc w:val="center"/>
        </w:trPr>
        <w:tc>
          <w:tcPr>
            <w:tcW w:w="3699" w:type="dxa"/>
            <w:tcBorders>
              <w:top w:val="single" w:sz="4" w:space="0" w:color="AAAAAA"/>
              <w:left w:val="single" w:sz="4" w:space="0" w:color="AAAAAA"/>
              <w:bottom w:val="single" w:sz="4" w:space="0" w:color="AAAAAA"/>
              <w:right w:val="single" w:sz="4" w:space="0" w:color="AAAAAA"/>
            </w:tcBorders>
            <w:vAlign w:val="center"/>
            <w:hideMark/>
          </w:tcPr>
          <w:p w14:paraId="2B282F7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County (j = 1, 2)</w:t>
            </w:r>
          </w:p>
        </w:tc>
        <w:tc>
          <w:tcPr>
            <w:tcW w:w="1643" w:type="dxa"/>
            <w:tcBorders>
              <w:top w:val="single" w:sz="4" w:space="0" w:color="AAAAAA"/>
              <w:left w:val="nil"/>
              <w:bottom w:val="single" w:sz="4" w:space="0" w:color="AAAAAA"/>
              <w:right w:val="single" w:sz="4" w:space="0" w:color="AAAAAA"/>
            </w:tcBorders>
            <w:vAlign w:val="center"/>
            <w:hideMark/>
          </w:tcPr>
          <w:p w14:paraId="3FB23F0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0.000817</w:t>
            </w:r>
          </w:p>
        </w:tc>
        <w:tc>
          <w:tcPr>
            <w:tcW w:w="1150" w:type="dxa"/>
            <w:tcBorders>
              <w:top w:val="single" w:sz="4" w:space="0" w:color="AAAAAA"/>
              <w:left w:val="nil"/>
              <w:bottom w:val="single" w:sz="4" w:space="0" w:color="AAAAAA"/>
              <w:right w:val="single" w:sz="4" w:space="0" w:color="AAAAAA"/>
            </w:tcBorders>
            <w:vAlign w:val="center"/>
            <w:hideMark/>
          </w:tcPr>
          <w:p w14:paraId="3429A67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0.0002</w:t>
            </w:r>
          </w:p>
        </w:tc>
        <w:tc>
          <w:tcPr>
            <w:tcW w:w="1232" w:type="dxa"/>
            <w:tcBorders>
              <w:top w:val="single" w:sz="4" w:space="0" w:color="AAAAAA"/>
              <w:left w:val="nil"/>
              <w:bottom w:val="single" w:sz="4" w:space="0" w:color="AAAAAA"/>
              <w:right w:val="single" w:sz="4" w:space="0" w:color="AAAAAA"/>
            </w:tcBorders>
            <w:vAlign w:val="center"/>
            <w:hideMark/>
          </w:tcPr>
          <w:p w14:paraId="3CE528A2"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0.02%</w:t>
            </w:r>
          </w:p>
        </w:tc>
        <w:tc>
          <w:tcPr>
            <w:tcW w:w="1270" w:type="dxa"/>
            <w:tcBorders>
              <w:top w:val="single" w:sz="4" w:space="0" w:color="AAAAAA"/>
              <w:left w:val="nil"/>
              <w:bottom w:val="single" w:sz="4" w:space="0" w:color="AAAAAA"/>
              <w:right w:val="single" w:sz="4" w:space="0" w:color="AAAAAA"/>
            </w:tcBorders>
            <w:vAlign w:val="center"/>
            <w:hideMark/>
          </w:tcPr>
          <w:p w14:paraId="3E54A82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NO</w:t>
            </w:r>
          </w:p>
        </w:tc>
      </w:tr>
      <w:tr w:rsidR="002D26E1" w:rsidRPr="0095607E" w14:paraId="3B05C856" w14:textId="77777777" w:rsidTr="00F10821">
        <w:trPr>
          <w:trHeight w:val="136"/>
          <w:jc w:val="center"/>
        </w:trPr>
        <w:tc>
          <w:tcPr>
            <w:tcW w:w="3699" w:type="dxa"/>
            <w:tcBorders>
              <w:top w:val="single" w:sz="4" w:space="0" w:color="AAAAAA"/>
              <w:left w:val="single" w:sz="4" w:space="0" w:color="AAAAAA"/>
              <w:bottom w:val="single" w:sz="4" w:space="0" w:color="AAAAAA"/>
              <w:right w:val="single" w:sz="4" w:space="0" w:color="AAAAAA"/>
            </w:tcBorders>
            <w:vAlign w:val="center"/>
            <w:hideMark/>
          </w:tcPr>
          <w:p w14:paraId="13F9C79D"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Value Chain Stage (k = 1, 2)</w:t>
            </w:r>
          </w:p>
        </w:tc>
        <w:tc>
          <w:tcPr>
            <w:tcW w:w="1643" w:type="dxa"/>
            <w:tcBorders>
              <w:top w:val="single" w:sz="4" w:space="0" w:color="AAAAAA"/>
              <w:left w:val="nil"/>
              <w:bottom w:val="single" w:sz="4" w:space="0" w:color="AAAAAA"/>
              <w:right w:val="single" w:sz="4" w:space="0" w:color="AAAAAA"/>
            </w:tcBorders>
            <w:vAlign w:val="center"/>
            <w:hideMark/>
          </w:tcPr>
          <w:p w14:paraId="706B9DA3"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0.001342</w:t>
            </w:r>
          </w:p>
        </w:tc>
        <w:tc>
          <w:tcPr>
            <w:tcW w:w="1150" w:type="dxa"/>
            <w:tcBorders>
              <w:top w:val="single" w:sz="4" w:space="0" w:color="AAAAAA"/>
              <w:left w:val="nil"/>
              <w:bottom w:val="single" w:sz="4" w:space="0" w:color="AAAAAA"/>
              <w:right w:val="single" w:sz="4" w:space="0" w:color="AAAAAA"/>
            </w:tcBorders>
            <w:vAlign w:val="center"/>
            <w:hideMark/>
          </w:tcPr>
          <w:p w14:paraId="6B8B5A9E"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0.0004</w:t>
            </w:r>
          </w:p>
        </w:tc>
        <w:tc>
          <w:tcPr>
            <w:tcW w:w="1232" w:type="dxa"/>
            <w:tcBorders>
              <w:top w:val="single" w:sz="4" w:space="0" w:color="AAAAAA"/>
              <w:left w:val="nil"/>
              <w:bottom w:val="single" w:sz="4" w:space="0" w:color="AAAAAA"/>
              <w:right w:val="single" w:sz="4" w:space="0" w:color="AAAAAA"/>
            </w:tcBorders>
            <w:vAlign w:val="center"/>
            <w:hideMark/>
          </w:tcPr>
          <w:p w14:paraId="5C204885"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0.04%</w:t>
            </w:r>
          </w:p>
        </w:tc>
        <w:tc>
          <w:tcPr>
            <w:tcW w:w="1270" w:type="dxa"/>
            <w:tcBorders>
              <w:top w:val="single" w:sz="4" w:space="0" w:color="AAAAAA"/>
              <w:left w:val="nil"/>
              <w:bottom w:val="single" w:sz="4" w:space="0" w:color="AAAAAA"/>
              <w:right w:val="single" w:sz="4" w:space="0" w:color="AAAAAA"/>
            </w:tcBorders>
            <w:vAlign w:val="center"/>
            <w:hideMark/>
          </w:tcPr>
          <w:p w14:paraId="5D8B1086"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NO</w:t>
            </w:r>
          </w:p>
        </w:tc>
      </w:tr>
      <w:tr w:rsidR="002D26E1" w:rsidRPr="0095607E" w14:paraId="0CEBC736" w14:textId="77777777" w:rsidTr="00F10821">
        <w:trPr>
          <w:trHeight w:val="430"/>
          <w:jc w:val="center"/>
        </w:trPr>
        <w:tc>
          <w:tcPr>
            <w:tcW w:w="3699" w:type="dxa"/>
            <w:tcBorders>
              <w:top w:val="single" w:sz="4" w:space="0" w:color="AAAAAA"/>
              <w:left w:val="single" w:sz="4" w:space="0" w:color="AAAAAA"/>
              <w:bottom w:val="single" w:sz="4" w:space="0" w:color="AAAAAA"/>
              <w:right w:val="single" w:sz="4" w:space="0" w:color="AAAAAA"/>
            </w:tcBorders>
            <w:vAlign w:val="center"/>
            <w:hideMark/>
          </w:tcPr>
          <w:p w14:paraId="67E3550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Level-1 residual variance (σ²ε = π²/3)</w:t>
            </w:r>
          </w:p>
        </w:tc>
        <w:tc>
          <w:tcPr>
            <w:tcW w:w="1643" w:type="dxa"/>
            <w:tcBorders>
              <w:top w:val="single" w:sz="4" w:space="0" w:color="AAAAAA"/>
              <w:left w:val="nil"/>
              <w:bottom w:val="single" w:sz="4" w:space="0" w:color="AAAAAA"/>
              <w:right w:val="single" w:sz="4" w:space="0" w:color="AAAAAA"/>
            </w:tcBorders>
            <w:vAlign w:val="center"/>
            <w:hideMark/>
          </w:tcPr>
          <w:p w14:paraId="174283FB"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3.2899</w:t>
            </w:r>
          </w:p>
        </w:tc>
        <w:tc>
          <w:tcPr>
            <w:tcW w:w="1150" w:type="dxa"/>
            <w:tcBorders>
              <w:top w:val="single" w:sz="4" w:space="0" w:color="AAAAAA"/>
              <w:left w:val="nil"/>
              <w:bottom w:val="single" w:sz="4" w:space="0" w:color="AAAAAA"/>
              <w:right w:val="single" w:sz="4" w:space="0" w:color="AAAAAA"/>
            </w:tcBorders>
            <w:vAlign w:val="center"/>
            <w:hideMark/>
          </w:tcPr>
          <w:p w14:paraId="6DCDE6C2"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w:t>
            </w:r>
          </w:p>
        </w:tc>
        <w:tc>
          <w:tcPr>
            <w:tcW w:w="1232" w:type="dxa"/>
            <w:tcBorders>
              <w:top w:val="single" w:sz="4" w:space="0" w:color="AAAAAA"/>
              <w:left w:val="nil"/>
              <w:bottom w:val="single" w:sz="4" w:space="0" w:color="AAAAAA"/>
              <w:right w:val="single" w:sz="4" w:space="0" w:color="AAAAAA"/>
            </w:tcBorders>
            <w:vAlign w:val="center"/>
            <w:hideMark/>
          </w:tcPr>
          <w:p w14:paraId="0F1A919F"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w:t>
            </w:r>
          </w:p>
        </w:tc>
        <w:tc>
          <w:tcPr>
            <w:tcW w:w="1270" w:type="dxa"/>
            <w:tcBorders>
              <w:top w:val="single" w:sz="4" w:space="0" w:color="AAAAAA"/>
              <w:left w:val="nil"/>
              <w:bottom w:val="single" w:sz="4" w:space="0" w:color="AAAAAA"/>
              <w:right w:val="single" w:sz="4" w:space="0" w:color="AAAAAA"/>
            </w:tcBorders>
            <w:vAlign w:val="center"/>
            <w:hideMark/>
          </w:tcPr>
          <w:p w14:paraId="09513F08" w14:textId="77777777" w:rsidR="002D26E1" w:rsidRPr="0095607E" w:rsidRDefault="002D26E1" w:rsidP="003B0C52">
            <w:pPr>
              <w:spacing w:after="160"/>
              <w:jc w:val="both"/>
              <w:rPr>
                <w:rFonts w:ascii="Times New Roman" w:hAnsi="Times New Roman" w:cs="Times New Roman"/>
              </w:rPr>
            </w:pPr>
            <w:r w:rsidRPr="0095607E">
              <w:rPr>
                <w:rFonts w:ascii="Times New Roman" w:hAnsi="Times New Roman" w:cs="Times New Roman"/>
              </w:rPr>
              <w:t>—</w:t>
            </w:r>
          </w:p>
        </w:tc>
      </w:tr>
      <w:tr w:rsidR="002D26E1" w:rsidRPr="0095607E" w14:paraId="49099CB9" w14:textId="77777777" w:rsidTr="00F10821">
        <w:trPr>
          <w:trHeight w:val="430"/>
          <w:jc w:val="center"/>
        </w:trPr>
        <w:tc>
          <w:tcPr>
            <w:tcW w:w="3699" w:type="dxa"/>
            <w:tcBorders>
              <w:top w:val="single" w:sz="4" w:space="0" w:color="AAAAAA"/>
              <w:left w:val="single" w:sz="4" w:space="0" w:color="AAAAAA"/>
              <w:bottom w:val="single" w:sz="4" w:space="0" w:color="AAAAAA"/>
              <w:right w:val="single" w:sz="4" w:space="0" w:color="AAAAAA"/>
            </w:tcBorders>
            <w:vAlign w:val="center"/>
            <w:hideMark/>
          </w:tcPr>
          <w:p w14:paraId="4C462A06" w14:textId="77777777" w:rsidR="002D26E1" w:rsidRPr="0095607E" w:rsidRDefault="002D26E1" w:rsidP="003B0C52">
            <w:pPr>
              <w:spacing w:after="160"/>
              <w:jc w:val="both"/>
              <w:rPr>
                <w:rFonts w:ascii="Times New Roman" w:hAnsi="Times New Roman" w:cs="Times New Roman"/>
                <w:b/>
              </w:rPr>
            </w:pPr>
            <w:r w:rsidRPr="0095607E">
              <w:rPr>
                <w:rFonts w:ascii="Times New Roman" w:hAnsi="Times New Roman" w:cs="Times New Roman"/>
                <w:b/>
              </w:rPr>
              <w:t>LRT: Multilevel vs Single-level Beta</w:t>
            </w:r>
          </w:p>
        </w:tc>
        <w:tc>
          <w:tcPr>
            <w:tcW w:w="1643" w:type="dxa"/>
            <w:tcBorders>
              <w:top w:val="single" w:sz="4" w:space="0" w:color="AAAAAA"/>
              <w:left w:val="nil"/>
              <w:bottom w:val="single" w:sz="4" w:space="0" w:color="AAAAAA"/>
              <w:right w:val="single" w:sz="4" w:space="0" w:color="AAAAAA"/>
            </w:tcBorders>
            <w:vAlign w:val="center"/>
            <w:hideMark/>
          </w:tcPr>
          <w:p w14:paraId="3AC705FE" w14:textId="77777777" w:rsidR="002D26E1" w:rsidRPr="0095607E" w:rsidRDefault="00301E0E" w:rsidP="003B0C52">
            <w:pPr>
              <w:spacing w:after="160"/>
              <w:jc w:val="both"/>
              <w:rPr>
                <w:rFonts w:ascii="Times New Roman" w:hAnsi="Times New Roman" w:cs="Times New Roman"/>
                <w:b/>
              </w:rPr>
            </w:pPr>
            <m:oMathPara>
              <m:oMath>
                <m:sSup>
                  <m:sSupPr>
                    <m:ctrlPr>
                      <w:rPr>
                        <w:rFonts w:ascii="Cambria Math" w:hAnsi="Cambria Math" w:cs="Times New Roman"/>
                        <w:b/>
                        <w:i/>
                      </w:rPr>
                    </m:ctrlPr>
                  </m:sSupPr>
                  <m:e>
                    <m:r>
                      <m:rPr>
                        <m:sty m:val="bi"/>
                      </m:rPr>
                      <w:rPr>
                        <w:rFonts w:ascii="Cambria Math" w:hAnsi="Cambria Math" w:cs="Times New Roman"/>
                      </w:rPr>
                      <m:t>χ</m:t>
                    </m:r>
                  </m:e>
                  <m:sup>
                    <m:r>
                      <m:rPr>
                        <m:sty m:val="bi"/>
                      </m:rPr>
                      <w:rPr>
                        <w:rFonts w:ascii="Cambria Math" w:hAnsi="Cambria Math" w:cs="Times New Roman"/>
                      </w:rPr>
                      <m:t>2</m:t>
                    </m:r>
                  </m:sup>
                </m:sSup>
                <m:r>
                  <m:rPr>
                    <m:sty m:val="bi"/>
                  </m:rPr>
                  <w:rPr>
                    <w:rFonts w:ascii="Cambria Math" w:hAnsi="Cambria Math" w:cs="Times New Roman"/>
                  </w:rPr>
                  <m:t>=27.07</m:t>
                </m:r>
              </m:oMath>
            </m:oMathPara>
          </w:p>
        </w:tc>
        <w:tc>
          <w:tcPr>
            <w:tcW w:w="1150" w:type="dxa"/>
            <w:tcBorders>
              <w:top w:val="single" w:sz="4" w:space="0" w:color="AAAAAA"/>
              <w:left w:val="nil"/>
              <w:bottom w:val="single" w:sz="4" w:space="0" w:color="AAAAAA"/>
              <w:right w:val="single" w:sz="4" w:space="0" w:color="AAAAAA"/>
            </w:tcBorders>
            <w:vAlign w:val="center"/>
            <w:hideMark/>
          </w:tcPr>
          <w:p w14:paraId="003DA4A3" w14:textId="77777777" w:rsidR="002D26E1" w:rsidRPr="0095607E" w:rsidRDefault="002D26E1" w:rsidP="003B0C52">
            <w:pPr>
              <w:spacing w:after="160"/>
              <w:jc w:val="both"/>
              <w:rPr>
                <w:rFonts w:ascii="Times New Roman" w:hAnsi="Times New Roman" w:cs="Times New Roman"/>
                <w:b/>
                <w:iCs/>
              </w:rPr>
            </w:pPr>
            <m:oMathPara>
              <m:oMath>
                <m:r>
                  <m:rPr>
                    <m:sty m:val="bi"/>
                  </m:rPr>
                  <w:rPr>
                    <w:rFonts w:ascii="Cambria Math" w:hAnsi="Cambria Math" w:cs="Times New Roman"/>
                  </w:rPr>
                  <m:t>df = 2</m:t>
                </m:r>
              </m:oMath>
            </m:oMathPara>
          </w:p>
        </w:tc>
        <w:tc>
          <w:tcPr>
            <w:tcW w:w="1232" w:type="dxa"/>
            <w:tcBorders>
              <w:top w:val="single" w:sz="4" w:space="0" w:color="AAAAAA"/>
              <w:left w:val="nil"/>
              <w:bottom w:val="single" w:sz="4" w:space="0" w:color="AAAAAA"/>
              <w:right w:val="single" w:sz="4" w:space="0" w:color="AAAAAA"/>
            </w:tcBorders>
            <w:vAlign w:val="center"/>
            <w:hideMark/>
          </w:tcPr>
          <w:p w14:paraId="57E1C001" w14:textId="77777777" w:rsidR="002D26E1" w:rsidRPr="0095607E" w:rsidRDefault="002D26E1" w:rsidP="003B0C52">
            <w:pPr>
              <w:spacing w:after="160"/>
              <w:jc w:val="both"/>
              <w:rPr>
                <w:rFonts w:ascii="Times New Roman" w:hAnsi="Times New Roman" w:cs="Times New Roman"/>
                <w:b/>
                <w:i/>
                <w:iCs/>
              </w:rPr>
            </w:pPr>
            <w:r w:rsidRPr="0095607E">
              <w:rPr>
                <w:rFonts w:ascii="Times New Roman" w:hAnsi="Times New Roman" w:cs="Times New Roman"/>
                <w:b/>
                <w:i/>
                <w:iCs/>
              </w:rPr>
              <w:t>p &lt; 0.001</w:t>
            </w:r>
          </w:p>
        </w:tc>
        <w:tc>
          <w:tcPr>
            <w:tcW w:w="1270" w:type="dxa"/>
            <w:tcBorders>
              <w:top w:val="single" w:sz="4" w:space="0" w:color="AAAAAA"/>
              <w:left w:val="nil"/>
              <w:bottom w:val="single" w:sz="4" w:space="0" w:color="AAAAAA"/>
              <w:right w:val="single" w:sz="4" w:space="0" w:color="AAAAAA"/>
            </w:tcBorders>
            <w:vAlign w:val="center"/>
            <w:hideMark/>
          </w:tcPr>
          <w:p w14:paraId="0A8FC873" w14:textId="77777777" w:rsidR="002D26E1" w:rsidRPr="0095607E" w:rsidRDefault="002D26E1" w:rsidP="003B0C52">
            <w:pPr>
              <w:spacing w:after="160"/>
              <w:jc w:val="both"/>
              <w:rPr>
                <w:rFonts w:ascii="Times New Roman" w:hAnsi="Times New Roman" w:cs="Times New Roman"/>
                <w:b/>
              </w:rPr>
            </w:pPr>
            <w:r w:rsidRPr="0095607E">
              <w:rPr>
                <w:rFonts w:ascii="Times New Roman" w:hAnsi="Times New Roman" w:cs="Times New Roman"/>
                <w:b/>
              </w:rPr>
              <w:t xml:space="preserve">YES </w:t>
            </w:r>
            <w:r w:rsidRPr="0095607E">
              <w:rPr>
                <w:rFonts w:ascii="Segoe UI Symbol" w:hAnsi="Segoe UI Symbol" w:cs="Segoe UI Symbol"/>
                <w:b/>
              </w:rPr>
              <w:t>✔</w:t>
            </w:r>
          </w:p>
        </w:tc>
      </w:tr>
    </w:tbl>
    <w:p w14:paraId="10CE40D9" w14:textId="75165D43" w:rsidR="002D26E1" w:rsidRPr="0095607E" w:rsidRDefault="002D26E1" w:rsidP="003B0C52">
      <w:pPr>
        <w:pStyle w:val="Heading2"/>
        <w:spacing w:line="240" w:lineRule="auto"/>
        <w:rPr>
          <w:rFonts w:ascii="Times New Roman" w:hAnsi="Times New Roman" w:cs="Times New Roman"/>
          <w:b/>
          <w:bCs/>
          <w:color w:val="auto"/>
          <w:sz w:val="24"/>
          <w:szCs w:val="24"/>
        </w:rPr>
      </w:pPr>
      <w:bookmarkStart w:id="15" w:name="_Toc225180565"/>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3</w:t>
      </w:r>
      <w:r w:rsidRPr="0095607E">
        <w:rPr>
          <w:rFonts w:ascii="Times New Roman" w:hAnsi="Times New Roman" w:cs="Times New Roman"/>
          <w:b/>
          <w:bCs/>
          <w:color w:val="auto"/>
          <w:sz w:val="24"/>
          <w:szCs w:val="24"/>
        </w:rPr>
        <w:tab/>
        <w:t>Poisson Regression Results</w:t>
      </w:r>
      <w:bookmarkEnd w:id="15"/>
    </w:p>
    <w:p w14:paraId="539A7DED" w14:textId="68DA0153"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The count-based loss outcome was estimated using the Poisson regression as a baseline. The model explained significant variation </w:t>
      </w:r>
      <m:oMath>
        <m:r>
          <w:rPr>
            <w:rFonts w:ascii="Cambria Math" w:hAnsi="Cambria Math" w:cs="Times New Roman"/>
          </w:rPr>
          <m:t>(null deviance=591.91, residual deviance=147.80, df=605)</m:t>
        </m:r>
      </m:oMath>
      <w:r w:rsidRPr="0095607E">
        <w:rPr>
          <w:rFonts w:ascii="Times New Roman" w:hAnsi="Times New Roman" w:cs="Times New Roman"/>
        </w:rPr>
        <w:t xml:space="preserve">. All predictor effects showed consistent direction and significance values with those of the multilevel Beta regression, which cross-model validated the fixed effect structure. </w:t>
      </w:r>
      <w:r w:rsidRPr="0095607E">
        <w:rPr>
          <w:rFonts w:ascii="Times New Roman" w:hAnsi="Times New Roman" w:cs="Times New Roman"/>
        </w:rPr>
        <w:fldChar w:fldCharType="begin"/>
      </w:r>
      <w:r w:rsidRPr="0095607E">
        <w:rPr>
          <w:rFonts w:ascii="Times New Roman" w:hAnsi="Times New Roman" w:cs="Times New Roman"/>
        </w:rPr>
        <w:instrText xml:space="preserve"> REF _Ref225191832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rPr>
        <w:t xml:space="preserve">Figure </w:t>
      </w:r>
      <w:r w:rsidRPr="0095607E">
        <w:rPr>
          <w:rFonts w:ascii="Times New Roman" w:hAnsi="Times New Roman" w:cs="Times New Roman"/>
          <w:noProof/>
        </w:rPr>
        <w:t>1</w:t>
      </w:r>
      <w:r w:rsidRPr="0095607E">
        <w:rPr>
          <w:rFonts w:ascii="Times New Roman" w:hAnsi="Times New Roman" w:cs="Times New Roman"/>
        </w:rPr>
        <w:fldChar w:fldCharType="end"/>
      </w:r>
      <w:r w:rsidRPr="0095607E">
        <w:rPr>
          <w:rFonts w:ascii="Times New Roman" w:hAnsi="Times New Roman" w:cs="Times New Roman"/>
        </w:rPr>
        <w:t xml:space="preserve"> shows the IRR forest plot of the multilevel NB model, which graphically summarizes the predictors that significantly increase or decrease the incidence rate of count-based losses. The most significant protective and risk-increasing effects are in cold storage </w:t>
      </w:r>
      <m:oMath>
        <m:r>
          <w:rPr>
            <w:rFonts w:ascii="Cambria Math" w:hAnsi="Cambria Math" w:cs="Times New Roman"/>
          </w:rPr>
          <m:t xml:space="preserve">(IRR = 0.649) </m:t>
        </m:r>
      </m:oMath>
      <w:r w:rsidRPr="0095607E">
        <w:rPr>
          <w:rFonts w:ascii="Times New Roman" w:hAnsi="Times New Roman" w:cs="Times New Roman"/>
        </w:rPr>
        <w:t xml:space="preserve">and in dark room storage </w:t>
      </w:r>
      <m:oMath>
        <m:r>
          <w:rPr>
            <w:rFonts w:ascii="Cambria Math" w:hAnsi="Cambria Math" w:cs="Times New Roman"/>
          </w:rPr>
          <m:t>(IRR = 0.798),</m:t>
        </m:r>
      </m:oMath>
      <w:r w:rsidRPr="0095607E">
        <w:rPr>
          <w:rFonts w:ascii="Times New Roman" w:hAnsi="Times New Roman" w:cs="Times New Roman"/>
        </w:rPr>
        <w:t xml:space="preserve"> and in storage over one month </w:t>
      </w:r>
      <m:oMath>
        <m:r>
          <w:rPr>
            <w:rFonts w:ascii="Cambria Math" w:hAnsi="Cambria Math" w:cs="Times New Roman"/>
          </w:rPr>
          <m:t>(IRR = 1.116)</m:t>
        </m:r>
      </m:oMath>
      <w:r w:rsidRPr="0095607E">
        <w:rPr>
          <w:rFonts w:ascii="Times New Roman" w:hAnsi="Times New Roman" w:cs="Times New Roman"/>
        </w:rPr>
        <w:t xml:space="preserve"> and market distances greater than 10 km </w:t>
      </w:r>
      <m:oMath>
        <m:r>
          <w:rPr>
            <w:rFonts w:ascii="Cambria Math" w:hAnsi="Cambria Math" w:cs="Times New Roman"/>
          </w:rPr>
          <m:t xml:space="preserve">(IRR = 1.111) </m:t>
        </m:r>
      </m:oMath>
      <w:r w:rsidRPr="0095607E">
        <w:rPr>
          <w:rFonts w:ascii="Times New Roman" w:hAnsi="Times New Roman" w:cs="Times New Roman"/>
        </w:rPr>
        <w:t xml:space="preserve">respectively. Full estimates are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_Ref225192028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3</w:t>
      </w:r>
      <w:r w:rsidR="008A59B2" w:rsidRPr="0095607E">
        <w:rPr>
          <w:rFonts w:ascii="Times New Roman" w:hAnsi="Times New Roman" w:cs="Times New Roman"/>
        </w:rPr>
        <w:fldChar w:fldCharType="end"/>
      </w:r>
      <w:r w:rsidR="008A59B2" w:rsidRPr="0095607E">
        <w:rPr>
          <w:rFonts w:ascii="Times New Roman" w:hAnsi="Times New Roman" w:cs="Times New Roman"/>
        </w:rPr>
        <w:t xml:space="preserve"> </w:t>
      </w:r>
      <w:r w:rsidRPr="0095607E">
        <w:rPr>
          <w:rFonts w:ascii="Times New Roman" w:hAnsi="Times New Roman" w:cs="Times New Roman"/>
        </w:rPr>
        <w:t>below.</w:t>
      </w:r>
      <w:r w:rsidR="007F5D50">
        <w:rPr>
          <w:rFonts w:ascii="Times New Roman" w:hAnsi="Times New Roman" w:cs="Times New Roman"/>
        </w:rPr>
        <w:t xml:space="preserve"> </w:t>
      </w:r>
    </w:p>
    <w:p w14:paraId="68DDD6A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noProof/>
        </w:rPr>
        <w:lastRenderedPageBreak/>
        <w:drawing>
          <wp:inline distT="0" distB="0" distL="0" distR="0" wp14:anchorId="270D4603" wp14:editId="12E48914">
            <wp:extent cx="3848100" cy="269367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6"/>
                    <a:stretch>
                      <a:fillRect/>
                    </a:stretch>
                  </pic:blipFill>
                  <pic:spPr>
                    <a:xfrm>
                      <a:off x="0" y="0"/>
                      <a:ext cx="3867584" cy="2707309"/>
                    </a:xfrm>
                    <a:prstGeom prst="rect">
                      <a:avLst/>
                    </a:prstGeom>
                  </pic:spPr>
                </pic:pic>
              </a:graphicData>
            </a:graphic>
          </wp:inline>
        </w:drawing>
      </w:r>
    </w:p>
    <w:p w14:paraId="26A64FAA" w14:textId="50BEE681" w:rsidR="00AE4901" w:rsidRPr="0095607E" w:rsidRDefault="00AE4901" w:rsidP="003B0C52">
      <w:pPr>
        <w:pStyle w:val="Caption"/>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Pr="0095607E">
        <w:rPr>
          <w:rFonts w:ascii="Times New Roman" w:hAnsi="Times New Roman" w:cs="Times New Roman"/>
          <w:b/>
          <w:bCs/>
          <w:noProof/>
          <w:color w:val="auto"/>
          <w:sz w:val="24"/>
          <w:szCs w:val="24"/>
        </w:rPr>
        <w:t>1</w:t>
      </w:r>
      <w:r w:rsidRPr="0095607E">
        <w:rPr>
          <w:rFonts w:ascii="Times New Roman" w:hAnsi="Times New Roman" w:cs="Times New Roman"/>
          <w:b/>
          <w:bCs/>
          <w:color w:val="auto"/>
          <w:sz w:val="24"/>
          <w:szCs w:val="24"/>
        </w:rPr>
        <w:fldChar w:fldCharType="end"/>
      </w:r>
      <w:r w:rsidRPr="0095607E">
        <w:rPr>
          <w:rFonts w:ascii="Times New Roman" w:hAnsi="Times New Roman" w:cs="Times New Roman"/>
          <w:b/>
          <w:bCs/>
          <w:color w:val="auto"/>
          <w:sz w:val="24"/>
          <w:szCs w:val="24"/>
        </w:rPr>
        <w:t>:Multilevel Negative Binomial model</w:t>
      </w:r>
      <w:r w:rsidR="00914A31" w:rsidRPr="0095607E">
        <w:rPr>
          <w:rFonts w:ascii="Times New Roman" w:hAnsi="Times New Roman" w:cs="Times New Roman"/>
          <w:b/>
          <w:bCs/>
          <w:color w:val="auto"/>
          <w:sz w:val="24"/>
          <w:szCs w:val="24"/>
        </w:rPr>
        <w:t xml:space="preserve"> </w:t>
      </w:r>
      <w:bookmarkStart w:id="16" w:name="_Ref225965035"/>
    </w:p>
    <w:bookmarkEnd w:id="16"/>
    <w:p w14:paraId="7AA7CC59" w14:textId="62E7C0C7" w:rsidR="002D26E1" w:rsidRPr="0095607E" w:rsidRDefault="00B26F26" w:rsidP="003B0C52">
      <w:pPr>
        <w:pStyle w:val="Caption"/>
        <w:rPr>
          <w:rFonts w:ascii="Times New Roman" w:hAnsi="Times New Roman" w:cs="Times New Roman"/>
          <w:color w:val="auto"/>
          <w:sz w:val="24"/>
          <w:szCs w:val="24"/>
        </w:rPr>
      </w:pPr>
      <w:r w:rsidRPr="0095607E">
        <w:rPr>
          <w:rFonts w:ascii="Times New Roman" w:hAnsi="Times New Roman" w:cs="Times New Roman"/>
          <w:color w:val="auto"/>
          <w:sz w:val="24"/>
          <w:szCs w:val="24"/>
        </w:rPr>
        <w:fldChar w:fldCharType="begin"/>
      </w:r>
      <w:r w:rsidRPr="0095607E">
        <w:rPr>
          <w:rFonts w:ascii="Times New Roman" w:hAnsi="Times New Roman" w:cs="Times New Roman"/>
          <w:color w:val="auto"/>
          <w:sz w:val="24"/>
          <w:szCs w:val="24"/>
        </w:rPr>
        <w:instrText xml:space="preserve"> REF _Ref225965035 \h  \* MERGEFORMAT </w:instrText>
      </w:r>
      <w:r w:rsidRPr="0095607E">
        <w:rPr>
          <w:rFonts w:ascii="Times New Roman" w:hAnsi="Times New Roman" w:cs="Times New Roman"/>
          <w:color w:val="auto"/>
          <w:sz w:val="24"/>
          <w:szCs w:val="24"/>
        </w:rPr>
      </w:r>
      <w:r w:rsidRPr="0095607E">
        <w:rPr>
          <w:rFonts w:ascii="Times New Roman" w:hAnsi="Times New Roman" w:cs="Times New Roman"/>
          <w:color w:val="auto"/>
          <w:sz w:val="24"/>
          <w:szCs w:val="24"/>
        </w:rPr>
        <w:fldChar w:fldCharType="separate"/>
      </w:r>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noProof/>
          <w:color w:val="auto"/>
          <w:sz w:val="24"/>
          <w:szCs w:val="24"/>
        </w:rPr>
        <w:t>1</w:t>
      </w:r>
      <w:r w:rsidRPr="0095607E">
        <w:rPr>
          <w:rFonts w:ascii="Times New Roman" w:hAnsi="Times New Roman" w:cs="Times New Roman"/>
          <w:color w:val="auto"/>
          <w:sz w:val="24"/>
          <w:szCs w:val="24"/>
        </w:rPr>
        <w:fldChar w:fldCharType="end"/>
      </w:r>
      <w:r w:rsidRPr="0095607E">
        <w:rPr>
          <w:rFonts w:ascii="Times New Roman" w:hAnsi="Times New Roman" w:cs="Times New Roman"/>
          <w:color w:val="auto"/>
          <w:sz w:val="24"/>
          <w:szCs w:val="24"/>
        </w:rPr>
        <w:t xml:space="preserve"> </w:t>
      </w:r>
      <w:r w:rsidR="002D26E1" w:rsidRPr="0095607E">
        <w:rPr>
          <w:rFonts w:ascii="Times New Roman" w:hAnsi="Times New Roman" w:cs="Times New Roman"/>
          <w:color w:val="auto"/>
          <w:sz w:val="24"/>
          <w:szCs w:val="24"/>
        </w:rPr>
        <w:t>gives Multilevel Negative Binomial model that is; Incidence Rate Ratios (IRR) with 95 percent confidence interval. Markers with red color denote significant predictors (p value less than 0.05). Reference categories: Traditional storage, less than 2 weeks storage, less than 5 km market distance, no education, Motorcycle transport.</w:t>
      </w:r>
    </w:p>
    <w:p w14:paraId="125768DF" w14:textId="48626010" w:rsidR="002D26E1" w:rsidRPr="0095607E" w:rsidRDefault="002D26E1" w:rsidP="003B0C52">
      <w:pPr>
        <w:pStyle w:val="Caption"/>
        <w:rPr>
          <w:rFonts w:ascii="Times New Roman" w:hAnsi="Times New Roman" w:cs="Times New Roman"/>
          <w:b/>
          <w:bCs/>
          <w:color w:val="auto"/>
          <w:sz w:val="24"/>
          <w:szCs w:val="24"/>
        </w:rPr>
      </w:pPr>
      <w:bookmarkStart w:id="17" w:name="_Ref225192028"/>
      <w:bookmarkStart w:id="18" w:name="_Toc225196609"/>
      <w:r w:rsidRPr="0095607E">
        <w:rPr>
          <w:rFonts w:ascii="Times New Roman" w:hAnsi="Times New Roman" w:cs="Times New Roman"/>
          <w:b/>
          <w:bCs/>
          <w:color w:val="auto"/>
          <w:sz w:val="24"/>
          <w:szCs w:val="24"/>
        </w:rPr>
        <w:t xml:space="preserve">Table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Table \* ARABIC </w:instrText>
      </w:r>
      <w:r w:rsidRPr="0095607E">
        <w:rPr>
          <w:rFonts w:ascii="Times New Roman" w:hAnsi="Times New Roman" w:cs="Times New Roman"/>
          <w:b/>
          <w:bCs/>
          <w:color w:val="auto"/>
          <w:sz w:val="24"/>
          <w:szCs w:val="24"/>
        </w:rPr>
        <w:fldChar w:fldCharType="separate"/>
      </w:r>
      <w:r w:rsidR="008A59B2" w:rsidRPr="0095607E">
        <w:rPr>
          <w:rFonts w:ascii="Times New Roman" w:hAnsi="Times New Roman" w:cs="Times New Roman"/>
          <w:b/>
          <w:bCs/>
          <w:noProof/>
          <w:color w:val="auto"/>
          <w:sz w:val="24"/>
          <w:szCs w:val="24"/>
        </w:rPr>
        <w:t>3</w:t>
      </w:r>
      <w:r w:rsidRPr="0095607E">
        <w:rPr>
          <w:rFonts w:ascii="Times New Roman" w:hAnsi="Times New Roman" w:cs="Times New Roman"/>
          <w:b/>
          <w:bCs/>
          <w:color w:val="auto"/>
          <w:sz w:val="24"/>
          <w:szCs w:val="24"/>
        </w:rPr>
        <w:fldChar w:fldCharType="end"/>
      </w:r>
      <w:bookmarkEnd w:id="17"/>
      <w:r w:rsidRPr="0095607E">
        <w:rPr>
          <w:rFonts w:ascii="Times New Roman" w:hAnsi="Times New Roman" w:cs="Times New Roman"/>
          <w:b/>
          <w:bCs/>
          <w:color w:val="auto"/>
          <w:sz w:val="24"/>
          <w:szCs w:val="24"/>
        </w:rPr>
        <w:t>:Poisson Fixed Random Effects</w:t>
      </w:r>
      <w:bookmarkEnd w:id="18"/>
    </w:p>
    <w:tbl>
      <w:tblPr>
        <w:tblStyle w:val="TableGrid"/>
        <w:tblW w:w="0" w:type="auto"/>
        <w:jc w:val="center"/>
        <w:tblLook w:val="04A0" w:firstRow="1" w:lastRow="0" w:firstColumn="1" w:lastColumn="0" w:noHBand="0" w:noVBand="1"/>
      </w:tblPr>
      <w:tblGrid>
        <w:gridCol w:w="2772"/>
        <w:gridCol w:w="900"/>
        <w:gridCol w:w="900"/>
        <w:gridCol w:w="900"/>
        <w:gridCol w:w="1013"/>
        <w:gridCol w:w="711"/>
        <w:gridCol w:w="1081"/>
      </w:tblGrid>
      <w:tr w:rsidR="002D26E1" w:rsidRPr="0095607E" w14:paraId="779DF282"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3E5EF446"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Variable</w:t>
            </w:r>
          </w:p>
        </w:tc>
        <w:tc>
          <w:tcPr>
            <w:tcW w:w="900" w:type="dxa"/>
            <w:tcBorders>
              <w:top w:val="single" w:sz="4" w:space="0" w:color="AAAAAA"/>
              <w:left w:val="nil"/>
              <w:bottom w:val="single" w:sz="4" w:space="0" w:color="AAAAAA"/>
              <w:right w:val="single" w:sz="4" w:space="0" w:color="AAAAAA"/>
            </w:tcBorders>
            <w:vAlign w:val="center"/>
            <w:hideMark/>
          </w:tcPr>
          <w:p w14:paraId="5BCE0349"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β</w:t>
            </w:r>
          </w:p>
        </w:tc>
        <w:tc>
          <w:tcPr>
            <w:tcW w:w="900" w:type="dxa"/>
            <w:tcBorders>
              <w:top w:val="single" w:sz="4" w:space="0" w:color="AAAAAA"/>
              <w:left w:val="nil"/>
              <w:bottom w:val="single" w:sz="4" w:space="0" w:color="AAAAAA"/>
              <w:right w:val="single" w:sz="4" w:space="0" w:color="AAAAAA"/>
            </w:tcBorders>
            <w:vAlign w:val="center"/>
            <w:hideMark/>
          </w:tcPr>
          <w:p w14:paraId="0960E9E7"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SE</w:t>
            </w:r>
          </w:p>
        </w:tc>
        <w:tc>
          <w:tcPr>
            <w:tcW w:w="900" w:type="dxa"/>
            <w:tcBorders>
              <w:top w:val="single" w:sz="4" w:space="0" w:color="AAAAAA"/>
              <w:left w:val="nil"/>
              <w:bottom w:val="single" w:sz="4" w:space="0" w:color="AAAAAA"/>
              <w:right w:val="single" w:sz="4" w:space="0" w:color="AAAAAA"/>
            </w:tcBorders>
            <w:vAlign w:val="center"/>
            <w:hideMark/>
          </w:tcPr>
          <w:p w14:paraId="65FA0959"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z</w:t>
            </w:r>
          </w:p>
        </w:tc>
        <w:tc>
          <w:tcPr>
            <w:tcW w:w="1013" w:type="dxa"/>
            <w:tcBorders>
              <w:top w:val="single" w:sz="4" w:space="0" w:color="AAAAAA"/>
              <w:left w:val="nil"/>
              <w:bottom w:val="single" w:sz="4" w:space="0" w:color="AAAAAA"/>
              <w:right w:val="single" w:sz="4" w:space="0" w:color="AAAAAA"/>
            </w:tcBorders>
            <w:vAlign w:val="center"/>
            <w:hideMark/>
          </w:tcPr>
          <w:p w14:paraId="444591A5"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p-value</w:t>
            </w:r>
          </w:p>
        </w:tc>
        <w:tc>
          <w:tcPr>
            <w:tcW w:w="711" w:type="dxa"/>
            <w:tcBorders>
              <w:top w:val="single" w:sz="4" w:space="0" w:color="AAAAAA"/>
              <w:left w:val="nil"/>
              <w:bottom w:val="single" w:sz="4" w:space="0" w:color="AAAAAA"/>
              <w:right w:val="single" w:sz="4" w:space="0" w:color="AAAAAA"/>
            </w:tcBorders>
            <w:vAlign w:val="center"/>
            <w:hideMark/>
          </w:tcPr>
          <w:p w14:paraId="3BF13983"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Sig.</w:t>
            </w:r>
          </w:p>
        </w:tc>
        <w:tc>
          <w:tcPr>
            <w:tcW w:w="1081" w:type="dxa"/>
            <w:tcBorders>
              <w:top w:val="single" w:sz="4" w:space="0" w:color="AAAAAA"/>
              <w:left w:val="nil"/>
              <w:bottom w:val="single" w:sz="4" w:space="0" w:color="AAAAAA"/>
              <w:right w:val="single" w:sz="4" w:space="0" w:color="AAAAAA"/>
            </w:tcBorders>
            <w:vAlign w:val="center"/>
            <w:hideMark/>
          </w:tcPr>
          <w:p w14:paraId="303836E0"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IRR</w:t>
            </w:r>
          </w:p>
        </w:tc>
      </w:tr>
      <w:tr w:rsidR="002D26E1" w:rsidRPr="0095607E" w14:paraId="789572E1"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016D5BD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(Intercept)</w:t>
            </w:r>
          </w:p>
        </w:tc>
        <w:tc>
          <w:tcPr>
            <w:tcW w:w="900" w:type="dxa"/>
            <w:tcBorders>
              <w:top w:val="single" w:sz="4" w:space="0" w:color="AAAAAA"/>
              <w:left w:val="nil"/>
              <w:bottom w:val="single" w:sz="4" w:space="0" w:color="AAAAAA"/>
              <w:right w:val="single" w:sz="4" w:space="0" w:color="AAAAAA"/>
            </w:tcBorders>
            <w:vAlign w:val="center"/>
            <w:hideMark/>
          </w:tcPr>
          <w:p w14:paraId="5B690F4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3.344</w:t>
            </w:r>
          </w:p>
        </w:tc>
        <w:tc>
          <w:tcPr>
            <w:tcW w:w="900" w:type="dxa"/>
            <w:tcBorders>
              <w:top w:val="single" w:sz="4" w:space="0" w:color="AAAAAA"/>
              <w:left w:val="nil"/>
              <w:bottom w:val="single" w:sz="4" w:space="0" w:color="AAAAAA"/>
              <w:right w:val="single" w:sz="4" w:space="0" w:color="AAAAAA"/>
            </w:tcBorders>
            <w:vAlign w:val="center"/>
            <w:hideMark/>
          </w:tcPr>
          <w:p w14:paraId="687B541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0.058</w:t>
            </w:r>
          </w:p>
        </w:tc>
        <w:tc>
          <w:tcPr>
            <w:tcW w:w="900" w:type="dxa"/>
            <w:tcBorders>
              <w:top w:val="single" w:sz="4" w:space="0" w:color="AAAAAA"/>
              <w:left w:val="nil"/>
              <w:bottom w:val="single" w:sz="4" w:space="0" w:color="AAAAAA"/>
              <w:right w:val="single" w:sz="4" w:space="0" w:color="AAAAAA"/>
            </w:tcBorders>
            <w:vAlign w:val="center"/>
            <w:hideMark/>
          </w:tcPr>
          <w:p w14:paraId="5E5682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57.38</w:t>
            </w:r>
          </w:p>
        </w:tc>
        <w:tc>
          <w:tcPr>
            <w:tcW w:w="1013" w:type="dxa"/>
            <w:tcBorders>
              <w:top w:val="single" w:sz="4" w:space="0" w:color="AAAAAA"/>
              <w:left w:val="nil"/>
              <w:bottom w:val="single" w:sz="4" w:space="0" w:color="AAAAAA"/>
              <w:right w:val="single" w:sz="4" w:space="0" w:color="AAAAAA"/>
            </w:tcBorders>
            <w:vAlign w:val="center"/>
            <w:hideMark/>
          </w:tcPr>
          <w:p w14:paraId="37CBCCB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11" w:type="dxa"/>
            <w:tcBorders>
              <w:top w:val="single" w:sz="4" w:space="0" w:color="AAAAAA"/>
              <w:left w:val="nil"/>
              <w:bottom w:val="single" w:sz="4" w:space="0" w:color="AAAAAA"/>
              <w:right w:val="single" w:sz="4" w:space="0" w:color="AAAAAA"/>
            </w:tcBorders>
            <w:vAlign w:val="center"/>
            <w:hideMark/>
          </w:tcPr>
          <w:p w14:paraId="2078507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42B36E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28.31</w:t>
            </w:r>
          </w:p>
        </w:tc>
      </w:tr>
      <w:tr w:rsidR="002D26E1" w:rsidRPr="0095607E" w14:paraId="32696F2D" w14:textId="77777777" w:rsidTr="00F10821">
        <w:trPr>
          <w:trHeight w:val="61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1865221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Dark room</w:t>
            </w:r>
          </w:p>
        </w:tc>
        <w:tc>
          <w:tcPr>
            <w:tcW w:w="900" w:type="dxa"/>
            <w:tcBorders>
              <w:top w:val="single" w:sz="4" w:space="0" w:color="AAAAAA"/>
              <w:left w:val="nil"/>
              <w:bottom w:val="single" w:sz="4" w:space="0" w:color="AAAAAA"/>
              <w:right w:val="single" w:sz="4" w:space="0" w:color="AAAAAA"/>
            </w:tcBorders>
            <w:vAlign w:val="center"/>
            <w:hideMark/>
          </w:tcPr>
          <w:p w14:paraId="7AD9AC0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-0.218</w:t>
            </w:r>
          </w:p>
        </w:tc>
        <w:tc>
          <w:tcPr>
            <w:tcW w:w="900" w:type="dxa"/>
            <w:tcBorders>
              <w:top w:val="single" w:sz="4" w:space="0" w:color="AAAAAA"/>
              <w:left w:val="nil"/>
              <w:bottom w:val="single" w:sz="4" w:space="0" w:color="AAAAAA"/>
              <w:right w:val="single" w:sz="4" w:space="0" w:color="AAAAAA"/>
            </w:tcBorders>
            <w:vAlign w:val="center"/>
            <w:hideMark/>
          </w:tcPr>
          <w:p w14:paraId="0BA9D3C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00" w:type="dxa"/>
            <w:tcBorders>
              <w:top w:val="single" w:sz="4" w:space="0" w:color="AAAAAA"/>
              <w:left w:val="nil"/>
              <w:bottom w:val="single" w:sz="4" w:space="0" w:color="AAAAAA"/>
              <w:right w:val="single" w:sz="4" w:space="0" w:color="AAAAAA"/>
            </w:tcBorders>
            <w:vAlign w:val="center"/>
            <w:hideMark/>
          </w:tcPr>
          <w:p w14:paraId="0D2D379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-10.72</w:t>
            </w:r>
          </w:p>
        </w:tc>
        <w:tc>
          <w:tcPr>
            <w:tcW w:w="1013" w:type="dxa"/>
            <w:tcBorders>
              <w:top w:val="single" w:sz="4" w:space="0" w:color="AAAAAA"/>
              <w:left w:val="nil"/>
              <w:bottom w:val="single" w:sz="4" w:space="0" w:color="AAAAAA"/>
              <w:right w:val="single" w:sz="4" w:space="0" w:color="AAAAAA"/>
            </w:tcBorders>
            <w:vAlign w:val="center"/>
            <w:hideMark/>
          </w:tcPr>
          <w:p w14:paraId="1ABAFA6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11" w:type="dxa"/>
            <w:tcBorders>
              <w:top w:val="single" w:sz="4" w:space="0" w:color="AAAAAA"/>
              <w:left w:val="nil"/>
              <w:bottom w:val="single" w:sz="4" w:space="0" w:color="AAAAAA"/>
              <w:right w:val="single" w:sz="4" w:space="0" w:color="AAAAAA"/>
            </w:tcBorders>
            <w:vAlign w:val="center"/>
            <w:hideMark/>
          </w:tcPr>
          <w:p w14:paraId="1224BA4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260BEBF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0.804</w:t>
            </w:r>
          </w:p>
        </w:tc>
      </w:tr>
      <w:tr w:rsidR="002D26E1" w:rsidRPr="0095607E" w14:paraId="3E5F38F6"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11DAED8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Cold storage</w:t>
            </w:r>
          </w:p>
        </w:tc>
        <w:tc>
          <w:tcPr>
            <w:tcW w:w="900" w:type="dxa"/>
            <w:tcBorders>
              <w:top w:val="single" w:sz="4" w:space="0" w:color="AAAAAA"/>
              <w:left w:val="nil"/>
              <w:bottom w:val="single" w:sz="4" w:space="0" w:color="AAAAAA"/>
              <w:right w:val="single" w:sz="4" w:space="0" w:color="AAAAAA"/>
            </w:tcBorders>
            <w:vAlign w:val="center"/>
            <w:hideMark/>
          </w:tcPr>
          <w:p w14:paraId="16D67E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-0.429</w:t>
            </w:r>
          </w:p>
        </w:tc>
        <w:tc>
          <w:tcPr>
            <w:tcW w:w="900" w:type="dxa"/>
            <w:tcBorders>
              <w:top w:val="single" w:sz="4" w:space="0" w:color="AAAAAA"/>
              <w:left w:val="nil"/>
              <w:bottom w:val="single" w:sz="4" w:space="0" w:color="AAAAAA"/>
              <w:right w:val="single" w:sz="4" w:space="0" w:color="AAAAAA"/>
            </w:tcBorders>
            <w:vAlign w:val="center"/>
            <w:hideMark/>
          </w:tcPr>
          <w:p w14:paraId="3DB0782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0.030</w:t>
            </w:r>
          </w:p>
        </w:tc>
        <w:tc>
          <w:tcPr>
            <w:tcW w:w="900" w:type="dxa"/>
            <w:tcBorders>
              <w:top w:val="single" w:sz="4" w:space="0" w:color="AAAAAA"/>
              <w:left w:val="nil"/>
              <w:bottom w:val="single" w:sz="4" w:space="0" w:color="AAAAAA"/>
              <w:right w:val="single" w:sz="4" w:space="0" w:color="AAAAAA"/>
            </w:tcBorders>
            <w:vAlign w:val="center"/>
            <w:hideMark/>
          </w:tcPr>
          <w:p w14:paraId="35FF09D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-14.12</w:t>
            </w:r>
          </w:p>
        </w:tc>
        <w:tc>
          <w:tcPr>
            <w:tcW w:w="1013" w:type="dxa"/>
            <w:tcBorders>
              <w:top w:val="single" w:sz="4" w:space="0" w:color="AAAAAA"/>
              <w:left w:val="nil"/>
              <w:bottom w:val="single" w:sz="4" w:space="0" w:color="AAAAAA"/>
              <w:right w:val="single" w:sz="4" w:space="0" w:color="AAAAAA"/>
            </w:tcBorders>
            <w:vAlign w:val="center"/>
            <w:hideMark/>
          </w:tcPr>
          <w:p w14:paraId="1428B55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11" w:type="dxa"/>
            <w:tcBorders>
              <w:top w:val="single" w:sz="4" w:space="0" w:color="AAAAAA"/>
              <w:left w:val="nil"/>
              <w:bottom w:val="single" w:sz="4" w:space="0" w:color="AAAAAA"/>
              <w:right w:val="single" w:sz="4" w:space="0" w:color="AAAAAA"/>
            </w:tcBorders>
            <w:vAlign w:val="center"/>
            <w:hideMark/>
          </w:tcPr>
          <w:p w14:paraId="78C10A8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20BE44B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0.651</w:t>
            </w:r>
          </w:p>
        </w:tc>
      </w:tr>
      <w:tr w:rsidR="002D26E1" w:rsidRPr="0095607E" w14:paraId="4EDBD0FB" w14:textId="77777777" w:rsidTr="00F10821">
        <w:trPr>
          <w:trHeight w:val="31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6619015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2–3 weeks</w:t>
            </w:r>
          </w:p>
        </w:tc>
        <w:tc>
          <w:tcPr>
            <w:tcW w:w="900" w:type="dxa"/>
            <w:tcBorders>
              <w:top w:val="single" w:sz="4" w:space="0" w:color="AAAAAA"/>
              <w:left w:val="nil"/>
              <w:bottom w:val="single" w:sz="4" w:space="0" w:color="AAAAAA"/>
              <w:right w:val="single" w:sz="4" w:space="0" w:color="AAAAAA"/>
            </w:tcBorders>
            <w:vAlign w:val="center"/>
            <w:hideMark/>
          </w:tcPr>
          <w:p w14:paraId="68556D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0.052</w:t>
            </w:r>
          </w:p>
        </w:tc>
        <w:tc>
          <w:tcPr>
            <w:tcW w:w="900" w:type="dxa"/>
            <w:tcBorders>
              <w:top w:val="single" w:sz="4" w:space="0" w:color="AAAAAA"/>
              <w:left w:val="nil"/>
              <w:bottom w:val="single" w:sz="4" w:space="0" w:color="AAAAAA"/>
              <w:right w:val="single" w:sz="4" w:space="0" w:color="AAAAAA"/>
            </w:tcBorders>
            <w:vAlign w:val="center"/>
            <w:hideMark/>
          </w:tcPr>
          <w:p w14:paraId="306418B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0.018</w:t>
            </w:r>
          </w:p>
        </w:tc>
        <w:tc>
          <w:tcPr>
            <w:tcW w:w="900" w:type="dxa"/>
            <w:tcBorders>
              <w:top w:val="single" w:sz="4" w:space="0" w:color="AAAAAA"/>
              <w:left w:val="nil"/>
              <w:bottom w:val="single" w:sz="4" w:space="0" w:color="AAAAAA"/>
              <w:right w:val="single" w:sz="4" w:space="0" w:color="AAAAAA"/>
            </w:tcBorders>
            <w:vAlign w:val="center"/>
            <w:hideMark/>
          </w:tcPr>
          <w:p w14:paraId="0B14FA2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2.90</w:t>
            </w:r>
          </w:p>
        </w:tc>
        <w:tc>
          <w:tcPr>
            <w:tcW w:w="1013" w:type="dxa"/>
            <w:tcBorders>
              <w:top w:val="single" w:sz="4" w:space="0" w:color="AAAAAA"/>
              <w:left w:val="nil"/>
              <w:bottom w:val="single" w:sz="4" w:space="0" w:color="AAAAAA"/>
              <w:right w:val="single" w:sz="4" w:space="0" w:color="AAAAAA"/>
            </w:tcBorders>
            <w:vAlign w:val="center"/>
            <w:hideMark/>
          </w:tcPr>
          <w:p w14:paraId="3ECC68B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0.004</w:t>
            </w:r>
          </w:p>
        </w:tc>
        <w:tc>
          <w:tcPr>
            <w:tcW w:w="711" w:type="dxa"/>
            <w:tcBorders>
              <w:top w:val="single" w:sz="4" w:space="0" w:color="AAAAAA"/>
              <w:left w:val="nil"/>
              <w:bottom w:val="single" w:sz="4" w:space="0" w:color="AAAAAA"/>
              <w:right w:val="single" w:sz="4" w:space="0" w:color="AAAAAA"/>
            </w:tcBorders>
            <w:vAlign w:val="center"/>
            <w:hideMark/>
          </w:tcPr>
          <w:p w14:paraId="42D99B6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312AB7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1.053</w:t>
            </w:r>
          </w:p>
        </w:tc>
      </w:tr>
      <w:tr w:rsidR="002D26E1" w:rsidRPr="0095607E" w14:paraId="7CABA90B" w14:textId="77777777" w:rsidTr="00F10821">
        <w:trPr>
          <w:trHeight w:val="61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61ECFC2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3–4 weeks</w:t>
            </w:r>
          </w:p>
        </w:tc>
        <w:tc>
          <w:tcPr>
            <w:tcW w:w="900" w:type="dxa"/>
            <w:tcBorders>
              <w:top w:val="single" w:sz="4" w:space="0" w:color="AAAAAA"/>
              <w:left w:val="nil"/>
              <w:bottom w:val="single" w:sz="4" w:space="0" w:color="AAAAAA"/>
              <w:right w:val="single" w:sz="4" w:space="0" w:color="AAAAAA"/>
            </w:tcBorders>
            <w:vAlign w:val="center"/>
            <w:hideMark/>
          </w:tcPr>
          <w:p w14:paraId="5B92759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0.130</w:t>
            </w:r>
          </w:p>
        </w:tc>
        <w:tc>
          <w:tcPr>
            <w:tcW w:w="900" w:type="dxa"/>
            <w:tcBorders>
              <w:top w:val="single" w:sz="4" w:space="0" w:color="AAAAAA"/>
              <w:left w:val="nil"/>
              <w:bottom w:val="single" w:sz="4" w:space="0" w:color="AAAAAA"/>
              <w:right w:val="single" w:sz="4" w:space="0" w:color="AAAAAA"/>
            </w:tcBorders>
            <w:vAlign w:val="center"/>
            <w:hideMark/>
          </w:tcPr>
          <w:p w14:paraId="1CB6847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0.024</w:t>
            </w:r>
          </w:p>
        </w:tc>
        <w:tc>
          <w:tcPr>
            <w:tcW w:w="900" w:type="dxa"/>
            <w:tcBorders>
              <w:top w:val="single" w:sz="4" w:space="0" w:color="AAAAAA"/>
              <w:left w:val="nil"/>
              <w:bottom w:val="single" w:sz="4" w:space="0" w:color="AAAAAA"/>
              <w:right w:val="single" w:sz="4" w:space="0" w:color="AAAAAA"/>
            </w:tcBorders>
            <w:vAlign w:val="center"/>
            <w:hideMark/>
          </w:tcPr>
          <w:p w14:paraId="2103A15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5.36</w:t>
            </w:r>
          </w:p>
        </w:tc>
        <w:tc>
          <w:tcPr>
            <w:tcW w:w="1013" w:type="dxa"/>
            <w:tcBorders>
              <w:top w:val="single" w:sz="4" w:space="0" w:color="AAAAAA"/>
              <w:left w:val="nil"/>
              <w:bottom w:val="single" w:sz="4" w:space="0" w:color="AAAAAA"/>
              <w:right w:val="single" w:sz="4" w:space="0" w:color="AAAAAA"/>
            </w:tcBorders>
            <w:vAlign w:val="center"/>
            <w:hideMark/>
          </w:tcPr>
          <w:p w14:paraId="2350781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11" w:type="dxa"/>
            <w:tcBorders>
              <w:top w:val="single" w:sz="4" w:space="0" w:color="AAAAAA"/>
              <w:left w:val="nil"/>
              <w:bottom w:val="single" w:sz="4" w:space="0" w:color="AAAAAA"/>
              <w:right w:val="single" w:sz="4" w:space="0" w:color="AAAAAA"/>
            </w:tcBorders>
            <w:vAlign w:val="center"/>
            <w:hideMark/>
          </w:tcPr>
          <w:p w14:paraId="611BF82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090AC17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1.139</w:t>
            </w:r>
          </w:p>
        </w:tc>
      </w:tr>
      <w:tr w:rsidR="002D26E1" w:rsidRPr="0095607E" w14:paraId="17E3554A"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6081168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&gt; 1 month</w:t>
            </w:r>
          </w:p>
        </w:tc>
        <w:tc>
          <w:tcPr>
            <w:tcW w:w="900" w:type="dxa"/>
            <w:tcBorders>
              <w:top w:val="single" w:sz="4" w:space="0" w:color="AAAAAA"/>
              <w:left w:val="nil"/>
              <w:bottom w:val="single" w:sz="4" w:space="0" w:color="AAAAAA"/>
              <w:right w:val="single" w:sz="4" w:space="0" w:color="AAAAAA"/>
            </w:tcBorders>
            <w:vAlign w:val="center"/>
            <w:hideMark/>
          </w:tcPr>
          <w:p w14:paraId="534981D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0.161</w:t>
            </w:r>
          </w:p>
        </w:tc>
        <w:tc>
          <w:tcPr>
            <w:tcW w:w="900" w:type="dxa"/>
            <w:tcBorders>
              <w:top w:val="single" w:sz="4" w:space="0" w:color="AAAAAA"/>
              <w:left w:val="nil"/>
              <w:bottom w:val="single" w:sz="4" w:space="0" w:color="AAAAAA"/>
              <w:right w:val="single" w:sz="4" w:space="0" w:color="AAAAAA"/>
            </w:tcBorders>
            <w:vAlign w:val="center"/>
            <w:hideMark/>
          </w:tcPr>
          <w:p w14:paraId="460634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0.029</w:t>
            </w:r>
          </w:p>
        </w:tc>
        <w:tc>
          <w:tcPr>
            <w:tcW w:w="900" w:type="dxa"/>
            <w:tcBorders>
              <w:top w:val="single" w:sz="4" w:space="0" w:color="AAAAAA"/>
              <w:left w:val="nil"/>
              <w:bottom w:val="single" w:sz="4" w:space="0" w:color="AAAAAA"/>
              <w:right w:val="single" w:sz="4" w:space="0" w:color="AAAAAA"/>
            </w:tcBorders>
            <w:vAlign w:val="center"/>
            <w:hideMark/>
          </w:tcPr>
          <w:p w14:paraId="770B6D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5.51</w:t>
            </w:r>
          </w:p>
        </w:tc>
        <w:tc>
          <w:tcPr>
            <w:tcW w:w="1013" w:type="dxa"/>
            <w:tcBorders>
              <w:top w:val="single" w:sz="4" w:space="0" w:color="AAAAAA"/>
              <w:left w:val="nil"/>
              <w:bottom w:val="single" w:sz="4" w:space="0" w:color="AAAAAA"/>
              <w:right w:val="single" w:sz="4" w:space="0" w:color="AAAAAA"/>
            </w:tcBorders>
            <w:vAlign w:val="center"/>
            <w:hideMark/>
          </w:tcPr>
          <w:p w14:paraId="0C87A17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11" w:type="dxa"/>
            <w:tcBorders>
              <w:top w:val="single" w:sz="4" w:space="0" w:color="AAAAAA"/>
              <w:left w:val="nil"/>
              <w:bottom w:val="single" w:sz="4" w:space="0" w:color="AAAAAA"/>
              <w:right w:val="single" w:sz="4" w:space="0" w:color="AAAAAA"/>
            </w:tcBorders>
            <w:vAlign w:val="center"/>
            <w:hideMark/>
          </w:tcPr>
          <w:p w14:paraId="4A49ECD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110F6D5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1.174</w:t>
            </w:r>
          </w:p>
        </w:tc>
      </w:tr>
      <w:tr w:rsidR="002D26E1" w:rsidRPr="0095607E" w14:paraId="18D901FB"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074BBCD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Chemical use (Yes)</w:t>
            </w:r>
          </w:p>
        </w:tc>
        <w:tc>
          <w:tcPr>
            <w:tcW w:w="900" w:type="dxa"/>
            <w:tcBorders>
              <w:top w:val="single" w:sz="4" w:space="0" w:color="AAAAAA"/>
              <w:left w:val="nil"/>
              <w:bottom w:val="single" w:sz="4" w:space="0" w:color="AAAAAA"/>
              <w:right w:val="single" w:sz="4" w:space="0" w:color="AAAAAA"/>
            </w:tcBorders>
            <w:vAlign w:val="center"/>
            <w:hideMark/>
          </w:tcPr>
          <w:p w14:paraId="7F977BF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-0.060</w:t>
            </w:r>
          </w:p>
        </w:tc>
        <w:tc>
          <w:tcPr>
            <w:tcW w:w="900" w:type="dxa"/>
            <w:tcBorders>
              <w:top w:val="single" w:sz="4" w:space="0" w:color="AAAAAA"/>
              <w:left w:val="nil"/>
              <w:bottom w:val="single" w:sz="4" w:space="0" w:color="AAAAAA"/>
              <w:right w:val="single" w:sz="4" w:space="0" w:color="AAAAAA"/>
            </w:tcBorders>
            <w:vAlign w:val="center"/>
            <w:hideMark/>
          </w:tcPr>
          <w:p w14:paraId="717B64A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0.019</w:t>
            </w:r>
          </w:p>
        </w:tc>
        <w:tc>
          <w:tcPr>
            <w:tcW w:w="900" w:type="dxa"/>
            <w:tcBorders>
              <w:top w:val="single" w:sz="4" w:space="0" w:color="AAAAAA"/>
              <w:left w:val="nil"/>
              <w:bottom w:val="single" w:sz="4" w:space="0" w:color="AAAAAA"/>
              <w:right w:val="single" w:sz="4" w:space="0" w:color="AAAAAA"/>
            </w:tcBorders>
            <w:vAlign w:val="center"/>
            <w:hideMark/>
          </w:tcPr>
          <w:p w14:paraId="25D073C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-3.11</w:t>
            </w:r>
          </w:p>
        </w:tc>
        <w:tc>
          <w:tcPr>
            <w:tcW w:w="1013" w:type="dxa"/>
            <w:tcBorders>
              <w:top w:val="single" w:sz="4" w:space="0" w:color="AAAAAA"/>
              <w:left w:val="nil"/>
              <w:bottom w:val="single" w:sz="4" w:space="0" w:color="AAAAAA"/>
              <w:right w:val="single" w:sz="4" w:space="0" w:color="AAAAAA"/>
            </w:tcBorders>
            <w:vAlign w:val="center"/>
            <w:hideMark/>
          </w:tcPr>
          <w:p w14:paraId="48F6FD9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0.002</w:t>
            </w:r>
          </w:p>
        </w:tc>
        <w:tc>
          <w:tcPr>
            <w:tcW w:w="711" w:type="dxa"/>
            <w:tcBorders>
              <w:top w:val="single" w:sz="4" w:space="0" w:color="AAAAAA"/>
              <w:left w:val="nil"/>
              <w:bottom w:val="single" w:sz="4" w:space="0" w:color="AAAAAA"/>
              <w:right w:val="single" w:sz="4" w:space="0" w:color="AAAAAA"/>
            </w:tcBorders>
            <w:vAlign w:val="center"/>
            <w:hideMark/>
          </w:tcPr>
          <w:p w14:paraId="466BC20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2EFF728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0.942</w:t>
            </w:r>
          </w:p>
        </w:tc>
      </w:tr>
      <w:tr w:rsidR="002D26E1" w:rsidRPr="0095607E" w14:paraId="71750725"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582DAD5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Extension training (Yes)</w:t>
            </w:r>
          </w:p>
        </w:tc>
        <w:tc>
          <w:tcPr>
            <w:tcW w:w="900" w:type="dxa"/>
            <w:tcBorders>
              <w:top w:val="single" w:sz="4" w:space="0" w:color="AAAAAA"/>
              <w:left w:val="nil"/>
              <w:bottom w:val="single" w:sz="4" w:space="0" w:color="AAAAAA"/>
              <w:right w:val="single" w:sz="4" w:space="0" w:color="AAAAAA"/>
            </w:tcBorders>
            <w:vAlign w:val="center"/>
            <w:hideMark/>
          </w:tcPr>
          <w:p w14:paraId="6B607E9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-0.033</w:t>
            </w:r>
          </w:p>
        </w:tc>
        <w:tc>
          <w:tcPr>
            <w:tcW w:w="900" w:type="dxa"/>
            <w:tcBorders>
              <w:top w:val="single" w:sz="4" w:space="0" w:color="AAAAAA"/>
              <w:left w:val="nil"/>
              <w:bottom w:val="single" w:sz="4" w:space="0" w:color="AAAAAA"/>
              <w:right w:val="single" w:sz="4" w:space="0" w:color="AAAAAA"/>
            </w:tcBorders>
            <w:vAlign w:val="center"/>
            <w:hideMark/>
          </w:tcPr>
          <w:p w14:paraId="6FE5040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00" w:type="dxa"/>
            <w:tcBorders>
              <w:top w:val="single" w:sz="4" w:space="0" w:color="AAAAAA"/>
              <w:left w:val="nil"/>
              <w:bottom w:val="single" w:sz="4" w:space="0" w:color="AAAAAA"/>
              <w:right w:val="single" w:sz="4" w:space="0" w:color="AAAAAA"/>
            </w:tcBorders>
            <w:vAlign w:val="center"/>
            <w:hideMark/>
          </w:tcPr>
          <w:p w14:paraId="3FD7672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-2.16</w:t>
            </w:r>
          </w:p>
        </w:tc>
        <w:tc>
          <w:tcPr>
            <w:tcW w:w="1013" w:type="dxa"/>
            <w:tcBorders>
              <w:top w:val="single" w:sz="4" w:space="0" w:color="AAAAAA"/>
              <w:left w:val="nil"/>
              <w:bottom w:val="single" w:sz="4" w:space="0" w:color="AAAAAA"/>
              <w:right w:val="single" w:sz="4" w:space="0" w:color="AAAAAA"/>
            </w:tcBorders>
            <w:vAlign w:val="center"/>
            <w:hideMark/>
          </w:tcPr>
          <w:p w14:paraId="459D97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0.031</w:t>
            </w:r>
          </w:p>
        </w:tc>
        <w:tc>
          <w:tcPr>
            <w:tcW w:w="711" w:type="dxa"/>
            <w:tcBorders>
              <w:top w:val="single" w:sz="4" w:space="0" w:color="AAAAAA"/>
              <w:left w:val="nil"/>
              <w:bottom w:val="single" w:sz="4" w:space="0" w:color="AAAAAA"/>
              <w:right w:val="single" w:sz="4" w:space="0" w:color="AAAAAA"/>
            </w:tcBorders>
            <w:vAlign w:val="center"/>
            <w:hideMark/>
          </w:tcPr>
          <w:p w14:paraId="49BC149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4F6F073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0.967</w:t>
            </w:r>
          </w:p>
        </w:tc>
      </w:tr>
      <w:tr w:rsidR="002D26E1" w:rsidRPr="0095607E" w14:paraId="270F5E25"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31A016C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6–10 km</w:t>
            </w:r>
          </w:p>
        </w:tc>
        <w:tc>
          <w:tcPr>
            <w:tcW w:w="900" w:type="dxa"/>
            <w:tcBorders>
              <w:top w:val="single" w:sz="4" w:space="0" w:color="AAAAAA"/>
              <w:left w:val="nil"/>
              <w:bottom w:val="single" w:sz="4" w:space="0" w:color="AAAAAA"/>
              <w:right w:val="single" w:sz="4" w:space="0" w:color="AAAAAA"/>
            </w:tcBorders>
            <w:vAlign w:val="center"/>
            <w:hideMark/>
          </w:tcPr>
          <w:p w14:paraId="6597496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0.065</w:t>
            </w:r>
          </w:p>
        </w:tc>
        <w:tc>
          <w:tcPr>
            <w:tcW w:w="900" w:type="dxa"/>
            <w:tcBorders>
              <w:top w:val="single" w:sz="4" w:space="0" w:color="AAAAAA"/>
              <w:left w:val="nil"/>
              <w:bottom w:val="single" w:sz="4" w:space="0" w:color="AAAAAA"/>
              <w:right w:val="single" w:sz="4" w:space="0" w:color="AAAAAA"/>
            </w:tcBorders>
            <w:vAlign w:val="center"/>
            <w:hideMark/>
          </w:tcPr>
          <w:p w14:paraId="77E8D91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00" w:type="dxa"/>
            <w:tcBorders>
              <w:top w:val="single" w:sz="4" w:space="0" w:color="AAAAAA"/>
              <w:left w:val="nil"/>
              <w:bottom w:val="single" w:sz="4" w:space="0" w:color="AAAAAA"/>
              <w:right w:val="single" w:sz="4" w:space="0" w:color="AAAAAA"/>
            </w:tcBorders>
            <w:vAlign w:val="center"/>
            <w:hideMark/>
          </w:tcPr>
          <w:p w14:paraId="3ADC9F1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3.30</w:t>
            </w:r>
          </w:p>
        </w:tc>
        <w:tc>
          <w:tcPr>
            <w:tcW w:w="1013" w:type="dxa"/>
            <w:tcBorders>
              <w:top w:val="single" w:sz="4" w:space="0" w:color="AAAAAA"/>
              <w:left w:val="nil"/>
              <w:bottom w:val="single" w:sz="4" w:space="0" w:color="AAAAAA"/>
              <w:right w:val="single" w:sz="4" w:space="0" w:color="AAAAAA"/>
            </w:tcBorders>
            <w:vAlign w:val="center"/>
            <w:hideMark/>
          </w:tcPr>
          <w:p w14:paraId="3CD12D6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0.001</w:t>
            </w:r>
          </w:p>
        </w:tc>
        <w:tc>
          <w:tcPr>
            <w:tcW w:w="711" w:type="dxa"/>
            <w:tcBorders>
              <w:top w:val="single" w:sz="4" w:space="0" w:color="AAAAAA"/>
              <w:left w:val="nil"/>
              <w:bottom w:val="single" w:sz="4" w:space="0" w:color="AAAAAA"/>
              <w:right w:val="single" w:sz="4" w:space="0" w:color="AAAAAA"/>
            </w:tcBorders>
            <w:vAlign w:val="center"/>
            <w:hideMark/>
          </w:tcPr>
          <w:p w14:paraId="3FC854D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036A7B7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1.067</w:t>
            </w:r>
          </w:p>
        </w:tc>
      </w:tr>
      <w:tr w:rsidR="002D26E1" w:rsidRPr="0095607E" w14:paraId="70B3038A"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139B8A1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lastRenderedPageBreak/>
              <w:t>Market distance: &gt; 10 km</w:t>
            </w:r>
          </w:p>
        </w:tc>
        <w:tc>
          <w:tcPr>
            <w:tcW w:w="900" w:type="dxa"/>
            <w:tcBorders>
              <w:top w:val="single" w:sz="4" w:space="0" w:color="AAAAAA"/>
              <w:left w:val="nil"/>
              <w:bottom w:val="single" w:sz="4" w:space="0" w:color="AAAAAA"/>
              <w:right w:val="single" w:sz="4" w:space="0" w:color="AAAAAA"/>
            </w:tcBorders>
            <w:vAlign w:val="center"/>
            <w:hideMark/>
          </w:tcPr>
          <w:p w14:paraId="510D1CE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0.106</w:t>
            </w:r>
          </w:p>
        </w:tc>
        <w:tc>
          <w:tcPr>
            <w:tcW w:w="900" w:type="dxa"/>
            <w:tcBorders>
              <w:top w:val="single" w:sz="4" w:space="0" w:color="AAAAAA"/>
              <w:left w:val="nil"/>
              <w:bottom w:val="single" w:sz="4" w:space="0" w:color="AAAAAA"/>
              <w:right w:val="single" w:sz="4" w:space="0" w:color="AAAAAA"/>
            </w:tcBorders>
            <w:vAlign w:val="center"/>
            <w:hideMark/>
          </w:tcPr>
          <w:p w14:paraId="7F1A722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0.022</w:t>
            </w:r>
          </w:p>
        </w:tc>
        <w:tc>
          <w:tcPr>
            <w:tcW w:w="900" w:type="dxa"/>
            <w:tcBorders>
              <w:top w:val="single" w:sz="4" w:space="0" w:color="AAAAAA"/>
              <w:left w:val="nil"/>
              <w:bottom w:val="single" w:sz="4" w:space="0" w:color="AAAAAA"/>
              <w:right w:val="single" w:sz="4" w:space="0" w:color="AAAAAA"/>
            </w:tcBorders>
            <w:vAlign w:val="center"/>
            <w:hideMark/>
          </w:tcPr>
          <w:p w14:paraId="349A30C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4.86</w:t>
            </w:r>
          </w:p>
        </w:tc>
        <w:tc>
          <w:tcPr>
            <w:tcW w:w="1013" w:type="dxa"/>
            <w:tcBorders>
              <w:top w:val="single" w:sz="4" w:space="0" w:color="AAAAAA"/>
              <w:left w:val="nil"/>
              <w:bottom w:val="single" w:sz="4" w:space="0" w:color="AAAAAA"/>
              <w:right w:val="single" w:sz="4" w:space="0" w:color="AAAAAA"/>
            </w:tcBorders>
            <w:vAlign w:val="center"/>
            <w:hideMark/>
          </w:tcPr>
          <w:p w14:paraId="1A4D869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11" w:type="dxa"/>
            <w:tcBorders>
              <w:top w:val="single" w:sz="4" w:space="0" w:color="AAAAAA"/>
              <w:left w:val="nil"/>
              <w:bottom w:val="single" w:sz="4" w:space="0" w:color="AAAAAA"/>
              <w:right w:val="single" w:sz="4" w:space="0" w:color="AAAAAA"/>
            </w:tcBorders>
            <w:vAlign w:val="center"/>
            <w:hideMark/>
          </w:tcPr>
          <w:p w14:paraId="2B30982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024A1FC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1.112</w:t>
            </w:r>
          </w:p>
        </w:tc>
      </w:tr>
      <w:tr w:rsidR="002D26E1" w:rsidRPr="0095607E" w14:paraId="5D16B46A" w14:textId="77777777" w:rsidTr="00F10821">
        <w:trPr>
          <w:trHeight w:val="61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1E9BBFF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impact (severity)</w:t>
            </w:r>
          </w:p>
        </w:tc>
        <w:tc>
          <w:tcPr>
            <w:tcW w:w="900" w:type="dxa"/>
            <w:tcBorders>
              <w:top w:val="single" w:sz="4" w:space="0" w:color="AAAAAA"/>
              <w:left w:val="nil"/>
              <w:bottom w:val="single" w:sz="4" w:space="0" w:color="AAAAAA"/>
              <w:right w:val="single" w:sz="4" w:space="0" w:color="AAAAAA"/>
            </w:tcBorders>
            <w:vAlign w:val="center"/>
            <w:hideMark/>
          </w:tcPr>
          <w:p w14:paraId="581F663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0.048</w:t>
            </w:r>
          </w:p>
        </w:tc>
        <w:tc>
          <w:tcPr>
            <w:tcW w:w="900" w:type="dxa"/>
            <w:tcBorders>
              <w:top w:val="single" w:sz="4" w:space="0" w:color="AAAAAA"/>
              <w:left w:val="nil"/>
              <w:bottom w:val="single" w:sz="4" w:space="0" w:color="AAAAAA"/>
              <w:right w:val="single" w:sz="4" w:space="0" w:color="AAAAAA"/>
            </w:tcBorders>
            <w:vAlign w:val="center"/>
            <w:hideMark/>
          </w:tcPr>
          <w:p w14:paraId="47A1AB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0.018</w:t>
            </w:r>
          </w:p>
        </w:tc>
        <w:tc>
          <w:tcPr>
            <w:tcW w:w="900" w:type="dxa"/>
            <w:tcBorders>
              <w:top w:val="single" w:sz="4" w:space="0" w:color="AAAAAA"/>
              <w:left w:val="nil"/>
              <w:bottom w:val="single" w:sz="4" w:space="0" w:color="AAAAAA"/>
              <w:right w:val="single" w:sz="4" w:space="0" w:color="AAAAAA"/>
            </w:tcBorders>
            <w:vAlign w:val="center"/>
            <w:hideMark/>
          </w:tcPr>
          <w:p w14:paraId="203FB41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2.69</w:t>
            </w:r>
          </w:p>
        </w:tc>
        <w:tc>
          <w:tcPr>
            <w:tcW w:w="1013" w:type="dxa"/>
            <w:tcBorders>
              <w:top w:val="single" w:sz="4" w:space="0" w:color="AAAAAA"/>
              <w:left w:val="nil"/>
              <w:bottom w:val="single" w:sz="4" w:space="0" w:color="AAAAAA"/>
              <w:right w:val="single" w:sz="4" w:space="0" w:color="AAAAAA"/>
            </w:tcBorders>
            <w:vAlign w:val="center"/>
            <w:hideMark/>
          </w:tcPr>
          <w:p w14:paraId="46ED9F9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0.007</w:t>
            </w:r>
          </w:p>
        </w:tc>
        <w:tc>
          <w:tcPr>
            <w:tcW w:w="711" w:type="dxa"/>
            <w:tcBorders>
              <w:top w:val="single" w:sz="4" w:space="0" w:color="AAAAAA"/>
              <w:left w:val="nil"/>
              <w:bottom w:val="single" w:sz="4" w:space="0" w:color="AAAAAA"/>
              <w:right w:val="single" w:sz="4" w:space="0" w:color="AAAAAA"/>
            </w:tcBorders>
            <w:vAlign w:val="center"/>
            <w:hideMark/>
          </w:tcPr>
          <w:p w14:paraId="251042A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7BD95EC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1.049</w:t>
            </w:r>
          </w:p>
        </w:tc>
      </w:tr>
      <w:tr w:rsidR="002D26E1" w:rsidRPr="0095607E" w14:paraId="40D92E2D" w14:textId="77777777" w:rsidTr="00F10821">
        <w:trPr>
          <w:trHeight w:val="31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4B142D8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Primary</w:t>
            </w:r>
          </w:p>
        </w:tc>
        <w:tc>
          <w:tcPr>
            <w:tcW w:w="900" w:type="dxa"/>
            <w:tcBorders>
              <w:top w:val="single" w:sz="4" w:space="0" w:color="AAAAAA"/>
              <w:left w:val="nil"/>
              <w:bottom w:val="single" w:sz="4" w:space="0" w:color="AAAAAA"/>
              <w:right w:val="single" w:sz="4" w:space="0" w:color="AAAAAA"/>
            </w:tcBorders>
            <w:vAlign w:val="center"/>
            <w:hideMark/>
          </w:tcPr>
          <w:p w14:paraId="6023B13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00" w:type="dxa"/>
            <w:tcBorders>
              <w:top w:val="single" w:sz="4" w:space="0" w:color="AAAAAA"/>
              <w:left w:val="nil"/>
              <w:bottom w:val="single" w:sz="4" w:space="0" w:color="AAAAAA"/>
              <w:right w:val="single" w:sz="4" w:space="0" w:color="AAAAAA"/>
            </w:tcBorders>
            <w:vAlign w:val="center"/>
            <w:hideMark/>
          </w:tcPr>
          <w:p w14:paraId="5453748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0.023</w:t>
            </w:r>
          </w:p>
        </w:tc>
        <w:tc>
          <w:tcPr>
            <w:tcW w:w="900" w:type="dxa"/>
            <w:tcBorders>
              <w:top w:val="single" w:sz="4" w:space="0" w:color="AAAAAA"/>
              <w:left w:val="nil"/>
              <w:bottom w:val="single" w:sz="4" w:space="0" w:color="AAAAAA"/>
              <w:right w:val="single" w:sz="4" w:space="0" w:color="AAAAAA"/>
            </w:tcBorders>
            <w:vAlign w:val="center"/>
            <w:hideMark/>
          </w:tcPr>
          <w:p w14:paraId="20A9890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0.67</w:t>
            </w:r>
          </w:p>
        </w:tc>
        <w:tc>
          <w:tcPr>
            <w:tcW w:w="1013" w:type="dxa"/>
            <w:tcBorders>
              <w:top w:val="single" w:sz="4" w:space="0" w:color="AAAAAA"/>
              <w:left w:val="nil"/>
              <w:bottom w:val="single" w:sz="4" w:space="0" w:color="AAAAAA"/>
              <w:right w:val="single" w:sz="4" w:space="0" w:color="AAAAAA"/>
            </w:tcBorders>
            <w:vAlign w:val="center"/>
            <w:hideMark/>
          </w:tcPr>
          <w:p w14:paraId="22FA974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0.506</w:t>
            </w:r>
          </w:p>
        </w:tc>
        <w:tc>
          <w:tcPr>
            <w:tcW w:w="711" w:type="dxa"/>
            <w:tcBorders>
              <w:top w:val="single" w:sz="4" w:space="0" w:color="AAAAAA"/>
              <w:left w:val="nil"/>
              <w:bottom w:val="single" w:sz="4" w:space="0" w:color="AAAAAA"/>
              <w:right w:val="single" w:sz="4" w:space="0" w:color="AAAAAA"/>
            </w:tcBorders>
            <w:vAlign w:val="center"/>
            <w:hideMark/>
          </w:tcPr>
          <w:p w14:paraId="028B42F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33939C1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1.016</w:t>
            </w:r>
          </w:p>
        </w:tc>
      </w:tr>
      <w:tr w:rsidR="002D26E1" w:rsidRPr="0095607E" w14:paraId="7FB3FCE0"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66CD47D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Secondary</w:t>
            </w:r>
          </w:p>
        </w:tc>
        <w:tc>
          <w:tcPr>
            <w:tcW w:w="900" w:type="dxa"/>
            <w:tcBorders>
              <w:top w:val="single" w:sz="4" w:space="0" w:color="AAAAAA"/>
              <w:left w:val="nil"/>
              <w:bottom w:val="single" w:sz="4" w:space="0" w:color="AAAAAA"/>
              <w:right w:val="single" w:sz="4" w:space="0" w:color="AAAAAA"/>
            </w:tcBorders>
            <w:vAlign w:val="center"/>
            <w:hideMark/>
          </w:tcPr>
          <w:p w14:paraId="6C4904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0.012</w:t>
            </w:r>
          </w:p>
        </w:tc>
        <w:tc>
          <w:tcPr>
            <w:tcW w:w="900" w:type="dxa"/>
            <w:tcBorders>
              <w:top w:val="single" w:sz="4" w:space="0" w:color="AAAAAA"/>
              <w:left w:val="nil"/>
              <w:bottom w:val="single" w:sz="4" w:space="0" w:color="AAAAAA"/>
              <w:right w:val="single" w:sz="4" w:space="0" w:color="AAAAAA"/>
            </w:tcBorders>
            <w:vAlign w:val="center"/>
            <w:hideMark/>
          </w:tcPr>
          <w:p w14:paraId="482F37D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0.022</w:t>
            </w:r>
          </w:p>
        </w:tc>
        <w:tc>
          <w:tcPr>
            <w:tcW w:w="900" w:type="dxa"/>
            <w:tcBorders>
              <w:top w:val="single" w:sz="4" w:space="0" w:color="AAAAAA"/>
              <w:left w:val="nil"/>
              <w:bottom w:val="single" w:sz="4" w:space="0" w:color="AAAAAA"/>
              <w:right w:val="single" w:sz="4" w:space="0" w:color="AAAAAA"/>
            </w:tcBorders>
            <w:vAlign w:val="center"/>
            <w:hideMark/>
          </w:tcPr>
          <w:p w14:paraId="567EA14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0.55</w:t>
            </w:r>
          </w:p>
        </w:tc>
        <w:tc>
          <w:tcPr>
            <w:tcW w:w="1013" w:type="dxa"/>
            <w:tcBorders>
              <w:top w:val="single" w:sz="4" w:space="0" w:color="AAAAAA"/>
              <w:left w:val="nil"/>
              <w:bottom w:val="single" w:sz="4" w:space="0" w:color="AAAAAA"/>
              <w:right w:val="single" w:sz="4" w:space="0" w:color="AAAAAA"/>
            </w:tcBorders>
            <w:vAlign w:val="center"/>
            <w:hideMark/>
          </w:tcPr>
          <w:p w14:paraId="52FEF18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0.586</w:t>
            </w:r>
          </w:p>
        </w:tc>
        <w:tc>
          <w:tcPr>
            <w:tcW w:w="711" w:type="dxa"/>
            <w:tcBorders>
              <w:top w:val="single" w:sz="4" w:space="0" w:color="AAAAAA"/>
              <w:left w:val="nil"/>
              <w:bottom w:val="single" w:sz="4" w:space="0" w:color="AAAAAA"/>
              <w:right w:val="single" w:sz="4" w:space="0" w:color="AAAAAA"/>
            </w:tcBorders>
            <w:vAlign w:val="center"/>
            <w:hideMark/>
          </w:tcPr>
          <w:p w14:paraId="1984606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0672DDC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1.012</w:t>
            </w:r>
          </w:p>
        </w:tc>
      </w:tr>
      <w:tr w:rsidR="002D26E1" w:rsidRPr="0095607E" w14:paraId="06BED77A" w14:textId="77777777" w:rsidTr="00F10821">
        <w:trPr>
          <w:trHeight w:val="307"/>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36F923C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Tertiary</w:t>
            </w:r>
          </w:p>
        </w:tc>
        <w:tc>
          <w:tcPr>
            <w:tcW w:w="900" w:type="dxa"/>
            <w:tcBorders>
              <w:top w:val="single" w:sz="4" w:space="0" w:color="AAAAAA"/>
              <w:left w:val="nil"/>
              <w:bottom w:val="single" w:sz="4" w:space="0" w:color="AAAAAA"/>
              <w:right w:val="single" w:sz="4" w:space="0" w:color="AAAAAA"/>
            </w:tcBorders>
            <w:vAlign w:val="center"/>
            <w:hideMark/>
          </w:tcPr>
          <w:p w14:paraId="0EDF1DD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0.026</w:t>
            </w:r>
          </w:p>
        </w:tc>
        <w:tc>
          <w:tcPr>
            <w:tcW w:w="900" w:type="dxa"/>
            <w:tcBorders>
              <w:top w:val="single" w:sz="4" w:space="0" w:color="AAAAAA"/>
              <w:left w:val="nil"/>
              <w:bottom w:val="single" w:sz="4" w:space="0" w:color="AAAAAA"/>
              <w:right w:val="single" w:sz="4" w:space="0" w:color="AAAAAA"/>
            </w:tcBorders>
            <w:vAlign w:val="center"/>
            <w:hideMark/>
          </w:tcPr>
          <w:p w14:paraId="20891E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0.030</w:t>
            </w:r>
          </w:p>
        </w:tc>
        <w:tc>
          <w:tcPr>
            <w:tcW w:w="900" w:type="dxa"/>
            <w:tcBorders>
              <w:top w:val="single" w:sz="4" w:space="0" w:color="AAAAAA"/>
              <w:left w:val="nil"/>
              <w:bottom w:val="single" w:sz="4" w:space="0" w:color="AAAAAA"/>
              <w:right w:val="single" w:sz="4" w:space="0" w:color="AAAAAA"/>
            </w:tcBorders>
            <w:vAlign w:val="center"/>
            <w:hideMark/>
          </w:tcPr>
          <w:p w14:paraId="476D44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0.89</w:t>
            </w:r>
          </w:p>
        </w:tc>
        <w:tc>
          <w:tcPr>
            <w:tcW w:w="1013" w:type="dxa"/>
            <w:tcBorders>
              <w:top w:val="single" w:sz="4" w:space="0" w:color="AAAAAA"/>
              <w:left w:val="nil"/>
              <w:bottom w:val="single" w:sz="4" w:space="0" w:color="AAAAAA"/>
              <w:right w:val="single" w:sz="4" w:space="0" w:color="AAAAAA"/>
            </w:tcBorders>
            <w:vAlign w:val="center"/>
            <w:hideMark/>
          </w:tcPr>
          <w:p w14:paraId="45DA748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0.376</w:t>
            </w:r>
          </w:p>
        </w:tc>
        <w:tc>
          <w:tcPr>
            <w:tcW w:w="711" w:type="dxa"/>
            <w:tcBorders>
              <w:top w:val="single" w:sz="4" w:space="0" w:color="AAAAAA"/>
              <w:left w:val="nil"/>
              <w:bottom w:val="single" w:sz="4" w:space="0" w:color="AAAAAA"/>
              <w:right w:val="single" w:sz="4" w:space="0" w:color="AAAAAA"/>
            </w:tcBorders>
            <w:vAlign w:val="center"/>
            <w:hideMark/>
          </w:tcPr>
          <w:p w14:paraId="68B666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3899FE5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1.027</w:t>
            </w:r>
          </w:p>
        </w:tc>
      </w:tr>
      <w:tr w:rsidR="002D26E1" w:rsidRPr="0095607E" w14:paraId="10DFFE4C"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625D19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Truck</w:t>
            </w:r>
          </w:p>
        </w:tc>
        <w:tc>
          <w:tcPr>
            <w:tcW w:w="900" w:type="dxa"/>
            <w:tcBorders>
              <w:top w:val="single" w:sz="4" w:space="0" w:color="AAAAAA"/>
              <w:left w:val="nil"/>
              <w:bottom w:val="single" w:sz="4" w:space="0" w:color="AAAAAA"/>
              <w:right w:val="single" w:sz="4" w:space="0" w:color="AAAAAA"/>
            </w:tcBorders>
            <w:vAlign w:val="center"/>
            <w:hideMark/>
          </w:tcPr>
          <w:p w14:paraId="28AABCF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-0.041</w:t>
            </w:r>
          </w:p>
        </w:tc>
        <w:tc>
          <w:tcPr>
            <w:tcW w:w="900" w:type="dxa"/>
            <w:tcBorders>
              <w:top w:val="single" w:sz="4" w:space="0" w:color="AAAAAA"/>
              <w:left w:val="nil"/>
              <w:bottom w:val="single" w:sz="4" w:space="0" w:color="AAAAAA"/>
              <w:right w:val="single" w:sz="4" w:space="0" w:color="AAAAAA"/>
            </w:tcBorders>
            <w:vAlign w:val="center"/>
            <w:hideMark/>
          </w:tcPr>
          <w:p w14:paraId="39215D0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00" w:type="dxa"/>
            <w:tcBorders>
              <w:top w:val="single" w:sz="4" w:space="0" w:color="AAAAAA"/>
              <w:left w:val="nil"/>
              <w:bottom w:val="single" w:sz="4" w:space="0" w:color="AAAAAA"/>
              <w:right w:val="single" w:sz="4" w:space="0" w:color="AAAAAA"/>
            </w:tcBorders>
            <w:vAlign w:val="center"/>
            <w:hideMark/>
          </w:tcPr>
          <w:p w14:paraId="4FF9A51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-2.64</w:t>
            </w:r>
          </w:p>
        </w:tc>
        <w:tc>
          <w:tcPr>
            <w:tcW w:w="1013" w:type="dxa"/>
            <w:tcBorders>
              <w:top w:val="single" w:sz="4" w:space="0" w:color="AAAAAA"/>
              <w:left w:val="nil"/>
              <w:bottom w:val="single" w:sz="4" w:space="0" w:color="AAAAAA"/>
              <w:right w:val="single" w:sz="4" w:space="0" w:color="AAAAAA"/>
            </w:tcBorders>
            <w:vAlign w:val="center"/>
            <w:hideMark/>
          </w:tcPr>
          <w:p w14:paraId="373F1FE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0.008</w:t>
            </w:r>
          </w:p>
        </w:tc>
        <w:tc>
          <w:tcPr>
            <w:tcW w:w="711" w:type="dxa"/>
            <w:tcBorders>
              <w:top w:val="single" w:sz="4" w:space="0" w:color="AAAAAA"/>
              <w:left w:val="nil"/>
              <w:bottom w:val="single" w:sz="4" w:space="0" w:color="AAAAAA"/>
              <w:right w:val="single" w:sz="4" w:space="0" w:color="AAAAAA"/>
            </w:tcBorders>
            <w:vAlign w:val="center"/>
            <w:hideMark/>
          </w:tcPr>
          <w:p w14:paraId="0BB78B6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1B6BC7E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0.960</w:t>
            </w:r>
          </w:p>
        </w:tc>
      </w:tr>
      <w:tr w:rsidR="002D26E1" w:rsidRPr="0095607E" w14:paraId="2417916F" w14:textId="77777777" w:rsidTr="00F10821">
        <w:trPr>
          <w:trHeight w:val="62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7C2B713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Animal</w:t>
            </w:r>
          </w:p>
        </w:tc>
        <w:tc>
          <w:tcPr>
            <w:tcW w:w="900" w:type="dxa"/>
            <w:tcBorders>
              <w:top w:val="single" w:sz="4" w:space="0" w:color="AAAAAA"/>
              <w:left w:val="nil"/>
              <w:bottom w:val="single" w:sz="4" w:space="0" w:color="AAAAAA"/>
              <w:right w:val="single" w:sz="4" w:space="0" w:color="AAAAAA"/>
            </w:tcBorders>
            <w:vAlign w:val="center"/>
            <w:hideMark/>
          </w:tcPr>
          <w:p w14:paraId="29A423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-0.030</w:t>
            </w:r>
          </w:p>
        </w:tc>
        <w:tc>
          <w:tcPr>
            <w:tcW w:w="900" w:type="dxa"/>
            <w:tcBorders>
              <w:top w:val="single" w:sz="4" w:space="0" w:color="AAAAAA"/>
              <w:left w:val="nil"/>
              <w:bottom w:val="single" w:sz="4" w:space="0" w:color="AAAAAA"/>
              <w:right w:val="single" w:sz="4" w:space="0" w:color="AAAAAA"/>
            </w:tcBorders>
            <w:vAlign w:val="center"/>
            <w:hideMark/>
          </w:tcPr>
          <w:p w14:paraId="190125D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0.108</w:t>
            </w:r>
          </w:p>
        </w:tc>
        <w:tc>
          <w:tcPr>
            <w:tcW w:w="900" w:type="dxa"/>
            <w:tcBorders>
              <w:top w:val="single" w:sz="4" w:space="0" w:color="AAAAAA"/>
              <w:left w:val="nil"/>
              <w:bottom w:val="single" w:sz="4" w:space="0" w:color="AAAAAA"/>
              <w:right w:val="single" w:sz="4" w:space="0" w:color="AAAAAA"/>
            </w:tcBorders>
            <w:vAlign w:val="center"/>
            <w:hideMark/>
          </w:tcPr>
          <w:p w14:paraId="5C14637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-0.28</w:t>
            </w:r>
          </w:p>
        </w:tc>
        <w:tc>
          <w:tcPr>
            <w:tcW w:w="1013" w:type="dxa"/>
            <w:tcBorders>
              <w:top w:val="single" w:sz="4" w:space="0" w:color="AAAAAA"/>
              <w:left w:val="nil"/>
              <w:bottom w:val="single" w:sz="4" w:space="0" w:color="AAAAAA"/>
              <w:right w:val="single" w:sz="4" w:space="0" w:color="AAAAAA"/>
            </w:tcBorders>
            <w:vAlign w:val="center"/>
            <w:hideMark/>
          </w:tcPr>
          <w:p w14:paraId="1537DFD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0.781</w:t>
            </w:r>
          </w:p>
        </w:tc>
        <w:tc>
          <w:tcPr>
            <w:tcW w:w="711" w:type="dxa"/>
            <w:tcBorders>
              <w:top w:val="single" w:sz="4" w:space="0" w:color="AAAAAA"/>
              <w:left w:val="nil"/>
              <w:bottom w:val="single" w:sz="4" w:space="0" w:color="AAAAAA"/>
              <w:right w:val="single" w:sz="4" w:space="0" w:color="AAAAAA"/>
            </w:tcBorders>
            <w:vAlign w:val="center"/>
            <w:hideMark/>
          </w:tcPr>
          <w:p w14:paraId="1B91E86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478DC05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0.971</w:t>
            </w:r>
          </w:p>
        </w:tc>
      </w:tr>
      <w:tr w:rsidR="002D26E1" w:rsidRPr="0095607E" w14:paraId="05050C77" w14:textId="77777777" w:rsidTr="00F10821">
        <w:trPr>
          <w:trHeight w:val="615"/>
          <w:jc w:val="center"/>
        </w:trPr>
        <w:tc>
          <w:tcPr>
            <w:tcW w:w="2772" w:type="dxa"/>
            <w:tcBorders>
              <w:top w:val="single" w:sz="4" w:space="0" w:color="AAAAAA"/>
              <w:left w:val="single" w:sz="4" w:space="0" w:color="AAAAAA"/>
              <w:bottom w:val="single" w:sz="4" w:space="0" w:color="AAAAAA"/>
              <w:right w:val="single" w:sz="4" w:space="0" w:color="AAAAAA"/>
            </w:tcBorders>
            <w:vAlign w:val="center"/>
            <w:hideMark/>
          </w:tcPr>
          <w:p w14:paraId="3733170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Other</w:t>
            </w:r>
          </w:p>
        </w:tc>
        <w:tc>
          <w:tcPr>
            <w:tcW w:w="900" w:type="dxa"/>
            <w:tcBorders>
              <w:top w:val="single" w:sz="4" w:space="0" w:color="AAAAAA"/>
              <w:left w:val="nil"/>
              <w:bottom w:val="single" w:sz="4" w:space="0" w:color="AAAAAA"/>
              <w:right w:val="single" w:sz="4" w:space="0" w:color="AAAAAA"/>
            </w:tcBorders>
            <w:vAlign w:val="center"/>
            <w:hideMark/>
          </w:tcPr>
          <w:p w14:paraId="3E07613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-0.037</w:t>
            </w:r>
          </w:p>
        </w:tc>
        <w:tc>
          <w:tcPr>
            <w:tcW w:w="900" w:type="dxa"/>
            <w:tcBorders>
              <w:top w:val="single" w:sz="4" w:space="0" w:color="AAAAAA"/>
              <w:left w:val="nil"/>
              <w:bottom w:val="single" w:sz="4" w:space="0" w:color="AAAAAA"/>
              <w:right w:val="single" w:sz="4" w:space="0" w:color="AAAAAA"/>
            </w:tcBorders>
            <w:vAlign w:val="center"/>
            <w:hideMark/>
          </w:tcPr>
          <w:p w14:paraId="3C29C74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0.052</w:t>
            </w:r>
          </w:p>
        </w:tc>
        <w:tc>
          <w:tcPr>
            <w:tcW w:w="900" w:type="dxa"/>
            <w:tcBorders>
              <w:top w:val="single" w:sz="4" w:space="0" w:color="AAAAAA"/>
              <w:left w:val="nil"/>
              <w:bottom w:val="single" w:sz="4" w:space="0" w:color="AAAAAA"/>
              <w:right w:val="single" w:sz="4" w:space="0" w:color="AAAAAA"/>
            </w:tcBorders>
            <w:vAlign w:val="center"/>
            <w:hideMark/>
          </w:tcPr>
          <w:p w14:paraId="29D0085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-0.71</w:t>
            </w:r>
          </w:p>
        </w:tc>
        <w:tc>
          <w:tcPr>
            <w:tcW w:w="1013" w:type="dxa"/>
            <w:tcBorders>
              <w:top w:val="single" w:sz="4" w:space="0" w:color="AAAAAA"/>
              <w:left w:val="nil"/>
              <w:bottom w:val="single" w:sz="4" w:space="0" w:color="AAAAAA"/>
              <w:right w:val="single" w:sz="4" w:space="0" w:color="AAAAAA"/>
            </w:tcBorders>
            <w:vAlign w:val="center"/>
            <w:hideMark/>
          </w:tcPr>
          <w:p w14:paraId="2CDD38B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0.476</w:t>
            </w:r>
          </w:p>
        </w:tc>
        <w:tc>
          <w:tcPr>
            <w:tcW w:w="711" w:type="dxa"/>
            <w:tcBorders>
              <w:top w:val="single" w:sz="4" w:space="0" w:color="AAAAAA"/>
              <w:left w:val="nil"/>
              <w:bottom w:val="single" w:sz="4" w:space="0" w:color="AAAAAA"/>
              <w:right w:val="single" w:sz="4" w:space="0" w:color="AAAAAA"/>
            </w:tcBorders>
            <w:vAlign w:val="center"/>
            <w:hideMark/>
          </w:tcPr>
          <w:p w14:paraId="3DD4A98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1081" w:type="dxa"/>
            <w:tcBorders>
              <w:top w:val="single" w:sz="4" w:space="0" w:color="AAAAAA"/>
              <w:left w:val="nil"/>
              <w:bottom w:val="single" w:sz="4" w:space="0" w:color="AAAAAA"/>
              <w:right w:val="single" w:sz="4" w:space="0" w:color="AAAAAA"/>
            </w:tcBorders>
            <w:vAlign w:val="center"/>
            <w:hideMark/>
          </w:tcPr>
          <w:p w14:paraId="227887F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0.964</w:t>
            </w:r>
          </w:p>
        </w:tc>
      </w:tr>
    </w:tbl>
    <w:p w14:paraId="1B111323" w14:textId="29D4FECD" w:rsidR="002D26E1" w:rsidRPr="0095607E" w:rsidRDefault="002D26E1" w:rsidP="003B0C52">
      <w:pPr>
        <w:pStyle w:val="NoSpacing"/>
        <w:jc w:val="both"/>
        <w:rPr>
          <w:rFonts w:ascii="Times New Roman" w:hAnsi="Times New Roman" w:cs="Times New Roman"/>
          <w:i/>
        </w:rPr>
      </w:pPr>
      <w:r w:rsidRPr="0095607E">
        <w:rPr>
          <w:rFonts w:ascii="Times New Roman" w:hAnsi="Times New Roman" w:cs="Times New Roman"/>
          <w:i/>
        </w:rPr>
        <w:t xml:space="preserve">The Incidence ratio rate </w:t>
      </w:r>
      <m:oMath>
        <m:r>
          <w:rPr>
            <w:rFonts w:ascii="Cambria Math" w:hAnsi="Cambria Math" w:cs="Times New Roman"/>
          </w:rPr>
          <m:t>IRR=exp</m:t>
        </m:r>
        <m:d>
          <m:dPr>
            <m:ctrlPr>
              <w:rPr>
                <w:rFonts w:ascii="Cambria Math" w:hAnsi="Cambria Math" w:cs="Times New Roman"/>
                <w:i/>
              </w:rPr>
            </m:ctrlPr>
          </m:dPr>
          <m:e>
            <m:r>
              <w:rPr>
                <w:rFonts w:ascii="Cambria Math" w:hAnsi="Cambria Math" w:cs="Times New Roman"/>
              </w:rPr>
              <m:t>β</m:t>
            </m:r>
          </m:e>
        </m:d>
      </m:oMath>
      <w:r w:rsidRPr="0095607E">
        <w:rPr>
          <w:rFonts w:ascii="Times New Roman" w:eastAsiaTheme="minorEastAsia" w:hAnsi="Times New Roman" w:cs="Times New Roman"/>
          <w:i/>
        </w:rPr>
        <w:t>, The reference categories are; the traditional storage method, storage duration less than 2 weeks, market distance less than 5km, no education, mode of transport is motorcycle.</w:t>
      </w:r>
    </w:p>
    <w:p w14:paraId="7917E793" w14:textId="32178E8A" w:rsidR="002D26E1" w:rsidRPr="0095607E" w:rsidRDefault="002D26E1" w:rsidP="003B0C52">
      <w:pPr>
        <w:pStyle w:val="Heading2"/>
        <w:spacing w:line="240" w:lineRule="auto"/>
        <w:rPr>
          <w:rFonts w:ascii="Times New Roman" w:hAnsi="Times New Roman" w:cs="Times New Roman"/>
          <w:b/>
          <w:bCs/>
          <w:color w:val="auto"/>
          <w:sz w:val="24"/>
          <w:szCs w:val="24"/>
        </w:rPr>
      </w:pPr>
      <w:bookmarkStart w:id="19" w:name="_Toc225180566"/>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4</w:t>
      </w:r>
      <w:r w:rsidRPr="0095607E">
        <w:rPr>
          <w:rFonts w:ascii="Times New Roman" w:hAnsi="Times New Roman" w:cs="Times New Roman"/>
          <w:b/>
          <w:bCs/>
          <w:color w:val="auto"/>
          <w:sz w:val="24"/>
          <w:szCs w:val="24"/>
        </w:rPr>
        <w:tab/>
        <w:t>Multilevel Beta Regression Results</w:t>
      </w:r>
      <w:bookmarkEnd w:id="19"/>
    </w:p>
    <w:p w14:paraId="251BE5A5" w14:textId="0FA583D5"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Multilevel Beta regression model was estimated using the value chain stage and county as the random intercept grouping factors. The model converged </w:t>
      </w:r>
      <m:oMath>
        <m:r>
          <w:rPr>
            <w:rFonts w:ascii="Cambria Math" w:hAnsi="Cambria Math" w:cs="Times New Roman"/>
          </w:rPr>
          <m:t>(AIC=-2711.30, BIC=-2622.64, log-likelihood=1375.65, 2</m:t>
        </m:r>
      </m:oMath>
      <w:r w:rsidRPr="0095607E">
        <w:rPr>
          <w:rFonts w:ascii="Times New Roman" w:eastAsiaTheme="minorEastAsia" w:hAnsi="Times New Roman" w:cs="Times New Roman"/>
        </w:rPr>
        <w:t>,  precision parameter</w:t>
      </w:r>
      <m:oMath>
        <m:r>
          <w:rPr>
            <w:rFonts w:ascii="Cambria Math" w:hAnsi="Cambria Math" w:cs="Times New Roman"/>
          </w:rPr>
          <m:t xml:space="preserve"> ϕ=308).</m:t>
        </m:r>
      </m:oMath>
      <w:r w:rsidRPr="0095607E">
        <w:rPr>
          <w:rFonts w:ascii="Times New Roman" w:hAnsi="Times New Roman" w:cs="Times New Roman"/>
        </w:rPr>
        <w:t xml:space="preserve"> The high precision parameter implies that the proportional loss distribution is narrowly clustered around the mean, which is consistent with the narrow range of losses observed (15% to 45 percent). The Smithson and Verkuilen compression</w:t>
      </w:r>
      <m:oMath>
        <m:sSup>
          <m:sSupPr>
            <m:ctrlPr>
              <w:rPr>
                <w:rFonts w:ascii="Cambria Math" w:hAnsi="Cambria Math" w:cs="Times New Roman"/>
                <w:i/>
              </w:rPr>
            </m:ctrlPr>
          </m:sSupPr>
          <m:e>
            <m:r>
              <w:rPr>
                <w:rFonts w:ascii="Cambria Math" w:hAnsi="Cambria Math" w:cs="Times New Roman"/>
              </w:rPr>
              <m:t>P</m:t>
            </m:r>
          </m:e>
          <m:sup>
            <m:r>
              <w:rPr>
                <w:rFonts w:ascii="Cambria Math" w:hAnsi="Cambria Math" w:cs="Times New Roman"/>
              </w:rPr>
              <m:t>*</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P(n-1)+0.5)</m:t>
            </m:r>
          </m:num>
          <m:den>
            <m:r>
              <w:rPr>
                <w:rFonts w:ascii="Cambria Math" w:hAnsi="Cambria Math" w:cs="Times New Roman"/>
              </w:rPr>
              <m:t>n</m:t>
            </m:r>
          </m:den>
        </m:f>
      </m:oMath>
      <w:r w:rsidR="00A052F8" w:rsidRPr="00914541">
        <w:rPr>
          <w:rFonts w:ascii="Times New Roman" w:hAnsi="Times New Roman" w:cs="Times New Roman"/>
        </w:rPr>
        <w:t xml:space="preserve"> </w:t>
      </w:r>
      <w:r w:rsidRPr="0095607E">
        <w:rPr>
          <w:rFonts w:ascii="Times New Roman" w:hAnsi="Times New Roman" w:cs="Times New Roman"/>
        </w:rPr>
        <w:t xml:space="preserve"> was used to transform proportional losses to ensure values strictly lie in </w:t>
      </w:r>
      <m:oMath>
        <m:r>
          <w:rPr>
            <w:rFonts w:ascii="Cambria Math" w:hAnsi="Cambria Math" w:cs="Times New Roman"/>
          </w:rPr>
          <m:t>(0, 1).</m:t>
        </m:r>
      </m:oMath>
      <w:r w:rsidRPr="0095607E">
        <w:rPr>
          <w:rFonts w:ascii="Times New Roman" w:hAnsi="Times New Roman" w:cs="Times New Roman"/>
        </w:rPr>
        <w:t xml:space="preserve"> Fixed effects were all analyzed based on odds ratios</w:t>
      </w:r>
      <m:oMath>
        <m:r>
          <w:rPr>
            <w:rFonts w:ascii="Cambria Math" w:hAnsi="Cambria Math" w:cs="Times New Roman"/>
          </w:rPr>
          <m:t xml:space="preserve"> (OR = exp(B))</m:t>
        </m:r>
      </m:oMath>
      <w:r w:rsidRPr="0095607E">
        <w:rPr>
          <w:rFonts w:ascii="Times New Roman" w:hAnsi="Times New Roman" w:cs="Times New Roman"/>
        </w:rPr>
        <w:t xml:space="preserve"> and marginal effects in percentage points when the sample mean was </w:t>
      </w:r>
      <m:oMath>
        <m:r>
          <w:rPr>
            <w:rFonts w:ascii="Cambria Math" w:hAnsi="Cambria Math" w:cs="Times New Roman"/>
          </w:rPr>
          <m:t>0.319 (31.9%),</m:t>
        </m:r>
      </m:oMath>
      <w:r w:rsidRPr="0095607E">
        <w:rPr>
          <w:rFonts w:ascii="Times New Roman" w:hAnsi="Times New Roman" w:cs="Times New Roman"/>
        </w:rPr>
        <w:t xml:space="preserve"> which was the mean of the sample. </w:t>
      </w:r>
      <w:r w:rsidRPr="0095607E">
        <w:rPr>
          <w:rFonts w:ascii="Times New Roman" w:hAnsi="Times New Roman" w:cs="Times New Roman"/>
        </w:rPr>
        <w:fldChar w:fldCharType="begin"/>
      </w:r>
      <w:r w:rsidRPr="0095607E">
        <w:rPr>
          <w:rFonts w:ascii="Times New Roman" w:hAnsi="Times New Roman" w:cs="Times New Roman"/>
        </w:rPr>
        <w:instrText xml:space="preserve"> REF _Ref225192210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b/>
          <w:bCs/>
        </w:rPr>
        <w:t xml:space="preserve">Figure </w:t>
      </w:r>
      <w:r w:rsidRPr="0095607E">
        <w:rPr>
          <w:rFonts w:ascii="Times New Roman" w:hAnsi="Times New Roman" w:cs="Times New Roman"/>
          <w:b/>
          <w:bCs/>
          <w:noProof/>
        </w:rPr>
        <w:t>2</w:t>
      </w:r>
      <w:r w:rsidRPr="0095607E">
        <w:rPr>
          <w:rFonts w:ascii="Times New Roman" w:hAnsi="Times New Roman" w:cs="Times New Roman"/>
        </w:rPr>
        <w:fldChar w:fldCharType="end"/>
      </w:r>
      <w:r w:rsidRPr="0095607E">
        <w:rPr>
          <w:rFonts w:ascii="Times New Roman" w:hAnsi="Times New Roman" w:cs="Times New Roman"/>
        </w:rPr>
        <w:t xml:space="preserve"> shows the odds ratio forest plot of the multilevel Beta model, which gives a visual representation of the direction and significance of all the predictors on the proportional loss outcome. Full estimates are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_Ref225192372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4</w:t>
      </w:r>
      <w:r w:rsidR="008A59B2" w:rsidRPr="0095607E">
        <w:rPr>
          <w:rFonts w:ascii="Times New Roman" w:hAnsi="Times New Roman" w:cs="Times New Roman"/>
        </w:rPr>
        <w:fldChar w:fldCharType="end"/>
      </w:r>
      <w:r w:rsidRPr="0095607E">
        <w:rPr>
          <w:rFonts w:ascii="Times New Roman" w:hAnsi="Times New Roman" w:cs="Times New Roman"/>
        </w:rPr>
        <w:fldChar w:fldCharType="begin"/>
      </w:r>
      <w:r w:rsidRPr="0095607E">
        <w:rPr>
          <w:rFonts w:ascii="Times New Roman" w:hAnsi="Times New Roman" w:cs="Times New Roman"/>
        </w:rPr>
        <w:instrText xml:space="preserve"> REF _Ref225192372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 xml:space="preserve"> below.</w:t>
      </w:r>
    </w:p>
    <w:p w14:paraId="3A45AC81" w14:textId="77777777" w:rsidR="002D26E1" w:rsidRPr="0095607E" w:rsidRDefault="002D26E1" w:rsidP="003B0C52">
      <w:pPr>
        <w:pStyle w:val="NoSpacing"/>
        <w:jc w:val="both"/>
        <w:rPr>
          <w:rFonts w:ascii="Times New Roman" w:eastAsia="MS Mincho" w:hAnsi="Times New Roman" w:cs="Times New Roman"/>
          <w:i/>
          <w:kern w:val="0"/>
          <w14:ligatures w14:val="none"/>
        </w:rPr>
      </w:pPr>
      <w:r w:rsidRPr="0095607E">
        <w:rPr>
          <w:rFonts w:ascii="Times New Roman" w:hAnsi="Times New Roman" w:cs="Times New Roman"/>
          <w:noProof/>
        </w:rPr>
        <w:lastRenderedPageBreak/>
        <w:drawing>
          <wp:inline distT="0" distB="0" distL="0" distR="0" wp14:anchorId="15A3EDF3" wp14:editId="4CEC46A3">
            <wp:extent cx="5219700" cy="3653790"/>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7"/>
                    <a:stretch>
                      <a:fillRect/>
                    </a:stretch>
                  </pic:blipFill>
                  <pic:spPr>
                    <a:xfrm>
                      <a:off x="0" y="0"/>
                      <a:ext cx="5219700" cy="3653790"/>
                    </a:xfrm>
                    <a:prstGeom prst="rect">
                      <a:avLst/>
                    </a:prstGeom>
                  </pic:spPr>
                </pic:pic>
              </a:graphicData>
            </a:graphic>
          </wp:inline>
        </w:drawing>
      </w:r>
    </w:p>
    <w:p w14:paraId="17D0AB5B" w14:textId="77777777" w:rsidR="00AE4901" w:rsidRPr="0095607E" w:rsidRDefault="002D26E1" w:rsidP="003B0C52">
      <w:pPr>
        <w:pStyle w:val="Caption"/>
        <w:rPr>
          <w:rFonts w:ascii="Times New Roman" w:hAnsi="Times New Roman" w:cs="Times New Roman"/>
          <w:b/>
          <w:bCs/>
          <w:sz w:val="24"/>
          <w:szCs w:val="24"/>
        </w:rPr>
      </w:pPr>
      <w:bookmarkStart w:id="20" w:name="_Ref225192210"/>
      <w:bookmarkStart w:id="21" w:name="_Toc225196575"/>
      <w:r w:rsidRPr="0095607E">
        <w:rPr>
          <w:rFonts w:ascii="Times New Roman" w:hAnsi="Times New Roman" w:cs="Times New Roman"/>
          <w:b/>
          <w:bCs/>
          <w:sz w:val="24"/>
          <w:szCs w:val="24"/>
        </w:rPr>
        <w:t xml:space="preserve">Figure </w:t>
      </w: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SEQ Figure \* ARABIC </w:instrText>
      </w:r>
      <w:r w:rsidRPr="0095607E">
        <w:rPr>
          <w:rFonts w:ascii="Times New Roman" w:hAnsi="Times New Roman" w:cs="Times New Roman"/>
          <w:b/>
          <w:bCs/>
          <w:sz w:val="24"/>
          <w:szCs w:val="24"/>
        </w:rPr>
        <w:fldChar w:fldCharType="separate"/>
      </w:r>
      <w:r w:rsidR="00AE4901" w:rsidRPr="0095607E">
        <w:rPr>
          <w:rFonts w:ascii="Times New Roman" w:hAnsi="Times New Roman" w:cs="Times New Roman"/>
          <w:b/>
          <w:bCs/>
          <w:noProof/>
          <w:sz w:val="24"/>
          <w:szCs w:val="24"/>
        </w:rPr>
        <w:t>2</w:t>
      </w:r>
      <w:r w:rsidRPr="0095607E">
        <w:rPr>
          <w:rFonts w:ascii="Times New Roman" w:hAnsi="Times New Roman" w:cs="Times New Roman"/>
          <w:b/>
          <w:bCs/>
          <w:sz w:val="24"/>
          <w:szCs w:val="24"/>
        </w:rPr>
        <w:fldChar w:fldCharType="end"/>
      </w:r>
      <w:bookmarkEnd w:id="20"/>
      <w:r w:rsidRPr="0095607E">
        <w:rPr>
          <w:rFonts w:ascii="Times New Roman" w:hAnsi="Times New Roman" w:cs="Times New Roman"/>
          <w:b/>
          <w:bCs/>
          <w:sz w:val="24"/>
          <w:szCs w:val="24"/>
        </w:rPr>
        <w:t>:Multilevel Beta Regression</w:t>
      </w:r>
      <w:bookmarkEnd w:id="21"/>
    </w:p>
    <w:p w14:paraId="40FDB155" w14:textId="72D63D5F" w:rsidR="002D26E1" w:rsidRPr="0095607E" w:rsidRDefault="00AE4901" w:rsidP="003B0C52">
      <w:pPr>
        <w:pStyle w:val="Caption"/>
        <w:rPr>
          <w:rFonts w:ascii="Times New Roman" w:hAnsi="Times New Roman" w:cs="Times New Roman"/>
          <w:i w:val="0"/>
          <w:sz w:val="24"/>
          <w:szCs w:val="24"/>
        </w:rPr>
      </w:pP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REF _Ref225192210 \h </w:instrText>
      </w:r>
      <w:r w:rsidR="003B0C52" w:rsidRPr="0095607E">
        <w:rPr>
          <w:rFonts w:ascii="Times New Roman" w:hAnsi="Times New Roman" w:cs="Times New Roman"/>
          <w:b/>
          <w:bCs/>
          <w:sz w:val="24"/>
          <w:szCs w:val="24"/>
        </w:rPr>
        <w:instrText xml:space="preserve"> \* MERGEFORMAT </w:instrText>
      </w:r>
      <w:r w:rsidRPr="0095607E">
        <w:rPr>
          <w:rFonts w:ascii="Times New Roman" w:hAnsi="Times New Roman" w:cs="Times New Roman"/>
          <w:b/>
          <w:bCs/>
          <w:sz w:val="24"/>
          <w:szCs w:val="24"/>
        </w:rPr>
      </w:r>
      <w:r w:rsidRPr="0095607E">
        <w:rPr>
          <w:rFonts w:ascii="Times New Roman" w:hAnsi="Times New Roman" w:cs="Times New Roman"/>
          <w:b/>
          <w:bCs/>
          <w:sz w:val="24"/>
          <w:szCs w:val="24"/>
        </w:rPr>
        <w:fldChar w:fldCharType="separate"/>
      </w:r>
      <w:r w:rsidRPr="0095607E">
        <w:rPr>
          <w:rFonts w:ascii="Times New Roman" w:hAnsi="Times New Roman" w:cs="Times New Roman"/>
          <w:b/>
          <w:bCs/>
          <w:sz w:val="24"/>
          <w:szCs w:val="24"/>
        </w:rPr>
        <w:t xml:space="preserve">Figure </w:t>
      </w:r>
      <w:r w:rsidRPr="0095607E">
        <w:rPr>
          <w:rFonts w:ascii="Times New Roman" w:hAnsi="Times New Roman" w:cs="Times New Roman"/>
          <w:b/>
          <w:bCs/>
          <w:noProof/>
          <w:sz w:val="24"/>
          <w:szCs w:val="24"/>
        </w:rPr>
        <w:t>2</w:t>
      </w:r>
      <w:r w:rsidRPr="0095607E">
        <w:rPr>
          <w:rFonts w:ascii="Times New Roman" w:hAnsi="Times New Roman" w:cs="Times New Roman"/>
          <w:b/>
          <w:bCs/>
          <w:sz w:val="24"/>
          <w:szCs w:val="24"/>
        </w:rPr>
        <w:fldChar w:fldCharType="end"/>
      </w:r>
      <w:r w:rsidR="008358EF" w:rsidRPr="0095607E">
        <w:rPr>
          <w:rFonts w:ascii="Times New Roman" w:hAnsi="Times New Roman" w:cs="Times New Roman"/>
          <w:b/>
          <w:bCs/>
          <w:sz w:val="24"/>
          <w:szCs w:val="24"/>
        </w:rPr>
        <w:t xml:space="preserve"> </w:t>
      </w:r>
      <w:r w:rsidR="008358EF" w:rsidRPr="0095607E">
        <w:rPr>
          <w:rFonts w:ascii="Times New Roman" w:eastAsia="MS Mincho" w:hAnsi="Times New Roman" w:cs="Times New Roman"/>
          <w:i w:val="0"/>
          <w:kern w:val="0"/>
          <w:sz w:val="24"/>
          <w:szCs w:val="24"/>
          <w14:ligatures w14:val="none"/>
        </w:rPr>
        <w:t>G</w:t>
      </w:r>
      <w:r w:rsidR="002D26E1" w:rsidRPr="0095607E">
        <w:rPr>
          <w:rFonts w:ascii="Times New Roman" w:eastAsia="MS Mincho" w:hAnsi="Times New Roman" w:cs="Times New Roman"/>
          <w:i w:val="0"/>
          <w:kern w:val="0"/>
          <w:sz w:val="24"/>
          <w:szCs w:val="24"/>
          <w14:ligatures w14:val="none"/>
        </w:rPr>
        <w:t xml:space="preserve">ives the </w:t>
      </w:r>
      <w:r w:rsidR="002D26E1" w:rsidRPr="0095607E">
        <w:rPr>
          <w:rFonts w:ascii="Times New Roman" w:hAnsi="Times New Roman" w:cs="Times New Roman"/>
          <w:i w:val="0"/>
          <w:sz w:val="24"/>
          <w:szCs w:val="24"/>
        </w:rPr>
        <w:t xml:space="preserve">Multilevel Beta Regression summaries: Odds ratios with 95 percent confidence intervals. Red markers represent statistically significant predictors </w:t>
      </w:r>
      <m:oMath>
        <m:r>
          <w:rPr>
            <w:rFonts w:ascii="Cambria Math" w:hAnsi="Cambria Math" w:cs="Times New Roman"/>
            <w:sz w:val="24"/>
            <w:szCs w:val="24"/>
          </w:rPr>
          <m:t>(p&lt;0.05).</m:t>
        </m:r>
      </m:oMath>
      <w:r w:rsidR="002D26E1" w:rsidRPr="0095607E">
        <w:rPr>
          <w:rFonts w:ascii="Times New Roman" w:hAnsi="Times New Roman" w:cs="Times New Roman"/>
          <w:i w:val="0"/>
          <w:sz w:val="24"/>
          <w:szCs w:val="24"/>
        </w:rPr>
        <w:t xml:space="preserve"> </w:t>
      </w:r>
      <m:oMath>
        <m:r>
          <w:rPr>
            <w:rFonts w:ascii="Cambria Math" w:hAnsi="Cambria Math" w:cs="Times New Roman"/>
            <w:sz w:val="24"/>
            <w:szCs w:val="24"/>
          </w:rPr>
          <m:t>OR&lt;1</m:t>
        </m:r>
      </m:oMath>
      <w:r w:rsidR="002D26E1" w:rsidRPr="0095607E">
        <w:rPr>
          <w:rFonts w:ascii="Times New Roman" w:hAnsi="Times New Roman" w:cs="Times New Roman"/>
          <w:i w:val="0"/>
          <w:sz w:val="24"/>
          <w:szCs w:val="24"/>
        </w:rPr>
        <w:t xml:space="preserve"> means a corresponding proportional decrease in the loss; </w:t>
      </w:r>
      <m:oMath>
        <m:r>
          <w:rPr>
            <w:rFonts w:ascii="Cambria Math" w:hAnsi="Cambria Math" w:cs="Times New Roman"/>
            <w:sz w:val="24"/>
            <w:szCs w:val="24"/>
          </w:rPr>
          <m:t>OR&gt;1</m:t>
        </m:r>
      </m:oMath>
      <w:r w:rsidR="002D26E1" w:rsidRPr="0095607E">
        <w:rPr>
          <w:rFonts w:ascii="Times New Roman" w:hAnsi="Times New Roman" w:cs="Times New Roman"/>
          <w:i w:val="0"/>
          <w:sz w:val="24"/>
          <w:szCs w:val="24"/>
        </w:rPr>
        <w:t xml:space="preserve"> means corresponding proportional increase in the loss.</w:t>
      </w:r>
    </w:p>
    <w:p w14:paraId="5F88D1CF" w14:textId="31981C84" w:rsidR="002D26E1" w:rsidRPr="0095607E" w:rsidRDefault="002D26E1" w:rsidP="003B0C52">
      <w:pPr>
        <w:pStyle w:val="Caption"/>
        <w:rPr>
          <w:rFonts w:ascii="Times New Roman" w:hAnsi="Times New Roman" w:cs="Times New Roman"/>
          <w:b/>
          <w:bCs/>
          <w:color w:val="auto"/>
          <w:sz w:val="24"/>
          <w:szCs w:val="24"/>
        </w:rPr>
      </w:pPr>
      <w:bookmarkStart w:id="22" w:name="_Ref225192372"/>
      <w:bookmarkStart w:id="23" w:name="_Toc225196610"/>
      <w:r w:rsidRPr="0095607E">
        <w:rPr>
          <w:rFonts w:ascii="Times New Roman" w:hAnsi="Times New Roman" w:cs="Times New Roman"/>
          <w:b/>
          <w:bCs/>
          <w:color w:val="auto"/>
          <w:sz w:val="24"/>
          <w:szCs w:val="24"/>
        </w:rPr>
        <w:t xml:space="preserve">Table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Table \* ARABIC </w:instrText>
      </w:r>
      <w:r w:rsidRPr="0095607E">
        <w:rPr>
          <w:rFonts w:ascii="Times New Roman" w:hAnsi="Times New Roman" w:cs="Times New Roman"/>
          <w:b/>
          <w:bCs/>
          <w:color w:val="auto"/>
          <w:sz w:val="24"/>
          <w:szCs w:val="24"/>
        </w:rPr>
        <w:fldChar w:fldCharType="separate"/>
      </w:r>
      <w:r w:rsidR="008A59B2" w:rsidRPr="0095607E">
        <w:rPr>
          <w:rFonts w:ascii="Times New Roman" w:hAnsi="Times New Roman" w:cs="Times New Roman"/>
          <w:b/>
          <w:bCs/>
          <w:noProof/>
          <w:color w:val="auto"/>
          <w:sz w:val="24"/>
          <w:szCs w:val="24"/>
        </w:rPr>
        <w:t>4</w:t>
      </w:r>
      <w:r w:rsidRPr="0095607E">
        <w:rPr>
          <w:rFonts w:ascii="Times New Roman" w:hAnsi="Times New Roman" w:cs="Times New Roman"/>
          <w:b/>
          <w:bCs/>
          <w:color w:val="auto"/>
          <w:sz w:val="24"/>
          <w:szCs w:val="24"/>
        </w:rPr>
        <w:fldChar w:fldCharType="end"/>
      </w:r>
      <w:bookmarkEnd w:id="22"/>
      <w:r w:rsidRPr="0095607E">
        <w:rPr>
          <w:rFonts w:ascii="Times New Roman" w:hAnsi="Times New Roman" w:cs="Times New Roman"/>
          <w:b/>
          <w:bCs/>
          <w:color w:val="auto"/>
          <w:sz w:val="24"/>
          <w:szCs w:val="24"/>
        </w:rPr>
        <w:t>: Multilevel Beta Regression Coefficient Random Effects</w:t>
      </w:r>
      <w:bookmarkEnd w:id="23"/>
    </w:p>
    <w:tbl>
      <w:tblPr>
        <w:tblStyle w:val="TableGrid"/>
        <w:tblW w:w="0" w:type="auto"/>
        <w:jc w:val="center"/>
        <w:tblLook w:val="04A0" w:firstRow="1" w:lastRow="0" w:firstColumn="1" w:lastColumn="0" w:noHBand="0" w:noVBand="1"/>
      </w:tblPr>
      <w:tblGrid>
        <w:gridCol w:w="2595"/>
        <w:gridCol w:w="935"/>
        <w:gridCol w:w="935"/>
        <w:gridCol w:w="935"/>
        <w:gridCol w:w="1051"/>
        <w:gridCol w:w="738"/>
        <w:gridCol w:w="935"/>
        <w:gridCol w:w="1192"/>
      </w:tblGrid>
      <w:tr w:rsidR="002D26E1" w:rsidRPr="0095607E" w14:paraId="744522CD"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EE5DA6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Variable</w:t>
            </w:r>
          </w:p>
        </w:tc>
        <w:tc>
          <w:tcPr>
            <w:tcW w:w="935" w:type="dxa"/>
            <w:tcBorders>
              <w:top w:val="single" w:sz="4" w:space="0" w:color="AAAAAA"/>
              <w:left w:val="nil"/>
              <w:bottom w:val="single" w:sz="4" w:space="0" w:color="AAAAAA"/>
              <w:right w:val="single" w:sz="4" w:space="0" w:color="AAAAAA"/>
            </w:tcBorders>
            <w:vAlign w:val="center"/>
            <w:hideMark/>
          </w:tcPr>
          <w:p w14:paraId="72F9547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β</w:t>
            </w:r>
          </w:p>
        </w:tc>
        <w:tc>
          <w:tcPr>
            <w:tcW w:w="935" w:type="dxa"/>
            <w:tcBorders>
              <w:top w:val="single" w:sz="4" w:space="0" w:color="AAAAAA"/>
              <w:left w:val="nil"/>
              <w:bottom w:val="single" w:sz="4" w:space="0" w:color="AAAAAA"/>
              <w:right w:val="single" w:sz="4" w:space="0" w:color="AAAAAA"/>
            </w:tcBorders>
            <w:vAlign w:val="center"/>
            <w:hideMark/>
          </w:tcPr>
          <w:p w14:paraId="622A8DB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SE</w:t>
            </w:r>
          </w:p>
        </w:tc>
        <w:tc>
          <w:tcPr>
            <w:tcW w:w="935" w:type="dxa"/>
            <w:tcBorders>
              <w:top w:val="single" w:sz="4" w:space="0" w:color="AAAAAA"/>
              <w:left w:val="nil"/>
              <w:bottom w:val="single" w:sz="4" w:space="0" w:color="AAAAAA"/>
              <w:right w:val="single" w:sz="4" w:space="0" w:color="AAAAAA"/>
            </w:tcBorders>
            <w:vAlign w:val="center"/>
            <w:hideMark/>
          </w:tcPr>
          <w:p w14:paraId="158C2EC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z</w:t>
            </w:r>
          </w:p>
        </w:tc>
        <w:tc>
          <w:tcPr>
            <w:tcW w:w="1051" w:type="dxa"/>
            <w:tcBorders>
              <w:top w:val="single" w:sz="4" w:space="0" w:color="AAAAAA"/>
              <w:left w:val="nil"/>
              <w:bottom w:val="single" w:sz="4" w:space="0" w:color="AAAAAA"/>
              <w:right w:val="single" w:sz="4" w:space="0" w:color="AAAAAA"/>
            </w:tcBorders>
            <w:vAlign w:val="center"/>
            <w:hideMark/>
          </w:tcPr>
          <w:p w14:paraId="3DEC4F9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p-value</w:t>
            </w:r>
          </w:p>
        </w:tc>
        <w:tc>
          <w:tcPr>
            <w:tcW w:w="738" w:type="dxa"/>
            <w:tcBorders>
              <w:top w:val="single" w:sz="4" w:space="0" w:color="AAAAAA"/>
              <w:left w:val="nil"/>
              <w:bottom w:val="single" w:sz="4" w:space="0" w:color="AAAAAA"/>
              <w:right w:val="single" w:sz="4" w:space="0" w:color="AAAAAA"/>
            </w:tcBorders>
            <w:vAlign w:val="center"/>
            <w:hideMark/>
          </w:tcPr>
          <w:p w14:paraId="2DB5CA3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Sig.</w:t>
            </w:r>
          </w:p>
        </w:tc>
        <w:tc>
          <w:tcPr>
            <w:tcW w:w="935" w:type="dxa"/>
            <w:tcBorders>
              <w:top w:val="single" w:sz="4" w:space="0" w:color="AAAAAA"/>
              <w:left w:val="nil"/>
              <w:bottom w:val="single" w:sz="4" w:space="0" w:color="AAAAAA"/>
              <w:right w:val="single" w:sz="4" w:space="0" w:color="AAAAAA"/>
            </w:tcBorders>
            <w:vAlign w:val="center"/>
            <w:hideMark/>
          </w:tcPr>
          <w:p w14:paraId="321A831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OR</w:t>
            </w:r>
          </w:p>
        </w:tc>
        <w:tc>
          <w:tcPr>
            <w:tcW w:w="1192" w:type="dxa"/>
            <w:tcBorders>
              <w:top w:val="single" w:sz="4" w:space="0" w:color="AAAAAA"/>
              <w:left w:val="nil"/>
              <w:bottom w:val="single" w:sz="4" w:space="0" w:color="AAAAAA"/>
              <w:right w:val="single" w:sz="4" w:space="0" w:color="AAAAAA"/>
            </w:tcBorders>
            <w:vAlign w:val="center"/>
            <w:hideMark/>
          </w:tcPr>
          <w:p w14:paraId="3E2388D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b/>
              </w:rPr>
              <w:t>ME (pp)</w:t>
            </w:r>
          </w:p>
        </w:tc>
      </w:tr>
      <w:tr w:rsidR="002D26E1" w:rsidRPr="0095607E" w14:paraId="1B24B9C1"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B5500F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(Intercept)</w:t>
            </w:r>
          </w:p>
        </w:tc>
        <w:tc>
          <w:tcPr>
            <w:tcW w:w="935" w:type="dxa"/>
            <w:tcBorders>
              <w:top w:val="single" w:sz="4" w:space="0" w:color="AAAAAA"/>
              <w:left w:val="nil"/>
              <w:bottom w:val="single" w:sz="4" w:space="0" w:color="AAAAAA"/>
              <w:right w:val="single" w:sz="4" w:space="0" w:color="AAAAAA"/>
            </w:tcBorders>
            <w:vAlign w:val="center"/>
            <w:hideMark/>
          </w:tcPr>
          <w:p w14:paraId="2713E71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-0.908</w:t>
            </w:r>
          </w:p>
        </w:tc>
        <w:tc>
          <w:tcPr>
            <w:tcW w:w="935" w:type="dxa"/>
            <w:tcBorders>
              <w:top w:val="single" w:sz="4" w:space="0" w:color="AAAAAA"/>
              <w:left w:val="nil"/>
              <w:bottom w:val="single" w:sz="4" w:space="0" w:color="AAAAAA"/>
              <w:right w:val="single" w:sz="4" w:space="0" w:color="AAAAAA"/>
            </w:tcBorders>
            <w:vAlign w:val="center"/>
            <w:hideMark/>
          </w:tcPr>
          <w:p w14:paraId="4196316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0.052</w:t>
            </w:r>
          </w:p>
        </w:tc>
        <w:tc>
          <w:tcPr>
            <w:tcW w:w="935" w:type="dxa"/>
            <w:tcBorders>
              <w:top w:val="single" w:sz="4" w:space="0" w:color="AAAAAA"/>
              <w:left w:val="nil"/>
              <w:bottom w:val="single" w:sz="4" w:space="0" w:color="AAAAAA"/>
              <w:right w:val="single" w:sz="4" w:space="0" w:color="AAAAAA"/>
            </w:tcBorders>
            <w:vAlign w:val="center"/>
            <w:hideMark/>
          </w:tcPr>
          <w:p w14:paraId="39F13B0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-17.53</w:t>
            </w:r>
          </w:p>
        </w:tc>
        <w:tc>
          <w:tcPr>
            <w:tcW w:w="1051" w:type="dxa"/>
            <w:tcBorders>
              <w:top w:val="single" w:sz="4" w:space="0" w:color="AAAAAA"/>
              <w:left w:val="nil"/>
              <w:bottom w:val="single" w:sz="4" w:space="0" w:color="AAAAAA"/>
              <w:right w:val="single" w:sz="4" w:space="0" w:color="AAAAAA"/>
            </w:tcBorders>
            <w:vAlign w:val="center"/>
            <w:hideMark/>
          </w:tcPr>
          <w:p w14:paraId="7671EE0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0BC6749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77489A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0.403</w:t>
            </w:r>
          </w:p>
        </w:tc>
        <w:tc>
          <w:tcPr>
            <w:tcW w:w="1192" w:type="dxa"/>
            <w:tcBorders>
              <w:top w:val="single" w:sz="4" w:space="0" w:color="AAAAAA"/>
              <w:left w:val="nil"/>
              <w:bottom w:val="single" w:sz="4" w:space="0" w:color="AAAAAA"/>
              <w:right w:val="single" w:sz="4" w:space="0" w:color="AAAAAA"/>
            </w:tcBorders>
            <w:vAlign w:val="center"/>
            <w:hideMark/>
          </w:tcPr>
          <w:p w14:paraId="2CD24EC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r>
      <w:tr w:rsidR="002D26E1" w:rsidRPr="0095607E" w14:paraId="5719BC2F" w14:textId="77777777" w:rsidTr="00DA2D9D">
        <w:trPr>
          <w:trHeight w:val="767"/>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6AF6E0F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Dark room</w:t>
            </w:r>
          </w:p>
        </w:tc>
        <w:tc>
          <w:tcPr>
            <w:tcW w:w="935" w:type="dxa"/>
            <w:tcBorders>
              <w:top w:val="single" w:sz="4" w:space="0" w:color="AAAAAA"/>
              <w:left w:val="nil"/>
              <w:bottom w:val="single" w:sz="4" w:space="0" w:color="AAAAAA"/>
              <w:right w:val="single" w:sz="4" w:space="0" w:color="AAAAAA"/>
            </w:tcBorders>
            <w:vAlign w:val="center"/>
            <w:hideMark/>
          </w:tcPr>
          <w:p w14:paraId="1C20C13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-0.343</w:t>
            </w:r>
          </w:p>
        </w:tc>
        <w:tc>
          <w:tcPr>
            <w:tcW w:w="935" w:type="dxa"/>
            <w:tcBorders>
              <w:top w:val="single" w:sz="4" w:space="0" w:color="AAAAAA"/>
              <w:left w:val="nil"/>
              <w:bottom w:val="single" w:sz="4" w:space="0" w:color="AAAAAA"/>
              <w:right w:val="single" w:sz="4" w:space="0" w:color="AAAAAA"/>
            </w:tcBorders>
            <w:vAlign w:val="center"/>
            <w:hideMark/>
          </w:tcPr>
          <w:p w14:paraId="2FA0327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35" w:type="dxa"/>
            <w:tcBorders>
              <w:top w:val="single" w:sz="4" w:space="0" w:color="AAAAAA"/>
              <w:left w:val="nil"/>
              <w:bottom w:val="single" w:sz="4" w:space="0" w:color="AAAAAA"/>
              <w:right w:val="single" w:sz="4" w:space="0" w:color="AAAAAA"/>
            </w:tcBorders>
            <w:vAlign w:val="center"/>
            <w:hideMark/>
          </w:tcPr>
          <w:p w14:paraId="2FBCEB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-23.41</w:t>
            </w:r>
          </w:p>
        </w:tc>
        <w:tc>
          <w:tcPr>
            <w:tcW w:w="1051" w:type="dxa"/>
            <w:tcBorders>
              <w:top w:val="single" w:sz="4" w:space="0" w:color="AAAAAA"/>
              <w:left w:val="nil"/>
              <w:bottom w:val="single" w:sz="4" w:space="0" w:color="AAAAAA"/>
              <w:right w:val="single" w:sz="4" w:space="0" w:color="AAAAAA"/>
            </w:tcBorders>
            <w:vAlign w:val="center"/>
            <w:hideMark/>
          </w:tcPr>
          <w:p w14:paraId="7DB1D8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2AD518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C1C2BD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0.710</w:t>
            </w:r>
          </w:p>
        </w:tc>
        <w:tc>
          <w:tcPr>
            <w:tcW w:w="1192" w:type="dxa"/>
            <w:tcBorders>
              <w:top w:val="single" w:sz="4" w:space="0" w:color="AAAAAA"/>
              <w:left w:val="nil"/>
              <w:bottom w:val="single" w:sz="4" w:space="0" w:color="AAAAAA"/>
              <w:right w:val="single" w:sz="4" w:space="0" w:color="AAAAAA"/>
            </w:tcBorders>
            <w:vAlign w:val="center"/>
            <w:hideMark/>
          </w:tcPr>
          <w:p w14:paraId="6FCAEE0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-7.44</w:t>
            </w:r>
          </w:p>
        </w:tc>
      </w:tr>
      <w:tr w:rsidR="002D26E1" w:rsidRPr="0095607E" w14:paraId="128D261A"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15541D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Cold storage</w:t>
            </w:r>
          </w:p>
        </w:tc>
        <w:tc>
          <w:tcPr>
            <w:tcW w:w="935" w:type="dxa"/>
            <w:tcBorders>
              <w:top w:val="single" w:sz="4" w:space="0" w:color="AAAAAA"/>
              <w:left w:val="nil"/>
              <w:bottom w:val="single" w:sz="4" w:space="0" w:color="AAAAAA"/>
              <w:right w:val="single" w:sz="4" w:space="0" w:color="AAAAAA"/>
            </w:tcBorders>
            <w:vAlign w:val="center"/>
            <w:hideMark/>
          </w:tcPr>
          <w:p w14:paraId="0ECBF57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-0.602</w:t>
            </w:r>
          </w:p>
        </w:tc>
        <w:tc>
          <w:tcPr>
            <w:tcW w:w="935" w:type="dxa"/>
            <w:tcBorders>
              <w:top w:val="single" w:sz="4" w:space="0" w:color="AAAAAA"/>
              <w:left w:val="nil"/>
              <w:bottom w:val="single" w:sz="4" w:space="0" w:color="AAAAAA"/>
              <w:right w:val="single" w:sz="4" w:space="0" w:color="AAAAAA"/>
            </w:tcBorders>
            <w:vAlign w:val="center"/>
            <w:hideMark/>
          </w:tcPr>
          <w:p w14:paraId="419431E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35" w:type="dxa"/>
            <w:tcBorders>
              <w:top w:val="single" w:sz="4" w:space="0" w:color="AAAAAA"/>
              <w:left w:val="nil"/>
              <w:bottom w:val="single" w:sz="4" w:space="0" w:color="AAAAAA"/>
              <w:right w:val="single" w:sz="4" w:space="0" w:color="AAAAAA"/>
            </w:tcBorders>
            <w:vAlign w:val="center"/>
            <w:hideMark/>
          </w:tcPr>
          <w:p w14:paraId="6D4ACD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-30.31</w:t>
            </w:r>
          </w:p>
        </w:tc>
        <w:tc>
          <w:tcPr>
            <w:tcW w:w="1051" w:type="dxa"/>
            <w:tcBorders>
              <w:top w:val="single" w:sz="4" w:space="0" w:color="AAAAAA"/>
              <w:left w:val="nil"/>
              <w:bottom w:val="single" w:sz="4" w:space="0" w:color="AAAAAA"/>
              <w:right w:val="single" w:sz="4" w:space="0" w:color="AAAAAA"/>
            </w:tcBorders>
            <w:vAlign w:val="center"/>
            <w:hideMark/>
          </w:tcPr>
          <w:p w14:paraId="69CD852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0C79269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1EC971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0.548</w:t>
            </w:r>
          </w:p>
        </w:tc>
        <w:tc>
          <w:tcPr>
            <w:tcW w:w="1192" w:type="dxa"/>
            <w:tcBorders>
              <w:top w:val="single" w:sz="4" w:space="0" w:color="AAAAAA"/>
              <w:left w:val="nil"/>
              <w:bottom w:val="single" w:sz="4" w:space="0" w:color="AAAAAA"/>
              <w:right w:val="single" w:sz="4" w:space="0" w:color="AAAAAA"/>
            </w:tcBorders>
            <w:vAlign w:val="center"/>
            <w:hideMark/>
          </w:tcPr>
          <w:p w14:paraId="3122791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-13.07</w:t>
            </w:r>
          </w:p>
        </w:tc>
      </w:tr>
      <w:tr w:rsidR="002D26E1" w:rsidRPr="0095607E" w14:paraId="43F5DA58"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4BFB81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2–3 weeks</w:t>
            </w:r>
          </w:p>
        </w:tc>
        <w:tc>
          <w:tcPr>
            <w:tcW w:w="935" w:type="dxa"/>
            <w:tcBorders>
              <w:top w:val="single" w:sz="4" w:space="0" w:color="AAAAAA"/>
              <w:left w:val="nil"/>
              <w:bottom w:val="single" w:sz="4" w:space="0" w:color="AAAAAA"/>
              <w:right w:val="single" w:sz="4" w:space="0" w:color="AAAAAA"/>
            </w:tcBorders>
            <w:vAlign w:val="center"/>
            <w:hideMark/>
          </w:tcPr>
          <w:p w14:paraId="0AAD4F1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0.067</w:t>
            </w:r>
          </w:p>
        </w:tc>
        <w:tc>
          <w:tcPr>
            <w:tcW w:w="935" w:type="dxa"/>
            <w:tcBorders>
              <w:top w:val="single" w:sz="4" w:space="0" w:color="AAAAAA"/>
              <w:left w:val="nil"/>
              <w:bottom w:val="single" w:sz="4" w:space="0" w:color="AAAAAA"/>
              <w:right w:val="single" w:sz="4" w:space="0" w:color="AAAAAA"/>
            </w:tcBorders>
            <w:vAlign w:val="center"/>
            <w:hideMark/>
          </w:tcPr>
          <w:p w14:paraId="35C0AD0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0.013</w:t>
            </w:r>
          </w:p>
        </w:tc>
        <w:tc>
          <w:tcPr>
            <w:tcW w:w="935" w:type="dxa"/>
            <w:tcBorders>
              <w:top w:val="single" w:sz="4" w:space="0" w:color="AAAAAA"/>
              <w:left w:val="nil"/>
              <w:bottom w:val="single" w:sz="4" w:space="0" w:color="AAAAAA"/>
              <w:right w:val="single" w:sz="4" w:space="0" w:color="AAAAAA"/>
            </w:tcBorders>
            <w:vAlign w:val="center"/>
            <w:hideMark/>
          </w:tcPr>
          <w:p w14:paraId="3BBAC6C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5.26</w:t>
            </w:r>
          </w:p>
        </w:tc>
        <w:tc>
          <w:tcPr>
            <w:tcW w:w="1051" w:type="dxa"/>
            <w:tcBorders>
              <w:top w:val="single" w:sz="4" w:space="0" w:color="AAAAAA"/>
              <w:left w:val="nil"/>
              <w:bottom w:val="single" w:sz="4" w:space="0" w:color="AAAAAA"/>
              <w:right w:val="single" w:sz="4" w:space="0" w:color="AAAAAA"/>
            </w:tcBorders>
            <w:vAlign w:val="center"/>
            <w:hideMark/>
          </w:tcPr>
          <w:p w14:paraId="0769777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74191DF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2A08C9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1.070</w:t>
            </w:r>
          </w:p>
        </w:tc>
        <w:tc>
          <w:tcPr>
            <w:tcW w:w="1192" w:type="dxa"/>
            <w:tcBorders>
              <w:top w:val="single" w:sz="4" w:space="0" w:color="AAAAAA"/>
              <w:left w:val="nil"/>
              <w:bottom w:val="single" w:sz="4" w:space="0" w:color="AAAAAA"/>
              <w:right w:val="single" w:sz="4" w:space="0" w:color="AAAAAA"/>
            </w:tcBorders>
            <w:vAlign w:val="center"/>
            <w:hideMark/>
          </w:tcPr>
          <w:p w14:paraId="643E454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+1.46</w:t>
            </w:r>
          </w:p>
        </w:tc>
      </w:tr>
      <w:tr w:rsidR="002D26E1" w:rsidRPr="0095607E" w14:paraId="0F147A19"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49C6290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Duration: 3–4 weeks</w:t>
            </w:r>
          </w:p>
        </w:tc>
        <w:tc>
          <w:tcPr>
            <w:tcW w:w="935" w:type="dxa"/>
            <w:tcBorders>
              <w:top w:val="single" w:sz="4" w:space="0" w:color="AAAAAA"/>
              <w:left w:val="nil"/>
              <w:bottom w:val="single" w:sz="4" w:space="0" w:color="AAAAAA"/>
              <w:right w:val="single" w:sz="4" w:space="0" w:color="AAAAAA"/>
            </w:tcBorders>
            <w:vAlign w:val="center"/>
            <w:hideMark/>
          </w:tcPr>
          <w:p w14:paraId="521FC65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0.174</w:t>
            </w:r>
          </w:p>
        </w:tc>
        <w:tc>
          <w:tcPr>
            <w:tcW w:w="935" w:type="dxa"/>
            <w:tcBorders>
              <w:top w:val="single" w:sz="4" w:space="0" w:color="AAAAAA"/>
              <w:left w:val="nil"/>
              <w:bottom w:val="single" w:sz="4" w:space="0" w:color="AAAAAA"/>
              <w:right w:val="single" w:sz="4" w:space="0" w:color="AAAAAA"/>
            </w:tcBorders>
            <w:vAlign w:val="center"/>
            <w:hideMark/>
          </w:tcPr>
          <w:p w14:paraId="280882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0.017</w:t>
            </w:r>
          </w:p>
        </w:tc>
        <w:tc>
          <w:tcPr>
            <w:tcW w:w="935" w:type="dxa"/>
            <w:tcBorders>
              <w:top w:val="single" w:sz="4" w:space="0" w:color="AAAAAA"/>
              <w:left w:val="nil"/>
              <w:bottom w:val="single" w:sz="4" w:space="0" w:color="AAAAAA"/>
              <w:right w:val="single" w:sz="4" w:space="0" w:color="AAAAAA"/>
            </w:tcBorders>
            <w:vAlign w:val="center"/>
            <w:hideMark/>
          </w:tcPr>
          <w:p w14:paraId="69907B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10.03</w:t>
            </w:r>
          </w:p>
        </w:tc>
        <w:tc>
          <w:tcPr>
            <w:tcW w:w="1051" w:type="dxa"/>
            <w:tcBorders>
              <w:top w:val="single" w:sz="4" w:space="0" w:color="AAAAAA"/>
              <w:left w:val="nil"/>
              <w:bottom w:val="single" w:sz="4" w:space="0" w:color="AAAAAA"/>
              <w:right w:val="single" w:sz="4" w:space="0" w:color="AAAAAA"/>
            </w:tcBorders>
            <w:vAlign w:val="center"/>
            <w:hideMark/>
          </w:tcPr>
          <w:p w14:paraId="66E8421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773BBE1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9F9A8B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1.190</w:t>
            </w:r>
          </w:p>
        </w:tc>
        <w:tc>
          <w:tcPr>
            <w:tcW w:w="1192" w:type="dxa"/>
            <w:tcBorders>
              <w:top w:val="single" w:sz="4" w:space="0" w:color="AAAAAA"/>
              <w:left w:val="nil"/>
              <w:bottom w:val="single" w:sz="4" w:space="0" w:color="AAAAAA"/>
              <w:right w:val="single" w:sz="4" w:space="0" w:color="AAAAAA"/>
            </w:tcBorders>
            <w:vAlign w:val="center"/>
            <w:hideMark/>
          </w:tcPr>
          <w:p w14:paraId="09C96AD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+3.77</w:t>
            </w:r>
          </w:p>
        </w:tc>
      </w:tr>
      <w:tr w:rsidR="002D26E1" w:rsidRPr="0095607E" w14:paraId="25FE0208"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F9CC93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lastRenderedPageBreak/>
              <w:t>Duration: &gt; 1 month</w:t>
            </w:r>
          </w:p>
        </w:tc>
        <w:tc>
          <w:tcPr>
            <w:tcW w:w="935" w:type="dxa"/>
            <w:tcBorders>
              <w:top w:val="single" w:sz="4" w:space="0" w:color="AAAAAA"/>
              <w:left w:val="nil"/>
              <w:bottom w:val="single" w:sz="4" w:space="0" w:color="AAAAAA"/>
              <w:right w:val="single" w:sz="4" w:space="0" w:color="AAAAAA"/>
            </w:tcBorders>
            <w:vAlign w:val="center"/>
            <w:hideMark/>
          </w:tcPr>
          <w:p w14:paraId="5CDFAB9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0.217</w:t>
            </w:r>
          </w:p>
        </w:tc>
        <w:tc>
          <w:tcPr>
            <w:tcW w:w="935" w:type="dxa"/>
            <w:tcBorders>
              <w:top w:val="single" w:sz="4" w:space="0" w:color="AAAAAA"/>
              <w:left w:val="nil"/>
              <w:bottom w:val="single" w:sz="4" w:space="0" w:color="AAAAAA"/>
              <w:right w:val="single" w:sz="4" w:space="0" w:color="AAAAAA"/>
            </w:tcBorders>
            <w:vAlign w:val="center"/>
            <w:hideMark/>
          </w:tcPr>
          <w:p w14:paraId="0BC7196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0.021</w:t>
            </w:r>
          </w:p>
        </w:tc>
        <w:tc>
          <w:tcPr>
            <w:tcW w:w="935" w:type="dxa"/>
            <w:tcBorders>
              <w:top w:val="single" w:sz="4" w:space="0" w:color="AAAAAA"/>
              <w:left w:val="nil"/>
              <w:bottom w:val="single" w:sz="4" w:space="0" w:color="AAAAAA"/>
              <w:right w:val="single" w:sz="4" w:space="0" w:color="AAAAAA"/>
            </w:tcBorders>
            <w:vAlign w:val="center"/>
            <w:hideMark/>
          </w:tcPr>
          <w:p w14:paraId="702536F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10.45</w:t>
            </w:r>
          </w:p>
        </w:tc>
        <w:tc>
          <w:tcPr>
            <w:tcW w:w="1051" w:type="dxa"/>
            <w:tcBorders>
              <w:top w:val="single" w:sz="4" w:space="0" w:color="AAAAAA"/>
              <w:left w:val="nil"/>
              <w:bottom w:val="single" w:sz="4" w:space="0" w:color="AAAAAA"/>
              <w:right w:val="single" w:sz="4" w:space="0" w:color="AAAAAA"/>
            </w:tcBorders>
            <w:vAlign w:val="center"/>
            <w:hideMark/>
          </w:tcPr>
          <w:p w14:paraId="5EBA795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32CD25A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32AD3A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1.240</w:t>
            </w:r>
          </w:p>
        </w:tc>
        <w:tc>
          <w:tcPr>
            <w:tcW w:w="1192" w:type="dxa"/>
            <w:tcBorders>
              <w:top w:val="single" w:sz="4" w:space="0" w:color="AAAAAA"/>
              <w:left w:val="nil"/>
              <w:bottom w:val="single" w:sz="4" w:space="0" w:color="AAAAAA"/>
              <w:right w:val="single" w:sz="4" w:space="0" w:color="AAAAAA"/>
            </w:tcBorders>
            <w:vAlign w:val="center"/>
            <w:hideMark/>
          </w:tcPr>
          <w:p w14:paraId="1D06B94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+4.71</w:t>
            </w:r>
          </w:p>
        </w:tc>
      </w:tr>
      <w:tr w:rsidR="002D26E1" w:rsidRPr="0095607E" w14:paraId="2CFE1F0F" w14:textId="77777777" w:rsidTr="00DA2D9D">
        <w:trPr>
          <w:trHeight w:val="767"/>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1CA0AA5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Chemical use (Yes)</w:t>
            </w:r>
          </w:p>
        </w:tc>
        <w:tc>
          <w:tcPr>
            <w:tcW w:w="935" w:type="dxa"/>
            <w:tcBorders>
              <w:top w:val="single" w:sz="4" w:space="0" w:color="AAAAAA"/>
              <w:left w:val="nil"/>
              <w:bottom w:val="single" w:sz="4" w:space="0" w:color="AAAAAA"/>
              <w:right w:val="single" w:sz="4" w:space="0" w:color="AAAAAA"/>
            </w:tcBorders>
            <w:vAlign w:val="center"/>
            <w:hideMark/>
          </w:tcPr>
          <w:p w14:paraId="5AB3F01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-0.098</w:t>
            </w:r>
          </w:p>
        </w:tc>
        <w:tc>
          <w:tcPr>
            <w:tcW w:w="935" w:type="dxa"/>
            <w:tcBorders>
              <w:top w:val="single" w:sz="4" w:space="0" w:color="AAAAAA"/>
              <w:left w:val="nil"/>
              <w:bottom w:val="single" w:sz="4" w:space="0" w:color="AAAAAA"/>
              <w:right w:val="single" w:sz="4" w:space="0" w:color="AAAAAA"/>
            </w:tcBorders>
            <w:vAlign w:val="center"/>
            <w:hideMark/>
          </w:tcPr>
          <w:p w14:paraId="440DD74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0.014</w:t>
            </w:r>
          </w:p>
        </w:tc>
        <w:tc>
          <w:tcPr>
            <w:tcW w:w="935" w:type="dxa"/>
            <w:tcBorders>
              <w:top w:val="single" w:sz="4" w:space="0" w:color="AAAAAA"/>
              <w:left w:val="nil"/>
              <w:bottom w:val="single" w:sz="4" w:space="0" w:color="AAAAAA"/>
              <w:right w:val="single" w:sz="4" w:space="0" w:color="AAAAAA"/>
            </w:tcBorders>
            <w:vAlign w:val="center"/>
            <w:hideMark/>
          </w:tcPr>
          <w:p w14:paraId="6208987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-7.21</w:t>
            </w:r>
          </w:p>
        </w:tc>
        <w:tc>
          <w:tcPr>
            <w:tcW w:w="1051" w:type="dxa"/>
            <w:tcBorders>
              <w:top w:val="single" w:sz="4" w:space="0" w:color="AAAAAA"/>
              <w:left w:val="nil"/>
              <w:bottom w:val="single" w:sz="4" w:space="0" w:color="AAAAAA"/>
              <w:right w:val="single" w:sz="4" w:space="0" w:color="AAAAAA"/>
            </w:tcBorders>
            <w:vAlign w:val="center"/>
            <w:hideMark/>
          </w:tcPr>
          <w:p w14:paraId="7ECE90C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55952A4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684266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0.907</w:t>
            </w:r>
          </w:p>
        </w:tc>
        <w:tc>
          <w:tcPr>
            <w:tcW w:w="1192" w:type="dxa"/>
            <w:tcBorders>
              <w:top w:val="single" w:sz="4" w:space="0" w:color="AAAAAA"/>
              <w:left w:val="nil"/>
              <w:bottom w:val="single" w:sz="4" w:space="0" w:color="AAAAAA"/>
              <w:right w:val="single" w:sz="4" w:space="0" w:color="AAAAAA"/>
            </w:tcBorders>
            <w:vAlign w:val="center"/>
            <w:hideMark/>
          </w:tcPr>
          <w:p w14:paraId="26C34A1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-2.12</w:t>
            </w:r>
          </w:p>
        </w:tc>
      </w:tr>
      <w:tr w:rsidR="002D26E1" w:rsidRPr="0095607E" w14:paraId="09DF3B10"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BFA5FF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Extension training (Yes)</w:t>
            </w:r>
          </w:p>
        </w:tc>
        <w:tc>
          <w:tcPr>
            <w:tcW w:w="935" w:type="dxa"/>
            <w:tcBorders>
              <w:top w:val="single" w:sz="4" w:space="0" w:color="AAAAAA"/>
              <w:left w:val="nil"/>
              <w:bottom w:val="single" w:sz="4" w:space="0" w:color="AAAAAA"/>
              <w:right w:val="single" w:sz="4" w:space="0" w:color="AAAAAA"/>
            </w:tcBorders>
            <w:vAlign w:val="center"/>
            <w:hideMark/>
          </w:tcPr>
          <w:p w14:paraId="3F402E3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-0.059</w:t>
            </w:r>
          </w:p>
        </w:tc>
        <w:tc>
          <w:tcPr>
            <w:tcW w:w="935" w:type="dxa"/>
            <w:tcBorders>
              <w:top w:val="single" w:sz="4" w:space="0" w:color="AAAAAA"/>
              <w:left w:val="nil"/>
              <w:bottom w:val="single" w:sz="4" w:space="0" w:color="AAAAAA"/>
              <w:right w:val="single" w:sz="4" w:space="0" w:color="AAAAAA"/>
            </w:tcBorders>
            <w:vAlign w:val="center"/>
            <w:hideMark/>
          </w:tcPr>
          <w:p w14:paraId="1C39E99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0.011</w:t>
            </w:r>
          </w:p>
        </w:tc>
        <w:tc>
          <w:tcPr>
            <w:tcW w:w="935" w:type="dxa"/>
            <w:tcBorders>
              <w:top w:val="single" w:sz="4" w:space="0" w:color="AAAAAA"/>
              <w:left w:val="nil"/>
              <w:bottom w:val="single" w:sz="4" w:space="0" w:color="AAAAAA"/>
              <w:right w:val="single" w:sz="4" w:space="0" w:color="AAAAAA"/>
            </w:tcBorders>
            <w:vAlign w:val="center"/>
            <w:hideMark/>
          </w:tcPr>
          <w:p w14:paraId="74C432F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-5.36</w:t>
            </w:r>
          </w:p>
        </w:tc>
        <w:tc>
          <w:tcPr>
            <w:tcW w:w="1051" w:type="dxa"/>
            <w:tcBorders>
              <w:top w:val="single" w:sz="4" w:space="0" w:color="AAAAAA"/>
              <w:left w:val="nil"/>
              <w:bottom w:val="single" w:sz="4" w:space="0" w:color="AAAAAA"/>
              <w:right w:val="single" w:sz="4" w:space="0" w:color="AAAAAA"/>
            </w:tcBorders>
            <w:vAlign w:val="center"/>
            <w:hideMark/>
          </w:tcPr>
          <w:p w14:paraId="25E4A63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4FC88BE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BACF30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0.942</w:t>
            </w:r>
          </w:p>
        </w:tc>
        <w:tc>
          <w:tcPr>
            <w:tcW w:w="1192" w:type="dxa"/>
            <w:tcBorders>
              <w:top w:val="single" w:sz="4" w:space="0" w:color="AAAAAA"/>
              <w:left w:val="nil"/>
              <w:bottom w:val="single" w:sz="4" w:space="0" w:color="AAAAAA"/>
              <w:right w:val="single" w:sz="4" w:space="0" w:color="AAAAAA"/>
            </w:tcBorders>
            <w:vAlign w:val="center"/>
            <w:hideMark/>
          </w:tcPr>
          <w:p w14:paraId="14F4AEB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-1.29</w:t>
            </w:r>
          </w:p>
        </w:tc>
      </w:tr>
      <w:tr w:rsidR="002D26E1" w:rsidRPr="0095607E" w14:paraId="0B8C56D7"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53E9781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6–10 km</w:t>
            </w:r>
          </w:p>
        </w:tc>
        <w:tc>
          <w:tcPr>
            <w:tcW w:w="935" w:type="dxa"/>
            <w:tcBorders>
              <w:top w:val="single" w:sz="4" w:space="0" w:color="AAAAAA"/>
              <w:left w:val="nil"/>
              <w:bottom w:val="single" w:sz="4" w:space="0" w:color="AAAAAA"/>
              <w:right w:val="single" w:sz="4" w:space="0" w:color="AAAAAA"/>
            </w:tcBorders>
            <w:vAlign w:val="center"/>
            <w:hideMark/>
          </w:tcPr>
          <w:p w14:paraId="3EB16C7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0.091</w:t>
            </w:r>
          </w:p>
        </w:tc>
        <w:tc>
          <w:tcPr>
            <w:tcW w:w="935" w:type="dxa"/>
            <w:tcBorders>
              <w:top w:val="single" w:sz="4" w:space="0" w:color="AAAAAA"/>
              <w:left w:val="nil"/>
              <w:bottom w:val="single" w:sz="4" w:space="0" w:color="AAAAAA"/>
              <w:right w:val="single" w:sz="4" w:space="0" w:color="AAAAAA"/>
            </w:tcBorders>
            <w:vAlign w:val="center"/>
            <w:hideMark/>
          </w:tcPr>
          <w:p w14:paraId="379BD89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0.013</w:t>
            </w:r>
          </w:p>
        </w:tc>
        <w:tc>
          <w:tcPr>
            <w:tcW w:w="935" w:type="dxa"/>
            <w:tcBorders>
              <w:top w:val="single" w:sz="4" w:space="0" w:color="AAAAAA"/>
              <w:left w:val="nil"/>
              <w:bottom w:val="single" w:sz="4" w:space="0" w:color="AAAAAA"/>
              <w:right w:val="single" w:sz="4" w:space="0" w:color="AAAAAA"/>
            </w:tcBorders>
            <w:vAlign w:val="center"/>
            <w:hideMark/>
          </w:tcPr>
          <w:p w14:paraId="70D1093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6.78</w:t>
            </w:r>
          </w:p>
        </w:tc>
        <w:tc>
          <w:tcPr>
            <w:tcW w:w="1051" w:type="dxa"/>
            <w:tcBorders>
              <w:top w:val="single" w:sz="4" w:space="0" w:color="AAAAAA"/>
              <w:left w:val="nil"/>
              <w:bottom w:val="single" w:sz="4" w:space="0" w:color="AAAAAA"/>
              <w:right w:val="single" w:sz="4" w:space="0" w:color="AAAAAA"/>
            </w:tcBorders>
            <w:vAlign w:val="center"/>
            <w:hideMark/>
          </w:tcPr>
          <w:p w14:paraId="1E5CA16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62A905C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95035F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1.100</w:t>
            </w:r>
          </w:p>
        </w:tc>
        <w:tc>
          <w:tcPr>
            <w:tcW w:w="1192" w:type="dxa"/>
            <w:tcBorders>
              <w:top w:val="single" w:sz="4" w:space="0" w:color="AAAAAA"/>
              <w:left w:val="nil"/>
              <w:bottom w:val="single" w:sz="4" w:space="0" w:color="AAAAAA"/>
              <w:right w:val="single" w:sz="4" w:space="0" w:color="AAAAAA"/>
            </w:tcBorders>
            <w:vAlign w:val="center"/>
            <w:hideMark/>
          </w:tcPr>
          <w:p w14:paraId="6533B3F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+1.98</w:t>
            </w:r>
          </w:p>
        </w:tc>
      </w:tr>
      <w:tr w:rsidR="002D26E1" w:rsidRPr="0095607E" w14:paraId="09D0DB0C"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1EC217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 &gt; 10 km</w:t>
            </w:r>
          </w:p>
        </w:tc>
        <w:tc>
          <w:tcPr>
            <w:tcW w:w="935" w:type="dxa"/>
            <w:tcBorders>
              <w:top w:val="single" w:sz="4" w:space="0" w:color="AAAAAA"/>
              <w:left w:val="nil"/>
              <w:bottom w:val="single" w:sz="4" w:space="0" w:color="AAAAAA"/>
              <w:right w:val="single" w:sz="4" w:space="0" w:color="AAAAAA"/>
            </w:tcBorders>
            <w:vAlign w:val="center"/>
            <w:hideMark/>
          </w:tcPr>
          <w:p w14:paraId="7ACD98C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0.146</w:t>
            </w:r>
          </w:p>
        </w:tc>
        <w:tc>
          <w:tcPr>
            <w:tcW w:w="935" w:type="dxa"/>
            <w:tcBorders>
              <w:top w:val="single" w:sz="4" w:space="0" w:color="AAAAAA"/>
              <w:left w:val="nil"/>
              <w:bottom w:val="single" w:sz="4" w:space="0" w:color="AAAAAA"/>
              <w:right w:val="single" w:sz="4" w:space="0" w:color="AAAAAA"/>
            </w:tcBorders>
            <w:vAlign w:val="center"/>
            <w:hideMark/>
          </w:tcPr>
          <w:p w14:paraId="3C6A87A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0.015</w:t>
            </w:r>
          </w:p>
        </w:tc>
        <w:tc>
          <w:tcPr>
            <w:tcW w:w="935" w:type="dxa"/>
            <w:tcBorders>
              <w:top w:val="single" w:sz="4" w:space="0" w:color="AAAAAA"/>
              <w:left w:val="nil"/>
              <w:bottom w:val="single" w:sz="4" w:space="0" w:color="AAAAAA"/>
              <w:right w:val="single" w:sz="4" w:space="0" w:color="AAAAAA"/>
            </w:tcBorders>
            <w:vAlign w:val="center"/>
            <w:hideMark/>
          </w:tcPr>
          <w:p w14:paraId="5DE39DA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9.73</w:t>
            </w:r>
          </w:p>
        </w:tc>
        <w:tc>
          <w:tcPr>
            <w:tcW w:w="1051" w:type="dxa"/>
            <w:tcBorders>
              <w:top w:val="single" w:sz="4" w:space="0" w:color="AAAAAA"/>
              <w:left w:val="nil"/>
              <w:bottom w:val="single" w:sz="4" w:space="0" w:color="AAAAAA"/>
              <w:right w:val="single" w:sz="4" w:space="0" w:color="AAAAAA"/>
            </w:tcBorders>
            <w:vAlign w:val="center"/>
            <w:hideMark/>
          </w:tcPr>
          <w:p w14:paraId="0025385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2EF00FF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4AA0675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1.160</w:t>
            </w:r>
          </w:p>
        </w:tc>
        <w:tc>
          <w:tcPr>
            <w:tcW w:w="1192" w:type="dxa"/>
            <w:tcBorders>
              <w:top w:val="single" w:sz="4" w:space="0" w:color="AAAAAA"/>
              <w:left w:val="nil"/>
              <w:bottom w:val="single" w:sz="4" w:space="0" w:color="AAAAAA"/>
              <w:right w:val="single" w:sz="4" w:space="0" w:color="AAAAAA"/>
            </w:tcBorders>
            <w:vAlign w:val="center"/>
            <w:hideMark/>
          </w:tcPr>
          <w:p w14:paraId="06A883B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+3.17</w:t>
            </w:r>
          </w:p>
        </w:tc>
      </w:tr>
      <w:tr w:rsidR="002D26E1" w:rsidRPr="0095607E" w14:paraId="5F04AEC1"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2C70024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impact (severity)</w:t>
            </w:r>
          </w:p>
        </w:tc>
        <w:tc>
          <w:tcPr>
            <w:tcW w:w="935" w:type="dxa"/>
            <w:tcBorders>
              <w:top w:val="single" w:sz="4" w:space="0" w:color="AAAAAA"/>
              <w:left w:val="nil"/>
              <w:bottom w:val="single" w:sz="4" w:space="0" w:color="AAAAAA"/>
              <w:right w:val="single" w:sz="4" w:space="0" w:color="AAAAAA"/>
            </w:tcBorders>
            <w:vAlign w:val="center"/>
            <w:hideMark/>
          </w:tcPr>
          <w:p w14:paraId="60130F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0.072</w:t>
            </w:r>
          </w:p>
        </w:tc>
        <w:tc>
          <w:tcPr>
            <w:tcW w:w="935" w:type="dxa"/>
            <w:tcBorders>
              <w:top w:val="single" w:sz="4" w:space="0" w:color="AAAAAA"/>
              <w:left w:val="nil"/>
              <w:bottom w:val="single" w:sz="4" w:space="0" w:color="AAAAAA"/>
              <w:right w:val="single" w:sz="4" w:space="0" w:color="AAAAAA"/>
            </w:tcBorders>
            <w:vAlign w:val="center"/>
            <w:hideMark/>
          </w:tcPr>
          <w:p w14:paraId="5638B34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0.012</w:t>
            </w:r>
          </w:p>
        </w:tc>
        <w:tc>
          <w:tcPr>
            <w:tcW w:w="935" w:type="dxa"/>
            <w:tcBorders>
              <w:top w:val="single" w:sz="4" w:space="0" w:color="AAAAAA"/>
              <w:left w:val="nil"/>
              <w:bottom w:val="single" w:sz="4" w:space="0" w:color="AAAAAA"/>
              <w:right w:val="single" w:sz="4" w:space="0" w:color="AAAAAA"/>
            </w:tcBorders>
            <w:vAlign w:val="center"/>
            <w:hideMark/>
          </w:tcPr>
          <w:p w14:paraId="584213B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5.84</w:t>
            </w:r>
          </w:p>
        </w:tc>
        <w:tc>
          <w:tcPr>
            <w:tcW w:w="1051" w:type="dxa"/>
            <w:tcBorders>
              <w:top w:val="single" w:sz="4" w:space="0" w:color="AAAAAA"/>
              <w:left w:val="nil"/>
              <w:bottom w:val="single" w:sz="4" w:space="0" w:color="AAAAAA"/>
              <w:right w:val="single" w:sz="4" w:space="0" w:color="AAAAAA"/>
            </w:tcBorders>
            <w:vAlign w:val="center"/>
            <w:hideMark/>
          </w:tcPr>
          <w:p w14:paraId="79FB2F6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3456F0D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662415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1.080</w:t>
            </w:r>
          </w:p>
        </w:tc>
        <w:tc>
          <w:tcPr>
            <w:tcW w:w="1192" w:type="dxa"/>
            <w:tcBorders>
              <w:top w:val="single" w:sz="4" w:space="0" w:color="AAAAAA"/>
              <w:left w:val="nil"/>
              <w:bottom w:val="single" w:sz="4" w:space="0" w:color="AAAAAA"/>
              <w:right w:val="single" w:sz="4" w:space="0" w:color="AAAAAA"/>
            </w:tcBorders>
            <w:vAlign w:val="center"/>
            <w:hideMark/>
          </w:tcPr>
          <w:p w14:paraId="0271B3A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+1.57</w:t>
            </w:r>
          </w:p>
        </w:tc>
      </w:tr>
      <w:tr w:rsidR="002D26E1" w:rsidRPr="0095607E" w14:paraId="7598062E" w14:textId="77777777" w:rsidTr="00DA2D9D">
        <w:trPr>
          <w:trHeight w:val="383"/>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51B113B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Primary</w:t>
            </w:r>
          </w:p>
        </w:tc>
        <w:tc>
          <w:tcPr>
            <w:tcW w:w="935" w:type="dxa"/>
            <w:tcBorders>
              <w:top w:val="single" w:sz="4" w:space="0" w:color="AAAAAA"/>
              <w:left w:val="nil"/>
              <w:bottom w:val="single" w:sz="4" w:space="0" w:color="AAAAAA"/>
              <w:right w:val="single" w:sz="4" w:space="0" w:color="AAAAAA"/>
            </w:tcBorders>
            <w:vAlign w:val="center"/>
            <w:hideMark/>
          </w:tcPr>
          <w:p w14:paraId="114DDF5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0.027</w:t>
            </w:r>
          </w:p>
        </w:tc>
        <w:tc>
          <w:tcPr>
            <w:tcW w:w="935" w:type="dxa"/>
            <w:tcBorders>
              <w:top w:val="single" w:sz="4" w:space="0" w:color="AAAAAA"/>
              <w:left w:val="nil"/>
              <w:bottom w:val="single" w:sz="4" w:space="0" w:color="AAAAAA"/>
              <w:right w:val="single" w:sz="4" w:space="0" w:color="AAAAAA"/>
            </w:tcBorders>
            <w:vAlign w:val="center"/>
            <w:hideMark/>
          </w:tcPr>
          <w:p w14:paraId="737D1B1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2185141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1.71</w:t>
            </w:r>
          </w:p>
        </w:tc>
        <w:tc>
          <w:tcPr>
            <w:tcW w:w="1051" w:type="dxa"/>
            <w:tcBorders>
              <w:top w:val="single" w:sz="4" w:space="0" w:color="AAAAAA"/>
              <w:left w:val="nil"/>
              <w:bottom w:val="single" w:sz="4" w:space="0" w:color="AAAAAA"/>
              <w:right w:val="single" w:sz="4" w:space="0" w:color="AAAAAA"/>
            </w:tcBorders>
            <w:vAlign w:val="center"/>
            <w:hideMark/>
          </w:tcPr>
          <w:p w14:paraId="09600B2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0.087</w:t>
            </w:r>
          </w:p>
        </w:tc>
        <w:tc>
          <w:tcPr>
            <w:tcW w:w="738" w:type="dxa"/>
            <w:tcBorders>
              <w:top w:val="single" w:sz="4" w:space="0" w:color="AAAAAA"/>
              <w:left w:val="nil"/>
              <w:bottom w:val="single" w:sz="4" w:space="0" w:color="AAAAAA"/>
              <w:right w:val="single" w:sz="4" w:space="0" w:color="AAAAAA"/>
            </w:tcBorders>
            <w:vAlign w:val="center"/>
            <w:hideMark/>
          </w:tcPr>
          <w:p w14:paraId="4497858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3EA105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1.030</w:t>
            </w:r>
          </w:p>
        </w:tc>
        <w:tc>
          <w:tcPr>
            <w:tcW w:w="1192" w:type="dxa"/>
            <w:tcBorders>
              <w:top w:val="single" w:sz="4" w:space="0" w:color="AAAAAA"/>
              <w:left w:val="nil"/>
              <w:bottom w:val="single" w:sz="4" w:space="0" w:color="AAAAAA"/>
              <w:right w:val="single" w:sz="4" w:space="0" w:color="AAAAAA"/>
            </w:tcBorders>
            <w:vAlign w:val="center"/>
            <w:hideMark/>
          </w:tcPr>
          <w:p w14:paraId="4580B47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+0.59</w:t>
            </w:r>
          </w:p>
        </w:tc>
      </w:tr>
      <w:tr w:rsidR="002D26E1" w:rsidRPr="0095607E" w14:paraId="1536D25C"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6432017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Secondary</w:t>
            </w:r>
          </w:p>
        </w:tc>
        <w:tc>
          <w:tcPr>
            <w:tcW w:w="935" w:type="dxa"/>
            <w:tcBorders>
              <w:top w:val="single" w:sz="4" w:space="0" w:color="AAAAAA"/>
              <w:left w:val="nil"/>
              <w:bottom w:val="single" w:sz="4" w:space="0" w:color="AAAAAA"/>
              <w:right w:val="single" w:sz="4" w:space="0" w:color="AAAAAA"/>
            </w:tcBorders>
            <w:vAlign w:val="center"/>
            <w:hideMark/>
          </w:tcPr>
          <w:p w14:paraId="6D6EAAF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49A187D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0.016</w:t>
            </w:r>
          </w:p>
        </w:tc>
        <w:tc>
          <w:tcPr>
            <w:tcW w:w="935" w:type="dxa"/>
            <w:tcBorders>
              <w:top w:val="single" w:sz="4" w:space="0" w:color="AAAAAA"/>
              <w:left w:val="nil"/>
              <w:bottom w:val="single" w:sz="4" w:space="0" w:color="AAAAAA"/>
              <w:right w:val="single" w:sz="4" w:space="0" w:color="AAAAAA"/>
            </w:tcBorders>
            <w:vAlign w:val="center"/>
            <w:hideMark/>
          </w:tcPr>
          <w:p w14:paraId="54E43ED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1.04</w:t>
            </w:r>
          </w:p>
        </w:tc>
        <w:tc>
          <w:tcPr>
            <w:tcW w:w="1051" w:type="dxa"/>
            <w:tcBorders>
              <w:top w:val="single" w:sz="4" w:space="0" w:color="AAAAAA"/>
              <w:left w:val="nil"/>
              <w:bottom w:val="single" w:sz="4" w:space="0" w:color="AAAAAA"/>
              <w:right w:val="single" w:sz="4" w:space="0" w:color="AAAAAA"/>
            </w:tcBorders>
            <w:vAlign w:val="center"/>
            <w:hideMark/>
          </w:tcPr>
          <w:p w14:paraId="534C40E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0.298</w:t>
            </w:r>
          </w:p>
        </w:tc>
        <w:tc>
          <w:tcPr>
            <w:tcW w:w="738" w:type="dxa"/>
            <w:tcBorders>
              <w:top w:val="single" w:sz="4" w:space="0" w:color="AAAAAA"/>
              <w:left w:val="nil"/>
              <w:bottom w:val="single" w:sz="4" w:space="0" w:color="AAAAAA"/>
              <w:right w:val="single" w:sz="4" w:space="0" w:color="AAAAAA"/>
            </w:tcBorders>
            <w:vAlign w:val="center"/>
            <w:hideMark/>
          </w:tcPr>
          <w:p w14:paraId="2F62ECF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0129435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1.020</w:t>
            </w:r>
          </w:p>
        </w:tc>
        <w:tc>
          <w:tcPr>
            <w:tcW w:w="1192" w:type="dxa"/>
            <w:tcBorders>
              <w:top w:val="single" w:sz="4" w:space="0" w:color="AAAAAA"/>
              <w:left w:val="nil"/>
              <w:bottom w:val="single" w:sz="4" w:space="0" w:color="AAAAAA"/>
              <w:right w:val="single" w:sz="4" w:space="0" w:color="AAAAAA"/>
            </w:tcBorders>
            <w:vAlign w:val="center"/>
            <w:hideMark/>
          </w:tcPr>
          <w:p w14:paraId="2708BC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+0.35</w:t>
            </w:r>
          </w:p>
        </w:tc>
      </w:tr>
      <w:tr w:rsidR="002D26E1" w:rsidRPr="0095607E" w14:paraId="6BDF6930" w14:textId="77777777" w:rsidTr="00DA2D9D">
        <w:trPr>
          <w:trHeight w:val="383"/>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330BD9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Tertiary</w:t>
            </w:r>
          </w:p>
        </w:tc>
        <w:tc>
          <w:tcPr>
            <w:tcW w:w="935" w:type="dxa"/>
            <w:tcBorders>
              <w:top w:val="single" w:sz="4" w:space="0" w:color="AAAAAA"/>
              <w:left w:val="nil"/>
              <w:bottom w:val="single" w:sz="4" w:space="0" w:color="AAAAAA"/>
              <w:right w:val="single" w:sz="4" w:space="0" w:color="AAAAAA"/>
            </w:tcBorders>
            <w:vAlign w:val="center"/>
            <w:hideMark/>
          </w:tcPr>
          <w:p w14:paraId="2FE5575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0.033</w:t>
            </w:r>
          </w:p>
        </w:tc>
        <w:tc>
          <w:tcPr>
            <w:tcW w:w="935" w:type="dxa"/>
            <w:tcBorders>
              <w:top w:val="single" w:sz="4" w:space="0" w:color="AAAAAA"/>
              <w:left w:val="nil"/>
              <w:bottom w:val="single" w:sz="4" w:space="0" w:color="AAAAAA"/>
              <w:right w:val="single" w:sz="4" w:space="0" w:color="AAAAAA"/>
            </w:tcBorders>
            <w:vAlign w:val="center"/>
            <w:hideMark/>
          </w:tcPr>
          <w:p w14:paraId="0C54061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0.020</w:t>
            </w:r>
          </w:p>
        </w:tc>
        <w:tc>
          <w:tcPr>
            <w:tcW w:w="935" w:type="dxa"/>
            <w:tcBorders>
              <w:top w:val="single" w:sz="4" w:space="0" w:color="AAAAAA"/>
              <w:left w:val="nil"/>
              <w:bottom w:val="single" w:sz="4" w:space="0" w:color="AAAAAA"/>
              <w:right w:val="single" w:sz="4" w:space="0" w:color="AAAAAA"/>
            </w:tcBorders>
            <w:vAlign w:val="center"/>
            <w:hideMark/>
          </w:tcPr>
          <w:p w14:paraId="0E7B3CC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1.63</w:t>
            </w:r>
          </w:p>
        </w:tc>
        <w:tc>
          <w:tcPr>
            <w:tcW w:w="1051" w:type="dxa"/>
            <w:tcBorders>
              <w:top w:val="single" w:sz="4" w:space="0" w:color="AAAAAA"/>
              <w:left w:val="nil"/>
              <w:bottom w:val="single" w:sz="4" w:space="0" w:color="AAAAAA"/>
              <w:right w:val="single" w:sz="4" w:space="0" w:color="AAAAAA"/>
            </w:tcBorders>
            <w:vAlign w:val="center"/>
            <w:hideMark/>
          </w:tcPr>
          <w:p w14:paraId="28D7B1F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0.102</w:t>
            </w:r>
          </w:p>
        </w:tc>
        <w:tc>
          <w:tcPr>
            <w:tcW w:w="738" w:type="dxa"/>
            <w:tcBorders>
              <w:top w:val="single" w:sz="4" w:space="0" w:color="AAAAAA"/>
              <w:left w:val="nil"/>
              <w:bottom w:val="single" w:sz="4" w:space="0" w:color="AAAAAA"/>
              <w:right w:val="single" w:sz="4" w:space="0" w:color="AAAAAA"/>
            </w:tcBorders>
            <w:vAlign w:val="center"/>
            <w:hideMark/>
          </w:tcPr>
          <w:p w14:paraId="75D39E2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52684D2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1.030</w:t>
            </w:r>
          </w:p>
        </w:tc>
        <w:tc>
          <w:tcPr>
            <w:tcW w:w="1192" w:type="dxa"/>
            <w:tcBorders>
              <w:top w:val="single" w:sz="4" w:space="0" w:color="AAAAAA"/>
              <w:left w:val="nil"/>
              <w:bottom w:val="single" w:sz="4" w:space="0" w:color="AAAAAA"/>
              <w:right w:val="single" w:sz="4" w:space="0" w:color="AAAAAA"/>
            </w:tcBorders>
            <w:vAlign w:val="center"/>
            <w:hideMark/>
          </w:tcPr>
          <w:p w14:paraId="066500E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+0.72</w:t>
            </w:r>
          </w:p>
        </w:tc>
      </w:tr>
      <w:tr w:rsidR="002D26E1" w:rsidRPr="0095607E" w14:paraId="3503ECDE"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4D352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Truck</w:t>
            </w:r>
          </w:p>
        </w:tc>
        <w:tc>
          <w:tcPr>
            <w:tcW w:w="935" w:type="dxa"/>
            <w:tcBorders>
              <w:top w:val="single" w:sz="4" w:space="0" w:color="AAAAAA"/>
              <w:left w:val="nil"/>
              <w:bottom w:val="single" w:sz="4" w:space="0" w:color="AAAAAA"/>
              <w:right w:val="single" w:sz="4" w:space="0" w:color="AAAAAA"/>
            </w:tcBorders>
            <w:vAlign w:val="center"/>
            <w:hideMark/>
          </w:tcPr>
          <w:p w14:paraId="6A032B1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-0.056</w:t>
            </w:r>
          </w:p>
        </w:tc>
        <w:tc>
          <w:tcPr>
            <w:tcW w:w="935" w:type="dxa"/>
            <w:tcBorders>
              <w:top w:val="single" w:sz="4" w:space="0" w:color="AAAAAA"/>
              <w:left w:val="nil"/>
              <w:bottom w:val="single" w:sz="4" w:space="0" w:color="AAAAAA"/>
              <w:right w:val="single" w:sz="4" w:space="0" w:color="AAAAAA"/>
            </w:tcBorders>
            <w:vAlign w:val="center"/>
            <w:hideMark/>
          </w:tcPr>
          <w:p w14:paraId="1698B62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0.011</w:t>
            </w:r>
          </w:p>
        </w:tc>
        <w:tc>
          <w:tcPr>
            <w:tcW w:w="935" w:type="dxa"/>
            <w:tcBorders>
              <w:top w:val="single" w:sz="4" w:space="0" w:color="AAAAAA"/>
              <w:left w:val="nil"/>
              <w:bottom w:val="single" w:sz="4" w:space="0" w:color="AAAAAA"/>
              <w:right w:val="single" w:sz="4" w:space="0" w:color="AAAAAA"/>
            </w:tcBorders>
            <w:vAlign w:val="center"/>
            <w:hideMark/>
          </w:tcPr>
          <w:p w14:paraId="7B908A6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-5.20</w:t>
            </w:r>
          </w:p>
        </w:tc>
        <w:tc>
          <w:tcPr>
            <w:tcW w:w="1051" w:type="dxa"/>
            <w:tcBorders>
              <w:top w:val="single" w:sz="4" w:space="0" w:color="AAAAAA"/>
              <w:left w:val="nil"/>
              <w:bottom w:val="single" w:sz="4" w:space="0" w:color="AAAAAA"/>
              <w:right w:val="single" w:sz="4" w:space="0" w:color="AAAAAA"/>
            </w:tcBorders>
            <w:vAlign w:val="center"/>
            <w:hideMark/>
          </w:tcPr>
          <w:p w14:paraId="731A468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738" w:type="dxa"/>
            <w:tcBorders>
              <w:top w:val="single" w:sz="4" w:space="0" w:color="AAAAAA"/>
              <w:left w:val="nil"/>
              <w:bottom w:val="single" w:sz="4" w:space="0" w:color="AAAAAA"/>
              <w:right w:val="single" w:sz="4" w:space="0" w:color="AAAAAA"/>
            </w:tcBorders>
            <w:vAlign w:val="center"/>
            <w:hideMark/>
          </w:tcPr>
          <w:p w14:paraId="5211141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743CAF3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0.945</w:t>
            </w:r>
          </w:p>
        </w:tc>
        <w:tc>
          <w:tcPr>
            <w:tcW w:w="1192" w:type="dxa"/>
            <w:tcBorders>
              <w:top w:val="single" w:sz="4" w:space="0" w:color="AAAAAA"/>
              <w:left w:val="nil"/>
              <w:bottom w:val="single" w:sz="4" w:space="0" w:color="AAAAAA"/>
              <w:right w:val="single" w:sz="4" w:space="0" w:color="AAAAAA"/>
            </w:tcBorders>
            <w:vAlign w:val="center"/>
            <w:hideMark/>
          </w:tcPr>
          <w:p w14:paraId="571AAA4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-1.22</w:t>
            </w:r>
          </w:p>
        </w:tc>
      </w:tr>
      <w:tr w:rsidR="002D26E1" w:rsidRPr="0095607E" w14:paraId="24876D74"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2A2D08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Animal</w:t>
            </w:r>
          </w:p>
        </w:tc>
        <w:tc>
          <w:tcPr>
            <w:tcW w:w="935" w:type="dxa"/>
            <w:tcBorders>
              <w:top w:val="single" w:sz="4" w:space="0" w:color="AAAAAA"/>
              <w:left w:val="nil"/>
              <w:bottom w:val="single" w:sz="4" w:space="0" w:color="AAAAAA"/>
              <w:right w:val="single" w:sz="4" w:space="0" w:color="AAAAAA"/>
            </w:tcBorders>
            <w:vAlign w:val="center"/>
            <w:hideMark/>
          </w:tcPr>
          <w:p w14:paraId="6B26704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-0.010</w:t>
            </w:r>
          </w:p>
        </w:tc>
        <w:tc>
          <w:tcPr>
            <w:tcW w:w="935" w:type="dxa"/>
            <w:tcBorders>
              <w:top w:val="single" w:sz="4" w:space="0" w:color="AAAAAA"/>
              <w:left w:val="nil"/>
              <w:bottom w:val="single" w:sz="4" w:space="0" w:color="AAAAAA"/>
              <w:right w:val="single" w:sz="4" w:space="0" w:color="AAAAAA"/>
            </w:tcBorders>
            <w:vAlign w:val="center"/>
            <w:hideMark/>
          </w:tcPr>
          <w:p w14:paraId="3CAE5EA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0.073</w:t>
            </w:r>
          </w:p>
        </w:tc>
        <w:tc>
          <w:tcPr>
            <w:tcW w:w="935" w:type="dxa"/>
            <w:tcBorders>
              <w:top w:val="single" w:sz="4" w:space="0" w:color="AAAAAA"/>
              <w:left w:val="nil"/>
              <w:bottom w:val="single" w:sz="4" w:space="0" w:color="AAAAAA"/>
              <w:right w:val="single" w:sz="4" w:space="0" w:color="AAAAAA"/>
            </w:tcBorders>
            <w:vAlign w:val="center"/>
            <w:hideMark/>
          </w:tcPr>
          <w:p w14:paraId="08715D0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-0.14</w:t>
            </w:r>
          </w:p>
        </w:tc>
        <w:tc>
          <w:tcPr>
            <w:tcW w:w="1051" w:type="dxa"/>
            <w:tcBorders>
              <w:top w:val="single" w:sz="4" w:space="0" w:color="AAAAAA"/>
              <w:left w:val="nil"/>
              <w:bottom w:val="single" w:sz="4" w:space="0" w:color="AAAAAA"/>
              <w:right w:val="single" w:sz="4" w:space="0" w:color="AAAAAA"/>
            </w:tcBorders>
            <w:vAlign w:val="center"/>
            <w:hideMark/>
          </w:tcPr>
          <w:p w14:paraId="000A5F70"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0.891</w:t>
            </w:r>
          </w:p>
        </w:tc>
        <w:tc>
          <w:tcPr>
            <w:tcW w:w="738" w:type="dxa"/>
            <w:tcBorders>
              <w:top w:val="single" w:sz="4" w:space="0" w:color="AAAAAA"/>
              <w:left w:val="nil"/>
              <w:bottom w:val="single" w:sz="4" w:space="0" w:color="AAAAAA"/>
              <w:right w:val="single" w:sz="4" w:space="0" w:color="AAAAAA"/>
            </w:tcBorders>
            <w:vAlign w:val="center"/>
            <w:hideMark/>
          </w:tcPr>
          <w:p w14:paraId="28FBFE4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6656417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0.990</w:t>
            </w:r>
          </w:p>
        </w:tc>
        <w:tc>
          <w:tcPr>
            <w:tcW w:w="1192" w:type="dxa"/>
            <w:tcBorders>
              <w:top w:val="single" w:sz="4" w:space="0" w:color="AAAAAA"/>
              <w:left w:val="nil"/>
              <w:bottom w:val="single" w:sz="4" w:space="0" w:color="AAAAAA"/>
              <w:right w:val="single" w:sz="4" w:space="0" w:color="AAAAAA"/>
            </w:tcBorders>
            <w:vAlign w:val="center"/>
            <w:hideMark/>
          </w:tcPr>
          <w:p w14:paraId="161AFDC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-0.22</w:t>
            </w:r>
          </w:p>
        </w:tc>
      </w:tr>
      <w:tr w:rsidR="002D26E1" w:rsidRPr="0095607E" w14:paraId="241646CA" w14:textId="77777777" w:rsidTr="00DA2D9D">
        <w:trPr>
          <w:trHeight w:val="778"/>
          <w:jc w:val="center"/>
        </w:trPr>
        <w:tc>
          <w:tcPr>
            <w:tcW w:w="2595" w:type="dxa"/>
            <w:tcBorders>
              <w:top w:val="single" w:sz="4" w:space="0" w:color="AAAAAA"/>
              <w:left w:val="single" w:sz="4" w:space="0" w:color="AAAAAA"/>
              <w:bottom w:val="single" w:sz="4" w:space="0" w:color="AAAAAA"/>
              <w:right w:val="single" w:sz="4" w:space="0" w:color="AAAAAA"/>
            </w:tcBorders>
            <w:vAlign w:val="center"/>
            <w:hideMark/>
          </w:tcPr>
          <w:p w14:paraId="7A7EB5A8"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mode: Other</w:t>
            </w:r>
          </w:p>
        </w:tc>
        <w:tc>
          <w:tcPr>
            <w:tcW w:w="935" w:type="dxa"/>
            <w:tcBorders>
              <w:top w:val="single" w:sz="4" w:space="0" w:color="AAAAAA"/>
              <w:left w:val="nil"/>
              <w:bottom w:val="single" w:sz="4" w:space="0" w:color="AAAAAA"/>
              <w:right w:val="single" w:sz="4" w:space="0" w:color="AAAAAA"/>
            </w:tcBorders>
            <w:vAlign w:val="center"/>
            <w:hideMark/>
          </w:tcPr>
          <w:p w14:paraId="6A0BE8E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-0.047</w:t>
            </w:r>
          </w:p>
        </w:tc>
        <w:tc>
          <w:tcPr>
            <w:tcW w:w="935" w:type="dxa"/>
            <w:tcBorders>
              <w:top w:val="single" w:sz="4" w:space="0" w:color="AAAAAA"/>
              <w:left w:val="nil"/>
              <w:bottom w:val="single" w:sz="4" w:space="0" w:color="AAAAAA"/>
              <w:right w:val="single" w:sz="4" w:space="0" w:color="AAAAAA"/>
            </w:tcBorders>
            <w:vAlign w:val="center"/>
            <w:hideMark/>
          </w:tcPr>
          <w:p w14:paraId="65F32EA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0.035</w:t>
            </w:r>
          </w:p>
        </w:tc>
        <w:tc>
          <w:tcPr>
            <w:tcW w:w="935" w:type="dxa"/>
            <w:tcBorders>
              <w:top w:val="single" w:sz="4" w:space="0" w:color="AAAAAA"/>
              <w:left w:val="nil"/>
              <w:bottom w:val="single" w:sz="4" w:space="0" w:color="AAAAAA"/>
              <w:right w:val="single" w:sz="4" w:space="0" w:color="AAAAAA"/>
            </w:tcBorders>
            <w:vAlign w:val="center"/>
            <w:hideMark/>
          </w:tcPr>
          <w:p w14:paraId="3D5187B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-1.33</w:t>
            </w:r>
          </w:p>
        </w:tc>
        <w:tc>
          <w:tcPr>
            <w:tcW w:w="1051" w:type="dxa"/>
            <w:tcBorders>
              <w:top w:val="single" w:sz="4" w:space="0" w:color="AAAAAA"/>
              <w:left w:val="nil"/>
              <w:bottom w:val="single" w:sz="4" w:space="0" w:color="AAAAAA"/>
              <w:right w:val="single" w:sz="4" w:space="0" w:color="AAAAAA"/>
            </w:tcBorders>
            <w:vAlign w:val="center"/>
            <w:hideMark/>
          </w:tcPr>
          <w:p w14:paraId="7BD1845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0.183</w:t>
            </w:r>
          </w:p>
        </w:tc>
        <w:tc>
          <w:tcPr>
            <w:tcW w:w="738" w:type="dxa"/>
            <w:tcBorders>
              <w:top w:val="single" w:sz="4" w:space="0" w:color="AAAAAA"/>
              <w:left w:val="nil"/>
              <w:bottom w:val="single" w:sz="4" w:space="0" w:color="AAAAAA"/>
              <w:right w:val="single" w:sz="4" w:space="0" w:color="AAAAAA"/>
            </w:tcBorders>
            <w:vAlign w:val="center"/>
            <w:hideMark/>
          </w:tcPr>
          <w:p w14:paraId="2FD0367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w:t>
            </w:r>
          </w:p>
        </w:tc>
        <w:tc>
          <w:tcPr>
            <w:tcW w:w="935" w:type="dxa"/>
            <w:tcBorders>
              <w:top w:val="single" w:sz="4" w:space="0" w:color="AAAAAA"/>
              <w:left w:val="nil"/>
              <w:bottom w:val="single" w:sz="4" w:space="0" w:color="AAAAAA"/>
              <w:right w:val="single" w:sz="4" w:space="0" w:color="AAAAAA"/>
            </w:tcBorders>
            <w:vAlign w:val="center"/>
            <w:hideMark/>
          </w:tcPr>
          <w:p w14:paraId="61C7043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0.954</w:t>
            </w:r>
          </w:p>
        </w:tc>
        <w:tc>
          <w:tcPr>
            <w:tcW w:w="1192" w:type="dxa"/>
            <w:tcBorders>
              <w:top w:val="single" w:sz="4" w:space="0" w:color="AAAAAA"/>
              <w:left w:val="nil"/>
              <w:bottom w:val="single" w:sz="4" w:space="0" w:color="AAAAAA"/>
              <w:right w:val="single" w:sz="4" w:space="0" w:color="AAAAAA"/>
            </w:tcBorders>
            <w:vAlign w:val="center"/>
            <w:hideMark/>
          </w:tcPr>
          <w:p w14:paraId="2AF8C124"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-1.02</w:t>
            </w:r>
          </w:p>
        </w:tc>
      </w:tr>
    </w:tbl>
    <w:p w14:paraId="5F039238" w14:textId="2A55A421" w:rsidR="002D26E1" w:rsidRPr="0095607E" w:rsidRDefault="002D26E1" w:rsidP="003B0C52">
      <w:pPr>
        <w:pStyle w:val="NoSpacing"/>
        <w:jc w:val="both"/>
        <w:rPr>
          <w:rFonts w:ascii="Times New Roman" w:hAnsi="Times New Roman" w:cs="Times New Roman"/>
          <w:i/>
        </w:rPr>
      </w:pPr>
      <w:r w:rsidRPr="0095607E">
        <w:rPr>
          <w:rFonts w:ascii="Times New Roman" w:hAnsi="Times New Roman" w:cs="Times New Roman"/>
          <w:i/>
        </w:rPr>
        <w:t xml:space="preserve">The Odds ratio </w:t>
      </w:r>
      <m:oMath>
        <m:r>
          <w:rPr>
            <w:rFonts w:ascii="Cambria Math" w:hAnsi="Cambria Math" w:cs="Times New Roman"/>
          </w:rPr>
          <m:t>OR=exp</m:t>
        </m:r>
        <m:d>
          <m:dPr>
            <m:ctrlPr>
              <w:rPr>
                <w:rFonts w:ascii="Cambria Math" w:hAnsi="Cambria Math" w:cs="Times New Roman"/>
                <w:i/>
              </w:rPr>
            </m:ctrlPr>
          </m:dPr>
          <m:e>
            <m:r>
              <w:rPr>
                <w:rFonts w:ascii="Cambria Math" w:hAnsi="Cambria Math" w:cs="Times New Roman"/>
              </w:rPr>
              <m:t>β</m:t>
            </m:r>
          </m:e>
        </m:d>
      </m:oMath>
      <w:r w:rsidRPr="0095607E">
        <w:rPr>
          <w:rFonts w:ascii="Times New Roman" w:eastAsiaTheme="minorEastAsia" w:hAnsi="Times New Roman" w:cs="Times New Roman"/>
          <w:i/>
        </w:rPr>
        <w:t xml:space="preserve">, </w:t>
      </w:r>
      <m:oMath>
        <m:r>
          <w:rPr>
            <w:rFonts w:ascii="Cambria Math" w:eastAsiaTheme="minorEastAsia" w:hAnsi="Cambria Math" w:cs="Times New Roman"/>
          </w:rPr>
          <m:t xml:space="preserve">ME (pp) </m:t>
        </m:r>
      </m:oMath>
      <w:r w:rsidRPr="0095607E">
        <w:rPr>
          <w:rFonts w:ascii="Times New Roman" w:eastAsiaTheme="minorEastAsia" w:hAnsi="Times New Roman" w:cs="Times New Roman"/>
          <w:i/>
        </w:rPr>
        <w:t xml:space="preserve">are the marginal effects in percentage points at </w:t>
      </w:r>
      <m:oMath>
        <m:r>
          <w:rPr>
            <w:rFonts w:ascii="Cambria Math" w:eastAsiaTheme="minorEastAsia" w:hAnsi="Cambria Math" w:cs="Times New Roman"/>
          </w:rPr>
          <m:t>µ=0.319</m:t>
        </m:r>
      </m:oMath>
      <w:r w:rsidRPr="0095607E">
        <w:rPr>
          <w:rFonts w:ascii="Times New Roman" w:eastAsiaTheme="minorEastAsia" w:hAnsi="Times New Roman" w:cs="Times New Roman"/>
          <w:i/>
        </w:rPr>
        <w:t xml:space="preserve"> </w:t>
      </w:r>
      <m:oMath>
        <m:d>
          <m:dPr>
            <m:ctrlPr>
              <w:rPr>
                <w:rFonts w:ascii="Cambria Math" w:eastAsiaTheme="minorEastAsia" w:hAnsi="Cambria Math" w:cs="Times New Roman"/>
                <w:i/>
              </w:rPr>
            </m:ctrlPr>
          </m:dPr>
          <m:e>
            <m:r>
              <w:rPr>
                <w:rFonts w:ascii="Cambria Math" w:eastAsiaTheme="minorEastAsia" w:hAnsi="Cambria Math" w:cs="Times New Roman"/>
              </w:rPr>
              <m:t>31.9%</m:t>
            </m:r>
          </m:e>
        </m:d>
      </m:oMath>
      <w:r w:rsidRPr="0095607E">
        <w:rPr>
          <w:rFonts w:ascii="Times New Roman" w:eastAsiaTheme="minorEastAsia" w:hAnsi="Times New Roman" w:cs="Times New Roman"/>
          <w:i/>
        </w:rPr>
        <w:t>. The reference categories: Storage duration less than 2 weeks, distance less than 5km, mode of transport is motorcycle.</w:t>
      </w:r>
    </w:p>
    <w:p w14:paraId="4507D139" w14:textId="16691D0D" w:rsidR="002D26E1" w:rsidRPr="0095607E" w:rsidRDefault="002D26E1" w:rsidP="003B0C52">
      <w:pPr>
        <w:pStyle w:val="Heading2"/>
        <w:spacing w:line="240" w:lineRule="auto"/>
        <w:rPr>
          <w:rFonts w:ascii="Times New Roman" w:hAnsi="Times New Roman" w:cs="Times New Roman"/>
          <w:b/>
          <w:bCs/>
          <w:color w:val="auto"/>
          <w:sz w:val="24"/>
          <w:szCs w:val="24"/>
        </w:rPr>
      </w:pPr>
      <w:bookmarkStart w:id="24" w:name="_Toc225180567"/>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5</w:t>
      </w:r>
      <w:r w:rsidRPr="0095607E">
        <w:rPr>
          <w:rFonts w:ascii="Times New Roman" w:hAnsi="Times New Roman" w:cs="Times New Roman"/>
          <w:b/>
          <w:bCs/>
          <w:color w:val="auto"/>
          <w:sz w:val="24"/>
          <w:szCs w:val="24"/>
        </w:rPr>
        <w:tab/>
        <w:t>Independent variables</w:t>
      </w:r>
      <w:bookmarkEnd w:id="24"/>
      <w:r w:rsidRPr="0095607E">
        <w:rPr>
          <w:rFonts w:ascii="Times New Roman" w:hAnsi="Times New Roman" w:cs="Times New Roman"/>
          <w:b/>
          <w:bCs/>
          <w:color w:val="auto"/>
          <w:sz w:val="24"/>
          <w:szCs w:val="24"/>
        </w:rPr>
        <w:t xml:space="preserve"> </w:t>
      </w:r>
    </w:p>
    <w:p w14:paraId="57F247E1" w14:textId="74966B31" w:rsidR="002D26E1" w:rsidRPr="0095607E" w:rsidRDefault="002D26E1" w:rsidP="003B0C52">
      <w:pPr>
        <w:pStyle w:val="Heading4"/>
        <w:spacing w:line="240" w:lineRule="auto"/>
        <w:rPr>
          <w:rFonts w:ascii="Times New Roman" w:hAnsi="Times New Roman" w:cs="Times New Roman"/>
          <w:b/>
          <w:bCs/>
          <w:i w:val="0"/>
          <w:iCs w:val="0"/>
          <w:color w:val="auto"/>
        </w:rPr>
      </w:pPr>
      <w:r w:rsidRPr="0095607E">
        <w:rPr>
          <w:rFonts w:ascii="Times New Roman" w:hAnsi="Times New Roman" w:cs="Times New Roman"/>
          <w:b/>
          <w:bCs/>
          <w:i w:val="0"/>
          <w:iCs w:val="0"/>
          <w:color w:val="auto"/>
        </w:rPr>
        <w:t>4.</w:t>
      </w:r>
      <w:r w:rsidR="0075761C" w:rsidRPr="0095607E">
        <w:rPr>
          <w:rFonts w:ascii="Times New Roman" w:hAnsi="Times New Roman" w:cs="Times New Roman"/>
          <w:b/>
          <w:bCs/>
          <w:i w:val="0"/>
          <w:iCs w:val="0"/>
          <w:color w:val="auto"/>
        </w:rPr>
        <w:t>5</w:t>
      </w:r>
      <w:r w:rsidRPr="0095607E">
        <w:rPr>
          <w:rFonts w:ascii="Times New Roman" w:hAnsi="Times New Roman" w:cs="Times New Roman"/>
          <w:b/>
          <w:bCs/>
          <w:i w:val="0"/>
          <w:iCs w:val="0"/>
          <w:color w:val="auto"/>
        </w:rPr>
        <w:t>.1</w:t>
      </w:r>
      <w:r w:rsidRPr="0095607E">
        <w:rPr>
          <w:rFonts w:ascii="Times New Roman" w:hAnsi="Times New Roman" w:cs="Times New Roman"/>
          <w:b/>
          <w:bCs/>
          <w:i w:val="0"/>
          <w:iCs w:val="0"/>
          <w:color w:val="auto"/>
        </w:rPr>
        <w:tab/>
        <w:t>Storage method and storage duration</w:t>
      </w:r>
    </w:p>
    <w:p w14:paraId="27DD6C3C" w14:textId="54E9899C" w:rsidR="00AE4901" w:rsidRPr="0095607E" w:rsidRDefault="002D26E1" w:rsidP="003B0C52">
      <w:pPr>
        <w:pStyle w:val="NoSpacing"/>
        <w:jc w:val="both"/>
        <w:rPr>
          <w:rFonts w:ascii="Times New Roman" w:hAnsi="Times New Roman" w:cs="Times New Roman"/>
          <w:noProof/>
        </w:rPr>
      </w:pPr>
      <w:r w:rsidRPr="0095607E">
        <w:rPr>
          <w:rFonts w:ascii="Times New Roman" w:hAnsi="Times New Roman" w:cs="Times New Roman"/>
        </w:rPr>
        <w:t xml:space="preserve">The single most significant predictor was storage method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=1182.71,df=2, p=0.001)</m:t>
        </m:r>
      </m:oMath>
      <w:r w:rsidRPr="0095607E">
        <w:rPr>
          <w:rFonts w:ascii="Times New Roman" w:hAnsi="Times New Roman" w:cs="Times New Roman"/>
        </w:rPr>
        <w:t xml:space="preserve">. Compared to traditional storage, dark room storage decreased the log-odds of proportional loss by </w:t>
      </w:r>
      <m:oMath>
        <m:r>
          <w:rPr>
            <w:rFonts w:ascii="Cambria Math" w:hAnsi="Cambria Math" w:cs="Times New Roman"/>
          </w:rPr>
          <m:t>β=-0.343</m:t>
        </m:r>
      </m:oMath>
      <w:r w:rsidRPr="0095607E">
        <w:rPr>
          <w:rFonts w:ascii="Times New Roman" w:hAnsi="Times New Roman" w:cs="Times New Roman"/>
        </w:rPr>
        <w:t xml:space="preserve"> </w:t>
      </w:r>
      <m:oMath>
        <m:r>
          <w:rPr>
            <w:rFonts w:ascii="Cambria Math" w:hAnsi="Cambria Math" w:cs="Times New Roman"/>
          </w:rPr>
          <m:t>(OR=0.710, ME=-7.44pp, p= 0.001)</m:t>
        </m:r>
      </m:oMath>
      <w:r w:rsidRPr="0095607E">
        <w:rPr>
          <w:rFonts w:ascii="Times New Roman" w:hAnsi="Times New Roman" w:cs="Times New Roman"/>
        </w:rPr>
        <w:t xml:space="preserve"> and cold storage by</w:t>
      </w:r>
      <m:oMath>
        <m:r>
          <w:rPr>
            <w:rFonts w:ascii="Cambria Math" w:hAnsi="Cambria Math" w:cs="Times New Roman"/>
          </w:rPr>
          <m:t xml:space="preserve"> β=-0.602 (OR=0.548, ME=-13.07pp,  p=0.001).</m:t>
        </m:r>
      </m:oMath>
      <w:r w:rsidRPr="0095607E">
        <w:rPr>
          <w:rFonts w:ascii="Times New Roman" w:hAnsi="Times New Roman" w:cs="Times New Roman"/>
        </w:rPr>
        <w:t xml:space="preserv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_Ref225193047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rPr>
        <w:t xml:space="preserve">Figure </w:t>
      </w:r>
      <w:r w:rsidR="00AE4901" w:rsidRPr="0095607E">
        <w:rPr>
          <w:rFonts w:ascii="Times New Roman" w:hAnsi="Times New Roman" w:cs="Times New Roman"/>
          <w:noProof/>
        </w:rPr>
        <w:t>3</w:t>
      </w:r>
      <w:r w:rsidR="00AE4901" w:rsidRPr="0095607E">
        <w:rPr>
          <w:rFonts w:ascii="Times New Roman" w:hAnsi="Times New Roman" w:cs="Times New Roman"/>
        </w:rPr>
        <w:fldChar w:fldCharType="end"/>
      </w:r>
      <w:r w:rsidR="00AE4901" w:rsidRPr="0095607E">
        <w:rPr>
          <w:rFonts w:ascii="Times New Roman" w:hAnsi="Times New Roman" w:cs="Times New Roman"/>
        </w:rPr>
        <w:t xml:space="preserve"> </w:t>
      </w:r>
      <w:r w:rsidRPr="0095607E">
        <w:rPr>
          <w:rFonts w:ascii="Times New Roman" w:hAnsi="Times New Roman" w:cs="Times New Roman"/>
        </w:rPr>
        <w:t xml:space="preserve">indicates the proportional loss by method of storage likely to be the model and clearly demonstrates the gradual assumption of 30% under the traditional storage method to 25% under the dark room and 20% under the cold storage method control of all other predictors. Storage time also had a monotonically increasing effect on losses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=137.39, df =3, p &lt; 0.001)</m:t>
        </m:r>
      </m:oMath>
      <w:r w:rsidRPr="0095607E">
        <w:rPr>
          <w:rFonts w:ascii="Times New Roman" w:hAnsi="Times New Roman" w:cs="Times New Roman"/>
        </w:rPr>
        <w:t xml:space="preserve">: </w:t>
      </w:r>
      <m:oMath>
        <m:r>
          <w:rPr>
            <w:rFonts w:ascii="Cambria Math" w:hAnsi="Cambria Math" w:cs="Times New Roman"/>
          </w:rPr>
          <m:t>+1.46pp</m:t>
        </m:r>
      </m:oMath>
      <w:r w:rsidRPr="0095607E">
        <w:rPr>
          <w:rFonts w:ascii="Times New Roman" w:hAnsi="Times New Roman" w:cs="Times New Roman"/>
        </w:rPr>
        <w:t xml:space="preserve"> at 23 weeks, and </w:t>
      </w:r>
      <m:oMath>
        <m:r>
          <w:rPr>
            <w:rFonts w:ascii="Cambria Math" w:hAnsi="Cambria Math" w:cs="Times New Roman"/>
          </w:rPr>
          <m:t>+4.71pp</m:t>
        </m:r>
      </m:oMath>
      <w:r w:rsidRPr="0095607E">
        <w:rPr>
          <w:rFonts w:ascii="Times New Roman" w:hAnsi="Times New Roman" w:cs="Times New Roman"/>
        </w:rPr>
        <w:t xml:space="preserve"> after more than one month</w:t>
      </w:r>
      <w:r w:rsidR="00AE4901" w:rsidRPr="0095607E">
        <w:rPr>
          <w:rFonts w:ascii="Times New Roman" w:hAnsi="Times New Roman" w:cs="Times New Roman"/>
        </w:rPr>
        <w:t xml:space="preserve"> as shown in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_Ref225193791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4</w:t>
      </w:r>
      <w:r w:rsidR="00AE4901" w:rsidRPr="0095607E">
        <w:rPr>
          <w:rFonts w:ascii="Times New Roman" w:hAnsi="Times New Roman" w:cs="Times New Roman"/>
        </w:rPr>
        <w:fldChar w:fldCharType="end"/>
      </w:r>
      <w:r w:rsidRPr="0095607E">
        <w:rPr>
          <w:rFonts w:ascii="Times New Roman" w:hAnsi="Times New Roman" w:cs="Times New Roman"/>
        </w:rPr>
        <w:t xml:space="preserve">. The use of chemicals was found to reduce the number </w:t>
      </w:r>
      <w:r w:rsidRPr="0095607E">
        <w:rPr>
          <w:rFonts w:ascii="Times New Roman" w:hAnsi="Times New Roman" w:cs="Times New Roman"/>
        </w:rPr>
        <w:lastRenderedPageBreak/>
        <w:t xml:space="preserve">of losses </w:t>
      </w:r>
      <m:oMath>
        <m:r>
          <w:rPr>
            <w:rFonts w:ascii="Cambria Math" w:hAnsi="Cambria Math" w:cs="Times New Roman"/>
          </w:rPr>
          <m:t xml:space="preserve">(β=-0.098, OR= 0.907, ME=-2.12 pp, 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=51.93, p = 0.001)</m:t>
        </m:r>
      </m:oMath>
      <w:r w:rsidRPr="0095607E">
        <w:rPr>
          <w:rFonts w:ascii="Times New Roman" w:hAnsi="Times New Roman" w:cs="Times New Roman"/>
        </w:rPr>
        <w:t>, and users were predicted to lose about 29% as compared to 33% of non-users who did not use the chemicals</w:t>
      </w:r>
      <w:r w:rsidR="00AE4901" w:rsidRPr="0095607E">
        <w:rPr>
          <w:rFonts w:ascii="Times New Roman" w:hAnsi="Times New Roman" w:cs="Times New Roman"/>
        </w:rPr>
        <w:t>.</w:t>
      </w:r>
    </w:p>
    <w:p w14:paraId="0ABD22CF" w14:textId="4E1C1EFB"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5C3A7743" wp14:editId="1C93B457">
            <wp:extent cx="3810000" cy="26670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8"/>
                    <a:stretch>
                      <a:fillRect/>
                    </a:stretch>
                  </pic:blipFill>
                  <pic:spPr>
                    <a:xfrm>
                      <a:off x="0" y="0"/>
                      <a:ext cx="3811497" cy="2668048"/>
                    </a:xfrm>
                    <a:prstGeom prst="rect">
                      <a:avLst/>
                    </a:prstGeom>
                  </pic:spPr>
                </pic:pic>
              </a:graphicData>
            </a:graphic>
          </wp:inline>
        </w:drawing>
      </w:r>
    </w:p>
    <w:p w14:paraId="14ED1500" w14:textId="281E6284" w:rsidR="00B32DA8" w:rsidRPr="0095607E" w:rsidRDefault="00B32DA8" w:rsidP="003B0C52">
      <w:pPr>
        <w:pStyle w:val="Caption"/>
        <w:jc w:val="center"/>
        <w:rPr>
          <w:rFonts w:ascii="Times New Roman" w:hAnsi="Times New Roman" w:cs="Times New Roman"/>
          <w:sz w:val="24"/>
          <w:szCs w:val="24"/>
        </w:rPr>
      </w:pPr>
      <w:bookmarkStart w:id="25" w:name="_Ref225193047"/>
      <w:bookmarkStart w:id="26" w:name="_Toc225196576"/>
      <w:r w:rsidRPr="0095607E">
        <w:rPr>
          <w:rFonts w:ascii="Times New Roman" w:hAnsi="Times New Roman" w:cs="Times New Roman"/>
          <w:sz w:val="24"/>
          <w:szCs w:val="24"/>
        </w:rPr>
        <w:t xml:space="preserve">Figure </w:t>
      </w:r>
      <w:r w:rsidRPr="0095607E">
        <w:rPr>
          <w:rFonts w:ascii="Times New Roman" w:hAnsi="Times New Roman" w:cs="Times New Roman"/>
          <w:sz w:val="24"/>
          <w:szCs w:val="24"/>
        </w:rPr>
        <w:fldChar w:fldCharType="begin"/>
      </w:r>
      <w:r w:rsidRPr="0095607E">
        <w:rPr>
          <w:rFonts w:ascii="Times New Roman" w:hAnsi="Times New Roman" w:cs="Times New Roman"/>
          <w:sz w:val="24"/>
          <w:szCs w:val="24"/>
        </w:rPr>
        <w:instrText xml:space="preserve"> SEQ Figure \* ARABIC </w:instrText>
      </w:r>
      <w:r w:rsidRPr="0095607E">
        <w:rPr>
          <w:rFonts w:ascii="Times New Roman" w:hAnsi="Times New Roman" w:cs="Times New Roman"/>
          <w:sz w:val="24"/>
          <w:szCs w:val="24"/>
        </w:rPr>
        <w:fldChar w:fldCharType="separate"/>
      </w:r>
      <w:r w:rsidR="00AE4901" w:rsidRPr="0095607E">
        <w:rPr>
          <w:rFonts w:ascii="Times New Roman" w:hAnsi="Times New Roman" w:cs="Times New Roman"/>
          <w:noProof/>
          <w:sz w:val="24"/>
          <w:szCs w:val="24"/>
        </w:rPr>
        <w:t>3</w:t>
      </w:r>
      <w:r w:rsidRPr="0095607E">
        <w:rPr>
          <w:rFonts w:ascii="Times New Roman" w:hAnsi="Times New Roman" w:cs="Times New Roman"/>
          <w:noProof/>
          <w:sz w:val="24"/>
          <w:szCs w:val="24"/>
        </w:rPr>
        <w:fldChar w:fldCharType="end"/>
      </w:r>
      <w:bookmarkEnd w:id="25"/>
      <w:r w:rsidRPr="0095607E">
        <w:rPr>
          <w:rFonts w:ascii="Times New Roman" w:hAnsi="Times New Roman" w:cs="Times New Roman"/>
          <w:sz w:val="24"/>
          <w:szCs w:val="24"/>
        </w:rPr>
        <w:t>: proportional loss by method of storage</w:t>
      </w:r>
      <w:bookmarkEnd w:id="26"/>
    </w:p>
    <w:p w14:paraId="664B6482" w14:textId="3F7343E0" w:rsidR="00B32DA8" w:rsidRPr="0095607E" w:rsidRDefault="00AE4901" w:rsidP="003B0C52">
      <w:pPr>
        <w:pStyle w:val="NoSpacing"/>
        <w:jc w:val="both"/>
        <w:rPr>
          <w:rFonts w:ascii="Times New Roman" w:hAnsi="Times New Roman" w:cs="Times New Roman"/>
          <w:i/>
        </w:rPr>
      </w:pPr>
      <w:r w:rsidRPr="0095607E">
        <w:rPr>
          <w:rFonts w:ascii="Times New Roman" w:hAnsi="Times New Roman" w:cs="Times New Roman"/>
          <w:i/>
        </w:rPr>
        <w:fldChar w:fldCharType="begin"/>
      </w:r>
      <w:r w:rsidRPr="0095607E">
        <w:rPr>
          <w:rFonts w:ascii="Times New Roman" w:hAnsi="Times New Roman" w:cs="Times New Roman"/>
          <w:i/>
        </w:rPr>
        <w:instrText xml:space="preserve"> REF _Ref225193047 \h  \* MERGEFORMAT </w:instrText>
      </w:r>
      <w:r w:rsidRPr="0095607E">
        <w:rPr>
          <w:rFonts w:ascii="Times New Roman" w:hAnsi="Times New Roman" w:cs="Times New Roman"/>
          <w:i/>
        </w:rPr>
      </w:r>
      <w:r w:rsidRPr="0095607E">
        <w:rPr>
          <w:rFonts w:ascii="Times New Roman" w:hAnsi="Times New Roman" w:cs="Times New Roman"/>
          <w:i/>
        </w:rPr>
        <w:fldChar w:fldCharType="separate"/>
      </w:r>
      <w:r w:rsidRPr="0095607E">
        <w:rPr>
          <w:rFonts w:ascii="Times New Roman" w:hAnsi="Times New Roman" w:cs="Times New Roman"/>
          <w:i/>
        </w:rPr>
        <w:t xml:space="preserve">Figure </w:t>
      </w:r>
      <w:r w:rsidRPr="0095607E">
        <w:rPr>
          <w:rFonts w:ascii="Times New Roman" w:hAnsi="Times New Roman" w:cs="Times New Roman"/>
          <w:i/>
          <w:noProof/>
        </w:rPr>
        <w:t>3</w:t>
      </w:r>
      <w:r w:rsidRPr="0095607E">
        <w:rPr>
          <w:rFonts w:ascii="Times New Roman" w:hAnsi="Times New Roman" w:cs="Times New Roman"/>
          <w:i/>
        </w:rPr>
        <w:fldChar w:fldCharType="end"/>
      </w:r>
      <w:r w:rsidRPr="0095607E">
        <w:rPr>
          <w:rFonts w:ascii="Times New Roman" w:hAnsi="Times New Roman" w:cs="Times New Roman"/>
          <w:i/>
        </w:rPr>
        <w:t xml:space="preserve">: </w:t>
      </w:r>
      <w:r w:rsidR="00B32DA8" w:rsidRPr="0095607E">
        <w:rPr>
          <w:rFonts w:ascii="Times New Roman" w:hAnsi="Times New Roman" w:cs="Times New Roman"/>
          <w:i/>
        </w:rPr>
        <w:t>Predicted proportional loss to storage method adjusted on all other covariates. Error bars denote confidence intervals of 95% intervals.</w:t>
      </w:r>
    </w:p>
    <w:p w14:paraId="3EDEF148" w14:textId="77777777" w:rsidR="00B32DA8" w:rsidRPr="0095607E" w:rsidRDefault="00B32DA8" w:rsidP="003B0C52">
      <w:pPr>
        <w:pStyle w:val="NoSpacing"/>
        <w:jc w:val="both"/>
        <w:rPr>
          <w:rFonts w:ascii="Times New Roman" w:hAnsi="Times New Roman" w:cs="Times New Roman"/>
          <w:iCs/>
        </w:rPr>
      </w:pPr>
      <w:r w:rsidRPr="0095607E">
        <w:rPr>
          <w:rFonts w:ascii="Times New Roman" w:hAnsi="Times New Roman" w:cs="Times New Roman"/>
          <w:noProof/>
        </w:rPr>
        <w:drawing>
          <wp:inline distT="0" distB="0" distL="0" distR="0" wp14:anchorId="655C5F57" wp14:editId="4FB4BC20">
            <wp:extent cx="4191000" cy="2933700"/>
            <wp:effectExtent l="0" t="0" r="0" b="0"/>
            <wp:docPr id="1102859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9"/>
                    <a:stretch>
                      <a:fillRect/>
                    </a:stretch>
                  </pic:blipFill>
                  <pic:spPr>
                    <a:xfrm>
                      <a:off x="0" y="0"/>
                      <a:ext cx="4196003" cy="2937202"/>
                    </a:xfrm>
                    <a:prstGeom prst="rect">
                      <a:avLst/>
                    </a:prstGeom>
                  </pic:spPr>
                </pic:pic>
              </a:graphicData>
            </a:graphic>
          </wp:inline>
        </w:drawing>
      </w:r>
    </w:p>
    <w:p w14:paraId="09DB36FE" w14:textId="5DD905CF" w:rsidR="00B32DA8" w:rsidRPr="0095607E" w:rsidRDefault="00B32DA8" w:rsidP="003B0C52">
      <w:pPr>
        <w:pStyle w:val="Caption"/>
        <w:jc w:val="center"/>
        <w:rPr>
          <w:rFonts w:ascii="Times New Roman" w:hAnsi="Times New Roman" w:cs="Times New Roman"/>
          <w:b/>
          <w:bCs/>
          <w:iCs w:val="0"/>
          <w:color w:val="auto"/>
          <w:sz w:val="24"/>
          <w:szCs w:val="24"/>
        </w:rPr>
      </w:pPr>
      <w:bookmarkStart w:id="27" w:name="_Ref225193791"/>
      <w:bookmarkStart w:id="28" w:name="_Ref225195064"/>
      <w:bookmarkStart w:id="29" w:name="_Toc225196577"/>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4</w:t>
      </w:r>
      <w:r w:rsidRPr="0095607E">
        <w:rPr>
          <w:rFonts w:ascii="Times New Roman" w:hAnsi="Times New Roman" w:cs="Times New Roman"/>
          <w:b/>
          <w:bCs/>
          <w:noProof/>
          <w:color w:val="auto"/>
          <w:sz w:val="24"/>
          <w:szCs w:val="24"/>
        </w:rPr>
        <w:fldChar w:fldCharType="end"/>
      </w:r>
      <w:bookmarkEnd w:id="27"/>
      <w:r w:rsidRPr="0095607E">
        <w:rPr>
          <w:rFonts w:ascii="Times New Roman" w:hAnsi="Times New Roman" w:cs="Times New Roman"/>
          <w:b/>
          <w:bCs/>
          <w:color w:val="auto"/>
          <w:sz w:val="24"/>
          <w:szCs w:val="24"/>
        </w:rPr>
        <w:t>: proportional loss by Duration of storage</w:t>
      </w:r>
      <w:bookmarkEnd w:id="28"/>
      <w:bookmarkEnd w:id="29"/>
    </w:p>
    <w:p w14:paraId="39D96DF7" w14:textId="77777777" w:rsidR="00B32DA8" w:rsidRPr="0095607E" w:rsidRDefault="00B32DA8" w:rsidP="003B0C52">
      <w:pPr>
        <w:pStyle w:val="NoSpacing"/>
        <w:jc w:val="both"/>
        <w:rPr>
          <w:rFonts w:ascii="Times New Roman" w:hAnsi="Times New Roman" w:cs="Times New Roman"/>
          <w:iCs/>
        </w:rPr>
      </w:pPr>
      <w:r w:rsidRPr="0095607E">
        <w:rPr>
          <w:rFonts w:ascii="Times New Roman" w:hAnsi="Times New Roman" w:cs="Times New Roman"/>
          <w:iCs/>
        </w:rPr>
        <w:t>Predicted proportional loss by length of storage predicted by other covariates, other covariates held constant. The gradual, unvarying growth is an indication of deterioration of the body.</w:t>
      </w:r>
    </w:p>
    <w:p w14:paraId="04BC6A38" w14:textId="755BC250" w:rsidR="002D26E1" w:rsidRPr="0095607E" w:rsidRDefault="002D26E1" w:rsidP="003B0C52">
      <w:pPr>
        <w:pStyle w:val="NoSpacing"/>
        <w:jc w:val="both"/>
        <w:rPr>
          <w:rFonts w:ascii="Times New Roman" w:hAnsi="Times New Roman" w:cs="Times New Roman"/>
        </w:rPr>
      </w:pPr>
    </w:p>
    <w:p w14:paraId="55787A07" w14:textId="62FBAEB6" w:rsidR="002D26E1" w:rsidRPr="0095607E" w:rsidRDefault="002D26E1" w:rsidP="003B0C52">
      <w:pPr>
        <w:pStyle w:val="Heading4"/>
        <w:spacing w:line="240" w:lineRule="auto"/>
        <w:rPr>
          <w:rFonts w:ascii="Times New Roman" w:hAnsi="Times New Roman" w:cs="Times New Roman"/>
          <w:b/>
          <w:bCs/>
          <w:i w:val="0"/>
          <w:iCs w:val="0"/>
          <w:color w:val="auto"/>
        </w:rPr>
      </w:pPr>
      <w:r w:rsidRPr="0095607E">
        <w:rPr>
          <w:rFonts w:ascii="Times New Roman" w:hAnsi="Times New Roman" w:cs="Times New Roman"/>
          <w:b/>
          <w:bCs/>
          <w:i w:val="0"/>
          <w:iCs w:val="0"/>
          <w:color w:val="auto"/>
        </w:rPr>
        <w:t>4.</w:t>
      </w:r>
      <w:r w:rsidR="0075761C" w:rsidRPr="0095607E">
        <w:rPr>
          <w:rFonts w:ascii="Times New Roman" w:hAnsi="Times New Roman" w:cs="Times New Roman"/>
          <w:b/>
          <w:bCs/>
          <w:i w:val="0"/>
          <w:iCs w:val="0"/>
          <w:color w:val="auto"/>
        </w:rPr>
        <w:t>5</w:t>
      </w:r>
      <w:r w:rsidRPr="0095607E">
        <w:rPr>
          <w:rFonts w:ascii="Times New Roman" w:hAnsi="Times New Roman" w:cs="Times New Roman"/>
          <w:b/>
          <w:bCs/>
          <w:i w:val="0"/>
          <w:iCs w:val="0"/>
          <w:color w:val="auto"/>
        </w:rPr>
        <w:t>.2</w:t>
      </w:r>
      <w:r w:rsidRPr="0095607E">
        <w:rPr>
          <w:rFonts w:ascii="Times New Roman" w:hAnsi="Times New Roman" w:cs="Times New Roman"/>
          <w:b/>
          <w:bCs/>
          <w:i w:val="0"/>
          <w:iCs w:val="0"/>
          <w:color w:val="auto"/>
        </w:rPr>
        <w:tab/>
        <w:t xml:space="preserve">Extension Services and Education level </w:t>
      </w:r>
    </w:p>
    <w:p w14:paraId="09EE3B75" w14:textId="099B51A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Proportional losses were also reduced significantly by extension training </w:t>
      </w:r>
      <m:oMath>
        <m:r>
          <w:rPr>
            <w:rFonts w:ascii="Cambria Math" w:hAnsi="Cambria Math" w:cs="Times New Roman"/>
          </w:rPr>
          <m:t xml:space="preserve">(β=-0.059, OR=0.942, ME=-1.29pp, 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=28.68, p=0.001),</m:t>
        </m:r>
      </m:oMath>
      <w:r w:rsidRPr="0095607E">
        <w:rPr>
          <w:rFonts w:ascii="Times New Roman" w:hAnsi="Times New Roman" w:cs="Times New Roman"/>
        </w:rPr>
        <w:t xml:space="preserve"> and trained respondents were estimated </w:t>
      </w:r>
      <w:r w:rsidRPr="0095607E">
        <w:rPr>
          <w:rFonts w:ascii="Times New Roman" w:hAnsi="Times New Roman" w:cs="Times New Roman"/>
        </w:rPr>
        <w:lastRenderedPageBreak/>
        <w:t>to lose about 31% versus 35% in the case of an untrained respondent</w:t>
      </w:r>
      <w:r w:rsidRPr="0095607E">
        <w:rPr>
          <w:rFonts w:ascii="Times New Roman" w:hAnsi="Times New Roman" w:cs="Times New Roman"/>
        </w:rPr>
        <w:fldChar w:fldCharType="begin"/>
      </w:r>
      <w:r w:rsidRPr="0095607E">
        <w:rPr>
          <w:rFonts w:ascii="Times New Roman" w:hAnsi="Times New Roman" w:cs="Times New Roman"/>
        </w:rPr>
        <w:instrText xml:space="preserve"> REF _Ref225194315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 xml:space="preserve">. In contrast, the level of formal education was not a statistically significant predictor </w:t>
      </w:r>
      <m:oMath>
        <m:r>
          <w:rPr>
            <w:rFonts w:ascii="Cambria Math" w:hAnsi="Cambria Math" w:cs="Times New Roman"/>
          </w:rPr>
          <m:t xml:space="preserve">(Wald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=4.06, 3, p=0.255)</m:t>
        </m:r>
      </m:oMath>
      <w:r w:rsidRPr="0095607E">
        <w:rPr>
          <w:rFonts w:ascii="Times New Roman" w:hAnsi="Times New Roman" w:cs="Times New Roman"/>
        </w:rPr>
        <w:t>. The predicted education-based losses indicate a relatively linear trend in education variables where the predicted proportional losses vary within a tight range of 31 to 34 % once the variables of operation are held constant across the education groups. This is in contrast to the unadjusted means where the relationship was non-linear and it is therefore confirmed that the apparent education effect in the raw data is explained by the confounding effects of operational variables like storage method and chemical use rather than by a direct effect of education on loss behavior.</w:t>
      </w:r>
    </w:p>
    <w:p w14:paraId="5071E81D" w14:textId="77777777" w:rsidR="00B32DA8" w:rsidRPr="0095607E" w:rsidRDefault="00B32DA8" w:rsidP="003B0C52">
      <w:pPr>
        <w:pStyle w:val="NoSpacing"/>
        <w:jc w:val="both"/>
        <w:rPr>
          <w:rFonts w:ascii="Times New Roman" w:hAnsi="Times New Roman" w:cs="Times New Roman"/>
        </w:rPr>
      </w:pPr>
    </w:p>
    <w:p w14:paraId="593155B4" w14:textId="3F202864" w:rsidR="00B32DA8" w:rsidRPr="0095607E" w:rsidRDefault="00B32DA8" w:rsidP="003B0C52">
      <w:pPr>
        <w:pStyle w:val="Heading4"/>
        <w:spacing w:line="240" w:lineRule="auto"/>
        <w:rPr>
          <w:rFonts w:ascii="Times New Roman" w:eastAsiaTheme="minorHAnsi" w:hAnsi="Times New Roman" w:cs="Times New Roman"/>
          <w:b/>
          <w:bCs/>
          <w:i w:val="0"/>
          <w:iCs w:val="0"/>
          <w:color w:val="auto"/>
        </w:rPr>
      </w:pPr>
      <w:r w:rsidRPr="0095607E">
        <w:rPr>
          <w:rFonts w:ascii="Times New Roman" w:eastAsiaTheme="minorHAnsi" w:hAnsi="Times New Roman" w:cs="Times New Roman"/>
          <w:b/>
          <w:bCs/>
          <w:i w:val="0"/>
          <w:iCs w:val="0"/>
          <w:color w:val="auto"/>
        </w:rPr>
        <w:t>4.5.3</w:t>
      </w:r>
      <w:r w:rsidRPr="0095607E">
        <w:rPr>
          <w:rFonts w:ascii="Times New Roman" w:eastAsiaTheme="minorHAnsi" w:hAnsi="Times New Roman" w:cs="Times New Roman"/>
          <w:b/>
          <w:bCs/>
          <w:i w:val="0"/>
          <w:iCs w:val="0"/>
          <w:color w:val="auto"/>
        </w:rPr>
        <w:tab/>
        <w:t xml:space="preserve">Market Access and Mode of Transportation </w:t>
      </w:r>
    </w:p>
    <w:p w14:paraId="0209A83F" w14:textId="55C54CBA"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rPr>
        <w:t xml:space="preserve">Market distance was an extremely important positive predictor </w:t>
      </w:r>
      <m:oMath>
        <m:r>
          <m:rPr>
            <m:sty m:val="p"/>
          </m:rPr>
          <w:rPr>
            <w:rFonts w:ascii="Cambria Math" w:hAnsi="Cambria Math" w:cs="Times New Roman"/>
          </w:rPr>
          <m:t>(</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=95.97, </m:t>
        </m:r>
        <m:r>
          <w:rPr>
            <w:rFonts w:ascii="Cambria Math" w:hAnsi="Cambria Math" w:cs="Times New Roman"/>
          </w:rPr>
          <m:t>df</m:t>
        </m:r>
        <m:r>
          <m:rPr>
            <m:sty m:val="p"/>
          </m:rPr>
          <w:rPr>
            <w:rFonts w:ascii="Cambria Math" w:hAnsi="Cambria Math" w:cs="Times New Roman"/>
          </w:rPr>
          <m:t xml:space="preserve">=2, </m:t>
        </m:r>
        <m:r>
          <w:rPr>
            <w:rFonts w:ascii="Cambria Math" w:hAnsi="Cambria Math" w:cs="Times New Roman"/>
          </w:rPr>
          <m:t>p</m:t>
        </m:r>
        <m:r>
          <m:rPr>
            <m:sty m:val="p"/>
          </m:rPr>
          <w:rPr>
            <w:rFonts w:ascii="Cambria Math" w:hAnsi="Cambria Math" w:cs="Times New Roman"/>
          </w:rPr>
          <m:t xml:space="preserve">=0.001). </m:t>
        </m:r>
      </m:oMath>
      <w:r w:rsidRPr="0095607E">
        <w:rPr>
          <w:rFonts w:ascii="Times New Roman" w:hAnsi="Times New Roman" w:cs="Times New Roman"/>
        </w:rPr>
        <w:t xml:space="preserve">Compared to those within 5 km of market, those within 6-10 km experienced </w:t>
      </w:r>
      <m:oMath>
        <m:r>
          <m:rPr>
            <m:sty m:val="p"/>
          </m:rPr>
          <w:rPr>
            <w:rFonts w:ascii="Cambria Math" w:hAnsi="Cambria Math" w:cs="Times New Roman"/>
          </w:rPr>
          <m:t>+1.98</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β</m:t>
        </m:r>
        <m:r>
          <m:rPr>
            <m:sty m:val="p"/>
          </m:rPr>
          <w:rPr>
            <w:rFonts w:ascii="Cambria Math" w:hAnsi="Cambria Math" w:cs="Times New Roman"/>
          </w:rPr>
          <m:t xml:space="preserve">=0.091, </m:t>
        </m:r>
        <m:r>
          <w:rPr>
            <w:rFonts w:ascii="Cambria Math" w:hAnsi="Cambria Math" w:cs="Times New Roman"/>
          </w:rPr>
          <m:t>OR</m:t>
        </m:r>
        <m:r>
          <m:rPr>
            <m:sty m:val="p"/>
          </m:rPr>
          <w:rPr>
            <w:rFonts w:ascii="Cambria Math" w:hAnsi="Cambria Math" w:cs="Times New Roman"/>
          </w:rPr>
          <m:t xml:space="preserve">=1.10, </m:t>
        </m:r>
        <m:r>
          <w:rPr>
            <w:rFonts w:ascii="Cambria Math" w:hAnsi="Cambria Math" w:cs="Times New Roman"/>
          </w:rPr>
          <m:t>p</m:t>
        </m:r>
        <m:r>
          <m:rPr>
            <m:sty m:val="p"/>
          </m:rPr>
          <w:rPr>
            <w:rFonts w:ascii="Cambria Math" w:hAnsi="Cambria Math" w:cs="Times New Roman"/>
          </w:rPr>
          <m:t>&lt;0.001),</m:t>
        </m:r>
      </m:oMath>
      <w:r w:rsidRPr="0095607E">
        <w:rPr>
          <w:rFonts w:ascii="Times New Roman" w:hAnsi="Times New Roman" w:cs="Times New Roman"/>
        </w:rPr>
        <w:t xml:space="preserve"> and those outside the market beyond 10 km experienced </w:t>
      </w:r>
      <m:oMath>
        <m:r>
          <m:rPr>
            <m:sty m:val="p"/>
          </m:rPr>
          <w:rPr>
            <w:rFonts w:ascii="Cambria Math" w:hAnsi="Cambria Math" w:cs="Times New Roman"/>
          </w:rPr>
          <m:t>+3.17</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β</m:t>
        </m:r>
        <m:r>
          <m:rPr>
            <m:sty m:val="p"/>
          </m:rPr>
          <w:rPr>
            <w:rFonts w:ascii="Cambria Math" w:hAnsi="Cambria Math" w:cs="Times New Roman"/>
          </w:rPr>
          <m:t xml:space="preserve">=0.146, </m:t>
        </m:r>
        <m:r>
          <w:rPr>
            <w:rFonts w:ascii="Cambria Math" w:hAnsi="Cambria Math" w:cs="Times New Roman"/>
          </w:rPr>
          <m:t>OR</m:t>
        </m:r>
        <m:r>
          <m:rPr>
            <m:sty m:val="p"/>
          </m:rPr>
          <w:rPr>
            <w:rFonts w:ascii="Cambria Math" w:hAnsi="Cambria Math" w:cs="Times New Roman"/>
          </w:rPr>
          <m:t xml:space="preserve">=1.160, </m:t>
        </m:r>
        <m:r>
          <w:rPr>
            <w:rFonts w:ascii="Cambria Math" w:hAnsi="Cambria Math" w:cs="Times New Roman"/>
          </w:rPr>
          <m:t>p</m:t>
        </m:r>
        <m:r>
          <m:rPr>
            <m:sty m:val="p"/>
          </m:rPr>
          <w:rPr>
            <w:rFonts w:ascii="Cambria Math" w:hAnsi="Cambria Math" w:cs="Times New Roman"/>
          </w:rPr>
          <m:t>&lt;0.001).</m:t>
        </m:r>
      </m:oMath>
      <w:r w:rsidRPr="0095607E">
        <w:rPr>
          <w:rFonts w:ascii="Times New Roman" w:hAnsi="Times New Roman" w:cs="Times New Roman"/>
        </w:rPr>
        <w:t xml:space="preserv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_Ref225194768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rPr>
        <w:t>Figure 5</w:t>
      </w:r>
      <w:r w:rsidR="00AE4901" w:rsidRPr="0095607E">
        <w:rPr>
          <w:rFonts w:ascii="Times New Roman" w:hAnsi="Times New Roman" w:cs="Times New Roman"/>
        </w:rPr>
        <w:fldChar w:fldCharType="end"/>
      </w:r>
      <w:r w:rsidR="00AE4901" w:rsidRPr="0095607E">
        <w:rPr>
          <w:rFonts w:ascii="Times New Roman" w:hAnsi="Times New Roman" w:cs="Times New Roman"/>
        </w:rPr>
        <w:t xml:space="preserve"> </w:t>
      </w:r>
      <w:r w:rsidRPr="0095607E">
        <w:rPr>
          <w:rFonts w:ascii="Times New Roman" w:hAnsi="Times New Roman" w:cs="Times New Roman"/>
        </w:rPr>
        <w:t xml:space="preserve">shows model-predicted losses by market distance, and it is clear that there is a step increase in the percentage of approximately 32% to 36% across the three distance categories. Perceived severity of transport also significantly increased losses by </w:t>
      </w:r>
      <m:oMath>
        <m:r>
          <m:rPr>
            <m:sty m:val="p"/>
          </m:rPr>
          <w:rPr>
            <w:rFonts w:ascii="Cambria Math" w:hAnsi="Cambria Math" w:cs="Times New Roman"/>
          </w:rPr>
          <m:t>1.57</m:t>
        </m:r>
        <m:r>
          <w:rPr>
            <w:rFonts w:ascii="Cambria Math" w:hAnsi="Cambria Math" w:cs="Times New Roman"/>
          </w:rPr>
          <m:t>pp</m:t>
        </m:r>
        <m:r>
          <m:rPr>
            <m:sty m:val="p"/>
          </m:rPr>
          <w:rPr>
            <w:rFonts w:ascii="Cambria Math" w:hAnsi="Cambria Math" w:cs="Times New Roman"/>
          </w:rPr>
          <m:t xml:space="preserve"> </m:t>
        </m:r>
        <m:r>
          <w:rPr>
            <w:rFonts w:ascii="Cambria Math" w:hAnsi="Cambria Math" w:cs="Times New Roman"/>
          </w:rPr>
          <m:t>per</m:t>
        </m:r>
        <m:r>
          <m:rPr>
            <m:sty m:val="p"/>
          </m:rPr>
          <w:rPr>
            <w:rFonts w:ascii="Cambria Math" w:hAnsi="Cambria Math" w:cs="Times New Roman"/>
          </w:rPr>
          <m:t xml:space="preserve"> </m:t>
        </m:r>
        <m:r>
          <w:rPr>
            <w:rFonts w:ascii="Cambria Math" w:hAnsi="Cambria Math" w:cs="Times New Roman"/>
          </w:rPr>
          <m:t>unit</m:t>
        </m:r>
        <m:r>
          <m:rPr>
            <m:sty m:val="p"/>
          </m:rPr>
          <w:rPr>
            <w:rFonts w:ascii="Cambria Math" w:hAnsi="Cambria Math" w:cs="Times New Roman"/>
          </w:rPr>
          <m:t xml:space="preserve"> (</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=34.10, </m:t>
        </m:r>
        <m:r>
          <w:rPr>
            <w:rFonts w:ascii="Cambria Math" w:hAnsi="Cambria Math" w:cs="Times New Roman"/>
          </w:rPr>
          <m:t>p</m:t>
        </m:r>
        <m:r>
          <m:rPr>
            <m:sty m:val="p"/>
          </m:rPr>
          <w:rPr>
            <w:rFonts w:ascii="Cambria Math" w:hAnsi="Cambria Math" w:cs="Times New Roman"/>
          </w:rPr>
          <m:t>&lt;0.001).</m:t>
        </m:r>
      </m:oMath>
      <w:r w:rsidRPr="0095607E">
        <w:rPr>
          <w:rFonts w:ascii="Times New Roman" w:hAnsi="Times New Roman" w:cs="Times New Roman"/>
        </w:rPr>
        <w:t xml:space="preserve"> Overall transport mode was also important </w:t>
      </w:r>
      <m:oMath>
        <m:r>
          <m:rPr>
            <m:sty m:val="p"/>
          </m:rPr>
          <w:rPr>
            <w:rFonts w:ascii="Cambria Math" w:hAnsi="Cambria Math" w:cs="Times New Roman"/>
          </w:rPr>
          <m:t>(</m:t>
        </m:r>
        <m:r>
          <w:rPr>
            <w:rFonts w:ascii="Cambria Math" w:hAnsi="Cambria Math" w:cs="Times New Roman"/>
          </w:rPr>
          <m:t>Wald</m:t>
        </m:r>
        <m:r>
          <m:rPr>
            <m:sty m:val="p"/>
          </m:rPr>
          <w:rPr>
            <w:rFonts w:ascii="Cambria Math" w:hAnsi="Cambria Math" w:cs="Times New Roman"/>
          </w:rPr>
          <m:t xml:space="preserve"> </m:t>
        </m:r>
        <m:sSup>
          <m:sSupPr>
            <m:ctrlPr>
              <w:rPr>
                <w:rFonts w:ascii="Cambria Math" w:hAnsi="Cambria Math" w:cs="Times New Roman"/>
              </w:rPr>
            </m:ctrlPr>
          </m:sSupPr>
          <m:e>
            <m:r>
              <w:rPr>
                <w:rFonts w:ascii="Cambria Math" w:hAnsi="Cambria Math" w:cs="Times New Roman"/>
              </w:rPr>
              <m:t>χ</m:t>
            </m:r>
          </m:e>
          <m:sup>
            <m:r>
              <m:rPr>
                <m:sty m:val="p"/>
              </m:rPr>
              <w:rPr>
                <w:rFonts w:ascii="Cambria Math" w:hAnsi="Cambria Math" w:cs="Times New Roman"/>
              </w:rPr>
              <m:t>2</m:t>
            </m:r>
          </m:sup>
        </m:sSup>
        <m:r>
          <m:rPr>
            <m:sty m:val="p"/>
          </m:rPr>
          <w:rPr>
            <w:rFonts w:ascii="Cambria Math" w:hAnsi="Cambria Math" w:cs="Times New Roman"/>
          </w:rPr>
          <m:t xml:space="preserve">=27.46, </m:t>
        </m:r>
        <m:r>
          <w:rPr>
            <w:rFonts w:ascii="Cambria Math" w:hAnsi="Cambria Math" w:cs="Times New Roman"/>
          </w:rPr>
          <m:t>df</m:t>
        </m:r>
        <m:r>
          <m:rPr>
            <m:sty m:val="p"/>
          </m:rPr>
          <w:rPr>
            <w:rFonts w:ascii="Cambria Math" w:hAnsi="Cambria Math" w:cs="Times New Roman"/>
          </w:rPr>
          <m:t xml:space="preserve">=3, </m:t>
        </m:r>
        <m:r>
          <w:rPr>
            <w:rFonts w:ascii="Cambria Math" w:hAnsi="Cambria Math" w:cs="Times New Roman"/>
          </w:rPr>
          <m:t>p</m:t>
        </m:r>
        <m:r>
          <m:rPr>
            <m:sty m:val="p"/>
          </m:rPr>
          <w:rPr>
            <w:rFonts w:ascii="Cambria Math" w:hAnsi="Cambria Math" w:cs="Times New Roman"/>
          </w:rPr>
          <m:t>=0.001)</m:t>
        </m:r>
      </m:oMath>
      <w:r w:rsidRPr="0095607E">
        <w:rPr>
          <w:rFonts w:ascii="Times New Roman" w:hAnsi="Times New Roman" w:cs="Times New Roman"/>
        </w:rPr>
        <w:t xml:space="preserve"> as the mode of transport that generated a </w:t>
      </w:r>
      <m:oMath>
        <m:r>
          <m:rPr>
            <m:sty m:val="p"/>
          </m:rPr>
          <w:rPr>
            <w:rFonts w:ascii="Cambria Math" w:hAnsi="Cambria Math" w:cs="Times New Roman"/>
          </w:rPr>
          <m:t>1.22</m:t>
        </m:r>
        <m:r>
          <w:rPr>
            <w:rFonts w:ascii="Cambria Math" w:hAnsi="Cambria Math" w:cs="Times New Roman"/>
          </w:rPr>
          <m:t>pp</m:t>
        </m:r>
      </m:oMath>
      <w:r w:rsidRPr="0095607E">
        <w:rPr>
          <w:rFonts w:ascii="Times New Roman" w:hAnsi="Times New Roman" w:cs="Times New Roman"/>
        </w:rPr>
        <w:t xml:space="preserve"> reduction in comparison to motorcycle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_Ref225194869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rPr>
        <w:t>Figure 6</w:t>
      </w:r>
      <w:r w:rsidR="00AE4901" w:rsidRPr="0095607E">
        <w:rPr>
          <w:rFonts w:ascii="Times New Roman" w:hAnsi="Times New Roman" w:cs="Times New Roman"/>
        </w:rPr>
        <w:fldChar w:fldCharType="end"/>
      </w:r>
      <w:r w:rsidRPr="0095607E">
        <w:rPr>
          <w:rFonts w:ascii="Times New Roman" w:hAnsi="Times New Roman" w:cs="Times New Roman"/>
        </w:rPr>
        <w:t xml:space="preserve">). There was no significance in animal and other modes with their very small samples </w:t>
      </w:r>
      <m:oMath>
        <m:r>
          <m:rPr>
            <m:sty m:val="p"/>
          </m:rPr>
          <w:rPr>
            <w:rFonts w:ascii="Cambria Math" w:hAnsi="Cambria Math" w:cs="Times New Roman"/>
          </w:rPr>
          <m:t>(</m:t>
        </m:r>
        <m:r>
          <w:rPr>
            <w:rFonts w:ascii="Cambria Math" w:hAnsi="Cambria Math" w:cs="Times New Roman"/>
          </w:rPr>
          <m:t>n</m:t>
        </m:r>
        <m:r>
          <m:rPr>
            <m:sty m:val="p"/>
          </m:rPr>
          <w:rPr>
            <w:rFonts w:ascii="Cambria Math" w:hAnsi="Cambria Math" w:cs="Times New Roman"/>
          </w:rPr>
          <m:t xml:space="preserve">=3 </m:t>
        </m:r>
        <m:r>
          <w:rPr>
            <w:rFonts w:ascii="Cambria Math" w:hAnsi="Cambria Math" w:cs="Times New Roman"/>
          </w:rPr>
          <m:t>and</m:t>
        </m:r>
        <m:r>
          <m:rPr>
            <m:sty m:val="p"/>
          </m:rPr>
          <w:rPr>
            <w:rFonts w:ascii="Cambria Math" w:hAnsi="Cambria Math" w:cs="Times New Roman"/>
          </w:rPr>
          <m:t xml:space="preserve"> </m:t>
        </m:r>
        <m:r>
          <w:rPr>
            <w:rFonts w:ascii="Cambria Math" w:hAnsi="Cambria Math" w:cs="Times New Roman"/>
          </w:rPr>
          <m:t>n</m:t>
        </m:r>
        <m:r>
          <m:rPr>
            <m:sty m:val="p"/>
          </m:rPr>
          <w:rPr>
            <w:rFonts w:ascii="Cambria Math" w:hAnsi="Cambria Math" w:cs="Times New Roman"/>
          </w:rPr>
          <m:t xml:space="preserve">=14 </m:t>
        </m:r>
      </m:oMath>
      <w:r w:rsidRPr="0095607E">
        <w:rPr>
          <w:rFonts w:ascii="Times New Roman" w:hAnsi="Times New Roman" w:cs="Times New Roman"/>
        </w:rPr>
        <w:t>respectively</w:t>
      </w:r>
      <m:oMath>
        <m:r>
          <m:rPr>
            <m:sty m:val="p"/>
          </m:rPr>
          <w:rPr>
            <w:rFonts w:ascii="Cambria Math" w:hAnsi="Cambria Math" w:cs="Times New Roman"/>
          </w:rPr>
          <m:t>).</m:t>
        </m:r>
      </m:oMath>
    </w:p>
    <w:p w14:paraId="0E6F26D4" w14:textId="77777777" w:rsidR="00B32DA8" w:rsidRPr="0095607E" w:rsidRDefault="00B32DA8" w:rsidP="003B0C52">
      <w:pPr>
        <w:pStyle w:val="NoSpacing"/>
        <w:jc w:val="both"/>
        <w:rPr>
          <w:rFonts w:ascii="Times New Roman" w:hAnsi="Times New Roman" w:cs="Times New Roman"/>
        </w:rPr>
      </w:pPr>
    </w:p>
    <w:p w14:paraId="014A3DD0" w14:textId="77777777"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199DB8F1" wp14:editId="39CE1BD3">
            <wp:extent cx="4130040" cy="2891028"/>
            <wp:effectExtent l="0" t="0" r="3810" b="508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stretch>
                      <a:fillRect/>
                    </a:stretch>
                  </pic:blipFill>
                  <pic:spPr>
                    <a:xfrm>
                      <a:off x="0" y="0"/>
                      <a:ext cx="4131703" cy="2892192"/>
                    </a:xfrm>
                    <a:prstGeom prst="rect">
                      <a:avLst/>
                    </a:prstGeom>
                  </pic:spPr>
                </pic:pic>
              </a:graphicData>
            </a:graphic>
          </wp:inline>
        </w:drawing>
      </w:r>
    </w:p>
    <w:p w14:paraId="1832172D" w14:textId="1C77CC8C" w:rsidR="00B32DA8" w:rsidRPr="0095607E" w:rsidRDefault="00B32DA8" w:rsidP="003B0C52">
      <w:pPr>
        <w:pStyle w:val="Caption"/>
        <w:rPr>
          <w:rFonts w:ascii="Times New Roman" w:hAnsi="Times New Roman" w:cs="Times New Roman"/>
          <w:b/>
          <w:bCs/>
          <w:color w:val="auto"/>
          <w:sz w:val="24"/>
          <w:szCs w:val="24"/>
        </w:rPr>
      </w:pPr>
      <w:bookmarkStart w:id="30" w:name="_Ref225194768"/>
      <w:bookmarkStart w:id="31" w:name="_Toc225196580"/>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5</w:t>
      </w:r>
      <w:r w:rsidRPr="0095607E">
        <w:rPr>
          <w:rFonts w:ascii="Times New Roman" w:hAnsi="Times New Roman" w:cs="Times New Roman"/>
          <w:b/>
          <w:bCs/>
          <w:color w:val="auto"/>
          <w:sz w:val="24"/>
          <w:szCs w:val="24"/>
        </w:rPr>
        <w:fldChar w:fldCharType="end"/>
      </w:r>
      <w:bookmarkEnd w:id="30"/>
      <w:r w:rsidRPr="0095607E">
        <w:rPr>
          <w:rFonts w:ascii="Times New Roman" w:hAnsi="Times New Roman" w:cs="Times New Roman"/>
          <w:b/>
          <w:bCs/>
          <w:color w:val="auto"/>
          <w:sz w:val="24"/>
          <w:szCs w:val="24"/>
        </w:rPr>
        <w:t xml:space="preserve">:Proportional Loss Modeled </w:t>
      </w:r>
      <w:r w:rsidR="00AE4901" w:rsidRPr="0095607E">
        <w:rPr>
          <w:rFonts w:ascii="Times New Roman" w:hAnsi="Times New Roman" w:cs="Times New Roman"/>
          <w:b/>
          <w:bCs/>
          <w:color w:val="auto"/>
          <w:sz w:val="24"/>
          <w:szCs w:val="24"/>
        </w:rPr>
        <w:t>by</w:t>
      </w:r>
      <w:r w:rsidRPr="0095607E">
        <w:rPr>
          <w:rFonts w:ascii="Times New Roman" w:hAnsi="Times New Roman" w:cs="Times New Roman"/>
          <w:b/>
          <w:bCs/>
          <w:color w:val="auto"/>
          <w:sz w:val="24"/>
          <w:szCs w:val="24"/>
        </w:rPr>
        <w:t xml:space="preserve"> Market Distance</w:t>
      </w:r>
      <w:bookmarkEnd w:id="31"/>
    </w:p>
    <w:p w14:paraId="54AFDF2E" w14:textId="77777777" w:rsidR="00B32DA8" w:rsidRPr="0095607E" w:rsidRDefault="00B32DA8" w:rsidP="003B0C52">
      <w:pPr>
        <w:pStyle w:val="NoSpacing"/>
        <w:jc w:val="both"/>
        <w:rPr>
          <w:rFonts w:ascii="Times New Roman" w:hAnsi="Times New Roman" w:cs="Times New Roman"/>
        </w:rPr>
      </w:pPr>
      <w:r w:rsidRPr="0095607E">
        <w:rPr>
          <w:rFonts w:ascii="Times New Roman" w:hAnsi="Times New Roman" w:cs="Times New Roman"/>
          <w:noProof/>
        </w:rPr>
        <w:lastRenderedPageBreak/>
        <w:drawing>
          <wp:inline distT="0" distB="0" distL="0" distR="0" wp14:anchorId="147C952E" wp14:editId="0844BCBA">
            <wp:extent cx="4549140" cy="3184398"/>
            <wp:effectExtent l="0" t="0" r="381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a:stretch>
                      <a:fillRect/>
                    </a:stretch>
                  </pic:blipFill>
                  <pic:spPr>
                    <a:xfrm>
                      <a:off x="0" y="0"/>
                      <a:ext cx="4553552" cy="3187486"/>
                    </a:xfrm>
                    <a:prstGeom prst="rect">
                      <a:avLst/>
                    </a:prstGeom>
                  </pic:spPr>
                </pic:pic>
              </a:graphicData>
            </a:graphic>
          </wp:inline>
        </w:drawing>
      </w:r>
    </w:p>
    <w:p w14:paraId="7A11D823" w14:textId="37B3BFEC" w:rsidR="00B32DA8" w:rsidRPr="0095607E" w:rsidRDefault="00B32DA8" w:rsidP="003B0C52">
      <w:pPr>
        <w:pStyle w:val="Caption"/>
        <w:rPr>
          <w:rFonts w:ascii="Times New Roman" w:hAnsi="Times New Roman" w:cs="Times New Roman"/>
          <w:b/>
          <w:bCs/>
          <w:color w:val="auto"/>
          <w:sz w:val="24"/>
          <w:szCs w:val="24"/>
        </w:rPr>
      </w:pPr>
      <w:bookmarkStart w:id="32" w:name="_Ref225194869"/>
      <w:bookmarkStart w:id="33" w:name="_Toc225196581"/>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6</w:t>
      </w:r>
      <w:r w:rsidRPr="0095607E">
        <w:rPr>
          <w:rFonts w:ascii="Times New Roman" w:hAnsi="Times New Roman" w:cs="Times New Roman"/>
          <w:b/>
          <w:bCs/>
          <w:color w:val="auto"/>
          <w:sz w:val="24"/>
          <w:szCs w:val="24"/>
        </w:rPr>
        <w:fldChar w:fldCharType="end"/>
      </w:r>
      <w:bookmarkEnd w:id="32"/>
      <w:r w:rsidRPr="0095607E">
        <w:rPr>
          <w:rFonts w:ascii="Times New Roman" w:hAnsi="Times New Roman" w:cs="Times New Roman"/>
          <w:b/>
          <w:bCs/>
          <w:color w:val="auto"/>
          <w:sz w:val="24"/>
          <w:szCs w:val="24"/>
        </w:rPr>
        <w:t>:Model-Predicted Proportional Loss by Mode of Transportation</w:t>
      </w:r>
      <w:bookmarkEnd w:id="33"/>
    </w:p>
    <w:p w14:paraId="3508FDC3" w14:textId="496A2767"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34" w:name="_Toc225180568"/>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6</w:t>
      </w:r>
      <w:r w:rsidRPr="0095607E">
        <w:rPr>
          <w:rFonts w:ascii="Times New Roman" w:hAnsi="Times New Roman" w:cs="Times New Roman"/>
          <w:b/>
          <w:bCs/>
          <w:color w:val="auto"/>
          <w:sz w:val="24"/>
          <w:szCs w:val="24"/>
        </w:rPr>
        <w:tab/>
        <w:t>Wald Tests</w:t>
      </w:r>
      <w:bookmarkEnd w:id="34"/>
    </w:p>
    <w:p w14:paraId="34FC0113" w14:textId="2B8E3A4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Type III Wald Chi-square tests compared the overall significance of each predictor at all levels of predictor described by one or more dummies. Operational and market access variables were very significant. Storage method had the largest statistic </w:t>
      </w:r>
      <m:oMath>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=1182.71, df=2, p=0.001)</m:t>
        </m:r>
      </m:oMath>
      <w:r w:rsidRPr="0095607E">
        <w:rPr>
          <w:rFonts w:ascii="Times New Roman" w:hAnsi="Times New Roman" w:cs="Times New Roman"/>
        </w:rPr>
        <w:t xml:space="preserve">, then storage duration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=137.39)</m:t>
        </m:r>
      </m:oMath>
      <w:r w:rsidRPr="0095607E">
        <w:rPr>
          <w:rFonts w:ascii="Times New Roman" w:hAnsi="Times New Roman" w:cs="Times New Roman"/>
        </w:rPr>
        <w:t xml:space="preserve">, market distance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=95.97),</m:t>
        </m:r>
      </m:oMath>
      <w:r w:rsidRPr="0095607E">
        <w:rPr>
          <w:rFonts w:ascii="Times New Roman" w:hAnsi="Times New Roman" w:cs="Times New Roman"/>
        </w:rPr>
        <w:t xml:space="preserve"> chemical use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=51.93),</m:t>
        </m:r>
      </m:oMath>
      <w:r w:rsidRPr="0095607E">
        <w:rPr>
          <w:rFonts w:ascii="Times New Roman" w:hAnsi="Times New Roman" w:cs="Times New Roman"/>
        </w:rPr>
        <w:t xml:space="preserve"> transport impact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=34.10)</m:t>
        </m:r>
      </m:oMath>
      <w:r w:rsidRPr="0095607E">
        <w:rPr>
          <w:rFonts w:ascii="Times New Roman" w:hAnsi="Times New Roman" w:cs="Times New Roman"/>
        </w:rPr>
        <w:t xml:space="preserve">, extension training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=28.68)</m:t>
        </m:r>
      </m:oMath>
      <w:r w:rsidRPr="0095607E">
        <w:rPr>
          <w:rFonts w:ascii="Times New Roman" w:hAnsi="Times New Roman" w:cs="Times New Roman"/>
        </w:rPr>
        <w:t xml:space="preserve">, and transport mode </w:t>
      </w:r>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=27.46)</m:t>
        </m:r>
      </m:oMath>
      <w:r w:rsidRPr="0095607E">
        <w:rPr>
          <w:rFonts w:ascii="Times New Roman" w:hAnsi="Times New Roman" w:cs="Times New Roman"/>
        </w:rPr>
        <w:t xml:space="preserve">. Education level was not a significant predictor </w:t>
      </w:r>
      <m:oMath>
        <m:d>
          <m:dPr>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=4.06, 3 df = 0.255</m:t>
            </m:r>
          </m:e>
        </m:d>
        <m:r>
          <w:rPr>
            <w:rFonts w:ascii="Cambria Math" w:hAnsi="Cambria Math" w:cs="Times New Roman"/>
          </w:rPr>
          <m:t>.</m:t>
        </m:r>
      </m:oMath>
      <w:r w:rsidR="004A5CC1" w:rsidRPr="0095607E">
        <w:rPr>
          <w:rFonts w:ascii="Times New Roman" w:eastAsiaTheme="minorEastAsia" w:hAnsi="Times New Roman" w:cs="Times New Roman"/>
        </w:rPr>
        <w:t xml:space="preserve"> The </w:t>
      </w:r>
      <w:r w:rsidRPr="0095607E">
        <w:rPr>
          <w:rFonts w:ascii="Times New Roman" w:hAnsi="Times New Roman" w:cs="Times New Roman"/>
        </w:rPr>
        <w:t>results are</w:t>
      </w:r>
      <w:r w:rsidR="004A5CC1" w:rsidRPr="0095607E">
        <w:rPr>
          <w:rFonts w:ascii="Times New Roman" w:hAnsi="Times New Roman" w:cs="Times New Roman"/>
        </w:rPr>
        <w:t xml:space="preserve"> shown</w:t>
      </w:r>
      <w:r w:rsidRPr="0095607E">
        <w:rPr>
          <w:rFonts w:ascii="Times New Roman" w:hAnsi="Times New Roman" w:cs="Times New Roman"/>
        </w:rPr>
        <w:t xml:space="preserve"> in </w:t>
      </w:r>
      <w:r w:rsidR="008A59B2" w:rsidRPr="0095607E">
        <w:rPr>
          <w:rFonts w:ascii="Times New Roman" w:hAnsi="Times New Roman" w:cs="Times New Roman"/>
        </w:rPr>
        <w:fldChar w:fldCharType="begin"/>
      </w:r>
      <w:r w:rsidR="008A59B2" w:rsidRPr="0095607E">
        <w:rPr>
          <w:rFonts w:ascii="Times New Roman" w:hAnsi="Times New Roman" w:cs="Times New Roman"/>
        </w:rPr>
        <w:instrText xml:space="preserve"> REF _Ref225195399 \h </w:instrText>
      </w:r>
      <w:r w:rsidR="003B0C52" w:rsidRPr="0095607E">
        <w:rPr>
          <w:rFonts w:ascii="Times New Roman" w:hAnsi="Times New Roman" w:cs="Times New Roman"/>
        </w:rPr>
        <w:instrText xml:space="preserve"> \* MERGEFORMAT </w:instrText>
      </w:r>
      <w:r w:rsidR="008A59B2" w:rsidRPr="0095607E">
        <w:rPr>
          <w:rFonts w:ascii="Times New Roman" w:hAnsi="Times New Roman" w:cs="Times New Roman"/>
        </w:rPr>
      </w:r>
      <w:r w:rsidR="008A59B2" w:rsidRPr="0095607E">
        <w:rPr>
          <w:rFonts w:ascii="Times New Roman" w:hAnsi="Times New Roman" w:cs="Times New Roman"/>
        </w:rPr>
        <w:fldChar w:fldCharType="separate"/>
      </w:r>
      <w:r w:rsidR="008A59B2" w:rsidRPr="0095607E">
        <w:rPr>
          <w:rFonts w:ascii="Times New Roman" w:hAnsi="Times New Roman" w:cs="Times New Roman"/>
          <w:b/>
          <w:bCs/>
        </w:rPr>
        <w:t xml:space="preserve">Table </w:t>
      </w:r>
      <w:r w:rsidR="008A59B2" w:rsidRPr="0095607E">
        <w:rPr>
          <w:rFonts w:ascii="Times New Roman" w:hAnsi="Times New Roman" w:cs="Times New Roman"/>
          <w:b/>
          <w:bCs/>
          <w:noProof/>
        </w:rPr>
        <w:t>5</w:t>
      </w:r>
      <w:r w:rsidR="008A59B2" w:rsidRPr="0095607E">
        <w:rPr>
          <w:rFonts w:ascii="Times New Roman" w:hAnsi="Times New Roman" w:cs="Times New Roman"/>
        </w:rPr>
        <w:fldChar w:fldCharType="end"/>
      </w:r>
      <w:r w:rsidR="008A59B2" w:rsidRPr="0095607E">
        <w:rPr>
          <w:rFonts w:ascii="Times New Roman" w:hAnsi="Times New Roman" w:cs="Times New Roman"/>
        </w:rPr>
        <w:t xml:space="preserve"> </w:t>
      </w:r>
      <w:r w:rsidRPr="0095607E">
        <w:rPr>
          <w:rFonts w:ascii="Times New Roman" w:hAnsi="Times New Roman" w:cs="Times New Roman"/>
        </w:rPr>
        <w:t>below.</w:t>
      </w:r>
    </w:p>
    <w:p w14:paraId="4199A499" w14:textId="0A155306" w:rsidR="002D26E1" w:rsidRPr="0095607E" w:rsidRDefault="002D26E1" w:rsidP="003B0C52">
      <w:pPr>
        <w:pStyle w:val="Caption"/>
        <w:rPr>
          <w:rFonts w:ascii="Times New Roman" w:hAnsi="Times New Roman" w:cs="Times New Roman"/>
          <w:b/>
          <w:bCs/>
          <w:color w:val="auto"/>
          <w:sz w:val="24"/>
          <w:szCs w:val="24"/>
        </w:rPr>
      </w:pPr>
      <w:bookmarkStart w:id="35" w:name="_Ref225195399"/>
      <w:bookmarkStart w:id="36" w:name="_Ref225195390"/>
      <w:bookmarkStart w:id="37" w:name="_Toc225196611"/>
      <w:r w:rsidRPr="0095607E">
        <w:rPr>
          <w:rFonts w:ascii="Times New Roman" w:hAnsi="Times New Roman" w:cs="Times New Roman"/>
          <w:b/>
          <w:bCs/>
          <w:color w:val="auto"/>
          <w:sz w:val="24"/>
          <w:szCs w:val="24"/>
        </w:rPr>
        <w:t xml:space="preserve">Table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Table \* ARABIC </w:instrText>
      </w:r>
      <w:r w:rsidRPr="0095607E">
        <w:rPr>
          <w:rFonts w:ascii="Times New Roman" w:hAnsi="Times New Roman" w:cs="Times New Roman"/>
          <w:b/>
          <w:bCs/>
          <w:color w:val="auto"/>
          <w:sz w:val="24"/>
          <w:szCs w:val="24"/>
        </w:rPr>
        <w:fldChar w:fldCharType="separate"/>
      </w:r>
      <w:r w:rsidR="008A59B2" w:rsidRPr="0095607E">
        <w:rPr>
          <w:rFonts w:ascii="Times New Roman" w:hAnsi="Times New Roman" w:cs="Times New Roman"/>
          <w:b/>
          <w:bCs/>
          <w:noProof/>
          <w:color w:val="auto"/>
          <w:sz w:val="24"/>
          <w:szCs w:val="24"/>
        </w:rPr>
        <w:t>5</w:t>
      </w:r>
      <w:r w:rsidRPr="0095607E">
        <w:rPr>
          <w:rFonts w:ascii="Times New Roman" w:hAnsi="Times New Roman" w:cs="Times New Roman"/>
          <w:b/>
          <w:bCs/>
          <w:color w:val="auto"/>
          <w:sz w:val="24"/>
          <w:szCs w:val="24"/>
        </w:rPr>
        <w:fldChar w:fldCharType="end"/>
      </w:r>
      <w:bookmarkEnd w:id="35"/>
      <w:r w:rsidRPr="0095607E">
        <w:rPr>
          <w:rFonts w:ascii="Times New Roman" w:hAnsi="Times New Roman" w:cs="Times New Roman"/>
          <w:b/>
          <w:bCs/>
          <w:color w:val="auto"/>
          <w:sz w:val="24"/>
          <w:szCs w:val="24"/>
        </w:rPr>
        <w:t>:Type III Chi-Square Tests. Multilevel Beta Regression</w:t>
      </w:r>
      <w:bookmarkEnd w:id="36"/>
      <w:bookmarkEnd w:id="37"/>
    </w:p>
    <w:tbl>
      <w:tblPr>
        <w:tblStyle w:val="TableGrid"/>
        <w:tblW w:w="8887" w:type="dxa"/>
        <w:jc w:val="center"/>
        <w:tblLook w:val="04A0" w:firstRow="1" w:lastRow="0" w:firstColumn="1" w:lastColumn="0" w:noHBand="0" w:noVBand="1"/>
      </w:tblPr>
      <w:tblGrid>
        <w:gridCol w:w="2143"/>
        <w:gridCol w:w="1162"/>
        <w:gridCol w:w="805"/>
        <w:gridCol w:w="1342"/>
        <w:gridCol w:w="3435"/>
      </w:tblGrid>
      <w:tr w:rsidR="002D26E1" w:rsidRPr="0095607E" w14:paraId="11630ADF" w14:textId="77777777" w:rsidTr="00F10821">
        <w:trPr>
          <w:trHeight w:val="320"/>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3E4C5C52"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Predictor</w:t>
            </w:r>
          </w:p>
        </w:tc>
        <w:tc>
          <w:tcPr>
            <w:tcW w:w="1162" w:type="dxa"/>
            <w:tcBorders>
              <w:top w:val="single" w:sz="4" w:space="0" w:color="AAAAAA"/>
              <w:left w:val="nil"/>
              <w:bottom w:val="single" w:sz="4" w:space="0" w:color="AAAAAA"/>
              <w:right w:val="single" w:sz="4" w:space="0" w:color="AAAAAA"/>
            </w:tcBorders>
            <w:vAlign w:val="center"/>
            <w:hideMark/>
          </w:tcPr>
          <w:p w14:paraId="127E8E5B"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Wald χ²</w:t>
            </w:r>
          </w:p>
        </w:tc>
        <w:tc>
          <w:tcPr>
            <w:tcW w:w="805" w:type="dxa"/>
            <w:tcBorders>
              <w:top w:val="single" w:sz="4" w:space="0" w:color="AAAAAA"/>
              <w:left w:val="nil"/>
              <w:bottom w:val="single" w:sz="4" w:space="0" w:color="AAAAAA"/>
              <w:right w:val="single" w:sz="4" w:space="0" w:color="AAAAAA"/>
            </w:tcBorders>
            <w:vAlign w:val="center"/>
            <w:hideMark/>
          </w:tcPr>
          <w:p w14:paraId="1C28075C"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df</w:t>
            </w:r>
          </w:p>
        </w:tc>
        <w:tc>
          <w:tcPr>
            <w:tcW w:w="1342" w:type="dxa"/>
            <w:tcBorders>
              <w:top w:val="single" w:sz="4" w:space="0" w:color="AAAAAA"/>
              <w:left w:val="nil"/>
              <w:bottom w:val="single" w:sz="4" w:space="0" w:color="AAAAAA"/>
              <w:right w:val="single" w:sz="4" w:space="0" w:color="AAAAAA"/>
            </w:tcBorders>
            <w:vAlign w:val="center"/>
            <w:hideMark/>
          </w:tcPr>
          <w:p w14:paraId="46AF2725"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p-value</w:t>
            </w:r>
          </w:p>
        </w:tc>
        <w:tc>
          <w:tcPr>
            <w:tcW w:w="3435" w:type="dxa"/>
            <w:tcBorders>
              <w:top w:val="single" w:sz="4" w:space="0" w:color="AAAAAA"/>
              <w:left w:val="nil"/>
              <w:bottom w:val="single" w:sz="4" w:space="0" w:color="AAAAAA"/>
              <w:right w:val="single" w:sz="4" w:space="0" w:color="AAAAAA"/>
            </w:tcBorders>
            <w:vAlign w:val="center"/>
            <w:hideMark/>
          </w:tcPr>
          <w:p w14:paraId="487D7E4C" w14:textId="77777777" w:rsidR="002D26E1" w:rsidRPr="0095607E" w:rsidRDefault="002D26E1" w:rsidP="003B0C52">
            <w:pPr>
              <w:pStyle w:val="NoSpacing"/>
              <w:jc w:val="both"/>
              <w:rPr>
                <w:rFonts w:ascii="Times New Roman" w:hAnsi="Times New Roman" w:cs="Times New Roman"/>
                <w:b/>
                <w:bCs/>
              </w:rPr>
            </w:pPr>
            <w:r w:rsidRPr="0095607E">
              <w:rPr>
                <w:rFonts w:ascii="Times New Roman" w:hAnsi="Times New Roman" w:cs="Times New Roman"/>
                <w:b/>
                <w:bCs/>
              </w:rPr>
              <w:t>Significance</w:t>
            </w:r>
          </w:p>
        </w:tc>
      </w:tr>
      <w:tr w:rsidR="002D26E1" w:rsidRPr="0095607E" w14:paraId="59111DC4" w14:textId="77777777" w:rsidTr="00F10821">
        <w:trPr>
          <w:trHeight w:val="65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1FA4B7A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method</w:t>
            </w:r>
          </w:p>
        </w:tc>
        <w:tc>
          <w:tcPr>
            <w:tcW w:w="1162" w:type="dxa"/>
            <w:tcBorders>
              <w:top w:val="single" w:sz="4" w:space="0" w:color="AAAAAA"/>
              <w:left w:val="nil"/>
              <w:bottom w:val="single" w:sz="4" w:space="0" w:color="AAAAAA"/>
              <w:right w:val="single" w:sz="4" w:space="0" w:color="AAAAAA"/>
            </w:tcBorders>
            <w:vAlign w:val="center"/>
            <w:hideMark/>
          </w:tcPr>
          <w:p w14:paraId="0D261C5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1182.71</w:t>
            </w:r>
          </w:p>
        </w:tc>
        <w:tc>
          <w:tcPr>
            <w:tcW w:w="805" w:type="dxa"/>
            <w:tcBorders>
              <w:top w:val="single" w:sz="4" w:space="0" w:color="AAAAAA"/>
              <w:left w:val="nil"/>
              <w:bottom w:val="single" w:sz="4" w:space="0" w:color="AAAAAA"/>
              <w:right w:val="single" w:sz="4" w:space="0" w:color="AAAAAA"/>
            </w:tcBorders>
            <w:vAlign w:val="center"/>
            <w:hideMark/>
          </w:tcPr>
          <w:p w14:paraId="0A1A28E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w:t>
            </w:r>
          </w:p>
        </w:tc>
        <w:tc>
          <w:tcPr>
            <w:tcW w:w="1342" w:type="dxa"/>
            <w:tcBorders>
              <w:top w:val="single" w:sz="4" w:space="0" w:color="AAAAAA"/>
              <w:left w:val="nil"/>
              <w:bottom w:val="single" w:sz="4" w:space="0" w:color="AAAAAA"/>
              <w:right w:val="single" w:sz="4" w:space="0" w:color="AAAAAA"/>
            </w:tcBorders>
            <w:vAlign w:val="center"/>
            <w:hideMark/>
          </w:tcPr>
          <w:p w14:paraId="28A0AE1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37447A3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1BF73E09" w14:textId="77777777" w:rsidTr="00F10821">
        <w:trPr>
          <w:trHeight w:val="65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00AFD23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Storage duration</w:t>
            </w:r>
          </w:p>
        </w:tc>
        <w:tc>
          <w:tcPr>
            <w:tcW w:w="1162" w:type="dxa"/>
            <w:tcBorders>
              <w:top w:val="single" w:sz="4" w:space="0" w:color="AAAAAA"/>
              <w:left w:val="nil"/>
              <w:bottom w:val="single" w:sz="4" w:space="0" w:color="AAAAAA"/>
              <w:right w:val="single" w:sz="4" w:space="0" w:color="AAAAAA"/>
            </w:tcBorders>
            <w:vAlign w:val="center"/>
            <w:hideMark/>
          </w:tcPr>
          <w:p w14:paraId="7420D5B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137.39</w:t>
            </w:r>
          </w:p>
        </w:tc>
        <w:tc>
          <w:tcPr>
            <w:tcW w:w="805" w:type="dxa"/>
            <w:tcBorders>
              <w:top w:val="single" w:sz="4" w:space="0" w:color="AAAAAA"/>
              <w:left w:val="nil"/>
              <w:bottom w:val="single" w:sz="4" w:space="0" w:color="AAAAAA"/>
              <w:right w:val="single" w:sz="4" w:space="0" w:color="AAAAAA"/>
            </w:tcBorders>
            <w:vAlign w:val="center"/>
            <w:hideMark/>
          </w:tcPr>
          <w:p w14:paraId="2AB45EE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w:t>
            </w:r>
          </w:p>
        </w:tc>
        <w:tc>
          <w:tcPr>
            <w:tcW w:w="1342" w:type="dxa"/>
            <w:tcBorders>
              <w:top w:val="single" w:sz="4" w:space="0" w:color="AAAAAA"/>
              <w:left w:val="nil"/>
              <w:bottom w:val="single" w:sz="4" w:space="0" w:color="AAAAAA"/>
              <w:right w:val="single" w:sz="4" w:space="0" w:color="AAAAAA"/>
            </w:tcBorders>
            <w:vAlign w:val="center"/>
            <w:hideMark/>
          </w:tcPr>
          <w:p w14:paraId="64A9553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4F376A5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144C0F6A" w14:textId="77777777" w:rsidTr="00F10821">
        <w:trPr>
          <w:trHeight w:val="64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77139C1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Chemical use</w:t>
            </w:r>
          </w:p>
        </w:tc>
        <w:tc>
          <w:tcPr>
            <w:tcW w:w="1162" w:type="dxa"/>
            <w:tcBorders>
              <w:top w:val="single" w:sz="4" w:space="0" w:color="AAAAAA"/>
              <w:left w:val="nil"/>
              <w:bottom w:val="single" w:sz="4" w:space="0" w:color="AAAAAA"/>
              <w:right w:val="single" w:sz="4" w:space="0" w:color="AAAAAA"/>
            </w:tcBorders>
            <w:vAlign w:val="center"/>
            <w:hideMark/>
          </w:tcPr>
          <w:p w14:paraId="4658CAE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51.93</w:t>
            </w:r>
          </w:p>
        </w:tc>
        <w:tc>
          <w:tcPr>
            <w:tcW w:w="805" w:type="dxa"/>
            <w:tcBorders>
              <w:top w:val="single" w:sz="4" w:space="0" w:color="AAAAAA"/>
              <w:left w:val="nil"/>
              <w:bottom w:val="single" w:sz="4" w:space="0" w:color="AAAAAA"/>
              <w:right w:val="single" w:sz="4" w:space="0" w:color="AAAAAA"/>
            </w:tcBorders>
            <w:vAlign w:val="center"/>
            <w:hideMark/>
          </w:tcPr>
          <w:p w14:paraId="576C7C3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w:t>
            </w:r>
          </w:p>
        </w:tc>
        <w:tc>
          <w:tcPr>
            <w:tcW w:w="1342" w:type="dxa"/>
            <w:tcBorders>
              <w:top w:val="single" w:sz="4" w:space="0" w:color="AAAAAA"/>
              <w:left w:val="nil"/>
              <w:bottom w:val="single" w:sz="4" w:space="0" w:color="AAAAAA"/>
              <w:right w:val="single" w:sz="4" w:space="0" w:color="AAAAAA"/>
            </w:tcBorders>
            <w:vAlign w:val="center"/>
            <w:hideMark/>
          </w:tcPr>
          <w:p w14:paraId="77E75A8B"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018988A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2199E645" w14:textId="77777777" w:rsidTr="00F10821">
        <w:trPr>
          <w:trHeight w:val="65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44F8177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Extension training</w:t>
            </w:r>
          </w:p>
        </w:tc>
        <w:tc>
          <w:tcPr>
            <w:tcW w:w="1162" w:type="dxa"/>
            <w:tcBorders>
              <w:top w:val="single" w:sz="4" w:space="0" w:color="AAAAAA"/>
              <w:left w:val="nil"/>
              <w:bottom w:val="single" w:sz="4" w:space="0" w:color="AAAAAA"/>
              <w:right w:val="single" w:sz="4" w:space="0" w:color="AAAAAA"/>
            </w:tcBorders>
            <w:vAlign w:val="center"/>
            <w:hideMark/>
          </w:tcPr>
          <w:p w14:paraId="7CA84FC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28.68</w:t>
            </w:r>
          </w:p>
        </w:tc>
        <w:tc>
          <w:tcPr>
            <w:tcW w:w="805" w:type="dxa"/>
            <w:tcBorders>
              <w:top w:val="single" w:sz="4" w:space="0" w:color="AAAAAA"/>
              <w:left w:val="nil"/>
              <w:bottom w:val="single" w:sz="4" w:space="0" w:color="AAAAAA"/>
              <w:right w:val="single" w:sz="4" w:space="0" w:color="AAAAAA"/>
            </w:tcBorders>
            <w:vAlign w:val="center"/>
            <w:hideMark/>
          </w:tcPr>
          <w:p w14:paraId="6008B7D1"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w:t>
            </w:r>
          </w:p>
        </w:tc>
        <w:tc>
          <w:tcPr>
            <w:tcW w:w="1342" w:type="dxa"/>
            <w:tcBorders>
              <w:top w:val="single" w:sz="4" w:space="0" w:color="AAAAAA"/>
              <w:left w:val="nil"/>
              <w:bottom w:val="single" w:sz="4" w:space="0" w:color="AAAAAA"/>
              <w:right w:val="single" w:sz="4" w:space="0" w:color="AAAAAA"/>
            </w:tcBorders>
            <w:vAlign w:val="center"/>
            <w:hideMark/>
          </w:tcPr>
          <w:p w14:paraId="4980ADF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689E727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6A30060F" w14:textId="77777777" w:rsidTr="00F10821">
        <w:trPr>
          <w:trHeight w:val="65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2823B0E5"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Market distance</w:t>
            </w:r>
          </w:p>
        </w:tc>
        <w:tc>
          <w:tcPr>
            <w:tcW w:w="1162" w:type="dxa"/>
            <w:tcBorders>
              <w:top w:val="single" w:sz="4" w:space="0" w:color="AAAAAA"/>
              <w:left w:val="nil"/>
              <w:bottom w:val="single" w:sz="4" w:space="0" w:color="AAAAAA"/>
              <w:right w:val="single" w:sz="4" w:space="0" w:color="AAAAAA"/>
            </w:tcBorders>
            <w:vAlign w:val="center"/>
            <w:hideMark/>
          </w:tcPr>
          <w:p w14:paraId="7C46142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95.97</w:t>
            </w:r>
          </w:p>
        </w:tc>
        <w:tc>
          <w:tcPr>
            <w:tcW w:w="805" w:type="dxa"/>
            <w:tcBorders>
              <w:top w:val="single" w:sz="4" w:space="0" w:color="AAAAAA"/>
              <w:left w:val="nil"/>
              <w:bottom w:val="single" w:sz="4" w:space="0" w:color="AAAAAA"/>
              <w:right w:val="single" w:sz="4" w:space="0" w:color="AAAAAA"/>
            </w:tcBorders>
            <w:vAlign w:val="center"/>
            <w:hideMark/>
          </w:tcPr>
          <w:p w14:paraId="277F5F7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w:t>
            </w:r>
          </w:p>
        </w:tc>
        <w:tc>
          <w:tcPr>
            <w:tcW w:w="1342" w:type="dxa"/>
            <w:tcBorders>
              <w:top w:val="single" w:sz="4" w:space="0" w:color="AAAAAA"/>
              <w:left w:val="nil"/>
              <w:bottom w:val="single" w:sz="4" w:space="0" w:color="AAAAAA"/>
              <w:right w:val="single" w:sz="4" w:space="0" w:color="AAAAAA"/>
            </w:tcBorders>
            <w:vAlign w:val="center"/>
            <w:hideMark/>
          </w:tcPr>
          <w:p w14:paraId="5C7EA05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00DAEFD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37ECBBCB" w14:textId="77777777" w:rsidTr="00F10821">
        <w:trPr>
          <w:trHeight w:val="65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4F65706D"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Transport impact</w:t>
            </w:r>
          </w:p>
        </w:tc>
        <w:tc>
          <w:tcPr>
            <w:tcW w:w="1162" w:type="dxa"/>
            <w:tcBorders>
              <w:top w:val="single" w:sz="4" w:space="0" w:color="AAAAAA"/>
              <w:left w:val="nil"/>
              <w:bottom w:val="single" w:sz="4" w:space="0" w:color="AAAAAA"/>
              <w:right w:val="single" w:sz="4" w:space="0" w:color="AAAAAA"/>
            </w:tcBorders>
            <w:vAlign w:val="center"/>
            <w:hideMark/>
          </w:tcPr>
          <w:p w14:paraId="0196D80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34.10</w:t>
            </w:r>
          </w:p>
        </w:tc>
        <w:tc>
          <w:tcPr>
            <w:tcW w:w="805" w:type="dxa"/>
            <w:tcBorders>
              <w:top w:val="single" w:sz="4" w:space="0" w:color="AAAAAA"/>
              <w:left w:val="nil"/>
              <w:bottom w:val="single" w:sz="4" w:space="0" w:color="AAAAAA"/>
              <w:right w:val="single" w:sz="4" w:space="0" w:color="AAAAAA"/>
            </w:tcBorders>
            <w:vAlign w:val="center"/>
            <w:hideMark/>
          </w:tcPr>
          <w:p w14:paraId="12EA0A2A"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1</w:t>
            </w:r>
          </w:p>
        </w:tc>
        <w:tc>
          <w:tcPr>
            <w:tcW w:w="1342" w:type="dxa"/>
            <w:tcBorders>
              <w:top w:val="single" w:sz="4" w:space="0" w:color="AAAAAA"/>
              <w:left w:val="nil"/>
              <w:bottom w:val="single" w:sz="4" w:space="0" w:color="AAAAAA"/>
              <w:right w:val="single" w:sz="4" w:space="0" w:color="AAAAAA"/>
            </w:tcBorders>
            <w:vAlign w:val="center"/>
            <w:hideMark/>
          </w:tcPr>
          <w:p w14:paraId="3794B8A3"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5F7C203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4AB16404" w14:textId="77777777" w:rsidTr="00F10821">
        <w:trPr>
          <w:trHeight w:val="65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0FED1E1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lastRenderedPageBreak/>
              <w:t>Transport mode</w:t>
            </w:r>
          </w:p>
        </w:tc>
        <w:tc>
          <w:tcPr>
            <w:tcW w:w="1162" w:type="dxa"/>
            <w:tcBorders>
              <w:top w:val="single" w:sz="4" w:space="0" w:color="AAAAAA"/>
              <w:left w:val="nil"/>
              <w:bottom w:val="single" w:sz="4" w:space="0" w:color="AAAAAA"/>
              <w:right w:val="single" w:sz="4" w:space="0" w:color="AAAAAA"/>
            </w:tcBorders>
            <w:vAlign w:val="center"/>
            <w:hideMark/>
          </w:tcPr>
          <w:p w14:paraId="16A8D6F7"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27.46</w:t>
            </w:r>
          </w:p>
        </w:tc>
        <w:tc>
          <w:tcPr>
            <w:tcW w:w="805" w:type="dxa"/>
            <w:tcBorders>
              <w:top w:val="single" w:sz="4" w:space="0" w:color="AAAAAA"/>
              <w:left w:val="nil"/>
              <w:bottom w:val="single" w:sz="4" w:space="0" w:color="AAAAAA"/>
              <w:right w:val="single" w:sz="4" w:space="0" w:color="AAAAAA"/>
            </w:tcBorders>
            <w:vAlign w:val="center"/>
            <w:hideMark/>
          </w:tcPr>
          <w:p w14:paraId="664B7D7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w:t>
            </w:r>
          </w:p>
        </w:tc>
        <w:tc>
          <w:tcPr>
            <w:tcW w:w="1342" w:type="dxa"/>
            <w:tcBorders>
              <w:top w:val="single" w:sz="4" w:space="0" w:color="AAAAAA"/>
              <w:left w:val="nil"/>
              <w:bottom w:val="single" w:sz="4" w:space="0" w:color="AAAAAA"/>
              <w:right w:val="single" w:sz="4" w:space="0" w:color="AAAAAA"/>
            </w:tcBorders>
            <w:vAlign w:val="center"/>
            <w:hideMark/>
          </w:tcPr>
          <w:p w14:paraId="791875B2"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&lt; 0.001</w:t>
            </w:r>
          </w:p>
        </w:tc>
        <w:tc>
          <w:tcPr>
            <w:tcW w:w="3435" w:type="dxa"/>
            <w:tcBorders>
              <w:top w:val="single" w:sz="4" w:space="0" w:color="AAAAAA"/>
              <w:left w:val="nil"/>
              <w:bottom w:val="single" w:sz="4" w:space="0" w:color="AAAAAA"/>
              <w:right w:val="single" w:sz="4" w:space="0" w:color="AAAAAA"/>
            </w:tcBorders>
            <w:vAlign w:val="center"/>
            <w:hideMark/>
          </w:tcPr>
          <w:p w14:paraId="3A68347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Highly significant</w:t>
            </w:r>
          </w:p>
        </w:tc>
      </w:tr>
      <w:tr w:rsidR="002D26E1" w:rsidRPr="0095607E" w14:paraId="101E83E1" w14:textId="77777777" w:rsidTr="00F10821">
        <w:trPr>
          <w:trHeight w:val="642"/>
          <w:jc w:val="center"/>
        </w:trPr>
        <w:tc>
          <w:tcPr>
            <w:tcW w:w="2143" w:type="dxa"/>
            <w:tcBorders>
              <w:top w:val="single" w:sz="4" w:space="0" w:color="AAAAAA"/>
              <w:left w:val="single" w:sz="4" w:space="0" w:color="AAAAAA"/>
              <w:bottom w:val="single" w:sz="4" w:space="0" w:color="AAAAAA"/>
              <w:right w:val="single" w:sz="4" w:space="0" w:color="AAAAAA"/>
            </w:tcBorders>
            <w:vAlign w:val="center"/>
            <w:hideMark/>
          </w:tcPr>
          <w:p w14:paraId="1256BC6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Education level</w:t>
            </w:r>
          </w:p>
        </w:tc>
        <w:tc>
          <w:tcPr>
            <w:tcW w:w="1162" w:type="dxa"/>
            <w:tcBorders>
              <w:top w:val="single" w:sz="4" w:space="0" w:color="AAAAAA"/>
              <w:left w:val="nil"/>
              <w:bottom w:val="single" w:sz="4" w:space="0" w:color="AAAAAA"/>
              <w:right w:val="single" w:sz="4" w:space="0" w:color="AAAAAA"/>
            </w:tcBorders>
            <w:vAlign w:val="center"/>
            <w:hideMark/>
          </w:tcPr>
          <w:p w14:paraId="24878CA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4.06</w:t>
            </w:r>
          </w:p>
        </w:tc>
        <w:tc>
          <w:tcPr>
            <w:tcW w:w="805" w:type="dxa"/>
            <w:tcBorders>
              <w:top w:val="single" w:sz="4" w:space="0" w:color="AAAAAA"/>
              <w:left w:val="nil"/>
              <w:bottom w:val="single" w:sz="4" w:space="0" w:color="AAAAAA"/>
              <w:right w:val="single" w:sz="4" w:space="0" w:color="AAAAAA"/>
            </w:tcBorders>
            <w:vAlign w:val="center"/>
            <w:hideMark/>
          </w:tcPr>
          <w:p w14:paraId="7F2C6B9C"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3</w:t>
            </w:r>
          </w:p>
        </w:tc>
        <w:tc>
          <w:tcPr>
            <w:tcW w:w="1342" w:type="dxa"/>
            <w:tcBorders>
              <w:top w:val="single" w:sz="4" w:space="0" w:color="AAAAAA"/>
              <w:left w:val="nil"/>
              <w:bottom w:val="single" w:sz="4" w:space="0" w:color="AAAAAA"/>
              <w:right w:val="single" w:sz="4" w:space="0" w:color="AAAAAA"/>
            </w:tcBorders>
            <w:vAlign w:val="center"/>
            <w:hideMark/>
          </w:tcPr>
          <w:p w14:paraId="66294AA9"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0.255</w:t>
            </w:r>
          </w:p>
        </w:tc>
        <w:tc>
          <w:tcPr>
            <w:tcW w:w="3435" w:type="dxa"/>
            <w:tcBorders>
              <w:top w:val="single" w:sz="4" w:space="0" w:color="AAAAAA"/>
              <w:left w:val="nil"/>
              <w:bottom w:val="single" w:sz="4" w:space="0" w:color="AAAAAA"/>
              <w:right w:val="single" w:sz="4" w:space="0" w:color="AAAAAA"/>
            </w:tcBorders>
            <w:vAlign w:val="center"/>
            <w:hideMark/>
          </w:tcPr>
          <w:p w14:paraId="5922337F"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Not significant</w:t>
            </w:r>
          </w:p>
        </w:tc>
      </w:tr>
    </w:tbl>
    <w:p w14:paraId="7DB60210" w14:textId="77777777" w:rsidR="002D26E1" w:rsidRPr="0095607E" w:rsidRDefault="002D26E1" w:rsidP="003B0C52">
      <w:pPr>
        <w:pStyle w:val="NoSpacing"/>
        <w:jc w:val="both"/>
        <w:rPr>
          <w:rFonts w:ascii="Times New Roman" w:hAnsi="Times New Roman" w:cs="Times New Roman"/>
          <w:b/>
          <w:bCs/>
        </w:rPr>
      </w:pPr>
    </w:p>
    <w:p w14:paraId="47CE882F" w14:textId="42501908" w:rsidR="002D26E1" w:rsidRPr="0095607E" w:rsidRDefault="002D26E1" w:rsidP="003B0C52">
      <w:pPr>
        <w:pStyle w:val="Heading3"/>
        <w:spacing w:line="240" w:lineRule="auto"/>
        <w:rPr>
          <w:rFonts w:ascii="Times New Roman" w:hAnsi="Times New Roman" w:cs="Times New Roman"/>
          <w:b/>
          <w:bCs/>
          <w:color w:val="auto"/>
          <w:sz w:val="24"/>
          <w:szCs w:val="24"/>
        </w:rPr>
      </w:pPr>
      <w:bookmarkStart w:id="38" w:name="_Toc225180570"/>
      <w:r w:rsidRPr="0095607E">
        <w:rPr>
          <w:rFonts w:ascii="Times New Roman" w:hAnsi="Times New Roman" w:cs="Times New Roman"/>
          <w:b/>
          <w:bCs/>
          <w:color w:val="auto"/>
          <w:sz w:val="24"/>
          <w:szCs w:val="24"/>
        </w:rPr>
        <w:t>4.</w:t>
      </w:r>
      <w:r w:rsidR="0075761C" w:rsidRPr="0095607E">
        <w:rPr>
          <w:rFonts w:ascii="Times New Roman" w:hAnsi="Times New Roman" w:cs="Times New Roman"/>
          <w:b/>
          <w:bCs/>
          <w:color w:val="auto"/>
          <w:sz w:val="24"/>
          <w:szCs w:val="24"/>
        </w:rPr>
        <w:t>5.1</w:t>
      </w:r>
      <w:r w:rsidRPr="0095607E">
        <w:rPr>
          <w:rFonts w:ascii="Times New Roman" w:hAnsi="Times New Roman" w:cs="Times New Roman"/>
          <w:b/>
          <w:bCs/>
          <w:color w:val="auto"/>
          <w:sz w:val="24"/>
          <w:szCs w:val="24"/>
        </w:rPr>
        <w:tab/>
        <w:t>Model Diagnostics</w:t>
      </w:r>
      <w:bookmarkEnd w:id="38"/>
    </w:p>
    <w:p w14:paraId="594B5CA6" w14:textId="002B09E2" w:rsidR="002D26E1" w:rsidRPr="0095607E" w:rsidRDefault="002D26E1" w:rsidP="003B0C52">
      <w:pPr>
        <w:spacing w:line="240" w:lineRule="auto"/>
        <w:jc w:val="both"/>
        <w:rPr>
          <w:rFonts w:ascii="Times New Roman" w:hAnsi="Times New Roman" w:cs="Times New Roman"/>
        </w:rPr>
      </w:pPr>
      <w:r w:rsidRPr="0095607E">
        <w:rPr>
          <w:rFonts w:ascii="Times New Roman" w:hAnsi="Times New Roman" w:cs="Times New Roman"/>
        </w:rPr>
        <w:t xml:space="preserve">The multilevel Negative Binomial and multilevel Beta regression models were subjected to </w:t>
      </w:r>
      <m:oMath>
        <m:r>
          <w:rPr>
            <w:rFonts w:ascii="Cambria Math" w:hAnsi="Cambria Math" w:cs="Times New Roman"/>
          </w:rPr>
          <m:t>DHARMa</m:t>
        </m:r>
      </m:oMath>
      <w:r w:rsidRPr="0095607E">
        <w:rPr>
          <w:rFonts w:ascii="Times New Roman" w:hAnsi="Times New Roman" w:cs="Times New Roman"/>
        </w:rPr>
        <w:t xml:space="preserve"> simulation-based residual diagnostics to determine the appropriateness of their distributional assumptions.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_Ref225195987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7</w:t>
      </w:r>
      <w:r w:rsidR="00AE4901" w:rsidRPr="0095607E">
        <w:rPr>
          <w:rFonts w:ascii="Times New Roman" w:hAnsi="Times New Roman" w:cs="Times New Roman"/>
        </w:rPr>
        <w:fldChar w:fldCharType="end"/>
      </w:r>
      <w:r w:rsidR="00AE4901" w:rsidRPr="0095607E">
        <w:rPr>
          <w:rFonts w:ascii="Times New Roman" w:hAnsi="Times New Roman" w:cs="Times New Roman"/>
        </w:rPr>
        <w:t xml:space="preserve"> </w:t>
      </w:r>
      <w:r w:rsidRPr="0095607E">
        <w:rPr>
          <w:rFonts w:ascii="Times New Roman" w:hAnsi="Times New Roman" w:cs="Times New Roman"/>
        </w:rPr>
        <w:t>and</w:t>
      </w:r>
      <w:r w:rsidR="00AE4901" w:rsidRPr="0095607E">
        <w:rPr>
          <w:rFonts w:ascii="Times New Roman" w:hAnsi="Times New Roman" w:cs="Times New Roman"/>
        </w:rPr>
        <w:t xml:space="preserve"> </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_Ref225196149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8</w:t>
      </w:r>
      <w:r w:rsidR="00AE4901" w:rsidRPr="0095607E">
        <w:rPr>
          <w:rFonts w:ascii="Times New Roman" w:hAnsi="Times New Roman" w:cs="Times New Roman"/>
        </w:rPr>
        <w:fldChar w:fldCharType="end"/>
      </w:r>
      <w:r w:rsidRPr="0095607E">
        <w:rPr>
          <w:rFonts w:ascii="Times New Roman" w:hAnsi="Times New Roman" w:cs="Times New Roman"/>
        </w:rPr>
        <w:t xml:space="preserve"> shows</w:t>
      </w:r>
      <w:r w:rsidR="00B26F26" w:rsidRPr="0095607E">
        <w:rPr>
          <w:rFonts w:ascii="Times New Roman" w:hAnsi="Times New Roman" w:cs="Times New Roman"/>
        </w:rPr>
        <w:t xml:space="preserve"> </w:t>
      </w:r>
      <w:r w:rsidRPr="0095607E">
        <w:rPr>
          <w:rFonts w:ascii="Times New Roman" w:hAnsi="Times New Roman" w:cs="Times New Roman"/>
        </w:rPr>
        <w:t xml:space="preserve">the </w:t>
      </w:r>
      <m:oMath>
        <m:r>
          <w:rPr>
            <w:rFonts w:ascii="Cambria Math" w:hAnsi="Cambria Math" w:cs="Times New Roman"/>
          </w:rPr>
          <m:t>DHARMa</m:t>
        </m:r>
      </m:oMath>
      <w:r w:rsidRPr="0095607E">
        <w:rPr>
          <w:rFonts w:ascii="Times New Roman" w:hAnsi="Times New Roman" w:cs="Times New Roman"/>
        </w:rPr>
        <w:t xml:space="preserve"> diagnostic plots of each model respectively. In the multilevel NB model </w:t>
      </w:r>
      <w:r w:rsidR="00B26F26" w:rsidRPr="0095607E">
        <w:rPr>
          <w:rFonts w:ascii="Times New Roman" w:hAnsi="Times New Roman" w:cs="Times New Roman"/>
        </w:rPr>
        <w:t>(</w:t>
      </w:r>
      <w:r w:rsidR="00AE4901" w:rsidRPr="0095607E">
        <w:rPr>
          <w:rFonts w:ascii="Times New Roman" w:hAnsi="Times New Roman" w:cs="Times New Roman"/>
        </w:rPr>
        <w:fldChar w:fldCharType="begin"/>
      </w:r>
      <w:r w:rsidR="00AE4901" w:rsidRPr="0095607E">
        <w:rPr>
          <w:rFonts w:ascii="Times New Roman" w:hAnsi="Times New Roman" w:cs="Times New Roman"/>
        </w:rPr>
        <w:instrText xml:space="preserve"> REF _Ref225195987 \h </w:instrText>
      </w:r>
      <w:r w:rsidR="003B0C52" w:rsidRPr="0095607E">
        <w:rPr>
          <w:rFonts w:ascii="Times New Roman" w:hAnsi="Times New Roman" w:cs="Times New Roman"/>
        </w:rPr>
        <w:instrText xml:space="preserve"> \* MERGEFORMAT </w:instrText>
      </w:r>
      <w:r w:rsidR="00AE4901" w:rsidRPr="0095607E">
        <w:rPr>
          <w:rFonts w:ascii="Times New Roman" w:hAnsi="Times New Roman" w:cs="Times New Roman"/>
        </w:rPr>
      </w:r>
      <w:r w:rsidR="00AE4901" w:rsidRPr="0095607E">
        <w:rPr>
          <w:rFonts w:ascii="Times New Roman" w:hAnsi="Times New Roman" w:cs="Times New Roman"/>
        </w:rPr>
        <w:fldChar w:fldCharType="separate"/>
      </w:r>
      <w:r w:rsidR="00AE4901" w:rsidRPr="0095607E">
        <w:rPr>
          <w:rFonts w:ascii="Times New Roman" w:hAnsi="Times New Roman" w:cs="Times New Roman"/>
          <w:b/>
          <w:bCs/>
        </w:rPr>
        <w:t xml:space="preserve">Figure </w:t>
      </w:r>
      <w:r w:rsidR="00AE4901" w:rsidRPr="0095607E">
        <w:rPr>
          <w:rFonts w:ascii="Times New Roman" w:hAnsi="Times New Roman" w:cs="Times New Roman"/>
          <w:b/>
          <w:bCs/>
          <w:noProof/>
        </w:rPr>
        <w:t>7</w:t>
      </w:r>
      <w:r w:rsidR="00AE4901" w:rsidRPr="0095607E">
        <w:rPr>
          <w:rFonts w:ascii="Times New Roman" w:hAnsi="Times New Roman" w:cs="Times New Roman"/>
        </w:rPr>
        <w:fldChar w:fldCharType="end"/>
      </w:r>
      <w:r w:rsidR="00B26F26" w:rsidRPr="0095607E">
        <w:rPr>
          <w:rFonts w:ascii="Times New Roman" w:hAnsi="Times New Roman" w:cs="Times New Roman"/>
        </w:rPr>
        <w:t>)</w:t>
      </w:r>
      <w:r w:rsidRPr="0095607E">
        <w:rPr>
          <w:rFonts w:ascii="Times New Roman" w:hAnsi="Times New Roman" w:cs="Times New Roman"/>
        </w:rPr>
        <w:t xml:space="preserve">, the QQ plot of residuals shows a clear S-shaped deviation to the diagonal reference line; the KS-test </w:t>
      </w:r>
      <m:oMath>
        <m:r>
          <w:rPr>
            <w:rFonts w:ascii="Cambria Math" w:hAnsi="Cambria Math" w:cs="Times New Roman"/>
          </w:rPr>
          <m:t xml:space="preserve">(p=0) </m:t>
        </m:r>
      </m:oMath>
      <w:r w:rsidRPr="0095607E">
        <w:rPr>
          <w:rFonts w:ascii="Times New Roman" w:hAnsi="Times New Roman" w:cs="Times New Roman"/>
        </w:rPr>
        <w:t xml:space="preserve">and the dispersion-test </w:t>
      </w:r>
      <m:oMath>
        <m:r>
          <w:rPr>
            <w:rFonts w:ascii="Cambria Math" w:hAnsi="Cambria Math" w:cs="Times New Roman"/>
          </w:rPr>
          <m:t>(p=0)</m:t>
        </m:r>
      </m:oMath>
      <w:r w:rsidRPr="0095607E">
        <w:rPr>
          <w:rFonts w:ascii="Times New Roman" w:hAnsi="Times New Roman" w:cs="Times New Roman"/>
        </w:rPr>
        <w:t xml:space="preserve"> are both statistically significant. The plot of residual versus fitted indicates systematic curvature, and the overall adjusted quantile test is also significant. These findings indicate that the multilevel NB model cannot be used on this dataset because overdispersion is not present in the count-based outcome </w:t>
      </w:r>
      <m:oMath>
        <m:r>
          <w:rPr>
            <w:rFonts w:ascii="Cambria Math" w:hAnsi="Cambria Math" w:cs="Times New Roman"/>
          </w:rPr>
          <m:t>(Pearso</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 xml:space="preserve">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/df=0.243)</m:t>
        </m:r>
      </m:oMath>
      <w:r w:rsidRPr="0095607E">
        <w:rPr>
          <w:rFonts w:ascii="Times New Roman" w:hAnsi="Times New Roman" w:cs="Times New Roman"/>
        </w:rPr>
        <w:t xml:space="preserve"> and the NB dispersion parameter theta approaches infinity. This gives a solid empirical validation that the NB family does not fit the count-based loss outcome in this research and the Poisson and multilevel Beta regression specifications are the right modeling options.</w:t>
      </w:r>
    </w:p>
    <w:p w14:paraId="3B2E2386"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16D6EBF4" wp14:editId="0C67765D">
            <wp:extent cx="4465320" cy="257376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_qq.png"/>
                    <pic:cNvPicPr/>
                  </pic:nvPicPr>
                  <pic:blipFill>
                    <a:blip r:embed="rId12"/>
                    <a:stretch>
                      <a:fillRect/>
                    </a:stretch>
                  </pic:blipFill>
                  <pic:spPr>
                    <a:xfrm>
                      <a:off x="0" y="0"/>
                      <a:ext cx="4470102" cy="2576517"/>
                    </a:xfrm>
                    <a:prstGeom prst="rect">
                      <a:avLst/>
                    </a:prstGeom>
                  </pic:spPr>
                </pic:pic>
              </a:graphicData>
            </a:graphic>
          </wp:inline>
        </w:drawing>
      </w:r>
    </w:p>
    <w:p w14:paraId="74158FA3" w14:textId="068FCB71" w:rsidR="002D26E1" w:rsidRPr="0095607E" w:rsidRDefault="002D26E1" w:rsidP="003B0C52">
      <w:pPr>
        <w:pStyle w:val="Caption"/>
        <w:rPr>
          <w:rFonts w:ascii="Times New Roman" w:hAnsi="Times New Roman" w:cs="Times New Roman"/>
          <w:b/>
          <w:bCs/>
          <w:sz w:val="24"/>
          <w:szCs w:val="24"/>
        </w:rPr>
      </w:pPr>
      <w:bookmarkStart w:id="39" w:name="_Ref225195987"/>
      <w:bookmarkStart w:id="40" w:name="_Toc225196584"/>
      <w:r w:rsidRPr="0095607E">
        <w:rPr>
          <w:rFonts w:ascii="Times New Roman" w:hAnsi="Times New Roman" w:cs="Times New Roman"/>
          <w:b/>
          <w:bCs/>
          <w:sz w:val="24"/>
          <w:szCs w:val="24"/>
        </w:rPr>
        <w:t xml:space="preserve">Figure </w:t>
      </w:r>
      <w:r w:rsidRPr="0095607E">
        <w:rPr>
          <w:rFonts w:ascii="Times New Roman" w:hAnsi="Times New Roman" w:cs="Times New Roman"/>
          <w:b/>
          <w:bCs/>
          <w:sz w:val="24"/>
          <w:szCs w:val="24"/>
        </w:rPr>
        <w:fldChar w:fldCharType="begin"/>
      </w:r>
      <w:r w:rsidRPr="0095607E">
        <w:rPr>
          <w:rFonts w:ascii="Times New Roman" w:hAnsi="Times New Roman" w:cs="Times New Roman"/>
          <w:b/>
          <w:bCs/>
          <w:sz w:val="24"/>
          <w:szCs w:val="24"/>
        </w:rPr>
        <w:instrText xml:space="preserve"> SEQ Figure \* ARABIC </w:instrText>
      </w:r>
      <w:r w:rsidRPr="0095607E">
        <w:rPr>
          <w:rFonts w:ascii="Times New Roman" w:hAnsi="Times New Roman" w:cs="Times New Roman"/>
          <w:b/>
          <w:bCs/>
          <w:sz w:val="24"/>
          <w:szCs w:val="24"/>
        </w:rPr>
        <w:fldChar w:fldCharType="separate"/>
      </w:r>
      <w:r w:rsidR="00AE4901" w:rsidRPr="0095607E">
        <w:rPr>
          <w:rFonts w:ascii="Times New Roman" w:hAnsi="Times New Roman" w:cs="Times New Roman"/>
          <w:b/>
          <w:bCs/>
          <w:noProof/>
          <w:sz w:val="24"/>
          <w:szCs w:val="24"/>
        </w:rPr>
        <w:t>7</w:t>
      </w:r>
      <w:r w:rsidRPr="0095607E">
        <w:rPr>
          <w:rFonts w:ascii="Times New Roman" w:hAnsi="Times New Roman" w:cs="Times New Roman"/>
          <w:b/>
          <w:bCs/>
          <w:sz w:val="24"/>
          <w:szCs w:val="24"/>
        </w:rPr>
        <w:fldChar w:fldCharType="end"/>
      </w:r>
      <w:bookmarkEnd w:id="39"/>
      <w:r w:rsidRPr="0095607E">
        <w:rPr>
          <w:rFonts w:ascii="Times New Roman" w:hAnsi="Times New Roman" w:cs="Times New Roman"/>
          <w:b/>
          <w:bCs/>
          <w:sz w:val="24"/>
          <w:szCs w:val="24"/>
        </w:rPr>
        <w:t>:Dharma Residual Diagnostics Multilevel Negative Binomial Model</w:t>
      </w:r>
      <w:bookmarkEnd w:id="40"/>
    </w:p>
    <w:p w14:paraId="7A3456C0" w14:textId="0E26CA84" w:rsidR="002D26E1" w:rsidRPr="0095607E" w:rsidRDefault="003B0C52" w:rsidP="003B0C52">
      <w:pPr>
        <w:pStyle w:val="NoSpacing"/>
        <w:jc w:val="both"/>
        <w:rPr>
          <w:rFonts w:ascii="Times New Roman" w:hAnsi="Times New Roman" w:cs="Times New Roman"/>
        </w:rPr>
      </w:pPr>
      <w:r w:rsidRPr="0095607E">
        <w:rPr>
          <w:rFonts w:ascii="Times New Roman" w:hAnsi="Times New Roman" w:cs="Times New Roman"/>
        </w:rPr>
        <w:fldChar w:fldCharType="begin"/>
      </w:r>
      <w:r w:rsidRPr="0095607E">
        <w:rPr>
          <w:rFonts w:ascii="Times New Roman" w:hAnsi="Times New Roman" w:cs="Times New Roman"/>
        </w:rPr>
        <w:instrText xml:space="preserve"> REF _Ref225195987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b/>
          <w:bCs/>
        </w:rPr>
        <w:t xml:space="preserve">Figure </w:t>
      </w:r>
      <w:r w:rsidRPr="0095607E">
        <w:rPr>
          <w:rFonts w:ascii="Times New Roman" w:hAnsi="Times New Roman" w:cs="Times New Roman"/>
          <w:b/>
          <w:bCs/>
          <w:noProof/>
        </w:rPr>
        <w:t>7</w:t>
      </w:r>
      <w:r w:rsidRPr="0095607E">
        <w:rPr>
          <w:rFonts w:ascii="Times New Roman" w:hAnsi="Times New Roman" w:cs="Times New Roman"/>
        </w:rPr>
        <w:fldChar w:fldCharType="end"/>
      </w:r>
      <w:r w:rsidR="002D26E1" w:rsidRPr="0095607E">
        <w:rPr>
          <w:rFonts w:ascii="Times New Roman" w:hAnsi="Times New Roman" w:cs="Times New Roman"/>
        </w:rPr>
        <w:fldChar w:fldCharType="begin"/>
      </w:r>
      <w:r w:rsidR="002D26E1" w:rsidRPr="0095607E">
        <w:rPr>
          <w:rFonts w:ascii="Times New Roman" w:hAnsi="Times New Roman" w:cs="Times New Roman"/>
        </w:rPr>
        <w:instrText xml:space="preserve"> REF _Ref225195987 \h  \* MERGEFORMAT </w:instrText>
      </w:r>
      <w:r w:rsidR="002D26E1" w:rsidRPr="0095607E">
        <w:rPr>
          <w:rFonts w:ascii="Times New Roman" w:hAnsi="Times New Roman" w:cs="Times New Roman"/>
        </w:rPr>
      </w:r>
      <w:r w:rsidR="002D26E1" w:rsidRPr="0095607E">
        <w:rPr>
          <w:rFonts w:ascii="Times New Roman" w:hAnsi="Times New Roman" w:cs="Times New Roman"/>
        </w:rPr>
        <w:fldChar w:fldCharType="end"/>
      </w:r>
      <w:r w:rsidR="002D26E1" w:rsidRPr="0095607E">
        <w:rPr>
          <w:rFonts w:ascii="Times New Roman" w:hAnsi="Times New Roman" w:cs="Times New Roman"/>
        </w:rPr>
        <w:t xml:space="preserve"> shows </w:t>
      </w:r>
      <m:oMath>
        <m:r>
          <w:rPr>
            <w:rFonts w:ascii="Cambria Math" w:hAnsi="Cambria Math" w:cs="Times New Roman"/>
          </w:rPr>
          <m:t>DHARMa</m:t>
        </m:r>
      </m:oMath>
      <w:r w:rsidR="002D26E1" w:rsidRPr="0095607E">
        <w:rPr>
          <w:rFonts w:ascii="Times New Roman" w:hAnsi="Times New Roman" w:cs="Times New Roman"/>
        </w:rPr>
        <w:t xml:space="preserve"> residual diagnostics Multilevel Negative Binomial model. Left panel: QQ plot of simulated residuals with a large deviation in the expected uniform distribution </w:t>
      </w:r>
      <m:oMath>
        <m:r>
          <m:rPr>
            <m:sty m:val="p"/>
          </m:rPr>
          <w:rPr>
            <w:rFonts w:ascii="Cambria Math" w:hAnsi="Cambria Math" w:cs="Times New Roman"/>
          </w:rPr>
          <m:t xml:space="preserve">(KS test </m:t>
        </m:r>
        <m:r>
          <w:rPr>
            <w:rFonts w:ascii="Cambria Math" w:hAnsi="Cambria Math" w:cs="Times New Roman"/>
          </w:rPr>
          <m:t xml:space="preserve">p=0.006 </m:t>
        </m:r>
        <m:r>
          <m:rPr>
            <m:sty m:val="p"/>
          </m:rPr>
          <w:rPr>
            <w:rFonts w:ascii="Cambria Math" w:hAnsi="Cambria Math" w:cs="Times New Roman"/>
          </w:rPr>
          <m:t xml:space="preserve">, </m:t>
        </m:r>
      </m:oMath>
      <w:r w:rsidR="002D26E1" w:rsidRPr="0095607E">
        <w:rPr>
          <w:rFonts w:ascii="Times New Roman" w:eastAsiaTheme="minorEastAsia" w:hAnsi="Times New Roman" w:cs="Times New Roman"/>
        </w:rPr>
        <w:t>dispersion test</w:t>
      </w:r>
      <m:oMath>
        <m:r>
          <m:rPr>
            <m:sty m:val="p"/>
          </m:rPr>
          <w:rPr>
            <w:rFonts w:ascii="Cambria Math" w:hAnsi="Cambria Math" w:cs="Times New Roman"/>
          </w:rPr>
          <m:t xml:space="preserve"> p=0.612 </m:t>
        </m:r>
      </m:oMath>
      <w:r w:rsidR="002D26E1" w:rsidRPr="0095607E">
        <w:rPr>
          <w:rFonts w:ascii="Times New Roman" w:eastAsiaTheme="minorEastAsia" w:hAnsi="Times New Roman" w:cs="Times New Roman"/>
        </w:rPr>
        <w:t>not significant, outlier test</w:t>
      </w:r>
      <m:oMath>
        <m:r>
          <m:rPr>
            <m:sty m:val="p"/>
          </m:rPr>
          <w:rPr>
            <w:rFonts w:ascii="Cambria Math" w:hAnsi="Cambria Math" w:cs="Times New Roman"/>
          </w:rPr>
          <m:t xml:space="preserve">=0.189 </m:t>
        </m:r>
      </m:oMath>
      <w:r w:rsidR="002D26E1" w:rsidRPr="0095607E">
        <w:rPr>
          <w:rFonts w:ascii="Times New Roman" w:eastAsiaTheme="minorEastAsia" w:hAnsi="Times New Roman" w:cs="Times New Roman"/>
        </w:rPr>
        <w:t>not significant</w:t>
      </w:r>
      <m:oMath>
        <m:r>
          <m:rPr>
            <m:sty m:val="p"/>
          </m:rPr>
          <w:rPr>
            <w:rFonts w:ascii="Cambria Math" w:hAnsi="Cambria Math" w:cs="Times New Roman"/>
          </w:rPr>
          <m:t>).</m:t>
        </m:r>
      </m:oMath>
      <w:r w:rsidR="002D26E1" w:rsidRPr="0095607E">
        <w:rPr>
          <w:rFonts w:ascii="Times New Roman" w:hAnsi="Times New Roman" w:cs="Times New Roman"/>
        </w:rPr>
        <w:t xml:space="preserve"> Right panel shows the results of the residual versus model prediction (rank transformed) with systematic curvature and significant sum test of quantile. These two panels confirm model misspecification, which is also in line with the lack of overdispersion in the count outcome and the departure of the NB dispersion parameter toward infinity (θ → 2,393,074).</w:t>
      </w:r>
    </w:p>
    <w:p w14:paraId="44F0EB60" w14:textId="0915E6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rPr>
        <w:t xml:space="preserve">The high deviations in the multilevel NB diagnostics plots are not surprising considering the nature of the data, the count-based loss outcome is not over dispersed </w:t>
      </w:r>
      <m:oMath>
        <m:r>
          <w:rPr>
            <w:rFonts w:ascii="Cambria Math" w:hAnsi="Cambria Math" w:cs="Times New Roman"/>
          </w:rPr>
          <m:t>(Pearso</m:t>
        </m:r>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 xml:space="preserve">s </m:t>
        </m:r>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/df= 0.243)</m:t>
        </m:r>
      </m:oMath>
      <w:r w:rsidRPr="0095607E">
        <w:rPr>
          <w:rFonts w:ascii="Times New Roman" w:hAnsi="Times New Roman" w:cs="Times New Roman"/>
        </w:rPr>
        <w:t xml:space="preserve"> and the NB dispersion parameter was brought to non-zero in the estimation process, effectively </w:t>
      </w:r>
      <w:r w:rsidRPr="0095607E">
        <w:rPr>
          <w:rFonts w:ascii="Times New Roman" w:hAnsi="Times New Roman" w:cs="Times New Roman"/>
        </w:rPr>
        <w:lastRenderedPageBreak/>
        <w:t xml:space="preserve">reducing the NB to a Poisson. </w:t>
      </w:r>
      <w:r w:rsidR="00185A6B" w:rsidRPr="00185A6B">
        <w:rPr>
          <w:rFonts w:ascii="Times New Roman" w:hAnsi="Times New Roman" w:cs="Times New Roman"/>
        </w:rPr>
        <w:t xml:space="preserve">The </w:t>
      </w:r>
      <w:proofErr w:type="spellStart"/>
      <w:r w:rsidR="00185A6B" w:rsidRPr="00185A6B">
        <w:rPr>
          <w:rFonts w:ascii="Times New Roman" w:hAnsi="Times New Roman" w:cs="Times New Roman"/>
        </w:rPr>
        <w:t>DHARMa</w:t>
      </w:r>
      <w:proofErr w:type="spellEnd"/>
      <w:r w:rsidR="00185A6B" w:rsidRPr="00185A6B">
        <w:rPr>
          <w:rFonts w:ascii="Times New Roman" w:hAnsi="Times New Roman" w:cs="Times New Roman"/>
        </w:rPr>
        <w:t xml:space="preserve"> residual diagnostics of the multilevel Negative Binomial model shows obvious model misspecification. The QQ plot indicates a systematic departure of the distribution and the Kolmogorov-Smirnov (KS) test and the dispersion test are both significant. Further, the residual-versus-fitted plot indicates that there are organized trends, implying that the model assumptions are violated. These findings verify that the Negative Binomial model cannot fit the data as it does not have overdispersion and the dispersion parameter tends to infinity.</w:t>
      </w:r>
      <w:r w:rsidR="00185A6B">
        <w:rPr>
          <w:rFonts w:ascii="Times New Roman" w:hAnsi="Times New Roman" w:cs="Times New Roman"/>
        </w:rPr>
        <w:t xml:space="preserve"> </w:t>
      </w:r>
      <w:r w:rsidRPr="0095607E">
        <w:rPr>
          <w:rFonts w:ascii="Times New Roman" w:hAnsi="Times New Roman" w:cs="Times New Roman"/>
        </w:rPr>
        <w:t xml:space="preserve">These findings also justify the need to use proportional beta regression framework as a main analytical framework as seen in </w:t>
      </w:r>
      <w:r w:rsidR="003B0C52" w:rsidRPr="0095607E">
        <w:rPr>
          <w:rFonts w:ascii="Times New Roman" w:hAnsi="Times New Roman" w:cs="Times New Roman"/>
        </w:rPr>
        <w:fldChar w:fldCharType="begin"/>
      </w:r>
      <w:r w:rsidR="003B0C52" w:rsidRPr="0095607E">
        <w:rPr>
          <w:rFonts w:ascii="Times New Roman" w:hAnsi="Times New Roman" w:cs="Times New Roman"/>
        </w:rPr>
        <w:instrText xml:space="preserve"> REF _Ref225196149 \h  \* MERGEFORMAT </w:instrText>
      </w:r>
      <w:r w:rsidR="003B0C52" w:rsidRPr="0095607E">
        <w:rPr>
          <w:rFonts w:ascii="Times New Roman" w:hAnsi="Times New Roman" w:cs="Times New Roman"/>
        </w:rPr>
      </w:r>
      <w:r w:rsidR="003B0C52" w:rsidRPr="0095607E">
        <w:rPr>
          <w:rFonts w:ascii="Times New Roman" w:hAnsi="Times New Roman" w:cs="Times New Roman"/>
        </w:rPr>
        <w:fldChar w:fldCharType="separate"/>
      </w:r>
      <w:r w:rsidR="003B0C52" w:rsidRPr="0095607E">
        <w:rPr>
          <w:rFonts w:ascii="Times New Roman" w:hAnsi="Times New Roman" w:cs="Times New Roman"/>
          <w:b/>
          <w:bCs/>
        </w:rPr>
        <w:t xml:space="preserve">Figure </w:t>
      </w:r>
      <w:r w:rsidR="003B0C52" w:rsidRPr="0095607E">
        <w:rPr>
          <w:rFonts w:ascii="Times New Roman" w:hAnsi="Times New Roman" w:cs="Times New Roman"/>
          <w:b/>
          <w:bCs/>
          <w:noProof/>
        </w:rPr>
        <w:t>8</w:t>
      </w:r>
      <w:r w:rsidR="003B0C52" w:rsidRPr="0095607E">
        <w:rPr>
          <w:rFonts w:ascii="Times New Roman" w:hAnsi="Times New Roman" w:cs="Times New Roman"/>
        </w:rPr>
        <w:fldChar w:fldCharType="end"/>
      </w:r>
      <w:r w:rsidR="00B26F26" w:rsidRPr="0095607E">
        <w:rPr>
          <w:rFonts w:ascii="Times New Roman" w:hAnsi="Times New Roman" w:cs="Times New Roman"/>
        </w:rPr>
        <w:fldChar w:fldCharType="begin"/>
      </w:r>
      <w:r w:rsidR="00B26F26" w:rsidRPr="0095607E">
        <w:rPr>
          <w:rFonts w:ascii="Times New Roman" w:hAnsi="Times New Roman" w:cs="Times New Roman"/>
        </w:rPr>
        <w:instrText xml:space="preserve"> REF _Ref225196149 \h </w:instrText>
      </w:r>
      <w:r w:rsidR="003B0C52" w:rsidRPr="0095607E">
        <w:rPr>
          <w:rFonts w:ascii="Times New Roman" w:hAnsi="Times New Roman" w:cs="Times New Roman"/>
        </w:rPr>
        <w:instrText xml:space="preserve"> \* MERGEFORMAT </w:instrText>
      </w:r>
      <w:r w:rsidR="00B26F26" w:rsidRPr="0095607E">
        <w:rPr>
          <w:rFonts w:ascii="Times New Roman" w:hAnsi="Times New Roman" w:cs="Times New Roman"/>
        </w:rPr>
      </w:r>
      <w:r w:rsidR="00B26F26" w:rsidRPr="0095607E">
        <w:rPr>
          <w:rFonts w:ascii="Times New Roman" w:hAnsi="Times New Roman" w:cs="Times New Roman"/>
        </w:rPr>
        <w:fldChar w:fldCharType="end"/>
      </w:r>
      <w:r w:rsidRPr="0095607E">
        <w:rPr>
          <w:rFonts w:ascii="Times New Roman" w:hAnsi="Times New Roman" w:cs="Times New Roman"/>
        </w:rPr>
        <w:fldChar w:fldCharType="begin"/>
      </w:r>
      <w:r w:rsidRPr="0095607E">
        <w:rPr>
          <w:rFonts w:ascii="Times New Roman" w:hAnsi="Times New Roman" w:cs="Times New Roman"/>
        </w:rPr>
        <w:instrText xml:space="preserve"> REF _Ref225196149 \h  \* MERGEFORMAT </w:instrText>
      </w:r>
      <w:r w:rsidRPr="0095607E">
        <w:rPr>
          <w:rFonts w:ascii="Times New Roman" w:hAnsi="Times New Roman" w:cs="Times New Roman"/>
        </w:rPr>
      </w:r>
      <w:r w:rsidRPr="0095607E">
        <w:rPr>
          <w:rFonts w:ascii="Times New Roman" w:hAnsi="Times New Roman" w:cs="Times New Roman"/>
        </w:rPr>
        <w:fldChar w:fldCharType="end"/>
      </w:r>
      <w:r w:rsidRPr="0095607E">
        <w:rPr>
          <w:rFonts w:ascii="Times New Roman" w:hAnsi="Times New Roman" w:cs="Times New Roman"/>
        </w:rPr>
        <w:t>.</w:t>
      </w:r>
    </w:p>
    <w:p w14:paraId="6982A3CE" w14:textId="77777777" w:rsidR="002D26E1" w:rsidRPr="0095607E" w:rsidRDefault="002D26E1" w:rsidP="003B0C52">
      <w:pPr>
        <w:pStyle w:val="NoSpacing"/>
        <w:jc w:val="both"/>
        <w:rPr>
          <w:rFonts w:ascii="Times New Roman" w:hAnsi="Times New Roman" w:cs="Times New Roman"/>
        </w:rPr>
      </w:pPr>
      <w:r w:rsidRPr="0095607E">
        <w:rPr>
          <w:rFonts w:ascii="Times New Roman" w:hAnsi="Times New Roman" w:cs="Times New Roman"/>
          <w:noProof/>
        </w:rPr>
        <w:drawing>
          <wp:inline distT="0" distB="0" distL="0" distR="0" wp14:anchorId="3EECFDCC" wp14:editId="24D1601D">
            <wp:extent cx="5220000" cy="300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_qqq.png"/>
                    <pic:cNvPicPr/>
                  </pic:nvPicPr>
                  <pic:blipFill>
                    <a:blip r:embed="rId13"/>
                    <a:stretch>
                      <a:fillRect/>
                    </a:stretch>
                  </pic:blipFill>
                  <pic:spPr>
                    <a:xfrm>
                      <a:off x="0" y="0"/>
                      <a:ext cx="5220000" cy="3008750"/>
                    </a:xfrm>
                    <a:prstGeom prst="rect">
                      <a:avLst/>
                    </a:prstGeom>
                  </pic:spPr>
                </pic:pic>
              </a:graphicData>
            </a:graphic>
          </wp:inline>
        </w:drawing>
      </w:r>
    </w:p>
    <w:p w14:paraId="53D2FF2F" w14:textId="214FE69D" w:rsidR="002D26E1" w:rsidRPr="0095607E" w:rsidRDefault="002D26E1" w:rsidP="003B0C52">
      <w:pPr>
        <w:pStyle w:val="Caption"/>
        <w:rPr>
          <w:rFonts w:ascii="Times New Roman" w:hAnsi="Times New Roman" w:cs="Times New Roman"/>
          <w:b/>
          <w:bCs/>
          <w:color w:val="auto"/>
          <w:sz w:val="24"/>
          <w:szCs w:val="24"/>
        </w:rPr>
      </w:pPr>
      <w:bookmarkStart w:id="41" w:name="_Ref225196149"/>
      <w:bookmarkStart w:id="42" w:name="_Toc225196585"/>
      <w:r w:rsidRPr="0095607E">
        <w:rPr>
          <w:rFonts w:ascii="Times New Roman" w:hAnsi="Times New Roman" w:cs="Times New Roman"/>
          <w:b/>
          <w:bCs/>
          <w:color w:val="auto"/>
          <w:sz w:val="24"/>
          <w:szCs w:val="24"/>
        </w:rPr>
        <w:t xml:space="preserve">Figure </w:t>
      </w:r>
      <w:r w:rsidRPr="0095607E">
        <w:rPr>
          <w:rFonts w:ascii="Times New Roman" w:hAnsi="Times New Roman" w:cs="Times New Roman"/>
          <w:b/>
          <w:bCs/>
          <w:color w:val="auto"/>
          <w:sz w:val="24"/>
          <w:szCs w:val="24"/>
        </w:rPr>
        <w:fldChar w:fldCharType="begin"/>
      </w:r>
      <w:r w:rsidRPr="0095607E">
        <w:rPr>
          <w:rFonts w:ascii="Times New Roman" w:hAnsi="Times New Roman" w:cs="Times New Roman"/>
          <w:b/>
          <w:bCs/>
          <w:color w:val="auto"/>
          <w:sz w:val="24"/>
          <w:szCs w:val="24"/>
        </w:rPr>
        <w:instrText xml:space="preserve"> SEQ Figure \* ARABIC </w:instrText>
      </w:r>
      <w:r w:rsidRPr="0095607E">
        <w:rPr>
          <w:rFonts w:ascii="Times New Roman" w:hAnsi="Times New Roman" w:cs="Times New Roman"/>
          <w:b/>
          <w:bCs/>
          <w:color w:val="auto"/>
          <w:sz w:val="24"/>
          <w:szCs w:val="24"/>
        </w:rPr>
        <w:fldChar w:fldCharType="separate"/>
      </w:r>
      <w:r w:rsidR="00AE4901" w:rsidRPr="0095607E">
        <w:rPr>
          <w:rFonts w:ascii="Times New Roman" w:hAnsi="Times New Roman" w:cs="Times New Roman"/>
          <w:b/>
          <w:bCs/>
          <w:noProof/>
          <w:color w:val="auto"/>
          <w:sz w:val="24"/>
          <w:szCs w:val="24"/>
        </w:rPr>
        <w:t>8</w:t>
      </w:r>
      <w:r w:rsidRPr="0095607E">
        <w:rPr>
          <w:rFonts w:ascii="Times New Roman" w:hAnsi="Times New Roman" w:cs="Times New Roman"/>
          <w:b/>
          <w:bCs/>
          <w:color w:val="auto"/>
          <w:sz w:val="24"/>
          <w:szCs w:val="24"/>
        </w:rPr>
        <w:fldChar w:fldCharType="end"/>
      </w:r>
      <w:bookmarkEnd w:id="41"/>
      <w:r w:rsidRPr="0095607E">
        <w:rPr>
          <w:rFonts w:ascii="Times New Roman" w:hAnsi="Times New Roman" w:cs="Times New Roman"/>
          <w:b/>
          <w:bCs/>
          <w:color w:val="auto"/>
          <w:sz w:val="24"/>
          <w:szCs w:val="24"/>
        </w:rPr>
        <w:t>:Multilevel Beta Regression Model, Dharma Measure of Residual Diagnostics</w:t>
      </w:r>
      <w:bookmarkEnd w:id="42"/>
    </w:p>
    <w:p w14:paraId="259A7F80" w14:textId="4D819E6A" w:rsidR="007C2009" w:rsidRPr="0095607E" w:rsidRDefault="003B0C52" w:rsidP="003B0C52">
      <w:pPr>
        <w:pStyle w:val="NoSpacing"/>
        <w:jc w:val="both"/>
        <w:rPr>
          <w:rFonts w:ascii="Times New Roman" w:hAnsi="Times New Roman" w:cs="Times New Roman"/>
        </w:rPr>
      </w:pPr>
      <w:r w:rsidRPr="0095607E">
        <w:rPr>
          <w:rFonts w:ascii="Times New Roman" w:hAnsi="Times New Roman" w:cs="Times New Roman"/>
        </w:rPr>
        <w:fldChar w:fldCharType="begin"/>
      </w:r>
      <w:r w:rsidRPr="0095607E">
        <w:rPr>
          <w:rFonts w:ascii="Times New Roman" w:hAnsi="Times New Roman" w:cs="Times New Roman"/>
        </w:rPr>
        <w:instrText xml:space="preserve"> REF _Ref225196149 \h  \* MERGEFORMAT </w:instrText>
      </w:r>
      <w:r w:rsidRPr="0095607E">
        <w:rPr>
          <w:rFonts w:ascii="Times New Roman" w:hAnsi="Times New Roman" w:cs="Times New Roman"/>
        </w:rPr>
      </w:r>
      <w:r w:rsidRPr="0095607E">
        <w:rPr>
          <w:rFonts w:ascii="Times New Roman" w:hAnsi="Times New Roman" w:cs="Times New Roman"/>
        </w:rPr>
        <w:fldChar w:fldCharType="separate"/>
      </w:r>
      <w:r w:rsidRPr="0095607E">
        <w:rPr>
          <w:rFonts w:ascii="Times New Roman" w:hAnsi="Times New Roman" w:cs="Times New Roman"/>
          <w:b/>
          <w:bCs/>
        </w:rPr>
        <w:t xml:space="preserve">Figure </w:t>
      </w:r>
      <w:r w:rsidRPr="0095607E">
        <w:rPr>
          <w:rFonts w:ascii="Times New Roman" w:hAnsi="Times New Roman" w:cs="Times New Roman"/>
          <w:b/>
          <w:bCs/>
          <w:noProof/>
        </w:rPr>
        <w:t>8</w:t>
      </w:r>
      <w:r w:rsidRPr="0095607E">
        <w:rPr>
          <w:rFonts w:ascii="Times New Roman" w:hAnsi="Times New Roman" w:cs="Times New Roman"/>
        </w:rPr>
        <w:fldChar w:fldCharType="end"/>
      </w:r>
      <w:r w:rsidR="00B26F26" w:rsidRPr="0095607E">
        <w:rPr>
          <w:rFonts w:ascii="Times New Roman" w:hAnsi="Times New Roman" w:cs="Times New Roman"/>
        </w:rPr>
        <w:fldChar w:fldCharType="begin"/>
      </w:r>
      <w:r w:rsidR="00B26F26" w:rsidRPr="0095607E">
        <w:rPr>
          <w:rFonts w:ascii="Times New Roman" w:hAnsi="Times New Roman" w:cs="Times New Roman"/>
        </w:rPr>
        <w:instrText xml:space="preserve"> REF _Ref225196149 \h </w:instrText>
      </w:r>
      <w:r w:rsidRPr="0095607E">
        <w:rPr>
          <w:rFonts w:ascii="Times New Roman" w:hAnsi="Times New Roman" w:cs="Times New Roman"/>
        </w:rPr>
        <w:instrText xml:space="preserve"> \* MERGEFORMAT </w:instrText>
      </w:r>
      <w:r w:rsidR="00B26F26" w:rsidRPr="0095607E">
        <w:rPr>
          <w:rFonts w:ascii="Times New Roman" w:hAnsi="Times New Roman" w:cs="Times New Roman"/>
        </w:rPr>
      </w:r>
      <w:r w:rsidR="00B26F26" w:rsidRPr="0095607E">
        <w:rPr>
          <w:rFonts w:ascii="Times New Roman" w:hAnsi="Times New Roman" w:cs="Times New Roman"/>
        </w:rPr>
        <w:fldChar w:fldCharType="end"/>
      </w:r>
      <w:r w:rsidR="00B26F26" w:rsidRPr="0095607E">
        <w:rPr>
          <w:rFonts w:ascii="Times New Roman" w:hAnsi="Times New Roman" w:cs="Times New Roman"/>
        </w:rPr>
        <w:t xml:space="preserve"> </w:t>
      </w:r>
      <w:r w:rsidR="002D26E1" w:rsidRPr="0095607E">
        <w:rPr>
          <w:rFonts w:ascii="Times New Roman" w:hAnsi="Times New Roman" w:cs="Times New Roman"/>
        </w:rPr>
        <w:t xml:space="preserve">shows Multilevel Beta Regression model, </w:t>
      </w:r>
      <m:oMath>
        <m:r>
          <w:rPr>
            <w:rFonts w:ascii="Cambria Math" w:hAnsi="Cambria Math" w:cs="Times New Roman"/>
          </w:rPr>
          <m:t>DHARMa</m:t>
        </m:r>
      </m:oMath>
      <w:r w:rsidR="002D26E1" w:rsidRPr="0095607E">
        <w:rPr>
          <w:rFonts w:ascii="Times New Roman" w:hAnsi="Times New Roman" w:cs="Times New Roman"/>
        </w:rPr>
        <w:t xml:space="preserve"> measure of residual diagnostics. Left panel: QQ plot, there is a strong adherence to the diagonal reference line with slight upper-tail deviations </w:t>
      </w:r>
      <m:oMath>
        <m:r>
          <w:rPr>
            <w:rFonts w:ascii="Cambria Math" w:hAnsi="Cambria Math" w:cs="Times New Roman"/>
          </w:rPr>
          <m:t>(KS test p= 0.006</m:t>
        </m:r>
        <m:r>
          <m:rPr>
            <m:sty m:val="p"/>
          </m:rPr>
          <w:rPr>
            <w:rFonts w:ascii="Cambria Math" w:hAnsi="Cambria Math" w:cs="Times New Roman"/>
          </w:rPr>
          <m:t xml:space="preserve">; </m:t>
        </m:r>
      </m:oMath>
      <w:r w:rsidR="002D26E1" w:rsidRPr="0095607E">
        <w:rPr>
          <w:rFonts w:ascii="Times New Roman" w:hAnsi="Times New Roman" w:cs="Times New Roman"/>
        </w:rPr>
        <w:t>dispersion test</w:t>
      </w:r>
      <w:r w:rsidR="002D26E1" w:rsidRPr="0095607E">
        <w:rPr>
          <w:rFonts w:ascii="Times New Roman" w:hAnsi="Times New Roman" w:cs="Times New Roman"/>
          <w:i/>
          <w:iCs/>
        </w:rPr>
        <w:t xml:space="preserve"> </w:t>
      </w:r>
      <m:oMath>
        <m:r>
          <w:rPr>
            <w:rFonts w:ascii="Cambria Math" w:hAnsi="Cambria Math" w:cs="Times New Roman"/>
          </w:rPr>
          <m:t>p=0.612</m:t>
        </m:r>
      </m:oMath>
      <w:r w:rsidR="002D26E1" w:rsidRPr="0095607E">
        <w:rPr>
          <w:rFonts w:ascii="Times New Roman" w:eastAsiaTheme="minorEastAsia" w:hAnsi="Times New Roman" w:cs="Times New Roman"/>
          <w:i/>
          <w:iCs/>
        </w:rPr>
        <w:t>,</w:t>
      </w:r>
      <w:r w:rsidR="002D26E1" w:rsidRPr="0095607E">
        <w:rPr>
          <w:rFonts w:ascii="Times New Roman" w:eastAsiaTheme="minorEastAsia" w:hAnsi="Times New Roman" w:cs="Times New Roman"/>
        </w:rPr>
        <w:t xml:space="preserve"> not significant</w:t>
      </w:r>
      <m:oMath>
        <m:r>
          <m:rPr>
            <m:sty m:val="p"/>
          </m:rPr>
          <w:rPr>
            <w:rFonts w:ascii="Cambria Math" w:hAnsi="Cambria Math" w:cs="Times New Roman"/>
          </w:rPr>
          <m:t>.; outlier test</m:t>
        </m:r>
        <m:r>
          <w:rPr>
            <w:rFonts w:ascii="Cambria Math" w:hAnsi="Cambria Math" w:cs="Times New Roman"/>
          </w:rPr>
          <m:t xml:space="preserve"> p= 0.189</m:t>
        </m:r>
      </m:oMath>
      <w:r w:rsidR="002D26E1" w:rsidRPr="0095607E">
        <w:rPr>
          <w:rFonts w:ascii="Times New Roman" w:eastAsiaTheme="minorEastAsia" w:hAnsi="Times New Roman" w:cs="Times New Roman"/>
        </w:rPr>
        <w:t>,  not significant</w:t>
      </w:r>
      <m:oMath>
        <m:r>
          <m:rPr>
            <m:sty m:val="p"/>
          </m:rPr>
          <w:rPr>
            <w:rFonts w:ascii="Cambria Math" w:hAnsi="Cambria Math" w:cs="Times New Roman"/>
          </w:rPr>
          <m:t xml:space="preserve">.). </m:t>
        </m:r>
      </m:oMath>
      <w:r w:rsidR="002D26E1" w:rsidRPr="0095607E">
        <w:rPr>
          <w:rFonts w:ascii="Times New Roman" w:hAnsi="Times New Roman" w:cs="Times New Roman"/>
        </w:rPr>
        <w:t>Right panel shows Residuals versus model predictions with acceptable scattered results with no systematic curvature as shown in the NB model. These diagnostics establish that the proportional loss outcome has been specified correctly in terms of its beta distribution.</w:t>
      </w:r>
      <w:r w:rsidR="007C2009" w:rsidRPr="0095607E">
        <w:rPr>
          <w:rFonts w:ascii="Times New Roman" w:hAnsi="Times New Roman" w:cs="Times New Roman"/>
        </w:rPr>
        <w:t xml:space="preserve"> </w:t>
      </w:r>
      <w:r w:rsidR="002D26E1" w:rsidRPr="0095607E">
        <w:rPr>
          <w:rFonts w:ascii="Times New Roman" w:hAnsi="Times New Roman" w:cs="Times New Roman"/>
        </w:rPr>
        <w:t xml:space="preserve">Unlike the NB model, the multilevel Beta regression </w:t>
      </w:r>
      <w:r w:rsidR="00BB56A0">
        <w:rPr>
          <w:rFonts w:ascii="Times New Roman" w:hAnsi="Times New Roman" w:cs="Times New Roman"/>
        </w:rPr>
        <w:t>demonstrate superior goodness of fit compared to alternative models</w:t>
      </w:r>
      <w:r w:rsidR="002D26E1" w:rsidRPr="0095607E">
        <w:rPr>
          <w:rFonts w:ascii="Times New Roman" w:hAnsi="Times New Roman" w:cs="Times New Roman"/>
        </w:rPr>
        <w:t xml:space="preserve">. Since the non-significant dispersion test </w:t>
      </w:r>
      <m:oMath>
        <m:r>
          <w:rPr>
            <w:rFonts w:ascii="Cambria Math" w:hAnsi="Cambria Math" w:cs="Times New Roman"/>
          </w:rPr>
          <m:t>(p=0.612)</m:t>
        </m:r>
      </m:oMath>
      <w:r w:rsidR="002D26E1" w:rsidRPr="0095607E">
        <w:rPr>
          <w:rFonts w:ascii="Times New Roman" w:hAnsi="Times New Roman" w:cs="Times New Roman"/>
        </w:rPr>
        <w:t xml:space="preserve"> and outlier test </w:t>
      </w:r>
      <m:oMath>
        <m:r>
          <w:rPr>
            <w:rFonts w:ascii="Cambria Math" w:hAnsi="Cambria Math" w:cs="Times New Roman"/>
          </w:rPr>
          <m:t>(p=0.189)</m:t>
        </m:r>
      </m:oMath>
      <w:r w:rsidR="002D26E1" w:rsidRPr="0095607E">
        <w:rPr>
          <w:rFonts w:ascii="Times New Roman" w:hAnsi="Times New Roman" w:cs="Times New Roman"/>
        </w:rPr>
        <w:t xml:space="preserve"> indicate that the beta distribution is specified correctly in the proportional loss outcome, there is no systematic over or </w:t>
      </w:r>
      <w:proofErr w:type="spellStart"/>
      <w:r w:rsidR="002D26E1" w:rsidRPr="0095607E">
        <w:rPr>
          <w:rFonts w:ascii="Times New Roman" w:hAnsi="Times New Roman" w:cs="Times New Roman"/>
        </w:rPr>
        <w:t>underdispersion</w:t>
      </w:r>
      <w:proofErr w:type="spellEnd"/>
      <w:r w:rsidR="002D26E1" w:rsidRPr="0095607E">
        <w:rPr>
          <w:rFonts w:ascii="Times New Roman" w:hAnsi="Times New Roman" w:cs="Times New Roman"/>
        </w:rPr>
        <w:t xml:space="preserve">. </w:t>
      </w:r>
      <w:r w:rsidR="00F46C36" w:rsidRPr="00F46C36">
        <w:rPr>
          <w:rFonts w:ascii="Times New Roman" w:hAnsi="Times New Roman" w:cs="Times New Roman"/>
        </w:rPr>
        <w:t>Despite being statistically significant, the KS test is statistically significant in large samples and does not imply substantive model misspecification. Adequate model fit is verified by other diagnostics (dispersion, residual plots).</w:t>
      </w:r>
      <w:r w:rsidR="00F46C36">
        <w:rPr>
          <w:rFonts w:ascii="Times New Roman" w:hAnsi="Times New Roman" w:cs="Times New Roman"/>
        </w:rPr>
        <w:t xml:space="preserve"> </w:t>
      </w:r>
      <w:r w:rsidR="002D26E1" w:rsidRPr="0095607E">
        <w:rPr>
          <w:rFonts w:ascii="Times New Roman" w:hAnsi="Times New Roman" w:cs="Times New Roman"/>
        </w:rPr>
        <w:t xml:space="preserve">The plot of the residual’s vs fitted values indicates that there is a satisfactory values distribution without the steep turn as noticed in the NB model. This combination of diagnostic results to a great extent confirms the hypothesis that the multilevel Beta regression is the appropriate and well-fitted model to use with this data, and all of the inferences made based on the parameter estimates are valid statistically. The single-level </w:t>
      </w:r>
      <m:oMath>
        <m:r>
          <w:rPr>
            <w:rFonts w:ascii="Cambria Math" w:hAnsi="Cambria Math" w:cs="Times New Roman"/>
          </w:rPr>
          <m:t>betareg</m:t>
        </m:r>
      </m:oMath>
      <w:r w:rsidR="002D26E1" w:rsidRPr="0095607E">
        <w:rPr>
          <w:rFonts w:ascii="Times New Roman" w:hAnsi="Times New Roman" w:cs="Times New Roman"/>
        </w:rPr>
        <w:t xml:space="preserve"> model provided a </w:t>
      </w:r>
      <m:oMath>
        <m:r>
          <w:rPr>
            <w:rFonts w:ascii="Cambria Math" w:hAnsi="Cambria Math" w:cs="Times New Roman"/>
          </w:rPr>
          <m:t xml:space="preserve">pseudo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 0.7612</m:t>
        </m:r>
      </m:oMath>
      <w:r w:rsidR="002D26E1" w:rsidRPr="0095607E">
        <w:rPr>
          <w:rFonts w:ascii="Times New Roman" w:hAnsi="Times New Roman" w:cs="Times New Roman"/>
        </w:rPr>
        <w:t>, which implies that the fixed effects explain the proportional losses variation of the 622 respondents in the analytic sample.</w:t>
      </w:r>
    </w:p>
    <w:p w14:paraId="331A22CC" w14:textId="60F6DBF4" w:rsidR="007C2009" w:rsidRPr="0095607E" w:rsidRDefault="007C2009" w:rsidP="003B0C52">
      <w:pPr>
        <w:pStyle w:val="Heading2"/>
        <w:spacing w:line="240" w:lineRule="auto"/>
        <w:rPr>
          <w:rFonts w:ascii="Times New Roman" w:hAnsi="Times New Roman" w:cs="Times New Roman"/>
          <w:b/>
          <w:bCs/>
          <w:color w:val="auto"/>
          <w:sz w:val="24"/>
          <w:szCs w:val="24"/>
        </w:rPr>
      </w:pPr>
      <w:bookmarkStart w:id="43" w:name="_Toc225180573"/>
      <w:r w:rsidRPr="0095607E">
        <w:rPr>
          <w:rFonts w:ascii="Times New Roman" w:hAnsi="Times New Roman" w:cs="Times New Roman"/>
          <w:b/>
          <w:bCs/>
          <w:color w:val="auto"/>
          <w:sz w:val="24"/>
          <w:szCs w:val="24"/>
        </w:rPr>
        <w:lastRenderedPageBreak/>
        <w:t>5.</w:t>
      </w:r>
      <w:r w:rsidR="0075761C" w:rsidRPr="0095607E">
        <w:rPr>
          <w:rFonts w:ascii="Times New Roman" w:hAnsi="Times New Roman" w:cs="Times New Roman"/>
          <w:b/>
          <w:bCs/>
          <w:color w:val="auto"/>
          <w:sz w:val="24"/>
          <w:szCs w:val="24"/>
        </w:rPr>
        <w:t>0</w:t>
      </w:r>
      <w:r w:rsidRPr="0095607E">
        <w:rPr>
          <w:rFonts w:ascii="Times New Roman" w:hAnsi="Times New Roman" w:cs="Times New Roman"/>
          <w:b/>
          <w:bCs/>
          <w:color w:val="auto"/>
          <w:sz w:val="24"/>
          <w:szCs w:val="24"/>
        </w:rPr>
        <w:tab/>
        <w:t>Conclusion and Recommendations</w:t>
      </w:r>
      <w:bookmarkEnd w:id="43"/>
    </w:p>
    <w:p w14:paraId="08879D1D" w14:textId="2C083BEC" w:rsidR="00013513" w:rsidRPr="0095607E" w:rsidRDefault="00013513" w:rsidP="00013513">
      <w:pPr>
        <w:pStyle w:val="NoSpacing"/>
        <w:jc w:val="both"/>
        <w:rPr>
          <w:rFonts w:ascii="Times New Roman" w:hAnsi="Times New Roman" w:cs="Times New Roman"/>
        </w:rPr>
      </w:pPr>
      <w:r w:rsidRPr="0095607E">
        <w:rPr>
          <w:rFonts w:ascii="Times New Roman" w:hAnsi="Times New Roman" w:cs="Times New Roman"/>
        </w:rPr>
        <w:t>This study establishes that storage type, storage duration, market access conditions, transportation infrastructure, chemical use, and extension training are critical determinants of post-harvest loss along Kenya's potato farm-market value chain. Using a multilevel beta regression (MLBR) framework which is appropriate for bounded, nested, proportional loss data, we quantify these factors and derive clear policy implications.</w:t>
      </w:r>
      <w:r w:rsidR="004A5CC1" w:rsidRPr="0095607E">
        <w:rPr>
          <w:rFonts w:ascii="Times New Roman" w:hAnsi="Times New Roman" w:cs="Times New Roman"/>
        </w:rPr>
        <w:t xml:space="preserve"> </w:t>
      </w:r>
      <w:r w:rsidRPr="0095607E">
        <w:rPr>
          <w:rFonts w:ascii="Times New Roman" w:hAnsi="Times New Roman" w:cs="Times New Roman"/>
        </w:rPr>
        <w:t>First, public and donor investment should prioritize accessible and affordable storage</w:t>
      </w:r>
      <w:r w:rsidR="0065094D" w:rsidRPr="0095607E">
        <w:rPr>
          <w:rFonts w:ascii="Times New Roman" w:hAnsi="Times New Roman" w:cs="Times New Roman"/>
        </w:rPr>
        <w:t xml:space="preserve"> facilities such as</w:t>
      </w:r>
      <w:r w:rsidRPr="0095607E">
        <w:rPr>
          <w:rFonts w:ascii="Times New Roman" w:hAnsi="Times New Roman" w:cs="Times New Roman"/>
        </w:rPr>
        <w:t xml:space="preserve"> dark rooms through farmer</w:t>
      </w:r>
      <w:r w:rsidR="0065094D" w:rsidRPr="0095607E">
        <w:rPr>
          <w:rFonts w:ascii="Times New Roman" w:hAnsi="Times New Roman" w:cs="Times New Roman"/>
        </w:rPr>
        <w:t>’</w:t>
      </w:r>
      <w:r w:rsidRPr="0095607E">
        <w:rPr>
          <w:rFonts w:ascii="Times New Roman" w:hAnsi="Times New Roman" w:cs="Times New Roman"/>
        </w:rPr>
        <w:t xml:space="preserve"> groups</w:t>
      </w:r>
      <w:r w:rsidR="0065094D" w:rsidRPr="0095607E">
        <w:rPr>
          <w:rFonts w:ascii="Times New Roman" w:hAnsi="Times New Roman" w:cs="Times New Roman"/>
        </w:rPr>
        <w:t xml:space="preserve"> and societies</w:t>
      </w:r>
      <w:r w:rsidRPr="0095607E">
        <w:rPr>
          <w:rFonts w:ascii="Times New Roman" w:hAnsi="Times New Roman" w:cs="Times New Roman"/>
        </w:rPr>
        <w:t>, and solar-powered cold storage at aggregation points along major transportation corridors. Second, post-harvest extension services require restructuring through an integrated co-delivery model that bundles training on approved sprout suppressants with simultaneous access via licensed agr</w:t>
      </w:r>
      <w:r w:rsidR="0065094D" w:rsidRPr="0095607E">
        <w:rPr>
          <w:rFonts w:ascii="Times New Roman" w:hAnsi="Times New Roman" w:cs="Times New Roman"/>
        </w:rPr>
        <w:t>icultural actors</w:t>
      </w:r>
      <w:r w:rsidRPr="0095607E">
        <w:rPr>
          <w:rFonts w:ascii="Times New Roman" w:hAnsi="Times New Roman" w:cs="Times New Roman"/>
        </w:rPr>
        <w:t>. This would close the current gap between extension coverage (51.3%) and actual adoption (30.7%). Third, upgrading transportation infrastructure and introducing low-cost protective packaging for motorcycle transport is essential to reduce physical damage and distance-related losses.</w:t>
      </w:r>
    </w:p>
    <w:p w14:paraId="55A3068C" w14:textId="77777777" w:rsidR="00013513" w:rsidRPr="0095607E" w:rsidRDefault="00013513" w:rsidP="00013513">
      <w:pPr>
        <w:pStyle w:val="NoSpacing"/>
        <w:jc w:val="both"/>
        <w:rPr>
          <w:rFonts w:ascii="Times New Roman" w:hAnsi="Times New Roman" w:cs="Times New Roman"/>
        </w:rPr>
      </w:pPr>
      <w:r w:rsidRPr="0095607E">
        <w:rPr>
          <w:rFonts w:ascii="Times New Roman" w:hAnsi="Times New Roman" w:cs="Times New Roman"/>
        </w:rPr>
        <w:t>Due to the cross-sectional design and regional sampling frame, causal inference and national generalizability are constrained. Future research should employ longitudinal or experimental designs, nationally representative geographic coverage, and objective post-harvest loss measurements. The MLBR method also offers promise for comparative analysis across other perishable crop value chains in sub-Saharan Africa.</w:t>
      </w:r>
    </w:p>
    <w:p w14:paraId="6A3F1EB8" w14:textId="77777777" w:rsidR="00013513" w:rsidRPr="0095607E" w:rsidRDefault="00013513" w:rsidP="00013513">
      <w:pPr>
        <w:pStyle w:val="NoSpacing"/>
        <w:jc w:val="both"/>
        <w:rPr>
          <w:rFonts w:ascii="Times New Roman" w:hAnsi="Times New Roman" w:cs="Times New Roman"/>
        </w:rPr>
      </w:pPr>
      <w:r w:rsidRPr="0095607E">
        <w:rPr>
          <w:rFonts w:ascii="Times New Roman" w:hAnsi="Times New Roman" w:cs="Times New Roman"/>
        </w:rPr>
        <w:t xml:space="preserve">Without coordinated action on these three pillars </w:t>
      </w:r>
      <w:proofErr w:type="spellStart"/>
      <w:r w:rsidRPr="0095607E">
        <w:rPr>
          <w:rFonts w:ascii="Times New Roman" w:hAnsi="Times New Roman" w:cs="Times New Roman"/>
        </w:rPr>
        <w:t>ie</w:t>
      </w:r>
      <w:proofErr w:type="spellEnd"/>
      <w:r w:rsidRPr="0095607E">
        <w:rPr>
          <w:rFonts w:ascii="Times New Roman" w:hAnsi="Times New Roman" w:cs="Times New Roman"/>
        </w:rPr>
        <w:t>. storage, extension reform, and transport, technological interventions alone are unlikely to reduce post-harvest losses at scale in Kenya's smallholder potato sector.</w:t>
      </w:r>
    </w:p>
    <w:p w14:paraId="589AC06F" w14:textId="77777777" w:rsidR="00F611F9" w:rsidRPr="0095607E" w:rsidRDefault="00F611F9" w:rsidP="003B0C52">
      <w:pPr>
        <w:pStyle w:val="NoSpacing"/>
        <w:jc w:val="both"/>
        <w:rPr>
          <w:rFonts w:ascii="Times New Roman" w:hAnsi="Times New Roman" w:cs="Times New Roman"/>
        </w:rPr>
      </w:pPr>
    </w:p>
    <w:p w14:paraId="2765EFF2" w14:textId="77777777" w:rsidR="00270BED" w:rsidRPr="0095607E" w:rsidRDefault="00270BED" w:rsidP="00F10821">
      <w:pPr>
        <w:pStyle w:val="Heading2"/>
        <w:spacing w:line="24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Author’s Contribution</w:t>
      </w:r>
    </w:p>
    <w:p w14:paraId="0CB2E6CB" w14:textId="77777777" w:rsidR="00270BED" w:rsidRPr="0095607E" w:rsidRDefault="00270BED" w:rsidP="00F10821">
      <w:pPr>
        <w:spacing w:line="24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 xml:space="preserve">Erick Cheruiyot Kirui was the main author and contributed to the conception, design and implementation of the study. Dr. </w:t>
      </w:r>
      <w:proofErr w:type="spellStart"/>
      <w:r w:rsidRPr="0095607E">
        <w:rPr>
          <w:rFonts w:ascii="Times New Roman" w:eastAsiaTheme="minorEastAsia" w:hAnsi="Times New Roman" w:cs="Times New Roman"/>
          <w:iCs/>
        </w:rPr>
        <w:t>Ayubu</w:t>
      </w:r>
      <w:proofErr w:type="spellEnd"/>
      <w:r w:rsidRPr="0095607E">
        <w:rPr>
          <w:rFonts w:ascii="Times New Roman" w:eastAsiaTheme="minorEastAsia" w:hAnsi="Times New Roman" w:cs="Times New Roman"/>
          <w:iCs/>
        </w:rPr>
        <w:t xml:space="preserve"> </w:t>
      </w:r>
      <w:proofErr w:type="spellStart"/>
      <w:r w:rsidRPr="0095607E">
        <w:rPr>
          <w:rFonts w:ascii="Times New Roman" w:eastAsiaTheme="minorEastAsia" w:hAnsi="Times New Roman" w:cs="Times New Roman"/>
          <w:iCs/>
        </w:rPr>
        <w:t>Anapapa</w:t>
      </w:r>
      <w:proofErr w:type="spellEnd"/>
      <w:r w:rsidRPr="0095607E">
        <w:rPr>
          <w:rFonts w:ascii="Times New Roman" w:eastAsiaTheme="minorEastAsia" w:hAnsi="Times New Roman" w:cs="Times New Roman"/>
          <w:iCs/>
        </w:rPr>
        <w:t xml:space="preserve"> and Dr. John Mutuguta provided guidance and supervision on research writing, methodology and analysis.</w:t>
      </w:r>
    </w:p>
    <w:p w14:paraId="26300C67" w14:textId="77777777" w:rsidR="00270BED" w:rsidRPr="0095607E" w:rsidRDefault="00270BED" w:rsidP="00F10821">
      <w:pPr>
        <w:pStyle w:val="Heading2"/>
        <w:spacing w:line="24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Data availability</w:t>
      </w:r>
    </w:p>
    <w:p w14:paraId="1C589F31" w14:textId="77777777" w:rsidR="00270BED" w:rsidRPr="0095607E" w:rsidRDefault="00270BED" w:rsidP="00F10821">
      <w:pPr>
        <w:spacing w:line="24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The dataset utilized in this research can be provided by the author upon reasonable request.</w:t>
      </w:r>
    </w:p>
    <w:p w14:paraId="0EDFD121" w14:textId="77777777" w:rsidR="00270BED" w:rsidRPr="0095607E" w:rsidRDefault="00270BED" w:rsidP="00F10821">
      <w:pPr>
        <w:pStyle w:val="Heading2"/>
        <w:spacing w:line="240" w:lineRule="auto"/>
        <w:jc w:val="both"/>
        <w:rPr>
          <w:rFonts w:ascii="Times New Roman" w:eastAsiaTheme="minorEastAsia" w:hAnsi="Times New Roman" w:cs="Times New Roman"/>
          <w:b/>
          <w:bCs/>
          <w:color w:val="auto"/>
          <w:sz w:val="24"/>
          <w:szCs w:val="24"/>
        </w:rPr>
      </w:pPr>
      <w:r w:rsidRPr="0095607E">
        <w:rPr>
          <w:rFonts w:ascii="Times New Roman" w:eastAsiaTheme="minorEastAsia" w:hAnsi="Times New Roman" w:cs="Times New Roman"/>
          <w:b/>
          <w:bCs/>
          <w:color w:val="auto"/>
          <w:sz w:val="24"/>
          <w:szCs w:val="24"/>
        </w:rPr>
        <w:t xml:space="preserve">Acknowledgement </w:t>
      </w:r>
    </w:p>
    <w:p w14:paraId="3B66868D" w14:textId="3D11D033" w:rsidR="00270BED" w:rsidRDefault="00270BED" w:rsidP="00F10821">
      <w:pPr>
        <w:spacing w:line="240" w:lineRule="auto"/>
        <w:jc w:val="both"/>
        <w:rPr>
          <w:rFonts w:ascii="Times New Roman" w:eastAsiaTheme="minorEastAsia" w:hAnsi="Times New Roman" w:cs="Times New Roman"/>
          <w:iCs/>
        </w:rPr>
      </w:pPr>
      <w:r w:rsidRPr="0095607E">
        <w:rPr>
          <w:rFonts w:ascii="Times New Roman" w:eastAsiaTheme="minorEastAsia" w:hAnsi="Times New Roman" w:cs="Times New Roman"/>
          <w:iCs/>
        </w:rPr>
        <w:t xml:space="preserve">The author would like to thank the department of Mathematics and Actuarial Science of Murang’a University of Technology for their support and guidance during the entire research process. I would like to extend my special gratitude to Dr. </w:t>
      </w:r>
      <w:proofErr w:type="spellStart"/>
      <w:r w:rsidRPr="0095607E">
        <w:rPr>
          <w:rFonts w:ascii="Times New Roman" w:eastAsiaTheme="minorEastAsia" w:hAnsi="Times New Roman" w:cs="Times New Roman"/>
          <w:iCs/>
        </w:rPr>
        <w:t>Ayubu</w:t>
      </w:r>
      <w:proofErr w:type="spellEnd"/>
      <w:r w:rsidRPr="0095607E">
        <w:rPr>
          <w:rFonts w:ascii="Times New Roman" w:eastAsiaTheme="minorEastAsia" w:hAnsi="Times New Roman" w:cs="Times New Roman"/>
          <w:iCs/>
        </w:rPr>
        <w:t xml:space="preserve"> </w:t>
      </w:r>
      <w:proofErr w:type="spellStart"/>
      <w:r w:rsidRPr="0095607E">
        <w:rPr>
          <w:rFonts w:ascii="Times New Roman" w:eastAsiaTheme="minorEastAsia" w:hAnsi="Times New Roman" w:cs="Times New Roman"/>
          <w:iCs/>
        </w:rPr>
        <w:t>Anapapa</w:t>
      </w:r>
      <w:proofErr w:type="spellEnd"/>
      <w:r w:rsidRPr="0095607E">
        <w:rPr>
          <w:rFonts w:ascii="Times New Roman" w:eastAsiaTheme="minorEastAsia" w:hAnsi="Times New Roman" w:cs="Times New Roman"/>
          <w:iCs/>
        </w:rPr>
        <w:t xml:space="preserve"> and Dr. John Mutuguta who guided and mentored me greatly during the study. Also, special thanks to my lovely wife and daughter Flossy and Natasha for their moral support.</w:t>
      </w:r>
    </w:p>
    <w:p w14:paraId="6F6CFEC7" w14:textId="691E6991" w:rsidR="001F7C72" w:rsidRDefault="001F7C72" w:rsidP="00F10821">
      <w:pPr>
        <w:spacing w:line="240" w:lineRule="auto"/>
        <w:jc w:val="both"/>
        <w:rPr>
          <w:rFonts w:ascii="Times New Roman" w:eastAsiaTheme="minorEastAsia" w:hAnsi="Times New Roman" w:cs="Times New Roman"/>
          <w:iCs/>
        </w:rPr>
      </w:pPr>
    </w:p>
    <w:p w14:paraId="4EC4D649" w14:textId="705D9CF6" w:rsidR="00167107" w:rsidRDefault="00167107" w:rsidP="00F10821">
      <w:pPr>
        <w:spacing w:line="240" w:lineRule="auto"/>
        <w:jc w:val="both"/>
        <w:rPr>
          <w:rFonts w:ascii="Times New Roman" w:eastAsiaTheme="minorEastAsia" w:hAnsi="Times New Roman" w:cs="Times New Roman"/>
          <w:iCs/>
        </w:rPr>
      </w:pPr>
    </w:p>
    <w:p w14:paraId="2E74D032" w14:textId="77777777" w:rsidR="00167107" w:rsidRPr="00167107" w:rsidRDefault="00167107" w:rsidP="00167107">
      <w:pPr>
        <w:spacing w:line="240" w:lineRule="auto"/>
        <w:jc w:val="both"/>
        <w:rPr>
          <w:rFonts w:ascii="Times New Roman" w:eastAsiaTheme="minorEastAsia" w:hAnsi="Times New Roman" w:cs="Times New Roman"/>
          <w:iCs/>
        </w:rPr>
      </w:pPr>
      <w:r w:rsidRPr="00167107">
        <w:rPr>
          <w:rFonts w:ascii="Times New Roman" w:eastAsiaTheme="minorEastAsia" w:hAnsi="Times New Roman" w:cs="Times New Roman"/>
          <w:iCs/>
        </w:rPr>
        <w:t xml:space="preserve">Consent </w:t>
      </w:r>
    </w:p>
    <w:p w14:paraId="525B7F87" w14:textId="5E779825" w:rsidR="00167107" w:rsidRDefault="00167107" w:rsidP="00167107">
      <w:pPr>
        <w:spacing w:line="240" w:lineRule="auto"/>
        <w:jc w:val="both"/>
        <w:rPr>
          <w:rFonts w:ascii="Times New Roman" w:eastAsiaTheme="minorEastAsia" w:hAnsi="Times New Roman" w:cs="Times New Roman"/>
          <w:iCs/>
        </w:rPr>
      </w:pPr>
      <w:r w:rsidRPr="00167107">
        <w:rPr>
          <w:rFonts w:ascii="Times New Roman" w:eastAsiaTheme="minorEastAsia" w:hAnsi="Times New Roman" w:cs="Times New Roman"/>
          <w:iCs/>
        </w:rPr>
        <w:t>As per international standards or university standards, Participants’ written consent has been collected and preserved by the author(s).</w:t>
      </w:r>
    </w:p>
    <w:p w14:paraId="2D14ADFE" w14:textId="0C8C49C5" w:rsidR="00167107" w:rsidRDefault="00167107" w:rsidP="00167107">
      <w:pPr>
        <w:spacing w:line="240" w:lineRule="auto"/>
        <w:jc w:val="both"/>
        <w:rPr>
          <w:rFonts w:ascii="Times New Roman" w:eastAsiaTheme="minorEastAsia" w:hAnsi="Times New Roman" w:cs="Times New Roman"/>
          <w:iCs/>
        </w:rPr>
      </w:pPr>
    </w:p>
    <w:p w14:paraId="7CF6B8CB" w14:textId="201C46B9" w:rsidR="00167107" w:rsidRDefault="00167107" w:rsidP="00167107">
      <w:pPr>
        <w:spacing w:line="240" w:lineRule="auto"/>
        <w:jc w:val="both"/>
        <w:rPr>
          <w:rFonts w:ascii="Times New Roman" w:eastAsiaTheme="minorEastAsia" w:hAnsi="Times New Roman" w:cs="Times New Roman"/>
          <w:iCs/>
        </w:rPr>
      </w:pPr>
    </w:p>
    <w:p w14:paraId="308649AD" w14:textId="18E01994" w:rsidR="00167107" w:rsidRPr="00167107" w:rsidRDefault="00167107" w:rsidP="00167107">
      <w:pPr>
        <w:keepNext/>
        <w:keepLines/>
        <w:spacing w:before="160" w:after="80"/>
        <w:outlineLvl w:val="2"/>
        <w:rPr>
          <w:rFonts w:ascii="Times New Roman" w:eastAsiaTheme="majorEastAsia" w:hAnsi="Times New Roman" w:cs="Times New Roman"/>
          <w:b/>
          <w:bCs/>
        </w:rPr>
      </w:pPr>
      <w:r w:rsidRPr="00167107">
        <w:rPr>
          <w:rFonts w:ascii="Times New Roman" w:eastAsiaTheme="majorEastAsia" w:hAnsi="Times New Roman" w:cs="Times New Roman"/>
          <w:b/>
          <w:bCs/>
        </w:rPr>
        <w:t xml:space="preserve">Ethical </w:t>
      </w:r>
      <w:r w:rsidR="00301E0E">
        <w:rPr>
          <w:rFonts w:ascii="Times New Roman" w:eastAsiaTheme="majorEastAsia" w:hAnsi="Times New Roman" w:cs="Times New Roman"/>
          <w:b/>
          <w:bCs/>
        </w:rPr>
        <w:t>Approval</w:t>
      </w:r>
      <w:bookmarkStart w:id="44" w:name="_GoBack"/>
      <w:bookmarkEnd w:id="44"/>
    </w:p>
    <w:p w14:paraId="2AC53E80" w14:textId="77777777" w:rsidR="00167107" w:rsidRPr="00167107" w:rsidRDefault="00167107" w:rsidP="00167107">
      <w:pPr>
        <w:spacing w:line="240" w:lineRule="auto"/>
        <w:jc w:val="both"/>
        <w:rPr>
          <w:rFonts w:ascii="Times New Roman" w:hAnsi="Times New Roman" w:cs="Times New Roman"/>
        </w:rPr>
      </w:pPr>
      <w:r w:rsidRPr="00167107">
        <w:rPr>
          <w:rFonts w:ascii="Times New Roman" w:hAnsi="Times New Roman" w:cs="Times New Roman"/>
        </w:rPr>
        <w:t xml:space="preserve">This study was conducted with strict adherence to ethical considerations to protect the participants' rights and confidentiality. While conducting the study, all participants' personal information remained anonymous. Besides, the study ensured to take into consideration the cultural values and norms in the community. A permit to conduct the research was acquired from National Commission for Science, Technology and Innovation (NACOSTI) that allowed the gathering of data from farmers and retailers in Nakuru and </w:t>
      </w:r>
      <w:proofErr w:type="spellStart"/>
      <w:r w:rsidRPr="00167107">
        <w:rPr>
          <w:rFonts w:ascii="Times New Roman" w:hAnsi="Times New Roman" w:cs="Times New Roman"/>
        </w:rPr>
        <w:t>Nyandarua</w:t>
      </w:r>
      <w:proofErr w:type="spellEnd"/>
      <w:r w:rsidRPr="00167107">
        <w:rPr>
          <w:rFonts w:ascii="Times New Roman" w:hAnsi="Times New Roman" w:cs="Times New Roman"/>
        </w:rPr>
        <w:t xml:space="preserve"> counties.</w:t>
      </w:r>
    </w:p>
    <w:p w14:paraId="77D1EE29" w14:textId="77777777" w:rsidR="00167107" w:rsidRDefault="00167107" w:rsidP="00167107">
      <w:pPr>
        <w:spacing w:line="240" w:lineRule="auto"/>
        <w:jc w:val="both"/>
        <w:rPr>
          <w:rFonts w:ascii="Times New Roman" w:eastAsiaTheme="minorEastAsia" w:hAnsi="Times New Roman" w:cs="Times New Roman"/>
          <w:iCs/>
        </w:rPr>
      </w:pPr>
    </w:p>
    <w:p w14:paraId="60AFDD54" w14:textId="77777777" w:rsidR="001F7C72" w:rsidRPr="001F7C72" w:rsidRDefault="001F7C72" w:rsidP="001F7C72">
      <w:pPr>
        <w:spacing w:line="240" w:lineRule="auto"/>
        <w:jc w:val="both"/>
        <w:rPr>
          <w:rFonts w:ascii="Times New Roman" w:eastAsiaTheme="minorEastAsia" w:hAnsi="Times New Roman" w:cs="Times New Roman"/>
          <w:iCs/>
        </w:rPr>
      </w:pPr>
      <w:r w:rsidRPr="001F7C72">
        <w:rPr>
          <w:rFonts w:ascii="Times New Roman" w:eastAsiaTheme="minorEastAsia" w:hAnsi="Times New Roman" w:cs="Times New Roman"/>
          <w:iCs/>
        </w:rPr>
        <w:t>Disclaimer (Artificial intelligence)</w:t>
      </w:r>
    </w:p>
    <w:p w14:paraId="55CACC89" w14:textId="77777777" w:rsidR="001F7C72" w:rsidRPr="001F7C72" w:rsidRDefault="001F7C72" w:rsidP="001F7C72">
      <w:pPr>
        <w:spacing w:line="240" w:lineRule="auto"/>
        <w:jc w:val="both"/>
        <w:rPr>
          <w:rFonts w:ascii="Times New Roman" w:eastAsiaTheme="minorEastAsia" w:hAnsi="Times New Roman" w:cs="Times New Roman"/>
          <w:iCs/>
        </w:rPr>
      </w:pPr>
      <w:r w:rsidRPr="001F7C72">
        <w:rPr>
          <w:rFonts w:ascii="Times New Roman" w:eastAsiaTheme="minorEastAsia" w:hAnsi="Times New Roman" w:cs="Times New Roman"/>
          <w:iCs/>
        </w:rPr>
        <w:t>Author(s) hereby declare that NO generative AI technologies such as Large Language Models (</w:t>
      </w:r>
      <w:proofErr w:type="spellStart"/>
      <w:r w:rsidRPr="001F7C72">
        <w:rPr>
          <w:rFonts w:ascii="Times New Roman" w:eastAsiaTheme="minorEastAsia" w:hAnsi="Times New Roman" w:cs="Times New Roman"/>
          <w:iCs/>
        </w:rPr>
        <w:t>ChatGPT</w:t>
      </w:r>
      <w:proofErr w:type="spellEnd"/>
      <w:r w:rsidRPr="001F7C72">
        <w:rPr>
          <w:rFonts w:ascii="Times New Roman" w:eastAsiaTheme="minorEastAsia" w:hAnsi="Times New Roman" w:cs="Times New Roman"/>
          <w:iCs/>
        </w:rPr>
        <w:t xml:space="preserve">, COPILOT, etc.) and text-to-image generators have been used during the writing or editing of this manuscript. </w:t>
      </w:r>
    </w:p>
    <w:p w14:paraId="4AFC3192" w14:textId="77777777" w:rsidR="001F7C72" w:rsidRPr="0095607E" w:rsidRDefault="001F7C72" w:rsidP="00F10821">
      <w:pPr>
        <w:spacing w:line="240" w:lineRule="auto"/>
        <w:jc w:val="both"/>
        <w:rPr>
          <w:rFonts w:ascii="Times New Roman" w:eastAsiaTheme="minorEastAsia" w:hAnsi="Times New Roman" w:cs="Times New Roman"/>
          <w:iCs/>
        </w:rPr>
      </w:pPr>
    </w:p>
    <w:p w14:paraId="278878C5" w14:textId="6590744E" w:rsidR="00F611F9" w:rsidRPr="0095607E" w:rsidRDefault="0075761C" w:rsidP="003B0C52">
      <w:pPr>
        <w:pStyle w:val="Heading2"/>
        <w:spacing w:line="240" w:lineRule="auto"/>
        <w:rPr>
          <w:rFonts w:ascii="Times New Roman" w:hAnsi="Times New Roman" w:cs="Times New Roman"/>
          <w:b/>
          <w:bCs/>
          <w:color w:val="auto"/>
          <w:sz w:val="24"/>
          <w:szCs w:val="24"/>
        </w:rPr>
      </w:pPr>
      <w:r w:rsidRPr="0095607E">
        <w:rPr>
          <w:rFonts w:ascii="Times New Roman" w:hAnsi="Times New Roman" w:cs="Times New Roman"/>
          <w:b/>
          <w:bCs/>
          <w:color w:val="auto"/>
          <w:sz w:val="24"/>
          <w:szCs w:val="24"/>
        </w:rPr>
        <w:t>6.0</w:t>
      </w:r>
      <w:r w:rsidR="00F611F9" w:rsidRPr="0095607E">
        <w:rPr>
          <w:rFonts w:ascii="Times New Roman" w:hAnsi="Times New Roman" w:cs="Times New Roman"/>
          <w:b/>
          <w:bCs/>
          <w:color w:val="auto"/>
          <w:sz w:val="24"/>
          <w:szCs w:val="24"/>
        </w:rPr>
        <w:tab/>
        <w:t>References</w:t>
      </w:r>
    </w:p>
    <w:sdt>
      <w:sdtPr>
        <w:rPr>
          <w:rFonts w:ascii="Times New Roman" w:hAnsi="Times New Roman" w:cs="Times New Roman"/>
          <w:color w:val="000000"/>
        </w:rPr>
        <w:tag w:val="MENDELEY_BIBLIOGRAPHY"/>
        <w:id w:val="400488204"/>
        <w:placeholder>
          <w:docPart w:val="DefaultPlaceholder_-1854013440"/>
        </w:placeholder>
      </w:sdtPr>
      <w:sdtEndPr/>
      <w:sdtContent>
        <w:p w14:paraId="6DD7F40C" w14:textId="77777777" w:rsidR="00F611F9" w:rsidRPr="0095607E" w:rsidRDefault="00F611F9" w:rsidP="003B0C52">
          <w:pPr>
            <w:autoSpaceDE w:val="0"/>
            <w:autoSpaceDN w:val="0"/>
            <w:spacing w:line="240" w:lineRule="auto"/>
            <w:ind w:hanging="480"/>
            <w:divId w:val="1235899885"/>
            <w:rPr>
              <w:rFonts w:ascii="Times New Roman" w:eastAsia="Times New Roman" w:hAnsi="Times New Roman" w:cs="Times New Roman"/>
              <w:color w:val="000000"/>
              <w:kern w:val="0"/>
              <w14:ligatures w14:val="none"/>
            </w:rPr>
          </w:pPr>
          <w:proofErr w:type="spellStart"/>
          <w:r w:rsidRPr="0095607E">
            <w:rPr>
              <w:rFonts w:ascii="Times New Roman" w:eastAsia="Times New Roman" w:hAnsi="Times New Roman" w:cs="Times New Roman"/>
              <w:color w:val="000000"/>
            </w:rPr>
            <w:t>Abonazel</w:t>
          </w:r>
          <w:proofErr w:type="spellEnd"/>
          <w:r w:rsidRPr="0095607E">
            <w:rPr>
              <w:rFonts w:ascii="Times New Roman" w:eastAsia="Times New Roman" w:hAnsi="Times New Roman" w:cs="Times New Roman"/>
              <w:color w:val="000000"/>
            </w:rPr>
            <w:t xml:space="preserve">, M. R., </w:t>
          </w:r>
          <w:proofErr w:type="spellStart"/>
          <w:r w:rsidRPr="0095607E">
            <w:rPr>
              <w:rFonts w:ascii="Times New Roman" w:eastAsia="Times New Roman" w:hAnsi="Times New Roman" w:cs="Times New Roman"/>
              <w:color w:val="000000"/>
            </w:rPr>
            <w:t>Algamal</w:t>
          </w:r>
          <w:proofErr w:type="spellEnd"/>
          <w:r w:rsidRPr="0095607E">
            <w:rPr>
              <w:rFonts w:ascii="Times New Roman" w:eastAsia="Times New Roman" w:hAnsi="Times New Roman" w:cs="Times New Roman"/>
              <w:color w:val="000000"/>
            </w:rPr>
            <w:t xml:space="preserve">, Z. Y., Awwad, F. A., &amp; Taha, I. M. (2022). A New Two-Parameter Estimator for Beta Regression Model: Method, Simulation, and Application. </w:t>
          </w:r>
          <w:r w:rsidRPr="0095607E">
            <w:rPr>
              <w:rFonts w:ascii="Times New Roman" w:eastAsia="Times New Roman" w:hAnsi="Times New Roman" w:cs="Times New Roman"/>
              <w:i/>
              <w:iCs/>
              <w:color w:val="000000"/>
            </w:rPr>
            <w:t>Frontiers in Applied Mathematics and Statistics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7</w:t>
          </w:r>
          <w:r w:rsidRPr="0095607E">
            <w:rPr>
              <w:rFonts w:ascii="Times New Roman" w:eastAsia="Times New Roman" w:hAnsi="Times New Roman" w:cs="Times New Roman"/>
              <w:color w:val="000000"/>
            </w:rPr>
            <w:t>. https://doi.org/10.3389/fams.2021.780322</w:t>
          </w:r>
        </w:p>
        <w:p w14:paraId="10BA6387" w14:textId="1F65BB30" w:rsidR="00F611F9" w:rsidRPr="0095607E" w:rsidRDefault="00F611F9" w:rsidP="003B0C52">
          <w:pPr>
            <w:autoSpaceDE w:val="0"/>
            <w:autoSpaceDN w:val="0"/>
            <w:spacing w:line="240" w:lineRule="auto"/>
            <w:ind w:hanging="480"/>
            <w:divId w:val="698050902"/>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Almasi, A., </w:t>
          </w:r>
          <w:proofErr w:type="spellStart"/>
          <w:r w:rsidRPr="0095607E">
            <w:rPr>
              <w:rFonts w:ascii="Times New Roman" w:eastAsia="Times New Roman" w:hAnsi="Times New Roman" w:cs="Times New Roman"/>
              <w:color w:val="000000"/>
            </w:rPr>
            <w:t>Eshraghian</w:t>
          </w:r>
          <w:proofErr w:type="spellEnd"/>
          <w:r w:rsidRPr="0095607E">
            <w:rPr>
              <w:rFonts w:ascii="Times New Roman" w:eastAsia="Times New Roman" w:hAnsi="Times New Roman" w:cs="Times New Roman"/>
              <w:color w:val="000000"/>
            </w:rPr>
            <w:t xml:space="preserve">, M. R., </w:t>
          </w:r>
          <w:proofErr w:type="spellStart"/>
          <w:r w:rsidRPr="0095607E">
            <w:rPr>
              <w:rFonts w:ascii="Times New Roman" w:eastAsia="Times New Roman" w:hAnsi="Times New Roman" w:cs="Times New Roman"/>
              <w:color w:val="000000"/>
            </w:rPr>
            <w:t>Moghimbeigi</w:t>
          </w:r>
          <w:proofErr w:type="spellEnd"/>
          <w:r w:rsidRPr="0095607E">
            <w:rPr>
              <w:rFonts w:ascii="Times New Roman" w:eastAsia="Times New Roman" w:hAnsi="Times New Roman" w:cs="Times New Roman"/>
              <w:color w:val="000000"/>
            </w:rPr>
            <w:t xml:space="preserve">, A., Rahimi, A., Mohammad, K., &amp; </w:t>
          </w:r>
          <w:proofErr w:type="spellStart"/>
          <w:r w:rsidRPr="0095607E">
            <w:rPr>
              <w:rFonts w:ascii="Times New Roman" w:eastAsia="Times New Roman" w:hAnsi="Times New Roman" w:cs="Times New Roman"/>
              <w:color w:val="000000"/>
            </w:rPr>
            <w:t>Fallahigilan</w:t>
          </w:r>
          <w:proofErr w:type="spellEnd"/>
          <w:r w:rsidRPr="0095607E">
            <w:rPr>
              <w:rFonts w:ascii="Times New Roman" w:eastAsia="Times New Roman" w:hAnsi="Times New Roman" w:cs="Times New Roman"/>
              <w:color w:val="000000"/>
            </w:rPr>
            <w:t xml:space="preserve">, S. (2016). Multilevel zero-inflated Generalized Poisson regression modeling for dispersed correlated count data. </w:t>
          </w:r>
          <w:r w:rsidRPr="0095607E">
            <w:rPr>
              <w:rFonts w:ascii="Times New Roman" w:eastAsia="Times New Roman" w:hAnsi="Times New Roman" w:cs="Times New Roman"/>
              <w:i/>
              <w:iCs/>
              <w:color w:val="000000"/>
            </w:rPr>
            <w:t>Statistical Methodology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30</w:t>
          </w:r>
          <w:r w:rsidRPr="0095607E">
            <w:rPr>
              <w:rFonts w:ascii="Times New Roman" w:eastAsia="Times New Roman" w:hAnsi="Times New Roman" w:cs="Times New Roman"/>
              <w:color w:val="000000"/>
            </w:rPr>
            <w:t>, 1–14. https://doi.org/10.1016/j.stamet.2015.11.001</w:t>
          </w:r>
        </w:p>
        <w:p w14:paraId="5988EC90" w14:textId="77777777" w:rsidR="00F611F9" w:rsidRPr="0095607E" w:rsidRDefault="00F611F9" w:rsidP="003B0C52">
          <w:pPr>
            <w:autoSpaceDE w:val="0"/>
            <w:autoSpaceDN w:val="0"/>
            <w:spacing w:line="240" w:lineRule="auto"/>
            <w:ind w:hanging="480"/>
            <w:divId w:val="172649704"/>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Ariong</w:t>
          </w:r>
          <w:proofErr w:type="spellEnd"/>
          <w:r w:rsidRPr="0095607E">
            <w:rPr>
              <w:rFonts w:ascii="Times New Roman" w:eastAsia="Times New Roman" w:hAnsi="Times New Roman" w:cs="Times New Roman"/>
              <w:color w:val="000000"/>
            </w:rPr>
            <w:t xml:space="preserve">, R. M., Okello, D. M., Otim, M. H., &amp; </w:t>
          </w:r>
          <w:proofErr w:type="spellStart"/>
          <w:r w:rsidRPr="0095607E">
            <w:rPr>
              <w:rFonts w:ascii="Times New Roman" w:eastAsia="Times New Roman" w:hAnsi="Times New Roman" w:cs="Times New Roman"/>
              <w:color w:val="000000"/>
            </w:rPr>
            <w:t>Paparu</w:t>
          </w:r>
          <w:proofErr w:type="spellEnd"/>
          <w:r w:rsidRPr="0095607E">
            <w:rPr>
              <w:rFonts w:ascii="Times New Roman" w:eastAsia="Times New Roman" w:hAnsi="Times New Roman" w:cs="Times New Roman"/>
              <w:color w:val="000000"/>
            </w:rPr>
            <w:t xml:space="preserve">, P. (2023). The cost of inadequate postharvest management of pulse grain: Farmer losses due to handling and storage practices in Uganda. </w:t>
          </w:r>
          <w:r w:rsidRPr="0095607E">
            <w:rPr>
              <w:rFonts w:ascii="Times New Roman" w:eastAsia="Times New Roman" w:hAnsi="Times New Roman" w:cs="Times New Roman"/>
              <w:i/>
              <w:iCs/>
              <w:color w:val="000000"/>
            </w:rPr>
            <w:t>Agriculture and Food Security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12</w:t>
          </w:r>
          <w:r w:rsidRPr="0095607E">
            <w:rPr>
              <w:rFonts w:ascii="Times New Roman" w:eastAsia="Times New Roman" w:hAnsi="Times New Roman" w:cs="Times New Roman"/>
              <w:color w:val="000000"/>
            </w:rPr>
            <w:t>(1). https://doi.org/10.1186/s40066-023-00423-7</w:t>
          </w:r>
        </w:p>
        <w:p w14:paraId="74E824D4" w14:textId="77777777" w:rsidR="00F611F9" w:rsidRPr="0095607E" w:rsidRDefault="00F611F9" w:rsidP="003B0C52">
          <w:pPr>
            <w:autoSpaceDE w:val="0"/>
            <w:autoSpaceDN w:val="0"/>
            <w:spacing w:line="240" w:lineRule="auto"/>
            <w:ind w:hanging="480"/>
            <w:divId w:val="574095686"/>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Chen, V. Y. J., &amp; Yang, Y. C. (2024). Geographically weighted regression analysis for nonnegative continuous outcomes: An application to Taiwan dengue data. </w:t>
          </w:r>
          <w:proofErr w:type="spellStart"/>
          <w:r w:rsidRPr="0095607E">
            <w:rPr>
              <w:rFonts w:ascii="Times New Roman" w:eastAsia="Times New Roman" w:hAnsi="Times New Roman" w:cs="Times New Roman"/>
              <w:i/>
              <w:iCs/>
              <w:color w:val="000000"/>
            </w:rPr>
            <w:t>PLoS</w:t>
          </w:r>
          <w:proofErr w:type="spellEnd"/>
          <w:r w:rsidRPr="0095607E">
            <w:rPr>
              <w:rFonts w:ascii="Times New Roman" w:eastAsia="Times New Roman" w:hAnsi="Times New Roman" w:cs="Times New Roman"/>
              <w:i/>
              <w:iCs/>
              <w:color w:val="000000"/>
            </w:rPr>
            <w:t xml:space="preserve"> ONE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19</w:t>
          </w:r>
          <w:r w:rsidRPr="0095607E">
            <w:rPr>
              <w:rFonts w:ascii="Times New Roman" w:eastAsia="Times New Roman" w:hAnsi="Times New Roman" w:cs="Times New Roman"/>
              <w:color w:val="000000"/>
            </w:rPr>
            <w:t>(12 December). https://doi.org/10.1371/journal.pone.0315327</w:t>
          </w:r>
        </w:p>
        <w:p w14:paraId="08D9D507" w14:textId="77777777" w:rsidR="00F611F9" w:rsidRPr="0095607E" w:rsidRDefault="00F611F9" w:rsidP="003B0C52">
          <w:pPr>
            <w:autoSpaceDE w:val="0"/>
            <w:autoSpaceDN w:val="0"/>
            <w:spacing w:line="240" w:lineRule="auto"/>
            <w:ind w:hanging="480"/>
            <w:divId w:val="1196308419"/>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Devine, S., </w:t>
          </w:r>
          <w:proofErr w:type="spellStart"/>
          <w:r w:rsidRPr="0095607E">
            <w:rPr>
              <w:rFonts w:ascii="Times New Roman" w:eastAsia="Times New Roman" w:hAnsi="Times New Roman" w:cs="Times New Roman"/>
              <w:color w:val="000000"/>
            </w:rPr>
            <w:t>Uanhoro</w:t>
          </w:r>
          <w:proofErr w:type="spellEnd"/>
          <w:r w:rsidRPr="0095607E">
            <w:rPr>
              <w:rFonts w:ascii="Times New Roman" w:eastAsia="Times New Roman" w:hAnsi="Times New Roman" w:cs="Times New Roman"/>
              <w:color w:val="000000"/>
            </w:rPr>
            <w:t xml:space="preserve">, J. O., Otto, A. R., &amp; Flake, J. K. (2024). Approaches for Quantifying the ICC in Multilevel Logistic Models: A Didactic Demonstration. </w:t>
          </w:r>
          <w:r w:rsidRPr="0095607E">
            <w:rPr>
              <w:rFonts w:ascii="Times New Roman" w:eastAsia="Times New Roman" w:hAnsi="Times New Roman" w:cs="Times New Roman"/>
              <w:i/>
              <w:iCs/>
              <w:color w:val="000000"/>
            </w:rPr>
            <w:t>Collabra: Psychology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10</w:t>
          </w:r>
          <w:r w:rsidRPr="0095607E">
            <w:rPr>
              <w:rFonts w:ascii="Times New Roman" w:eastAsia="Times New Roman" w:hAnsi="Times New Roman" w:cs="Times New Roman"/>
              <w:color w:val="000000"/>
            </w:rPr>
            <w:t>(1), 3175–3199. https://doi.org/10.1525/collabra.94263</w:t>
          </w:r>
        </w:p>
        <w:p w14:paraId="27CE1256" w14:textId="77777777" w:rsidR="00F611F9" w:rsidRPr="0095607E" w:rsidRDefault="00F611F9" w:rsidP="003B0C52">
          <w:pPr>
            <w:autoSpaceDE w:val="0"/>
            <w:autoSpaceDN w:val="0"/>
            <w:spacing w:line="240" w:lineRule="auto"/>
            <w:ind w:hanging="480"/>
            <w:divId w:val="996108497"/>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Ferrari, S. L. P., &amp; Cribari-Neto, F. (2004). Beta regression for modelling rates and proportions. </w:t>
          </w:r>
          <w:r w:rsidRPr="0095607E">
            <w:rPr>
              <w:rFonts w:ascii="Times New Roman" w:eastAsia="Times New Roman" w:hAnsi="Times New Roman" w:cs="Times New Roman"/>
              <w:i/>
              <w:iCs/>
              <w:color w:val="000000"/>
            </w:rPr>
            <w:t>Journal of Applied Statistics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31</w:t>
          </w:r>
          <w:r w:rsidRPr="0095607E">
            <w:rPr>
              <w:rFonts w:ascii="Times New Roman" w:eastAsia="Times New Roman" w:hAnsi="Times New Roman" w:cs="Times New Roman"/>
              <w:color w:val="000000"/>
            </w:rPr>
            <w:t>(7), 799–815. https://doi.org/10.1080/0266476042000214501</w:t>
          </w:r>
        </w:p>
        <w:p w14:paraId="27A227D7" w14:textId="77777777" w:rsidR="00F611F9" w:rsidRPr="0095607E" w:rsidRDefault="00F611F9" w:rsidP="003B0C52">
          <w:pPr>
            <w:autoSpaceDE w:val="0"/>
            <w:autoSpaceDN w:val="0"/>
            <w:spacing w:line="240" w:lineRule="auto"/>
            <w:ind w:hanging="480"/>
            <w:divId w:val="181013382"/>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Geissinger, E. A., Khoo, C. L. L., Richmond, I. C., Faulkner, S. J. M., &amp; Schneider, D. C. (2022). A case for beta regression in the natural sciences. </w:t>
          </w:r>
          <w:r w:rsidRPr="0095607E">
            <w:rPr>
              <w:rFonts w:ascii="Times New Roman" w:eastAsia="Times New Roman" w:hAnsi="Times New Roman" w:cs="Times New Roman"/>
              <w:i/>
              <w:iCs/>
              <w:color w:val="000000"/>
            </w:rPr>
            <w:t>Ecosphere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13</w:t>
          </w:r>
          <w:r w:rsidRPr="0095607E">
            <w:rPr>
              <w:rFonts w:ascii="Times New Roman" w:eastAsia="Times New Roman" w:hAnsi="Times New Roman" w:cs="Times New Roman"/>
              <w:color w:val="000000"/>
            </w:rPr>
            <w:t>(2). https://doi.org/10.1002/ecs2.3940</w:t>
          </w:r>
        </w:p>
        <w:p w14:paraId="12DF183C" w14:textId="77777777" w:rsidR="00F611F9" w:rsidRPr="0095607E" w:rsidRDefault="00F611F9" w:rsidP="003B0C52">
          <w:pPr>
            <w:autoSpaceDE w:val="0"/>
            <w:autoSpaceDN w:val="0"/>
            <w:spacing w:line="240" w:lineRule="auto"/>
            <w:ind w:hanging="480"/>
            <w:divId w:val="1389182849"/>
            <w:rPr>
              <w:rFonts w:ascii="Times New Roman" w:eastAsia="Times New Roman" w:hAnsi="Times New Roman" w:cs="Times New Roman"/>
              <w:color w:val="000000"/>
            </w:rPr>
          </w:pPr>
          <w:r w:rsidRPr="0095607E">
            <w:rPr>
              <w:rFonts w:ascii="Times New Roman" w:eastAsia="Times New Roman" w:hAnsi="Times New Roman" w:cs="Times New Roman"/>
              <w:color w:val="000000"/>
            </w:rPr>
            <w:lastRenderedPageBreak/>
            <w:t xml:space="preserve">Khan, Md. K., &amp; Hasan, Md. T. (2022). A POISSON REGRESSION APPROACH TO MODELING TRAFFIC ACCIDENT FREQUENCY IN URBAN AREAS. </w:t>
          </w:r>
          <w:r w:rsidRPr="0095607E">
            <w:rPr>
              <w:rFonts w:ascii="Times New Roman" w:eastAsia="Times New Roman" w:hAnsi="Times New Roman" w:cs="Times New Roman"/>
              <w:i/>
              <w:iCs/>
              <w:color w:val="000000"/>
            </w:rPr>
            <w:t>American Journal of Interdisciplinary Studies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03</w:t>
          </w:r>
          <w:r w:rsidRPr="0095607E">
            <w:rPr>
              <w:rFonts w:ascii="Times New Roman" w:eastAsia="Times New Roman" w:hAnsi="Times New Roman" w:cs="Times New Roman"/>
              <w:color w:val="000000"/>
            </w:rPr>
            <w:t>(04), 117–156. https://doi.org/10.63125/wqh7pd07</w:t>
          </w:r>
        </w:p>
        <w:p w14:paraId="13B160F5" w14:textId="77777777" w:rsidR="00F611F9" w:rsidRPr="0095607E" w:rsidRDefault="00F611F9" w:rsidP="003B0C52">
          <w:pPr>
            <w:autoSpaceDE w:val="0"/>
            <w:autoSpaceDN w:val="0"/>
            <w:spacing w:line="240" w:lineRule="auto"/>
            <w:ind w:hanging="480"/>
            <w:divId w:val="1830977420"/>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Levaj, B., </w:t>
          </w:r>
          <w:proofErr w:type="spellStart"/>
          <w:r w:rsidRPr="0095607E">
            <w:rPr>
              <w:rFonts w:ascii="Times New Roman" w:eastAsia="Times New Roman" w:hAnsi="Times New Roman" w:cs="Times New Roman"/>
              <w:color w:val="000000"/>
            </w:rPr>
            <w:t>Pelaić</w:t>
          </w:r>
          <w:proofErr w:type="spellEnd"/>
          <w:r w:rsidRPr="0095607E">
            <w:rPr>
              <w:rFonts w:ascii="Times New Roman" w:eastAsia="Times New Roman" w:hAnsi="Times New Roman" w:cs="Times New Roman"/>
              <w:color w:val="000000"/>
            </w:rPr>
            <w:t xml:space="preserve">, Z., Galić, K., Kurek, M., </w:t>
          </w:r>
          <w:proofErr w:type="spellStart"/>
          <w:r w:rsidRPr="0095607E">
            <w:rPr>
              <w:rFonts w:ascii="Times New Roman" w:eastAsia="Times New Roman" w:hAnsi="Times New Roman" w:cs="Times New Roman"/>
              <w:color w:val="000000"/>
            </w:rPr>
            <w:t>Ščetar</w:t>
          </w:r>
          <w:proofErr w:type="spellEnd"/>
          <w:r w:rsidRPr="0095607E">
            <w:rPr>
              <w:rFonts w:ascii="Times New Roman" w:eastAsia="Times New Roman" w:hAnsi="Times New Roman" w:cs="Times New Roman"/>
              <w:color w:val="000000"/>
            </w:rPr>
            <w:t xml:space="preserve">, M., Poljak, M., Dite Hunjek, D., </w:t>
          </w:r>
          <w:proofErr w:type="spellStart"/>
          <w:r w:rsidRPr="0095607E">
            <w:rPr>
              <w:rFonts w:ascii="Times New Roman" w:eastAsia="Times New Roman" w:hAnsi="Times New Roman" w:cs="Times New Roman"/>
              <w:color w:val="000000"/>
            </w:rPr>
            <w:t>Pedisić</w:t>
          </w:r>
          <w:proofErr w:type="spellEnd"/>
          <w:r w:rsidRPr="0095607E">
            <w:rPr>
              <w:rFonts w:ascii="Times New Roman" w:eastAsia="Times New Roman" w:hAnsi="Times New Roman" w:cs="Times New Roman"/>
              <w:color w:val="000000"/>
            </w:rPr>
            <w:t xml:space="preserve">, S., Balbino, S., </w:t>
          </w:r>
          <w:proofErr w:type="spellStart"/>
          <w:r w:rsidRPr="0095607E">
            <w:rPr>
              <w:rFonts w:ascii="Times New Roman" w:eastAsia="Times New Roman" w:hAnsi="Times New Roman" w:cs="Times New Roman"/>
              <w:color w:val="000000"/>
            </w:rPr>
            <w:t>Čošić</w:t>
          </w:r>
          <w:proofErr w:type="spellEnd"/>
          <w:r w:rsidRPr="0095607E">
            <w:rPr>
              <w:rFonts w:ascii="Times New Roman" w:eastAsia="Times New Roman" w:hAnsi="Times New Roman" w:cs="Times New Roman"/>
              <w:color w:val="000000"/>
            </w:rPr>
            <w:t xml:space="preserve">, Z., Dujmić, F., &amp; </w:t>
          </w:r>
          <w:proofErr w:type="spellStart"/>
          <w:r w:rsidRPr="0095607E">
            <w:rPr>
              <w:rFonts w:ascii="Times New Roman" w:eastAsia="Times New Roman" w:hAnsi="Times New Roman" w:cs="Times New Roman"/>
              <w:color w:val="000000"/>
            </w:rPr>
            <w:t>Repajić</w:t>
          </w:r>
          <w:proofErr w:type="spellEnd"/>
          <w:r w:rsidRPr="0095607E">
            <w:rPr>
              <w:rFonts w:ascii="Times New Roman" w:eastAsia="Times New Roman" w:hAnsi="Times New Roman" w:cs="Times New Roman"/>
              <w:color w:val="000000"/>
            </w:rPr>
            <w:t xml:space="preserve">, M. (2023). Maintaining the Quality and Safety of Fresh-Cut Potatoes (Solanum tuberosum): Overview of Recent Findings and Approaches. In </w:t>
          </w:r>
          <w:r w:rsidRPr="0095607E">
            <w:rPr>
              <w:rFonts w:ascii="Times New Roman" w:eastAsia="Times New Roman" w:hAnsi="Times New Roman" w:cs="Times New Roman"/>
              <w:i/>
              <w:iCs/>
              <w:color w:val="000000"/>
            </w:rPr>
            <w:t>Agronomy</w:t>
          </w:r>
          <w:r w:rsidRPr="0095607E">
            <w:rPr>
              <w:rFonts w:ascii="Times New Roman" w:eastAsia="Times New Roman" w:hAnsi="Times New Roman" w:cs="Times New Roman"/>
              <w:color w:val="000000"/>
            </w:rPr>
            <w:t xml:space="preserve"> (Vol. 13, Number 8). Multidisciplinary Digital Publishing Institute (MDPI). https://doi.org/10.3390/agronomy13082002</w:t>
          </w:r>
        </w:p>
        <w:p w14:paraId="16E16276" w14:textId="77777777" w:rsidR="00F611F9" w:rsidRPr="0095607E" w:rsidRDefault="00F611F9" w:rsidP="003B0C52">
          <w:pPr>
            <w:autoSpaceDE w:val="0"/>
            <w:autoSpaceDN w:val="0"/>
            <w:spacing w:line="240" w:lineRule="auto"/>
            <w:ind w:hanging="480"/>
            <w:divId w:val="1975790866"/>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Ma, Y., Sanchez, V., &amp; Guha, T. (2025). </w:t>
          </w:r>
          <w:r w:rsidRPr="0095607E">
            <w:rPr>
              <w:rFonts w:ascii="Times New Roman" w:eastAsia="Times New Roman" w:hAnsi="Times New Roman" w:cs="Times New Roman"/>
              <w:i/>
              <w:iCs/>
              <w:color w:val="000000"/>
            </w:rPr>
            <w:t>ZIP: Scalable Crowd Counting via Zero-Inflated Poisson Modeling</w:t>
          </w:r>
          <w:r w:rsidRPr="0095607E">
            <w:rPr>
              <w:rFonts w:ascii="Times New Roman" w:eastAsia="Times New Roman" w:hAnsi="Times New Roman" w:cs="Times New Roman"/>
              <w:color w:val="000000"/>
            </w:rPr>
            <w:t>. http://arxiv.org/abs/2506.19955</w:t>
          </w:r>
        </w:p>
        <w:p w14:paraId="5F8AF8F8" w14:textId="77777777" w:rsidR="00F611F9" w:rsidRPr="0095607E" w:rsidRDefault="00F611F9" w:rsidP="003B0C52">
          <w:pPr>
            <w:autoSpaceDE w:val="0"/>
            <w:autoSpaceDN w:val="0"/>
            <w:spacing w:line="240" w:lineRule="auto"/>
            <w:ind w:hanging="480"/>
            <w:divId w:val="1435706415"/>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Marina Pare, B. A. (2025). Farmers’ groups and the intensity of cereal-based agroforestry practice in Burkina Faso. </w:t>
          </w:r>
          <w:r w:rsidRPr="0095607E">
            <w:rPr>
              <w:rFonts w:ascii="Times New Roman" w:eastAsia="Times New Roman" w:hAnsi="Times New Roman" w:cs="Times New Roman"/>
              <w:i/>
              <w:iCs/>
              <w:color w:val="000000"/>
            </w:rPr>
            <w:t>Forests Trees and Livelihoods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34</w:t>
          </w:r>
          <w:r w:rsidRPr="0095607E">
            <w:rPr>
              <w:rFonts w:ascii="Times New Roman" w:eastAsia="Times New Roman" w:hAnsi="Times New Roman" w:cs="Times New Roman"/>
              <w:color w:val="000000"/>
            </w:rPr>
            <w:t>(4), 301–314. https://doi.org/10.1080/14728028.2025.2526344</w:t>
          </w:r>
        </w:p>
        <w:p w14:paraId="717E3375" w14:textId="77777777" w:rsidR="00F611F9" w:rsidRPr="0095607E" w:rsidRDefault="00F611F9" w:rsidP="003B0C52">
          <w:pPr>
            <w:autoSpaceDE w:val="0"/>
            <w:autoSpaceDN w:val="0"/>
            <w:spacing w:line="240" w:lineRule="auto"/>
            <w:ind w:hanging="480"/>
            <w:divId w:val="2002462269"/>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Mburu, J. M., Oyugi, M. A., &amp; Makenzi, P. M. (2023). Influence of Access to Extension Services on Smallholder Farmers’ Use of Certified Seed Potatoes (CSPs) in </w:t>
          </w:r>
          <w:proofErr w:type="spellStart"/>
          <w:r w:rsidRPr="0095607E">
            <w:rPr>
              <w:rFonts w:ascii="Times New Roman" w:eastAsia="Times New Roman" w:hAnsi="Times New Roman" w:cs="Times New Roman"/>
              <w:color w:val="000000"/>
            </w:rPr>
            <w:t>Kipipiri</w:t>
          </w:r>
          <w:proofErr w:type="spellEnd"/>
          <w:r w:rsidRPr="0095607E">
            <w:rPr>
              <w:rFonts w:ascii="Times New Roman" w:eastAsia="Times New Roman" w:hAnsi="Times New Roman" w:cs="Times New Roman"/>
              <w:color w:val="000000"/>
            </w:rPr>
            <w:t xml:space="preserve"> Sub-County, Kenya. </w:t>
          </w:r>
          <w:r w:rsidRPr="0095607E">
            <w:rPr>
              <w:rFonts w:ascii="Times New Roman" w:eastAsia="Times New Roman" w:hAnsi="Times New Roman" w:cs="Times New Roman"/>
              <w:i/>
              <w:iCs/>
              <w:color w:val="000000"/>
            </w:rPr>
            <w:t>Asian Journal of Agricultural Extension, Economics &amp; Sociology</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41</w:t>
          </w:r>
          <w:r w:rsidRPr="0095607E">
            <w:rPr>
              <w:rFonts w:ascii="Times New Roman" w:eastAsia="Times New Roman" w:hAnsi="Times New Roman" w:cs="Times New Roman"/>
              <w:color w:val="000000"/>
            </w:rPr>
            <w:t>(4), 169–177. https://doi.org/10.9734/ajaees/2023/v41i41891</w:t>
          </w:r>
        </w:p>
        <w:p w14:paraId="118908E4" w14:textId="77777777" w:rsidR="00F611F9" w:rsidRPr="0095607E" w:rsidRDefault="00F611F9" w:rsidP="003B0C52">
          <w:pPr>
            <w:autoSpaceDE w:val="0"/>
            <w:autoSpaceDN w:val="0"/>
            <w:spacing w:line="240" w:lineRule="auto"/>
            <w:ind w:hanging="480"/>
            <w:divId w:val="812022748"/>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Morris, D. S., &amp; Sellers, K. F. (2022). A Flexible Mixed Model for Clustered Count Data. </w:t>
          </w:r>
          <w:r w:rsidRPr="0095607E">
            <w:rPr>
              <w:rFonts w:ascii="Times New Roman" w:eastAsia="Times New Roman" w:hAnsi="Times New Roman" w:cs="Times New Roman"/>
              <w:i/>
              <w:iCs/>
              <w:color w:val="000000"/>
            </w:rPr>
            <w:t>Stats</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5</w:t>
          </w:r>
          <w:r w:rsidRPr="0095607E">
            <w:rPr>
              <w:rFonts w:ascii="Times New Roman" w:eastAsia="Times New Roman" w:hAnsi="Times New Roman" w:cs="Times New Roman"/>
              <w:color w:val="000000"/>
            </w:rPr>
            <w:t>(1), 52–69. https://doi.org/10.3390/stats5010004</w:t>
          </w:r>
        </w:p>
        <w:p w14:paraId="5126D032" w14:textId="77777777" w:rsidR="00F611F9" w:rsidRPr="0095607E" w:rsidRDefault="00F611F9" w:rsidP="003B0C52">
          <w:pPr>
            <w:autoSpaceDE w:val="0"/>
            <w:autoSpaceDN w:val="0"/>
            <w:spacing w:line="240" w:lineRule="auto"/>
            <w:ind w:hanging="480"/>
            <w:divId w:val="783380686"/>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Mugo, J. N., Karanja, N. N., Gachene, C. K., Dittert, K., Gitari, H. I., &amp; Schulte-Geldermann, E. (2021). Response of potato crop to selected nutrients in central and eastern highlands of Kenya. </w:t>
          </w:r>
          <w:r w:rsidRPr="0095607E">
            <w:rPr>
              <w:rFonts w:ascii="Times New Roman" w:eastAsia="Times New Roman" w:hAnsi="Times New Roman" w:cs="Times New Roman"/>
              <w:i/>
              <w:iCs/>
              <w:color w:val="000000"/>
            </w:rPr>
            <w:t>Cogent Food and Agriculture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7</w:t>
          </w:r>
          <w:r w:rsidRPr="0095607E">
            <w:rPr>
              <w:rFonts w:ascii="Times New Roman" w:eastAsia="Times New Roman" w:hAnsi="Times New Roman" w:cs="Times New Roman"/>
              <w:color w:val="000000"/>
            </w:rPr>
            <w:t>(1). https://doi.org/10.1080/23311932.2021.1898762</w:t>
          </w:r>
        </w:p>
        <w:p w14:paraId="590DDEF0" w14:textId="77777777" w:rsidR="00F611F9" w:rsidRPr="0095607E" w:rsidRDefault="00F611F9" w:rsidP="003B0C52">
          <w:pPr>
            <w:autoSpaceDE w:val="0"/>
            <w:autoSpaceDN w:val="0"/>
            <w:spacing w:line="240" w:lineRule="auto"/>
            <w:ind w:hanging="480"/>
            <w:divId w:val="1757051381"/>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Mwakidoshi</w:t>
          </w:r>
          <w:proofErr w:type="spellEnd"/>
          <w:r w:rsidRPr="0095607E">
            <w:rPr>
              <w:rFonts w:ascii="Times New Roman" w:eastAsia="Times New Roman" w:hAnsi="Times New Roman" w:cs="Times New Roman"/>
              <w:color w:val="000000"/>
            </w:rPr>
            <w:t xml:space="preserve">, E. R. (2021). Economic Importance, Ecological Requirements and Production Constraints of Potato (Solanum tuberosum L.) in Kenya. </w:t>
          </w:r>
          <w:r w:rsidRPr="0095607E">
            <w:rPr>
              <w:rFonts w:ascii="Times New Roman" w:eastAsia="Times New Roman" w:hAnsi="Times New Roman" w:cs="Times New Roman"/>
              <w:i/>
              <w:iCs/>
              <w:color w:val="000000"/>
            </w:rPr>
            <w:t>International Journal of Bioresource Science</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8</w:t>
          </w:r>
          <w:r w:rsidRPr="0095607E">
            <w:rPr>
              <w:rFonts w:ascii="Times New Roman" w:eastAsia="Times New Roman" w:hAnsi="Times New Roman" w:cs="Times New Roman"/>
              <w:color w:val="000000"/>
            </w:rPr>
            <w:t>(2). https://doi.org/10.30954/2347-9655.02.2021.1</w:t>
          </w:r>
        </w:p>
        <w:p w14:paraId="042E6FB0" w14:textId="77777777" w:rsidR="00F611F9" w:rsidRPr="0095607E" w:rsidRDefault="00F611F9" w:rsidP="003B0C52">
          <w:pPr>
            <w:autoSpaceDE w:val="0"/>
            <w:autoSpaceDN w:val="0"/>
            <w:spacing w:line="240" w:lineRule="auto"/>
            <w:ind w:hanging="480"/>
            <w:divId w:val="2051570702"/>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Olakiumide</w:t>
          </w:r>
          <w:proofErr w:type="spellEnd"/>
          <w:r w:rsidRPr="0095607E">
            <w:rPr>
              <w:rFonts w:ascii="Times New Roman" w:eastAsia="Times New Roman" w:hAnsi="Times New Roman" w:cs="Times New Roman"/>
              <w:color w:val="000000"/>
            </w:rPr>
            <w:t xml:space="preserve">, O. (2021). </w:t>
          </w:r>
          <w:r w:rsidRPr="0095607E">
            <w:rPr>
              <w:rFonts w:ascii="Times New Roman" w:eastAsia="Times New Roman" w:hAnsi="Times New Roman" w:cs="Times New Roman"/>
              <w:i/>
              <w:iCs/>
              <w:color w:val="000000"/>
            </w:rPr>
            <w:t>Post-Harvest Loss Reduction: Enhancing Food Security and Economic Sustainability</w:t>
          </w:r>
          <w:r w:rsidRPr="0095607E">
            <w:rPr>
              <w:rFonts w:ascii="Times New Roman" w:eastAsia="Times New Roman" w:hAnsi="Times New Roman" w:cs="Times New Roman"/>
              <w:color w:val="000000"/>
            </w:rPr>
            <w:t>. https://hdpublication.com/index.php/jss</w:t>
          </w:r>
        </w:p>
        <w:p w14:paraId="047F65E5" w14:textId="77777777" w:rsidR="00F611F9" w:rsidRPr="0095607E" w:rsidRDefault="00F611F9" w:rsidP="003B0C52">
          <w:pPr>
            <w:autoSpaceDE w:val="0"/>
            <w:autoSpaceDN w:val="0"/>
            <w:spacing w:line="240" w:lineRule="auto"/>
            <w:ind w:hanging="480"/>
            <w:divId w:val="1094087995"/>
            <w:rPr>
              <w:rFonts w:ascii="Times New Roman" w:eastAsia="Times New Roman" w:hAnsi="Times New Roman" w:cs="Times New Roman"/>
              <w:color w:val="000000"/>
            </w:rPr>
          </w:pPr>
          <w:r w:rsidRPr="0095607E">
            <w:rPr>
              <w:rFonts w:ascii="Times New Roman" w:eastAsia="Times New Roman" w:hAnsi="Times New Roman" w:cs="Times New Roman"/>
              <w:i/>
              <w:iCs/>
              <w:color w:val="000000"/>
            </w:rPr>
            <w:t>Post-Harvest-Losses-of-Cereals-in-Developing-Countries-A-Review</w:t>
          </w:r>
          <w:r w:rsidRPr="0095607E">
            <w:rPr>
              <w:rFonts w:ascii="Times New Roman" w:eastAsia="Times New Roman" w:hAnsi="Times New Roman" w:cs="Times New Roman"/>
              <w:color w:val="000000"/>
            </w:rPr>
            <w:t>. (n.d.).</w:t>
          </w:r>
        </w:p>
        <w:p w14:paraId="2674A316" w14:textId="77777777" w:rsidR="00F611F9" w:rsidRPr="0095607E" w:rsidRDefault="00F611F9" w:rsidP="003B0C52">
          <w:pPr>
            <w:autoSpaceDE w:val="0"/>
            <w:autoSpaceDN w:val="0"/>
            <w:spacing w:line="240" w:lineRule="auto"/>
            <w:ind w:hanging="480"/>
            <w:divId w:val="1822576478"/>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Saha, A., </w:t>
          </w:r>
          <w:proofErr w:type="spellStart"/>
          <w:r w:rsidRPr="0095607E">
            <w:rPr>
              <w:rFonts w:ascii="Times New Roman" w:eastAsia="Times New Roman" w:hAnsi="Times New Roman" w:cs="Times New Roman"/>
              <w:color w:val="000000"/>
            </w:rPr>
            <w:t>Gandrakota</w:t>
          </w:r>
          <w:proofErr w:type="spellEnd"/>
          <w:r w:rsidRPr="0095607E">
            <w:rPr>
              <w:rFonts w:ascii="Times New Roman" w:eastAsia="Times New Roman" w:hAnsi="Times New Roman" w:cs="Times New Roman"/>
              <w:color w:val="000000"/>
            </w:rPr>
            <w:t xml:space="preserve">, A., &amp; Morozov, A. V. (2026). </w:t>
          </w:r>
          <w:r w:rsidRPr="0095607E">
            <w:rPr>
              <w:rFonts w:ascii="Times New Roman" w:eastAsia="Times New Roman" w:hAnsi="Times New Roman" w:cs="Times New Roman"/>
              <w:i/>
              <w:iCs/>
              <w:color w:val="000000"/>
            </w:rPr>
            <w:t>Poisson Log-Normal Process for Count Data Prediction</w:t>
          </w:r>
          <w:r w:rsidRPr="0095607E">
            <w:rPr>
              <w:rFonts w:ascii="Times New Roman" w:eastAsia="Times New Roman" w:hAnsi="Times New Roman" w:cs="Times New Roman"/>
              <w:color w:val="000000"/>
            </w:rPr>
            <w:t>. http://arxiv.org/abs/2602.05926</w:t>
          </w:r>
        </w:p>
        <w:p w14:paraId="63A152DD" w14:textId="77777777" w:rsidR="00F611F9" w:rsidRPr="0095607E" w:rsidRDefault="00F611F9" w:rsidP="003B0C52">
          <w:pPr>
            <w:autoSpaceDE w:val="0"/>
            <w:autoSpaceDN w:val="0"/>
            <w:spacing w:line="240" w:lineRule="auto"/>
            <w:ind w:hanging="480"/>
            <w:divId w:val="1419476251"/>
            <w:rPr>
              <w:rFonts w:ascii="Times New Roman" w:eastAsia="Times New Roman" w:hAnsi="Times New Roman" w:cs="Times New Roman"/>
              <w:color w:val="000000"/>
            </w:rPr>
          </w:pPr>
          <w:r w:rsidRPr="0095607E">
            <w:rPr>
              <w:rFonts w:ascii="Times New Roman" w:eastAsia="Times New Roman" w:hAnsi="Times New Roman" w:cs="Times New Roman"/>
              <w:color w:val="000000"/>
            </w:rPr>
            <w:t xml:space="preserve">Yonas, M., Ashenafi, F., Kidane, D., &amp; </w:t>
          </w:r>
          <w:proofErr w:type="spellStart"/>
          <w:r w:rsidRPr="0095607E">
            <w:rPr>
              <w:rFonts w:ascii="Times New Roman" w:eastAsia="Times New Roman" w:hAnsi="Times New Roman" w:cs="Times New Roman"/>
              <w:color w:val="000000"/>
            </w:rPr>
            <w:t>Welegerima</w:t>
          </w:r>
          <w:proofErr w:type="spellEnd"/>
          <w:r w:rsidRPr="0095607E">
            <w:rPr>
              <w:rFonts w:ascii="Times New Roman" w:eastAsia="Times New Roman" w:hAnsi="Times New Roman" w:cs="Times New Roman"/>
              <w:color w:val="000000"/>
            </w:rPr>
            <w:t xml:space="preserve">, K. (2021). Stored-grain losses and management practices among smallholder cereal farmers in Northern Ethiopia. </w:t>
          </w:r>
          <w:r w:rsidRPr="0095607E">
            <w:rPr>
              <w:rFonts w:ascii="Times New Roman" w:eastAsia="Times New Roman" w:hAnsi="Times New Roman" w:cs="Times New Roman"/>
              <w:i/>
              <w:iCs/>
              <w:color w:val="000000"/>
            </w:rPr>
            <w:t>International Journal of Pest Management</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68</w:t>
          </w:r>
          <w:r w:rsidRPr="0095607E">
            <w:rPr>
              <w:rFonts w:ascii="Times New Roman" w:eastAsia="Times New Roman" w:hAnsi="Times New Roman" w:cs="Times New Roman"/>
              <w:color w:val="000000"/>
            </w:rPr>
            <w:t>(1), 59–68. https://doi.org/10.1080/09670874.2020.1795301</w:t>
          </w:r>
        </w:p>
        <w:p w14:paraId="3EF4DA40" w14:textId="77777777" w:rsidR="00F611F9" w:rsidRPr="0095607E" w:rsidRDefault="00F611F9" w:rsidP="003B0C52">
          <w:pPr>
            <w:autoSpaceDE w:val="0"/>
            <w:autoSpaceDN w:val="0"/>
            <w:spacing w:line="240" w:lineRule="auto"/>
            <w:ind w:hanging="480"/>
            <w:divId w:val="1671130347"/>
            <w:rPr>
              <w:rFonts w:ascii="Times New Roman" w:eastAsia="Times New Roman" w:hAnsi="Times New Roman" w:cs="Times New Roman"/>
              <w:color w:val="000000"/>
            </w:rPr>
          </w:pPr>
          <w:proofErr w:type="spellStart"/>
          <w:r w:rsidRPr="0095607E">
            <w:rPr>
              <w:rFonts w:ascii="Times New Roman" w:eastAsia="Times New Roman" w:hAnsi="Times New Roman" w:cs="Times New Roman"/>
              <w:color w:val="000000"/>
            </w:rPr>
            <w:t>Zsögön</w:t>
          </w:r>
          <w:proofErr w:type="spellEnd"/>
          <w:r w:rsidRPr="0095607E">
            <w:rPr>
              <w:rFonts w:ascii="Times New Roman" w:eastAsia="Times New Roman" w:hAnsi="Times New Roman" w:cs="Times New Roman"/>
              <w:color w:val="000000"/>
            </w:rPr>
            <w:t xml:space="preserve">, A., Peres, L. E. P., Xiao, Y., Yan, J., &amp; Fernie, A. R. (2022). Enhancing crop diversity for food security in the face of climate uncertainty. </w:t>
          </w:r>
          <w:r w:rsidRPr="0095607E">
            <w:rPr>
              <w:rFonts w:ascii="Times New Roman" w:eastAsia="Times New Roman" w:hAnsi="Times New Roman" w:cs="Times New Roman"/>
              <w:i/>
              <w:iCs/>
              <w:color w:val="000000"/>
            </w:rPr>
            <w:t>Plant Journal</w:t>
          </w:r>
          <w:r w:rsidRPr="0095607E">
            <w:rPr>
              <w:rFonts w:ascii="Times New Roman" w:eastAsia="Times New Roman" w:hAnsi="Times New Roman" w:cs="Times New Roman"/>
              <w:color w:val="000000"/>
            </w:rPr>
            <w:t xml:space="preserve">, </w:t>
          </w:r>
          <w:r w:rsidRPr="0095607E">
            <w:rPr>
              <w:rFonts w:ascii="Times New Roman" w:eastAsia="Times New Roman" w:hAnsi="Times New Roman" w:cs="Times New Roman"/>
              <w:i/>
              <w:iCs/>
              <w:color w:val="000000"/>
            </w:rPr>
            <w:t>109</w:t>
          </w:r>
          <w:r w:rsidRPr="0095607E">
            <w:rPr>
              <w:rFonts w:ascii="Times New Roman" w:eastAsia="Times New Roman" w:hAnsi="Times New Roman" w:cs="Times New Roman"/>
              <w:color w:val="000000"/>
            </w:rPr>
            <w:t>(2), 402–414. https://doi.org/10.1111/tpj.15626</w:t>
          </w:r>
        </w:p>
        <w:p w14:paraId="1E6A2EA7" w14:textId="5265ADA7" w:rsidR="00F611F9" w:rsidRPr="0095607E" w:rsidRDefault="00F611F9" w:rsidP="003B0C52">
          <w:pPr>
            <w:spacing w:line="240" w:lineRule="auto"/>
            <w:rPr>
              <w:rFonts w:ascii="Times New Roman" w:hAnsi="Times New Roman" w:cs="Times New Roman"/>
            </w:rPr>
          </w:pPr>
          <w:r w:rsidRPr="0095607E">
            <w:rPr>
              <w:rFonts w:ascii="Times New Roman" w:eastAsia="Times New Roman" w:hAnsi="Times New Roman" w:cs="Times New Roman"/>
              <w:color w:val="000000"/>
            </w:rPr>
            <w:t> </w:t>
          </w:r>
        </w:p>
      </w:sdtContent>
    </w:sdt>
    <w:p w14:paraId="66DC4424" w14:textId="77777777" w:rsidR="00F611F9" w:rsidRPr="0095607E" w:rsidRDefault="00F611F9" w:rsidP="003B0C52">
      <w:pPr>
        <w:pStyle w:val="NoSpacing"/>
        <w:jc w:val="both"/>
        <w:rPr>
          <w:rFonts w:ascii="Times New Roman" w:hAnsi="Times New Roman" w:cs="Times New Roman"/>
        </w:rPr>
      </w:pPr>
    </w:p>
    <w:sectPr w:rsidR="00F611F9" w:rsidRPr="00956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52E5"/>
    <w:multiLevelType w:val="multilevel"/>
    <w:tmpl w:val="DBFE2F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DYytjQzNjSwNDdV0lEKTi0uzszPAykwrAUAbSSuRywAAAA="/>
  </w:docVars>
  <w:rsids>
    <w:rsidRoot w:val="006F0D79"/>
    <w:rsid w:val="00013513"/>
    <w:rsid w:val="00072090"/>
    <w:rsid w:val="000D1E8C"/>
    <w:rsid w:val="001560A2"/>
    <w:rsid w:val="00166BBA"/>
    <w:rsid w:val="00167107"/>
    <w:rsid w:val="00172536"/>
    <w:rsid w:val="00185A6B"/>
    <w:rsid w:val="001A4066"/>
    <w:rsid w:val="001F7C72"/>
    <w:rsid w:val="0024114E"/>
    <w:rsid w:val="00270BED"/>
    <w:rsid w:val="002D0C98"/>
    <w:rsid w:val="002D26E1"/>
    <w:rsid w:val="002E4D15"/>
    <w:rsid w:val="00301E0E"/>
    <w:rsid w:val="003776AA"/>
    <w:rsid w:val="003B0C52"/>
    <w:rsid w:val="00437DD0"/>
    <w:rsid w:val="004A5CC1"/>
    <w:rsid w:val="00502733"/>
    <w:rsid w:val="00553FD3"/>
    <w:rsid w:val="00580A91"/>
    <w:rsid w:val="005A22AE"/>
    <w:rsid w:val="005A586F"/>
    <w:rsid w:val="005B10AE"/>
    <w:rsid w:val="0065094D"/>
    <w:rsid w:val="006715F8"/>
    <w:rsid w:val="006F0D79"/>
    <w:rsid w:val="00725B59"/>
    <w:rsid w:val="0075761C"/>
    <w:rsid w:val="00757F37"/>
    <w:rsid w:val="007A4A90"/>
    <w:rsid w:val="007C2009"/>
    <w:rsid w:val="007D03AA"/>
    <w:rsid w:val="007D69F5"/>
    <w:rsid w:val="007F0CE3"/>
    <w:rsid w:val="007F23B2"/>
    <w:rsid w:val="007F5D50"/>
    <w:rsid w:val="008234F6"/>
    <w:rsid w:val="008358EF"/>
    <w:rsid w:val="008A59B2"/>
    <w:rsid w:val="00914A31"/>
    <w:rsid w:val="009242DD"/>
    <w:rsid w:val="00924AF0"/>
    <w:rsid w:val="0095607E"/>
    <w:rsid w:val="009F7F55"/>
    <w:rsid w:val="00A052F8"/>
    <w:rsid w:val="00A153AD"/>
    <w:rsid w:val="00A717B4"/>
    <w:rsid w:val="00AE4901"/>
    <w:rsid w:val="00AE5419"/>
    <w:rsid w:val="00B20D0A"/>
    <w:rsid w:val="00B26F26"/>
    <w:rsid w:val="00B32DA8"/>
    <w:rsid w:val="00BB56A0"/>
    <w:rsid w:val="00BE046C"/>
    <w:rsid w:val="00C71BD4"/>
    <w:rsid w:val="00CE6C66"/>
    <w:rsid w:val="00D657FD"/>
    <w:rsid w:val="00DC31FB"/>
    <w:rsid w:val="00E4718B"/>
    <w:rsid w:val="00EF529A"/>
    <w:rsid w:val="00F10821"/>
    <w:rsid w:val="00F4300D"/>
    <w:rsid w:val="00F451A0"/>
    <w:rsid w:val="00F46C36"/>
    <w:rsid w:val="00F55A6C"/>
    <w:rsid w:val="00F61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715E"/>
  <w15:chartTrackingRefBased/>
  <w15:docId w15:val="{01B5B30E-E16F-4A1F-B67F-274C2518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F0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F0D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F0D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0D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0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F0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F0D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F0D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0D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0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D79"/>
    <w:rPr>
      <w:rFonts w:eastAsiaTheme="majorEastAsia" w:cstheme="majorBidi"/>
      <w:color w:val="272727" w:themeColor="text1" w:themeTint="D8"/>
    </w:rPr>
  </w:style>
  <w:style w:type="paragraph" w:styleId="Title">
    <w:name w:val="Title"/>
    <w:basedOn w:val="Normal"/>
    <w:next w:val="Normal"/>
    <w:link w:val="TitleChar"/>
    <w:uiPriority w:val="10"/>
    <w:qFormat/>
    <w:rsid w:val="006F0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D79"/>
    <w:pPr>
      <w:spacing w:before="160"/>
      <w:jc w:val="center"/>
    </w:pPr>
    <w:rPr>
      <w:i/>
      <w:iCs/>
      <w:color w:val="404040" w:themeColor="text1" w:themeTint="BF"/>
    </w:rPr>
  </w:style>
  <w:style w:type="character" w:customStyle="1" w:styleId="QuoteChar">
    <w:name w:val="Quote Char"/>
    <w:basedOn w:val="DefaultParagraphFont"/>
    <w:link w:val="Quote"/>
    <w:uiPriority w:val="29"/>
    <w:rsid w:val="006F0D79"/>
    <w:rPr>
      <w:i/>
      <w:iCs/>
      <w:color w:val="404040" w:themeColor="text1" w:themeTint="BF"/>
    </w:rPr>
  </w:style>
  <w:style w:type="paragraph" w:styleId="ListParagraph">
    <w:name w:val="List Paragraph"/>
    <w:basedOn w:val="Normal"/>
    <w:uiPriority w:val="34"/>
    <w:qFormat/>
    <w:rsid w:val="006F0D79"/>
    <w:pPr>
      <w:ind w:left="720"/>
      <w:contextualSpacing/>
    </w:pPr>
  </w:style>
  <w:style w:type="character" w:styleId="IntenseEmphasis">
    <w:name w:val="Intense Emphasis"/>
    <w:basedOn w:val="DefaultParagraphFont"/>
    <w:uiPriority w:val="21"/>
    <w:qFormat/>
    <w:rsid w:val="006F0D79"/>
    <w:rPr>
      <w:i/>
      <w:iCs/>
      <w:color w:val="2F5496" w:themeColor="accent1" w:themeShade="BF"/>
    </w:rPr>
  </w:style>
  <w:style w:type="paragraph" w:styleId="IntenseQuote">
    <w:name w:val="Intense Quote"/>
    <w:basedOn w:val="Normal"/>
    <w:next w:val="Normal"/>
    <w:link w:val="IntenseQuoteChar"/>
    <w:uiPriority w:val="30"/>
    <w:qFormat/>
    <w:rsid w:val="006F0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0D79"/>
    <w:rPr>
      <w:i/>
      <w:iCs/>
      <w:color w:val="2F5496" w:themeColor="accent1" w:themeShade="BF"/>
    </w:rPr>
  </w:style>
  <w:style w:type="character" w:styleId="IntenseReference">
    <w:name w:val="Intense Reference"/>
    <w:basedOn w:val="DefaultParagraphFont"/>
    <w:uiPriority w:val="32"/>
    <w:qFormat/>
    <w:rsid w:val="006F0D79"/>
    <w:rPr>
      <w:b/>
      <w:bCs/>
      <w:smallCaps/>
      <w:color w:val="2F5496" w:themeColor="accent1" w:themeShade="BF"/>
      <w:spacing w:val="5"/>
    </w:rPr>
  </w:style>
  <w:style w:type="character" w:styleId="Hyperlink">
    <w:name w:val="Hyperlink"/>
    <w:basedOn w:val="DefaultParagraphFont"/>
    <w:uiPriority w:val="99"/>
    <w:unhideWhenUsed/>
    <w:rsid w:val="006F0D79"/>
    <w:rPr>
      <w:color w:val="0563C1" w:themeColor="hyperlink"/>
      <w:u w:val="single"/>
    </w:rPr>
  </w:style>
  <w:style w:type="character" w:styleId="PlaceholderText">
    <w:name w:val="Placeholder Text"/>
    <w:basedOn w:val="DefaultParagraphFont"/>
    <w:uiPriority w:val="99"/>
    <w:semiHidden/>
    <w:rsid w:val="006F0D79"/>
    <w:rPr>
      <w:color w:val="666666"/>
    </w:rPr>
  </w:style>
  <w:style w:type="table" w:styleId="TableGrid">
    <w:name w:val="Table Grid"/>
    <w:basedOn w:val="TableNormal"/>
    <w:uiPriority w:val="39"/>
    <w:rsid w:val="006F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0D79"/>
    <w:pPr>
      <w:spacing w:after="0" w:line="240" w:lineRule="auto"/>
    </w:pPr>
  </w:style>
  <w:style w:type="paragraph" w:styleId="TOCHeading">
    <w:name w:val="TOC Heading"/>
    <w:basedOn w:val="Heading1"/>
    <w:next w:val="Normal"/>
    <w:uiPriority w:val="39"/>
    <w:unhideWhenUsed/>
    <w:qFormat/>
    <w:rsid w:val="006F0D7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F0D79"/>
    <w:pPr>
      <w:spacing w:after="100"/>
    </w:pPr>
  </w:style>
  <w:style w:type="paragraph" w:styleId="TOC2">
    <w:name w:val="toc 2"/>
    <w:basedOn w:val="Normal"/>
    <w:next w:val="Normal"/>
    <w:autoRedefine/>
    <w:uiPriority w:val="39"/>
    <w:unhideWhenUsed/>
    <w:rsid w:val="006F0D79"/>
    <w:pPr>
      <w:spacing w:after="100"/>
      <w:ind w:left="240"/>
    </w:pPr>
  </w:style>
  <w:style w:type="paragraph" w:styleId="TOC3">
    <w:name w:val="toc 3"/>
    <w:basedOn w:val="Normal"/>
    <w:next w:val="Normal"/>
    <w:autoRedefine/>
    <w:uiPriority w:val="39"/>
    <w:unhideWhenUsed/>
    <w:rsid w:val="006F0D79"/>
    <w:pPr>
      <w:spacing w:after="100"/>
      <w:ind w:left="480"/>
    </w:pPr>
  </w:style>
  <w:style w:type="paragraph" w:styleId="Caption">
    <w:name w:val="caption"/>
    <w:basedOn w:val="Normal"/>
    <w:next w:val="Normal"/>
    <w:uiPriority w:val="35"/>
    <w:unhideWhenUsed/>
    <w:qFormat/>
    <w:rsid w:val="006F0D79"/>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F0D79"/>
    <w:pPr>
      <w:spacing w:after="0"/>
    </w:pPr>
  </w:style>
  <w:style w:type="paragraph" w:styleId="Header">
    <w:name w:val="header"/>
    <w:basedOn w:val="Normal"/>
    <w:link w:val="HeaderChar"/>
    <w:uiPriority w:val="99"/>
    <w:unhideWhenUsed/>
    <w:rsid w:val="006F0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D79"/>
  </w:style>
  <w:style w:type="paragraph" w:styleId="Footer">
    <w:name w:val="footer"/>
    <w:basedOn w:val="Normal"/>
    <w:link w:val="FooterChar"/>
    <w:uiPriority w:val="99"/>
    <w:unhideWhenUsed/>
    <w:rsid w:val="006F0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D79"/>
  </w:style>
  <w:style w:type="paragraph" w:styleId="BodyText">
    <w:name w:val="Body Text"/>
    <w:basedOn w:val="Normal"/>
    <w:link w:val="BodyTextChar"/>
    <w:rsid w:val="00F4300D"/>
    <w:pPr>
      <w:spacing w:after="0" w:line="240" w:lineRule="auto"/>
      <w:jc w:val="both"/>
    </w:pPr>
    <w:rPr>
      <w:rFonts w:ascii="Helvetica" w:eastAsia="MS Mincho" w:hAnsi="Helvetica" w:cs="Times New Roman"/>
      <w:kern w:val="0"/>
      <w:lang w:val="fr-FR" w:eastAsia="x-none"/>
      <w14:ligatures w14:val="none"/>
    </w:rPr>
  </w:style>
  <w:style w:type="character" w:customStyle="1" w:styleId="BodyTextChar">
    <w:name w:val="Body Text Char"/>
    <w:basedOn w:val="DefaultParagraphFont"/>
    <w:link w:val="BodyText"/>
    <w:rsid w:val="00F4300D"/>
    <w:rPr>
      <w:rFonts w:ascii="Helvetica" w:eastAsia="MS Mincho" w:hAnsi="Helvetica" w:cs="Times New Roman"/>
      <w:kern w:val="0"/>
      <w:lang w:val="fr-FR"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9704">
      <w:marLeft w:val="480"/>
      <w:marRight w:val="0"/>
      <w:marTop w:val="0"/>
      <w:marBottom w:val="0"/>
      <w:divBdr>
        <w:top w:val="none" w:sz="0" w:space="0" w:color="auto"/>
        <w:left w:val="none" w:sz="0" w:space="0" w:color="auto"/>
        <w:bottom w:val="none" w:sz="0" w:space="0" w:color="auto"/>
        <w:right w:val="none" w:sz="0" w:space="0" w:color="auto"/>
      </w:divBdr>
    </w:div>
    <w:div w:id="181013382">
      <w:marLeft w:val="480"/>
      <w:marRight w:val="0"/>
      <w:marTop w:val="0"/>
      <w:marBottom w:val="0"/>
      <w:divBdr>
        <w:top w:val="none" w:sz="0" w:space="0" w:color="auto"/>
        <w:left w:val="none" w:sz="0" w:space="0" w:color="auto"/>
        <w:bottom w:val="none" w:sz="0" w:space="0" w:color="auto"/>
        <w:right w:val="none" w:sz="0" w:space="0" w:color="auto"/>
      </w:divBdr>
    </w:div>
    <w:div w:id="574095686">
      <w:marLeft w:val="480"/>
      <w:marRight w:val="0"/>
      <w:marTop w:val="0"/>
      <w:marBottom w:val="0"/>
      <w:divBdr>
        <w:top w:val="none" w:sz="0" w:space="0" w:color="auto"/>
        <w:left w:val="none" w:sz="0" w:space="0" w:color="auto"/>
        <w:bottom w:val="none" w:sz="0" w:space="0" w:color="auto"/>
        <w:right w:val="none" w:sz="0" w:space="0" w:color="auto"/>
      </w:divBdr>
    </w:div>
    <w:div w:id="698050902">
      <w:marLeft w:val="480"/>
      <w:marRight w:val="0"/>
      <w:marTop w:val="0"/>
      <w:marBottom w:val="0"/>
      <w:divBdr>
        <w:top w:val="none" w:sz="0" w:space="0" w:color="auto"/>
        <w:left w:val="none" w:sz="0" w:space="0" w:color="auto"/>
        <w:bottom w:val="none" w:sz="0" w:space="0" w:color="auto"/>
        <w:right w:val="none" w:sz="0" w:space="0" w:color="auto"/>
      </w:divBdr>
    </w:div>
    <w:div w:id="783380686">
      <w:marLeft w:val="480"/>
      <w:marRight w:val="0"/>
      <w:marTop w:val="0"/>
      <w:marBottom w:val="0"/>
      <w:divBdr>
        <w:top w:val="none" w:sz="0" w:space="0" w:color="auto"/>
        <w:left w:val="none" w:sz="0" w:space="0" w:color="auto"/>
        <w:bottom w:val="none" w:sz="0" w:space="0" w:color="auto"/>
        <w:right w:val="none" w:sz="0" w:space="0" w:color="auto"/>
      </w:divBdr>
    </w:div>
    <w:div w:id="812022748">
      <w:marLeft w:val="480"/>
      <w:marRight w:val="0"/>
      <w:marTop w:val="0"/>
      <w:marBottom w:val="0"/>
      <w:divBdr>
        <w:top w:val="none" w:sz="0" w:space="0" w:color="auto"/>
        <w:left w:val="none" w:sz="0" w:space="0" w:color="auto"/>
        <w:bottom w:val="none" w:sz="0" w:space="0" w:color="auto"/>
        <w:right w:val="none" w:sz="0" w:space="0" w:color="auto"/>
      </w:divBdr>
    </w:div>
    <w:div w:id="996108497">
      <w:marLeft w:val="480"/>
      <w:marRight w:val="0"/>
      <w:marTop w:val="0"/>
      <w:marBottom w:val="0"/>
      <w:divBdr>
        <w:top w:val="none" w:sz="0" w:space="0" w:color="auto"/>
        <w:left w:val="none" w:sz="0" w:space="0" w:color="auto"/>
        <w:bottom w:val="none" w:sz="0" w:space="0" w:color="auto"/>
        <w:right w:val="none" w:sz="0" w:space="0" w:color="auto"/>
      </w:divBdr>
    </w:div>
    <w:div w:id="1094087995">
      <w:marLeft w:val="480"/>
      <w:marRight w:val="0"/>
      <w:marTop w:val="0"/>
      <w:marBottom w:val="0"/>
      <w:divBdr>
        <w:top w:val="none" w:sz="0" w:space="0" w:color="auto"/>
        <w:left w:val="none" w:sz="0" w:space="0" w:color="auto"/>
        <w:bottom w:val="none" w:sz="0" w:space="0" w:color="auto"/>
        <w:right w:val="none" w:sz="0" w:space="0" w:color="auto"/>
      </w:divBdr>
    </w:div>
    <w:div w:id="1196308419">
      <w:marLeft w:val="480"/>
      <w:marRight w:val="0"/>
      <w:marTop w:val="0"/>
      <w:marBottom w:val="0"/>
      <w:divBdr>
        <w:top w:val="none" w:sz="0" w:space="0" w:color="auto"/>
        <w:left w:val="none" w:sz="0" w:space="0" w:color="auto"/>
        <w:bottom w:val="none" w:sz="0" w:space="0" w:color="auto"/>
        <w:right w:val="none" w:sz="0" w:space="0" w:color="auto"/>
      </w:divBdr>
    </w:div>
    <w:div w:id="1235899885">
      <w:marLeft w:val="480"/>
      <w:marRight w:val="0"/>
      <w:marTop w:val="0"/>
      <w:marBottom w:val="0"/>
      <w:divBdr>
        <w:top w:val="none" w:sz="0" w:space="0" w:color="auto"/>
        <w:left w:val="none" w:sz="0" w:space="0" w:color="auto"/>
        <w:bottom w:val="none" w:sz="0" w:space="0" w:color="auto"/>
        <w:right w:val="none" w:sz="0" w:space="0" w:color="auto"/>
      </w:divBdr>
    </w:div>
    <w:div w:id="1389182849">
      <w:marLeft w:val="480"/>
      <w:marRight w:val="0"/>
      <w:marTop w:val="0"/>
      <w:marBottom w:val="0"/>
      <w:divBdr>
        <w:top w:val="none" w:sz="0" w:space="0" w:color="auto"/>
        <w:left w:val="none" w:sz="0" w:space="0" w:color="auto"/>
        <w:bottom w:val="none" w:sz="0" w:space="0" w:color="auto"/>
        <w:right w:val="none" w:sz="0" w:space="0" w:color="auto"/>
      </w:divBdr>
    </w:div>
    <w:div w:id="1419476251">
      <w:marLeft w:val="480"/>
      <w:marRight w:val="0"/>
      <w:marTop w:val="0"/>
      <w:marBottom w:val="0"/>
      <w:divBdr>
        <w:top w:val="none" w:sz="0" w:space="0" w:color="auto"/>
        <w:left w:val="none" w:sz="0" w:space="0" w:color="auto"/>
        <w:bottom w:val="none" w:sz="0" w:space="0" w:color="auto"/>
        <w:right w:val="none" w:sz="0" w:space="0" w:color="auto"/>
      </w:divBdr>
    </w:div>
    <w:div w:id="1435706415">
      <w:marLeft w:val="480"/>
      <w:marRight w:val="0"/>
      <w:marTop w:val="0"/>
      <w:marBottom w:val="0"/>
      <w:divBdr>
        <w:top w:val="none" w:sz="0" w:space="0" w:color="auto"/>
        <w:left w:val="none" w:sz="0" w:space="0" w:color="auto"/>
        <w:bottom w:val="none" w:sz="0" w:space="0" w:color="auto"/>
        <w:right w:val="none" w:sz="0" w:space="0" w:color="auto"/>
      </w:divBdr>
    </w:div>
    <w:div w:id="1671130347">
      <w:marLeft w:val="480"/>
      <w:marRight w:val="0"/>
      <w:marTop w:val="0"/>
      <w:marBottom w:val="0"/>
      <w:divBdr>
        <w:top w:val="none" w:sz="0" w:space="0" w:color="auto"/>
        <w:left w:val="none" w:sz="0" w:space="0" w:color="auto"/>
        <w:bottom w:val="none" w:sz="0" w:space="0" w:color="auto"/>
        <w:right w:val="none" w:sz="0" w:space="0" w:color="auto"/>
      </w:divBdr>
    </w:div>
    <w:div w:id="1757051381">
      <w:marLeft w:val="480"/>
      <w:marRight w:val="0"/>
      <w:marTop w:val="0"/>
      <w:marBottom w:val="0"/>
      <w:divBdr>
        <w:top w:val="none" w:sz="0" w:space="0" w:color="auto"/>
        <w:left w:val="none" w:sz="0" w:space="0" w:color="auto"/>
        <w:bottom w:val="none" w:sz="0" w:space="0" w:color="auto"/>
        <w:right w:val="none" w:sz="0" w:space="0" w:color="auto"/>
      </w:divBdr>
    </w:div>
    <w:div w:id="1822576478">
      <w:marLeft w:val="480"/>
      <w:marRight w:val="0"/>
      <w:marTop w:val="0"/>
      <w:marBottom w:val="0"/>
      <w:divBdr>
        <w:top w:val="none" w:sz="0" w:space="0" w:color="auto"/>
        <w:left w:val="none" w:sz="0" w:space="0" w:color="auto"/>
        <w:bottom w:val="none" w:sz="0" w:space="0" w:color="auto"/>
        <w:right w:val="none" w:sz="0" w:space="0" w:color="auto"/>
      </w:divBdr>
    </w:div>
    <w:div w:id="1830977420">
      <w:marLeft w:val="480"/>
      <w:marRight w:val="0"/>
      <w:marTop w:val="0"/>
      <w:marBottom w:val="0"/>
      <w:divBdr>
        <w:top w:val="none" w:sz="0" w:space="0" w:color="auto"/>
        <w:left w:val="none" w:sz="0" w:space="0" w:color="auto"/>
        <w:bottom w:val="none" w:sz="0" w:space="0" w:color="auto"/>
        <w:right w:val="none" w:sz="0" w:space="0" w:color="auto"/>
      </w:divBdr>
    </w:div>
    <w:div w:id="1975790866">
      <w:marLeft w:val="480"/>
      <w:marRight w:val="0"/>
      <w:marTop w:val="0"/>
      <w:marBottom w:val="0"/>
      <w:divBdr>
        <w:top w:val="none" w:sz="0" w:space="0" w:color="auto"/>
        <w:left w:val="none" w:sz="0" w:space="0" w:color="auto"/>
        <w:bottom w:val="none" w:sz="0" w:space="0" w:color="auto"/>
        <w:right w:val="none" w:sz="0" w:space="0" w:color="auto"/>
      </w:divBdr>
    </w:div>
    <w:div w:id="2002462269">
      <w:marLeft w:val="480"/>
      <w:marRight w:val="0"/>
      <w:marTop w:val="0"/>
      <w:marBottom w:val="0"/>
      <w:divBdr>
        <w:top w:val="none" w:sz="0" w:space="0" w:color="auto"/>
        <w:left w:val="none" w:sz="0" w:space="0" w:color="auto"/>
        <w:bottom w:val="none" w:sz="0" w:space="0" w:color="auto"/>
        <w:right w:val="none" w:sz="0" w:space="0" w:color="auto"/>
      </w:divBdr>
    </w:div>
    <w:div w:id="205157070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FB3147C4C44538BC1BA27EBA71E0E8"/>
        <w:category>
          <w:name w:val="General"/>
          <w:gallery w:val="placeholder"/>
        </w:category>
        <w:types>
          <w:type w:val="bbPlcHdr"/>
        </w:types>
        <w:behaviors>
          <w:behavior w:val="content"/>
        </w:behaviors>
        <w:guid w:val="{BD9C9378-D895-4A5A-AF82-83B6EBC595C0}"/>
      </w:docPartPr>
      <w:docPartBody>
        <w:p w:rsidR="006C12DA" w:rsidRDefault="005E4C15" w:rsidP="005E4C15">
          <w:pPr>
            <w:pStyle w:val="65FB3147C4C44538BC1BA27EBA71E0E8"/>
          </w:pPr>
          <w:r w:rsidRPr="00DF0A77">
            <w:rPr>
              <w:rStyle w:val="PlaceholderText"/>
            </w:rPr>
            <w:t>Click or tap here to enter text.</w:t>
          </w:r>
        </w:p>
      </w:docPartBody>
    </w:docPart>
    <w:docPart>
      <w:docPartPr>
        <w:name w:val="0951B184AB3745D6BCFAB56990B8B883"/>
        <w:category>
          <w:name w:val="General"/>
          <w:gallery w:val="placeholder"/>
        </w:category>
        <w:types>
          <w:type w:val="bbPlcHdr"/>
        </w:types>
        <w:behaviors>
          <w:behavior w:val="content"/>
        </w:behaviors>
        <w:guid w:val="{11F804DC-E544-4381-BA07-F20227FB66A3}"/>
      </w:docPartPr>
      <w:docPartBody>
        <w:p w:rsidR="006C12DA" w:rsidRDefault="005E4C15" w:rsidP="005E4C15">
          <w:pPr>
            <w:pStyle w:val="0951B184AB3745D6BCFAB56990B8B883"/>
          </w:pPr>
          <w:r w:rsidRPr="00DF0A77">
            <w:rPr>
              <w:rStyle w:val="PlaceholderText"/>
            </w:rPr>
            <w:t>Click or tap here to enter text.</w:t>
          </w:r>
        </w:p>
      </w:docPartBody>
    </w:docPart>
    <w:docPart>
      <w:docPartPr>
        <w:name w:val="FEE97E92E78E469A9E42D0A329741840"/>
        <w:category>
          <w:name w:val="General"/>
          <w:gallery w:val="placeholder"/>
        </w:category>
        <w:types>
          <w:type w:val="bbPlcHdr"/>
        </w:types>
        <w:behaviors>
          <w:behavior w:val="content"/>
        </w:behaviors>
        <w:guid w:val="{DEC7FA18-A99A-4925-90DA-142F9942BBBC}"/>
      </w:docPartPr>
      <w:docPartBody>
        <w:p w:rsidR="006C12DA" w:rsidRDefault="005E4C15" w:rsidP="005E4C15">
          <w:pPr>
            <w:pStyle w:val="FEE97E92E78E469A9E42D0A329741840"/>
          </w:pPr>
          <w:r w:rsidRPr="00DF0A77">
            <w:rPr>
              <w:rStyle w:val="PlaceholderText"/>
            </w:rPr>
            <w:t>Click or tap here to enter text.</w:t>
          </w:r>
        </w:p>
      </w:docPartBody>
    </w:docPart>
    <w:docPart>
      <w:docPartPr>
        <w:name w:val="E4F3727B80994DD3B06B933B054E4E69"/>
        <w:category>
          <w:name w:val="General"/>
          <w:gallery w:val="placeholder"/>
        </w:category>
        <w:types>
          <w:type w:val="bbPlcHdr"/>
        </w:types>
        <w:behaviors>
          <w:behavior w:val="content"/>
        </w:behaviors>
        <w:guid w:val="{E072C725-4DBD-4416-811C-5A11961945BD}"/>
      </w:docPartPr>
      <w:docPartBody>
        <w:p w:rsidR="006C12DA" w:rsidRDefault="005E4C15" w:rsidP="005E4C15">
          <w:pPr>
            <w:pStyle w:val="E4F3727B80994DD3B06B933B054E4E69"/>
          </w:pPr>
          <w:r w:rsidRPr="00DF0A77">
            <w:rPr>
              <w:rStyle w:val="PlaceholderText"/>
            </w:rPr>
            <w:t>Click or tap here to enter text.</w:t>
          </w:r>
        </w:p>
      </w:docPartBody>
    </w:docPart>
    <w:docPart>
      <w:docPartPr>
        <w:name w:val="04FC6EF0E7C34A2FAB436D52F96F448F"/>
        <w:category>
          <w:name w:val="General"/>
          <w:gallery w:val="placeholder"/>
        </w:category>
        <w:types>
          <w:type w:val="bbPlcHdr"/>
        </w:types>
        <w:behaviors>
          <w:behavior w:val="content"/>
        </w:behaviors>
        <w:guid w:val="{57A6CFBA-7A90-4B81-8EBF-8098D73FC16B}"/>
      </w:docPartPr>
      <w:docPartBody>
        <w:p w:rsidR="006C12DA" w:rsidRDefault="005E4C15" w:rsidP="005E4C15">
          <w:pPr>
            <w:pStyle w:val="04FC6EF0E7C34A2FAB436D52F96F448F"/>
          </w:pPr>
          <w:r w:rsidRPr="00DF0A77">
            <w:rPr>
              <w:rStyle w:val="PlaceholderText"/>
            </w:rPr>
            <w:t>Click or tap here to enter text.</w:t>
          </w:r>
        </w:p>
      </w:docPartBody>
    </w:docPart>
    <w:docPart>
      <w:docPartPr>
        <w:name w:val="C2671109D8E94522837BCAF42FCC5F9C"/>
        <w:category>
          <w:name w:val="General"/>
          <w:gallery w:val="placeholder"/>
        </w:category>
        <w:types>
          <w:type w:val="bbPlcHdr"/>
        </w:types>
        <w:behaviors>
          <w:behavior w:val="content"/>
        </w:behaviors>
        <w:guid w:val="{40A42F16-3577-493C-8630-BB3CA8E3616E}"/>
      </w:docPartPr>
      <w:docPartBody>
        <w:p w:rsidR="006C12DA" w:rsidRDefault="005E4C15" w:rsidP="005E4C15">
          <w:pPr>
            <w:pStyle w:val="C2671109D8E94522837BCAF42FCC5F9C"/>
          </w:pPr>
          <w:r w:rsidRPr="00DF0A77">
            <w:rPr>
              <w:rStyle w:val="PlaceholderText"/>
            </w:rPr>
            <w:t>Click or tap here to enter text.</w:t>
          </w:r>
        </w:p>
      </w:docPartBody>
    </w:docPart>
    <w:docPart>
      <w:docPartPr>
        <w:name w:val="5BFD738DA0024DB4BEF01CA2847C5ECC"/>
        <w:category>
          <w:name w:val="General"/>
          <w:gallery w:val="placeholder"/>
        </w:category>
        <w:types>
          <w:type w:val="bbPlcHdr"/>
        </w:types>
        <w:behaviors>
          <w:behavior w:val="content"/>
        </w:behaviors>
        <w:guid w:val="{697CD60C-B608-41D8-B7D7-AA28C61C6297}"/>
      </w:docPartPr>
      <w:docPartBody>
        <w:p w:rsidR="006C12DA" w:rsidRDefault="005E4C15" w:rsidP="005E4C15">
          <w:pPr>
            <w:pStyle w:val="5BFD738DA0024DB4BEF01CA2847C5ECC"/>
          </w:pPr>
          <w:r w:rsidRPr="00DF0A77">
            <w:rPr>
              <w:rStyle w:val="PlaceholderText"/>
            </w:rPr>
            <w:t>Click or tap here to enter text.</w:t>
          </w:r>
        </w:p>
      </w:docPartBody>
    </w:docPart>
    <w:docPart>
      <w:docPartPr>
        <w:name w:val="362633488D044C03B23899C367ABC14C"/>
        <w:category>
          <w:name w:val="General"/>
          <w:gallery w:val="placeholder"/>
        </w:category>
        <w:types>
          <w:type w:val="bbPlcHdr"/>
        </w:types>
        <w:behaviors>
          <w:behavior w:val="content"/>
        </w:behaviors>
        <w:guid w:val="{7AE64103-48C1-4052-A48A-0D067E433285}"/>
      </w:docPartPr>
      <w:docPartBody>
        <w:p w:rsidR="006C12DA" w:rsidRDefault="005E4C15" w:rsidP="005E4C15">
          <w:pPr>
            <w:pStyle w:val="362633488D044C03B23899C367ABC14C"/>
          </w:pPr>
          <w:r w:rsidRPr="00DF0A77">
            <w:rPr>
              <w:rStyle w:val="PlaceholderText"/>
            </w:rPr>
            <w:t>Click or tap here to enter text.</w:t>
          </w:r>
        </w:p>
      </w:docPartBody>
    </w:docPart>
    <w:docPart>
      <w:docPartPr>
        <w:name w:val="4F199BB065CE4F8C99699CBC1E553FD8"/>
        <w:category>
          <w:name w:val="General"/>
          <w:gallery w:val="placeholder"/>
        </w:category>
        <w:types>
          <w:type w:val="bbPlcHdr"/>
        </w:types>
        <w:behaviors>
          <w:behavior w:val="content"/>
        </w:behaviors>
        <w:guid w:val="{8DFFE930-B7D0-4E2B-B18D-D57D19D94FD0}"/>
      </w:docPartPr>
      <w:docPartBody>
        <w:p w:rsidR="006C12DA" w:rsidRDefault="005E4C15" w:rsidP="005E4C15">
          <w:pPr>
            <w:pStyle w:val="4F199BB065CE4F8C99699CBC1E553FD8"/>
          </w:pPr>
          <w:r w:rsidRPr="00DF0A77">
            <w:rPr>
              <w:rStyle w:val="PlaceholderText"/>
            </w:rPr>
            <w:t>Click or tap here to enter text.</w:t>
          </w:r>
        </w:p>
      </w:docPartBody>
    </w:docPart>
    <w:docPart>
      <w:docPartPr>
        <w:name w:val="119585E35D4644E38AF4B6BCA37672BB"/>
        <w:category>
          <w:name w:val="General"/>
          <w:gallery w:val="placeholder"/>
        </w:category>
        <w:types>
          <w:type w:val="bbPlcHdr"/>
        </w:types>
        <w:behaviors>
          <w:behavior w:val="content"/>
        </w:behaviors>
        <w:guid w:val="{6D92DB63-4E25-4D42-B1BE-F5BCC7D4C059}"/>
      </w:docPartPr>
      <w:docPartBody>
        <w:p w:rsidR="006C12DA" w:rsidRDefault="005E4C15" w:rsidP="005E4C15">
          <w:pPr>
            <w:pStyle w:val="119585E35D4644E38AF4B6BCA37672BB"/>
          </w:pPr>
          <w:r w:rsidRPr="00DF0A77">
            <w:rPr>
              <w:rStyle w:val="PlaceholderText"/>
            </w:rPr>
            <w:t>Click or tap here to enter text.</w:t>
          </w:r>
        </w:p>
      </w:docPartBody>
    </w:docPart>
    <w:docPart>
      <w:docPartPr>
        <w:name w:val="C991004DF140497BAB0AD1B2D561FDFF"/>
        <w:category>
          <w:name w:val="General"/>
          <w:gallery w:val="placeholder"/>
        </w:category>
        <w:types>
          <w:type w:val="bbPlcHdr"/>
        </w:types>
        <w:behaviors>
          <w:behavior w:val="content"/>
        </w:behaviors>
        <w:guid w:val="{5205B88B-B3FC-453E-9719-E10BBD403A4C}"/>
      </w:docPartPr>
      <w:docPartBody>
        <w:p w:rsidR="006C12DA" w:rsidRDefault="005E4C15" w:rsidP="005E4C15">
          <w:pPr>
            <w:pStyle w:val="C991004DF140497BAB0AD1B2D561FDFF"/>
          </w:pPr>
          <w:r w:rsidRPr="00DF0A77">
            <w:rPr>
              <w:rStyle w:val="PlaceholderText"/>
            </w:rPr>
            <w:t>Click or tap here to enter text.</w:t>
          </w:r>
        </w:p>
      </w:docPartBody>
    </w:docPart>
    <w:docPart>
      <w:docPartPr>
        <w:name w:val="2F4A68035A224B338AEC1DC0C90D0B2E"/>
        <w:category>
          <w:name w:val="General"/>
          <w:gallery w:val="placeholder"/>
        </w:category>
        <w:types>
          <w:type w:val="bbPlcHdr"/>
        </w:types>
        <w:behaviors>
          <w:behavior w:val="content"/>
        </w:behaviors>
        <w:guid w:val="{859732C9-19C8-41CF-8BB1-EC817DE55A98}"/>
      </w:docPartPr>
      <w:docPartBody>
        <w:p w:rsidR="006C12DA" w:rsidRDefault="005E4C15" w:rsidP="005E4C15">
          <w:pPr>
            <w:pStyle w:val="2F4A68035A224B338AEC1DC0C90D0B2E"/>
          </w:pPr>
          <w:r w:rsidRPr="00DF0A77">
            <w:rPr>
              <w:rStyle w:val="PlaceholderText"/>
            </w:rPr>
            <w:t>Click or tap here to enter text.</w:t>
          </w:r>
        </w:p>
      </w:docPartBody>
    </w:docPart>
    <w:docPart>
      <w:docPartPr>
        <w:name w:val="D034066F733B47B0ABAAD3CA524F6E36"/>
        <w:category>
          <w:name w:val="General"/>
          <w:gallery w:val="placeholder"/>
        </w:category>
        <w:types>
          <w:type w:val="bbPlcHdr"/>
        </w:types>
        <w:behaviors>
          <w:behavior w:val="content"/>
        </w:behaviors>
        <w:guid w:val="{06AE08F6-A344-4C92-91CE-160560E9C295}"/>
      </w:docPartPr>
      <w:docPartBody>
        <w:p w:rsidR="006C12DA" w:rsidRDefault="005E4C15" w:rsidP="005E4C15">
          <w:pPr>
            <w:pStyle w:val="D034066F733B47B0ABAAD3CA524F6E36"/>
          </w:pPr>
          <w:r w:rsidRPr="00DF0A77">
            <w:rPr>
              <w:rStyle w:val="PlaceholderText"/>
            </w:rPr>
            <w:t>Click or tap here to enter text.</w:t>
          </w:r>
        </w:p>
      </w:docPartBody>
    </w:docPart>
    <w:docPart>
      <w:docPartPr>
        <w:name w:val="57E36098D7C84ABE84886BD3C4889B06"/>
        <w:category>
          <w:name w:val="General"/>
          <w:gallery w:val="placeholder"/>
        </w:category>
        <w:types>
          <w:type w:val="bbPlcHdr"/>
        </w:types>
        <w:behaviors>
          <w:behavior w:val="content"/>
        </w:behaviors>
        <w:guid w:val="{90DDAE54-CFB7-47A4-9CF5-62075671BA15}"/>
      </w:docPartPr>
      <w:docPartBody>
        <w:p w:rsidR="006C12DA" w:rsidRDefault="005E4C15" w:rsidP="005E4C15">
          <w:pPr>
            <w:pStyle w:val="57E36098D7C84ABE84886BD3C4889B06"/>
          </w:pPr>
          <w:r w:rsidRPr="00DF0A77">
            <w:rPr>
              <w:rStyle w:val="PlaceholderText"/>
            </w:rPr>
            <w:t>Click or tap here to enter text.</w:t>
          </w:r>
        </w:p>
      </w:docPartBody>
    </w:docPart>
    <w:docPart>
      <w:docPartPr>
        <w:name w:val="9DC98AA6C6AA473387ADD180482915EC"/>
        <w:category>
          <w:name w:val="General"/>
          <w:gallery w:val="placeholder"/>
        </w:category>
        <w:types>
          <w:type w:val="bbPlcHdr"/>
        </w:types>
        <w:behaviors>
          <w:behavior w:val="content"/>
        </w:behaviors>
        <w:guid w:val="{2A9012C2-B049-4422-812B-60D9A9CF6711}"/>
      </w:docPartPr>
      <w:docPartBody>
        <w:p w:rsidR="006C12DA" w:rsidRDefault="005E4C15" w:rsidP="005E4C15">
          <w:pPr>
            <w:pStyle w:val="9DC98AA6C6AA473387ADD180482915EC"/>
          </w:pPr>
          <w:r w:rsidRPr="00DF0A7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86032B1-7245-4A76-AF1D-48E03D2D932E}"/>
      </w:docPartPr>
      <w:docPartBody>
        <w:p w:rsidR="006C12DA" w:rsidRDefault="005E4C15">
          <w:r w:rsidRPr="003647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15"/>
    <w:rsid w:val="00072090"/>
    <w:rsid w:val="000F5618"/>
    <w:rsid w:val="00111442"/>
    <w:rsid w:val="001C3588"/>
    <w:rsid w:val="001E1A90"/>
    <w:rsid w:val="00281135"/>
    <w:rsid w:val="003F66AC"/>
    <w:rsid w:val="00423D20"/>
    <w:rsid w:val="00580452"/>
    <w:rsid w:val="005E4C15"/>
    <w:rsid w:val="006C12DA"/>
    <w:rsid w:val="00BE046C"/>
    <w:rsid w:val="00CE6C66"/>
    <w:rsid w:val="00DB2710"/>
    <w:rsid w:val="00DC31FB"/>
    <w:rsid w:val="00E6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710"/>
    <w:rPr>
      <w:color w:val="666666"/>
    </w:rPr>
  </w:style>
  <w:style w:type="paragraph" w:customStyle="1" w:styleId="65FB3147C4C44538BC1BA27EBA71E0E8">
    <w:name w:val="65FB3147C4C44538BC1BA27EBA71E0E8"/>
    <w:rsid w:val="005E4C15"/>
  </w:style>
  <w:style w:type="paragraph" w:customStyle="1" w:styleId="0951B184AB3745D6BCFAB56990B8B883">
    <w:name w:val="0951B184AB3745D6BCFAB56990B8B883"/>
    <w:rsid w:val="005E4C15"/>
  </w:style>
  <w:style w:type="paragraph" w:customStyle="1" w:styleId="FEE97E92E78E469A9E42D0A329741840">
    <w:name w:val="FEE97E92E78E469A9E42D0A329741840"/>
    <w:rsid w:val="005E4C15"/>
  </w:style>
  <w:style w:type="paragraph" w:customStyle="1" w:styleId="E4F3727B80994DD3B06B933B054E4E69">
    <w:name w:val="E4F3727B80994DD3B06B933B054E4E69"/>
    <w:rsid w:val="005E4C15"/>
  </w:style>
  <w:style w:type="paragraph" w:customStyle="1" w:styleId="04FC6EF0E7C34A2FAB436D52F96F448F">
    <w:name w:val="04FC6EF0E7C34A2FAB436D52F96F448F"/>
    <w:rsid w:val="005E4C15"/>
  </w:style>
  <w:style w:type="paragraph" w:customStyle="1" w:styleId="C2671109D8E94522837BCAF42FCC5F9C">
    <w:name w:val="C2671109D8E94522837BCAF42FCC5F9C"/>
    <w:rsid w:val="005E4C15"/>
  </w:style>
  <w:style w:type="paragraph" w:customStyle="1" w:styleId="5BFD738DA0024DB4BEF01CA2847C5ECC">
    <w:name w:val="5BFD738DA0024DB4BEF01CA2847C5ECC"/>
    <w:rsid w:val="005E4C15"/>
  </w:style>
  <w:style w:type="paragraph" w:customStyle="1" w:styleId="362633488D044C03B23899C367ABC14C">
    <w:name w:val="362633488D044C03B23899C367ABC14C"/>
    <w:rsid w:val="005E4C15"/>
  </w:style>
  <w:style w:type="paragraph" w:customStyle="1" w:styleId="4F199BB065CE4F8C99699CBC1E553FD8">
    <w:name w:val="4F199BB065CE4F8C99699CBC1E553FD8"/>
    <w:rsid w:val="005E4C15"/>
  </w:style>
  <w:style w:type="paragraph" w:customStyle="1" w:styleId="119585E35D4644E38AF4B6BCA37672BB">
    <w:name w:val="119585E35D4644E38AF4B6BCA37672BB"/>
    <w:rsid w:val="005E4C15"/>
  </w:style>
  <w:style w:type="paragraph" w:customStyle="1" w:styleId="C991004DF140497BAB0AD1B2D561FDFF">
    <w:name w:val="C991004DF140497BAB0AD1B2D561FDFF"/>
    <w:rsid w:val="005E4C15"/>
  </w:style>
  <w:style w:type="paragraph" w:customStyle="1" w:styleId="2F4A68035A224B338AEC1DC0C90D0B2E">
    <w:name w:val="2F4A68035A224B338AEC1DC0C90D0B2E"/>
    <w:rsid w:val="005E4C15"/>
  </w:style>
  <w:style w:type="paragraph" w:customStyle="1" w:styleId="D034066F733B47B0ABAAD3CA524F6E36">
    <w:name w:val="D034066F733B47B0ABAAD3CA524F6E36"/>
    <w:rsid w:val="005E4C15"/>
  </w:style>
  <w:style w:type="paragraph" w:customStyle="1" w:styleId="57E36098D7C84ABE84886BD3C4889B06">
    <w:name w:val="57E36098D7C84ABE84886BD3C4889B06"/>
    <w:rsid w:val="005E4C15"/>
  </w:style>
  <w:style w:type="paragraph" w:customStyle="1" w:styleId="9DC98AA6C6AA473387ADD180482915EC">
    <w:name w:val="9DC98AA6C6AA473387ADD180482915EC"/>
    <w:rsid w:val="005E4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840781-3A56-40B8-92F8-F96C817926D4}">
  <we:reference id="wa104382081" version="1.55.1.0" store="en-US" storeType="OMEX"/>
  <we:alternateReferences>
    <we:reference id="WA104382081" version="1.55.1.0" store="" storeType="OMEX"/>
  </we:alternateReferences>
  <we:properties>
    <we:property name="MENDELEY_CITATIONS" value="[{&quot;citationID&quot;:&quot;MENDELEY_CITATION_46bae927-7e51-4b26-9984-47bc83d8d4ad&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NDZiYWU5MjctN2U1MS00YjI2LTk5ODQtNDdiYzgzZDhkNGFk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bb1ff490-40f5-4df7-9f4c-d479e771a3bf&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YmIxZmY0OTAtNDBmNS00ZGY3LTlmNGMtZDQ3OWU3NzFhM2Jm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63597847-d854-47f3-ab25-ae5807640878&quot;,&quot;properties&quot;:{&quot;noteIndex&quot;:0},&quot;isEdited&quot;:false,&quot;manualOverride&quot;:{&quot;isManuallyOverridden&quot;:false,&quot;citeprocText&quot;:&quot;(Zsögön et al., 2022)&quot;,&quot;manualOverrideText&quot;:&quot;&quot;},&quot;citationTag&quot;:&quot;MENDELEY_CITATION_v3_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&quot;,&quot;citationItems&quot;:[{&quot;id&quot;:&quot;8edbf7e5-c42c-3efa-b421-6a54de9e623a&quot;,&quot;itemData&quot;:{&quot;type&quot;:&quot;article-journal&quot;,&quot;id&quot;:&quot;8edbf7e5-c42c-3efa-b421-6a54de9e623a&quot;,&quot;title&quot;:&quot;Enhancing crop diversity for food security in the face of climate uncertainty&quot;,&quot;author&quot;:[{&quot;family&quot;:&quot;Zsögön&quot;,&quot;given&quot;:&quot;Agustin&quot;,&quot;parse-names&quot;:false,&quot;dropping-particle&quot;:&quot;&quot;,&quot;non-dropping-particle&quot;:&quot;&quot;},{&quot;family&quot;:&quot;Peres&quot;,&quot;given&quot;:&quot;Lázaro E.P.&quot;,&quot;parse-names&quot;:false,&quot;dropping-particle&quot;:&quot;&quot;,&quot;non-dropping-particle&quot;:&quot;&quot;},{&quot;family&quot;:&quot;Xiao&quot;,&quot;given&quot;:&quot;Yingjie&quot;,&quot;parse-names&quot;:false,&quot;dropping-particle&quot;:&quot;&quot;,&quot;non-dropping-particle&quot;:&quot;&quot;},{&quot;family&quot;:&quot;Yan&quot;,&quot;given&quot;:&quot;Jianbing&quot;,&quot;parse-names&quot;:false,&quot;dropping-particle&quot;:&quot;&quot;,&quot;non-dropping-particle&quot;:&quot;&quot;},{&quot;family&quot;:&quot;Fernie&quot;,&quot;given&quot;:&quot;Alisdair R.&quot;,&quot;parse-names&quot;:false,&quot;dropping-particle&quot;:&quot;&quot;,&quot;non-dropping-particle&quot;:&quot;&quot;}],&quot;container-title&quot;:&quot;Plant Journal&quot;,&quot;DOI&quot;:&quot;10.1111/tpj.15626&quot;,&quot;ISSN&quot;:&quot;1365313X&quot;,&quot;PMID&quot;:&quot;34882870&quot;,&quot;issued&quot;:{&quot;date-parts&quot;:[[2022,1,1]]},&quot;page&quot;:&quot;402-414&quot;,&quot;abstract&quot;:&quot;Global agriculture is dominated by a handful of species that currently supply a huge proportion of our food and feed. It additionally faces the massive challenge of providing food for 10 billion people by 2050, despite increasing environmental deterioration. One way to better plan production in the face of current and continuing climate change is to better understand how our domestication of these crops included their adaptation to environments that were highly distinct from those of their centre of origin. There are many prominent examples of this, including the development of temperate Zea mays (maize) and the alteration of day-length requirements in Solanum tuberosum (potato). Despite the pre-eminence of some 15 crops, more than 50 000 species are edible, with 7000 of these considered semi-cultivated. Opportunities afforded by next-generation sequencing technologies alongside other methods, including metabolomics and high-throughput phenotyping, are starting to contribute to a better characterization of a handful of these species. Moreover, the first examples of de novo domestication have appeared, whereby key target genes are modified in a wild species in order to confer predictable traits of agronomic value. Here, we review the scale of the challenge, drawing extensively on the characterization of past agriculture to suggest informed strategies upon which the breeding of future climate-resilient crops can be based.&quot;,&quot;publisher&quot;:&quot;John Wiley and Sons Inc&quot;,&quot;issue&quot;:&quot;2&quot;,&quot;volume&quot;:&quot;109&quot;,&quot;container-title-short&quot;:&quot;&quot;},&quot;isTemporary&quot;:false}]},{&quot;citationID&quot;:&quot;MENDELEY_CITATION_d0ce8898-4aeb-48ac-a4f0-fee7aa821cc3&quot;,&quot;properties&quot;:{&quot;noteIndex&quot;:0},&quot;isEdited&quot;:false,&quot;manualOverride&quot;:{&quot;isManuallyOverridden&quot;:false,&quot;citeprocText&quot;:&quot;(Mburu et al., 2023; Mugo et al., 2021)&quot;,&quot;manualOverrideText&quot;:&quot;&quot;},&quot;citationTag&quot;:&quot;MENDELEY_CITATION_v3_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&quot;,&quot;citationItems&quot;:[{&quot;id&quot;:&quot;3b7e891a-789c-302e-9bc8-3ada171bda50&quot;,&quot;itemData&quot;:{&quot;type&quot;:&quot;article-journal&quot;,&quot;id&quot;:&quot;3b7e891a-789c-302e-9bc8-3ada171bda50&quot;,&quot;title&quot;:&quot;Influence of Access to Extension Services on Smallholder Farmers’ Use of Certified Seed Potatoes (CSPs) in Kipipiri Sub-County, Kenya&quot;,&quot;author&quot;:[{&quot;family&quot;:&quot;Mburu&quot;,&quot;given&quot;:&quot;J. M.&quot;,&quot;parse-names&quot;:false,&quot;dropping-particle&quot;:&quot;&quot;,&quot;non-dropping-particle&quot;:&quot;&quot;},{&quot;family&quot;:&quot;Oyugi&quot;,&quot;given&quot;:&quot;M. A.&quot;,&quot;parse-names&quot;:false,&quot;dropping-particle&quot;:&quot;&quot;,&quot;non-dropping-particle&quot;:&quot;&quot;},{&quot;family&quot;:&quot;Makenzi&quot;,&quot;given&quot;:&quot;P. M.&quot;,&quot;parse-names&quot;:false,&quot;dropping-particle&quot;:&quot;&quot;,&quot;non-dropping-particle&quot;:&quot;&quot;}],&quot;container-title&quot;:&quot;Asian Journal of Agricultural Extension, Economics &amp; Sociology&quot;,&quot;DOI&quot;:&quot;10.9734/ajaees/2023/v41i41891&quot;,&quot;issued&quot;:{&quot;date-parts&quot;:[[2023,4,7]]},&quot;page&quot;:&quot;169-177&quot;,&quot;abstract&quot;:&quot;Extension services delivery remains a key driver in farmers’ uptake and use of improved farming technologies in rural areas which are predominantly occupied by poor farmers. The use of certified seed potatoes (CSPs) increases yield and potato productivity. Most smallholder farmers lack knowledge of how to use CSPs while others are not even aware of their existence. This has given farmers an opportunity to use and re-use their own seeds saved from their local storage facilities. The paper sought to determine whether access to extension services influenced smallholder farmers’ use of CSPs in Kipipiri Sub-County, Kenya. A structured, researcher-administered, questionnaire was used in collecting data from one hundred and six smallholder potato farmers randomly selected from the area. Descriptive statistics and a binary logistic model were used for statistical analysis. The findings indicated that there was a significant relationship between access to extension services and the use of CSPs. 85 per cent of the respondents were found to have access to extension services while 21 % had no access. Additionally, on the frequency, the majority of the respondents (64%) rarely accessed the services and 36% reported accessing the extension services always. These findings suggest that extension services are a major component that drives farmers’ use of CSPs in the study area. Therefore, for farmers to benefit fully, extension agents need to increase their service delivery to smallholder potato farmers. County governments also need to improve the existing farmer training centers to assist farmers to acquire knowledge on the use of CSPs. This would increase potato productivity in the area.&quot;,&quot;publisher&quot;:&quot;Sciencedomain International&quot;,&quot;issue&quot;:&quot;4&quot;,&quot;volume&quot;:&quot;41&quot;,&quot;container-title-short&quot;:&quot;&quot;},&quot;isTemporary&quot;:false},{&quot;id&quot;:&quot;89958097-af4c-3f02-abd2-a961372dd74c&quot;,&quot;itemData&quot;:{&quot;type&quot;:&quot;article-journal&quot;,&quot;id&quot;:&quot;89958097-af4c-3f02-abd2-a961372dd74c&quot;,&quot;title&quot;:&quot;Response of potato crop to selected nutrients in central and eastern highlands of Kenya&quot;,&quot;author&quot;:[{&quot;family&quot;:&quot;Mugo&quot;,&quot;given&quot;:&quot;James N.&quot;,&quot;parse-names&quot;:false,&quot;dropping-particle&quot;:&quot;&quot;,&quot;non-dropping-particle&quot;:&quot;&quot;},{&quot;family&quot;:&quot;Karanja&quot;,&quot;given&quot;:&quot;Nancy N.&quot;,&quot;parse-names&quot;:false,&quot;dropping-particle&quot;:&quot;&quot;,&quot;non-dropping-particle&quot;:&quot;&quot;},{&quot;family&quot;:&quot;Gachene&quot;,&quot;given&quot;:&quot;Charles K.&quot;,&quot;parse-names&quot;:false,&quot;dropping-particle&quot;:&quot;&quot;,&quot;non-dropping-particle&quot;:&quot;&quot;},{&quot;family&quot;:&quot;Dittert&quot;,&quot;given&quot;:&quot;Klaus&quot;,&quot;parse-names&quot;:false,&quot;dropping-particle&quot;:&quot;&quot;,&quot;non-dropping-particle&quot;:&quot;&quot;},{&quot;family&quot;:&quot;Gitari&quot;,&quot;given&quot;:&quot;Harun I.&quot;,&quot;parse-names&quot;:false,&quot;dropping-particle&quot;:&quot;&quot;,&quot;non-dropping-particle&quot;:&quot;&quot;},{&quot;family&quot;:&quot;Schulte-Geldermann&quot;,&quot;given&quot;:&quot;Elmar&quot;,&quot;parse-names&quot;:false,&quot;dropping-particle&quot;:&quot;&quot;,&quot;non-dropping-particle&quot;:&quot;&quot;}],&quot;container-title&quot;:&quot;Cogent Food and Agriculture&quot;,&quot;container-title-short&quot;:&quot;Cogent Food Agric.&quot;,&quot;DOI&quot;:&quot;10.1080/23311932.2021.1898762&quot;,&quot;ISSN&quot;:&quot;23311932&quot;,&quot;issued&quot;:{&quot;date-parts&quot;:[[2021]]},&quot;abstract&quot;:&quot;Low nutrients have been reported in potato-growing areas of Kenya, prompting a need for nutrient management research. A study was designed to determine the effect of omitting nutrients on potato growth, yield and harvest index. On-farm nutrient omission trials were set during the long rains (LR) and short rains (SR) of 2016 in which the treatments involve the judicious omission of N, P, K, S and B. Additional two treatments were included with one receiving all the nutrients and a control where no nutrients were added. The treatment was laid in a randomized complete block design with three replications. Potato yields reduced by 6.6 and 11.2 t ha−1 in N-omitted treatments in LR and SR, respectively, when compared to the one receiving all the nutrients, while omitting P resulted in respective yield reductions of 3.8 and 2.0 t ha−1. Stability analysis revealed that omission of N was more stable with a regression coefficient of 0.5; it was followed by P with a value of 1. Potassium, S and B were limiting nutrients only in some farms. N and P should continue to be included in potato nutrient management, while K, S and B should be added based on soil test.&quot;,&quot;publisher&quot;:&quot;Informa Healthcare&quot;,&quot;issue&quot;:&quot;1&quot;,&quot;volume&quot;:&quot;7&quot;},&quot;isTemporary&quot;:false}]},{&quot;citationID&quot;:&quot;MENDELEY_CITATION_374cdffe-e838-4795-994e-1cfbe3d1d272&quot;,&quot;properties&quot;:{&quot;noteIndex&quot;:0},&quot;isEdited&quot;:false,&quot;manualOverride&quot;:{&quot;isManuallyOverridden&quot;:false,&quot;citeprocText&quot;:&quot;(Mwakidoshi, 2021)&quot;,&quot;manualOverrideText&quot;:&quot;&quot;},&quot;citationTag&quot;:&quot;MENDELEY_CITATION_v3_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&quot;,&quot;citationItems&quot;:[{&quot;id&quot;:&quot;0b007e72-3119-37e6-bde8-18e76de1adbd&quot;,&quot;itemData&quot;:{&quot;type&quot;:&quot;article-journal&quot;,&quot;id&quot;:&quot;0b007e72-3119-37e6-bde8-18e76de1adbd&quot;,&quot;title&quot;:&quot;Economic Importance, Ecological Requirements and Production Constraints of Potato (Solanum tuberosum L.) in Kenya&quot;,&quot;author&quot;:[{&quot;family&quot;:&quot;Mwakidoshi&quot;,&quot;given&quot;:&quot;Emmanuel R.&quot;,&quot;parse-names&quot;:false,&quot;dropping-particle&quot;:&quot;&quot;,&quot;non-dropping-particle&quot;:&quot;&quot;}],&quot;container-title&quot;:&quot;International Journal of Bioresource Science&quot;,&quot;DOI&quot;:&quot;10.30954/2347-9655.02.2021.1&quot;,&quot;ISSN&quot;:&quot;23479655&quot;,&quot;issued&quot;:{&quot;date-parts&quot;:[[2021,12,25]]},&quot;abstract&quot;:&quot;In Kenya, potato production is done mainly by smallholder farmers as a key food and cash crop. About 83% of the country's crop production is mainly in highland areas with an altitude of between 1,200 and 3,000 m above sea level. The country's average potato yield ranges from 8 to 15 t ha −1 , 2 to 3 times below the achievable yield of 40 t ha −1. The production is mainly limited by unavailability of certified seeds, increased pests, diseases, decreased soil fertility and erratic rainfall. The current work reviews the current status of potato production in Kenya with emphasis on its importance, ecological requirements and constraints. HIGHLIGHTS m Potatoes require a minimal of 750-1000 mm rainfall with altitude of 1500-4200 m.a.s.l and temperature range of 15-20°. m Potato plants have a higher nutrient requirement, for macronutrients for optimal growth and profitable production. m Factors affecting potato production include inadequate fertilization, seeds quality, pesticides and herbicides high pricing, pests and diseases and climatic variations.&quot;,&quot;publisher&quot;:&quot;New Delhi Publishers&quot;,&quot;issue&quot;:&quot;2&quot;,&quot;volume&quot;:&quot;8&quot;,&quot;container-title-short&quot;:&quot;&quot;},&quot;isTemporary&quot;:false}]},{&quot;citationID&quot;:&quot;MENDELEY_CITATION_8832a901-2a3d-43bc-8cb5-c10528bf4d42&quot;,&quot;properties&quot;:{&quot;noteIndex&quot;:0},&quot;isEdited&quot;:false,&quot;manualOverride&quot;:{&quot;isManuallyOverridden&quot;:false,&quot;citeprocText&quot;:&quot;(Mburu et al., 2023)&quot;,&quot;manualOverrideText&quot;:&quot;&quot;},&quot;citationTag&quot;:&quot;MENDELEY_CITATION_v3_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&quot;,&quot;citationItems&quot;:[{&quot;id&quot;:&quot;3b7e891a-789c-302e-9bc8-3ada171bda50&quot;,&quot;itemData&quot;:{&quot;type&quot;:&quot;article-journal&quot;,&quot;id&quot;:&quot;3b7e891a-789c-302e-9bc8-3ada171bda50&quot;,&quot;title&quot;:&quot;Influence of Access to Extension Services on Smallholder Farmers’ Use of Certified Seed Potatoes (CSPs) in Kipipiri Sub-County, Kenya&quot;,&quot;author&quot;:[{&quot;family&quot;:&quot;Mburu&quot;,&quot;given&quot;:&quot;J. M.&quot;,&quot;parse-names&quot;:false,&quot;dropping-particle&quot;:&quot;&quot;,&quot;non-dropping-particle&quot;:&quot;&quot;},{&quot;family&quot;:&quot;Oyugi&quot;,&quot;given&quot;:&quot;M. A.&quot;,&quot;parse-names&quot;:false,&quot;dropping-particle&quot;:&quot;&quot;,&quot;non-dropping-particle&quot;:&quot;&quot;},{&quot;family&quot;:&quot;Makenzi&quot;,&quot;given&quot;:&quot;P. M.&quot;,&quot;parse-names&quot;:false,&quot;dropping-particle&quot;:&quot;&quot;,&quot;non-dropping-particle&quot;:&quot;&quot;}],&quot;container-title&quot;:&quot;Asian Journal of Agricultural Extension, Economics &amp; Sociology&quot;,&quot;DOI&quot;:&quot;10.9734/ajaees/2023/v41i41891&quot;,&quot;issued&quot;:{&quot;date-parts&quot;:[[2023,4,7]]},&quot;page&quot;:&quot;169-177&quot;,&quot;abstract&quot;:&quot;Extension services delivery remains a key driver in farmers’ uptake and use of improved farming technologies in rural areas which are predominantly occupied by poor farmers. The use of certified seed potatoes (CSPs) increases yield and potato productivity. Most smallholder farmers lack knowledge of how to use CSPs while others are not even aware of their existence. This has given farmers an opportunity to use and re-use their own seeds saved from their local storage facilities. The paper sought to determine whether access to extension services influenced smallholder farmers’ use of CSPs in Kipipiri Sub-County, Kenya. A structured, researcher-administered, questionnaire was used in collecting data from one hundred and six smallholder potato farmers randomly selected from the area. Descriptive statistics and a binary logistic model were used for statistical analysis. The findings indicated that there was a significant relationship between access to extension services and the use of CSPs. 85 per cent of the respondents were found to have access to extension services while 21 % had no access. Additionally, on the frequency, the majority of the respondents (64%) rarely accessed the services and 36% reported accessing the extension services always. These findings suggest that extension services are a major component that drives farmers’ use of CSPs in the study area. Therefore, for farmers to benefit fully, extension agents need to increase their service delivery to smallholder potato farmers. County governments also need to improve the existing farmer training centers to assist farmers to acquire knowledge on the use of CSPs. This would increase potato productivity in the area.&quot;,&quot;publisher&quot;:&quot;Sciencedomain International&quot;,&quot;issue&quot;:&quot;4&quot;,&quot;volume&quot;:&quot;41&quot;,&quot;container-title-short&quot;:&quot;&quot;},&quot;isTemporary&quot;:false}]},{&quot;citationID&quot;:&quot;MENDELEY_CITATION_f7760981-8f5c-488e-adb9-e97ca7539c98&quot;,&quot;properties&quot;:{&quot;noteIndex&quot;:0},&quot;isEdited&quot;:false,&quot;manualOverride&quot;:{&quot;isManuallyOverridden&quot;:false,&quot;citeprocText&quot;:&quot;(Chen &amp;#38; Yang, 2024)&quot;,&quot;manualOverrideText&quot;:&quot;&quot;},&quot;citationTag&quot;:&quot;MENDELEY_CITATION_v3_eyJjaXRhdGlvbklEIjoiTUVOREVMRVlfQ0lUQVRJT05fZjc3NjA5ODEtOGY1Yy00ODhlLWFkYjktZTk3Y2E3NTM5Yzk4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quot;,&quot;citationItems&quot;:[{&quot;id&quot;:&quot;fbb019b4-1549-3f05-916c-0b1bc7db5f32&quot;,&quot;itemData&quot;:{&quot;type&quot;:&quot;article-journal&quot;,&quot;id&quot;:&quot;fbb019b4-1549-3f05-916c-0b1bc7db5f32&quot;,&quot;title&quot;:&quot;Geographically weighted regression analysis for nonnegative continuous outcomes: An application to Taiwan dengue data&quot;,&quot;author&quot;:[{&quot;family&quot;:&quot;Chen&quot;,&quot;given&quot;:&quot;Vivian Yi Ju&quot;,&quot;parse-names&quot;:false,&quot;dropping-particle&quot;:&quot;&quot;,&quot;non-dropping-particle&quot;:&quot;&quot;},{&quot;family&quot;:&quot;Yang&quot;,&quot;given&quot;:&quot;Yun Ciao&quot;,&quot;parse-names&quot;:false,&quot;dropping-particle&quot;:&quot;&quot;,&quot;non-dropping-particle&quot;:&quot;&quot;}],&quot;container-title&quot;:&quot;PLoS ONE&quot;,&quot;container-title-short&quot;:&quot;PLoS One&quot;,&quot;DOI&quot;:&quot;10.1371/journal.pone.0315327&quot;,&quot;ISSN&quot;:&quot;19326203&quot;,&quot;PMID&quot;:&quot;39666638&quot;,&quot;issued&quot;:{&quot;date-parts&quot;:[[2024,12,1]]},&quot;abstract&quot;:&quot;Geographically Weighted Regression (GWR) has gained widespread popularity across various disciplines for investigating spatial heterogeneity with respect to data relationships in georeferenced datasets. However, GWR is typically limited to the analysis of continuous dependent variables, which are assumed to follow a symmetric normal distribution. In many fields, nonnegative continuous data are often observed and may contain substantial amounts of zeros followed by a right-skewed distribution of positive values. When dealing with such type of outcomes, GWR may not provide adequate insights into spatially varying regression relationships. This study intends to extend the GWR based on a compound Poisson distribution. Such an extension not only allows for exploration of relationship heterogeneity but also accommodates nonnegative continuous response variables. We provide a detailed specification of the proposed model and discuss related modeling issues. Through simulation experiments, we assess the performance of this novel approach. Finally, we present an empirical case study using a dataset on dengue fever in Tainan, Taiwan, to demonstrate the practical applicability and utility of our proposed methodology.&quot;,&quot;publisher&quot;:&quot;Public Library of Science&quot;,&quot;issue&quot;:&quot;12 December&quot;,&quot;volume&quot;:&quot;19&quot;},&quot;isTemporary&quot;:false}]},{&quot;citationID&quot;:&quot;MENDELEY_CITATION_51213f6d-7e1e-4d21-bc8d-e70e5a51a6d4&quot;,&quot;properties&quot;:{&quot;noteIndex&quot;:0},&quot;isEdited&quot;:false,&quot;manualOverride&quot;:{&quot;isManuallyOverridden&quot;:true,&quot;citeprocText&quot;:&quot;(Geissinger et al., 2022)&quot;,&quot;manualOverrideText&quot;:&quot;(Geissinger et al., 2022a).&quot;},&quot;citationTag&quot;:&quot;MENDELEY_CITATION_v3_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&quot;,&quot;citationItems&quot;:[{&quot;id&quot;:&quot;48b75205-a2e8-35ee-9931-0871830be6c8&quot;,&quot;itemData&quot;:{&quot;type&quot;:&quot;article-journal&quot;,&quot;id&quot;:&quot;48b75205-a2e8-35ee-9931-0871830be6c8&quot;,&quot;title&quot;:&quot;A case for beta regression in the natural sciences&quot;,&quot;author&quot;:[{&quot;family&quot;:&quot;Geissinger&quot;,&quot;given&quot;:&quot;Emilie A.&quot;,&quot;parse-names&quot;:false,&quot;dropping-particle&quot;:&quot;&quot;,&quot;non-dropping-particle&quot;:&quot;&quot;},{&quot;family&quot;:&quot;Khoo&quot;,&quot;given&quot;:&quot;Celyn L.L.&quot;,&quot;parse-names&quot;:false,&quot;dropping-particle&quot;:&quot;&quot;,&quot;non-dropping-particle&quot;:&quot;&quot;},{&quot;family&quot;:&quot;Richmond&quot;,&quot;given&quot;:&quot;Isabella C.&quot;,&quot;parse-names&quot;:false,&quot;dropping-particle&quot;:&quot;&quot;,&quot;non-dropping-particle&quot;:&quot;&quot;},{&quot;family&quot;:&quot;Faulkner&quot;,&quot;given&quot;:&quot;Sally J.M.&quot;,&quot;parse-names&quot;:false,&quot;dropping-particle&quot;:&quot;&quot;,&quot;non-dropping-particle&quot;:&quot;&quot;},{&quot;family&quot;:&quot;Schneider&quot;,&quot;given&quot;:&quot;David C.&quot;,&quot;parse-names&quot;:false,&quot;dropping-particle&quot;:&quot;&quot;,&quot;non-dropping-particle&quot;:&quot;&quot;}],&quot;container-title&quot;:&quot;Ecosphere&quot;,&quot;DOI&quot;:&quot;10.1002/ecs2.3940&quot;,&quot;ISSN&quot;:&quot;21508925&quot;,&quot;issued&quot;:{&quot;date-parts&quot;:[[2022,2,1]]},&quot;abstract&quot;:&quot;Data in the natural sciences are often in the form of percentages or proportions that are continuous and bounded by 0 and 1. Statistical analysis assuming a normal error structure can produce biased and incorrect estimates when data are doubly bounded. Beta regression uses an error structure appropriate for such data. We conducted a literature review of percent and proportion data from 2004 to 2020 to determine the types of analyses used for (0, 1) bounded data. Our literature review showed that before 2012, angular transformations accounted for 93% of analyses of proportion or percent data. After 2012, angular transformation accounted for 52% of analyses and beta regression accounted for 14% of analyses. We compared a linear model with angular transformation with beta regression using data from two fields of the natural sciences that produce continuous, bounded data: biogeochemistry and ecological elemental composition. We found little difference in model diagnostics, likelihood ratios, and p-values between the two models. However, we found substantially different coefficient estimates from the back-calculated beta regression and angular transformation models. Beta regression provides reliable parameter estimates in natural science studies where effect sizes are considered as important as hypothesis testing.&quot;,&quot;publisher&quot;:&quot;John Wiley and Sons Inc&quot;,&quot;issue&quot;:&quot;2&quot;,&quot;volume&quot;:&quot;13&quot;,&quot;container-title-short&quot;:&quot;&quot;},&quot;isTemporary&quot;:false}]},{&quot;citationID&quot;:&quot;MENDELEY_CITATION_b2398e8f-5eb1-4a79-b003-9788c8c5737b&quot;,&quot;properties&quot;:{&quot;noteIndex&quot;:0},&quot;isEdited&quot;:false,&quot;manualOverride&quot;:{&quot;isManuallyOverridden&quot;:false,&quot;citeprocText&quot;:&quot;(Levaj et al., 2023)&quot;,&quot;manualOverrideText&quot;:&quot;&quot;},&quot;citationTag&quot;:&quot;MENDELEY_CITATION_v3_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&quot;,&quot;citationItems&quot;:[{&quot;id&quot;:&quot;47e4a74a-caa3-3de0-b36c-8daffb1b1aeb&quot;,&quot;itemData&quot;:{&quot;type&quot;:&quot;article&quot;,&quot;id&quot;:&quot;47e4a74a-caa3-3de0-b36c-8daffb1b1aeb&quot;,&quot;title&quot;:&quot;Maintaining the Quality and Safety of Fresh-Cut Potatoes (Solanum tuberosum): Overview of Recent Findings and Approaches&quot;,&quot;author&quot;:[{&quot;family&quot;:&quot;Levaj&quot;,&quot;given&quot;:&quot;Branka&quot;,&quot;parse-names&quot;:false,&quot;dropping-particle&quot;:&quot;&quot;,&quot;non-dropping-particle&quot;:&quot;&quot;},{&quot;family&quot;:&quot;Pelaić&quot;,&quot;given&quot;:&quot;Zdenka&quot;,&quot;parse-names&quot;:false,&quot;dropping-particle&quot;:&quot;&quot;,&quot;non-dropping-particle&quot;:&quot;&quot;},{&quot;family&quot;:&quot;Galić&quot;,&quot;given&quot;:&quot;Kata&quot;,&quot;parse-names&quot;:false,&quot;dropping-particle&quot;:&quot;&quot;,&quot;non-dropping-particle&quot;:&quot;&quot;},{&quot;family&quot;:&quot;Kurek&quot;,&quot;given&quot;:&quot;Mia&quot;,&quot;parse-names&quot;:false,&quot;dropping-particle&quot;:&quot;&quot;,&quot;non-dropping-particle&quot;:&quot;&quot;},{&quot;family&quot;:&quot;Ščetar&quot;,&quot;given&quot;:&quot;Mario&quot;,&quot;parse-names&quot;:false,&quot;dropping-particle&quot;:&quot;&quot;,&quot;non-dropping-particle&quot;:&quot;&quot;},{&quot;family&quot;:&quot;Poljak&quot;,&quot;given&quot;:&quot;Milan&quot;,&quot;parse-names&quot;:false,&quot;dropping-particle&quot;:&quot;&quot;,&quot;non-dropping-particle&quot;:&quot;&quot;},{&quot;family&quot;:&quot;Dite Hunjek&quot;,&quot;given&quot;:&quot;Draženka&quot;,&quot;parse-names&quot;:false,&quot;dropping-particle&quot;:&quot;&quot;,&quot;non-dropping-particle&quot;:&quot;&quot;},{&quot;family&quot;:&quot;Pedisić&quot;,&quot;given&quot;:&quot;Sandra&quot;,&quot;parse-names&quot;:false,&quot;dropping-particle&quot;:&quot;&quot;,&quot;non-dropping-particle&quot;:&quot;&quot;},{&quot;family&quot;:&quot;Balbino&quot;,&quot;given&quot;:&quot;Sandra&quot;,&quot;parse-names&quot;:false,&quot;dropping-particle&quot;:&quot;&quot;,&quot;non-dropping-particle&quot;:&quot;&quot;},{&quot;family&quot;:&quot;Čošić&quot;,&quot;given&quot;:&quot;Zrinka&quot;,&quot;parse-names&quot;:false,&quot;dropping-particle&quot;:&quot;&quot;,&quot;non-dropping-particle&quot;:&quot;&quot;},{&quot;family&quot;:&quot;Dujmić&quot;,&quot;given&quot;:&quot;Filip&quot;,&quot;parse-names&quot;:false,&quot;dropping-particle&quot;:&quot;&quot;,&quot;non-dropping-particle&quot;:&quot;&quot;},{&quot;family&quot;:&quot;Repajić&quot;,&quot;given&quot;:&quot;Maja&quot;,&quot;parse-names&quot;:false,&quot;dropping-particle&quot;:&quot;&quot;,&quot;non-dropping-particle&quot;:&quot;&quot;}],&quot;container-title&quot;:&quot;Agronomy&quot;,&quot;DOI&quot;:&quot;10.3390/agronomy13082002&quot;,&quot;ISSN&quot;:&quot;20734395&quot;,&quot;issued&quot;:{&quot;date-parts&quot;:[[2023,8,1]]},&quot;abstract&quot;:&quot;Fresh-cut potatoes (FCP), like other fresh-cut (minimally processed) vegetables, are a convenient but highly perishable product. Unlike most fresh-cut vegetables, which are “ready-to-eat”, FCP must be cooked before consumption. Therefore, in addition to the safety (chemical and microbiological), quality and sensory characteristics of raw FCP, the same requirements should be applied for cooked potatoes. It is known that many factors play a role in meeting all these requirements: (i) selection of cultivars less susceptible to browning; (ii) use of anti-browning and antimicrobial agents and/or certain physical methods against browning and microbial growth; (iii) packaging and cold storage conditions. In recent studies on FCP, scientists have attempted to deepen their knowledge of the mechanisms of browning prevention to better understand changes at the molecular level as well. The main objective of this review is to provide a comprehensive overview of recent research, which aimed at deepening knowledge of the various changes that occur in potatoes during processing, and to develop new approaches that could help improve quality and extend FCP shelf life. It also discusses the effects of subsequent cooking of FCP on sensory and other properties, as well as on chemical constituents.&quot;,&quot;publisher&quot;:&quot;Multidisciplinary Digital Publishing Institute (MDPI)&quot;,&quot;issue&quot;:&quot;8&quot;,&quot;volume&quot;:&quot;13&quot;,&quot;container-title-short&quot;:&quot;&quot;},&quot;isTemporary&quot;:false}]},{&quot;citationID&quot;:&quot;MENDELEY_CITATION_dabda28a-6ddf-4b9f-a11d-9faed0f0003b&quot;,&quot;properties&quot;:{&quot;noteIndex&quot;:0},&quot;isEdited&quot;:false,&quot;manualOverride&quot;:{&quot;isManuallyOverridden&quot;:false,&quot;citeprocText&quot;:&quot;(Mugo et al., 2021; Olakiumide, 2021)&quot;,&quot;manualOverrideText&quot;:&quot;&quot;},&quot;citationTag&quot;:&quot;MENDELEY_CITATION_v3_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&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id&quot;:&quot;89958097-af4c-3f02-abd2-a961372dd74c&quot;,&quot;itemData&quot;:{&quot;type&quot;:&quot;article-journal&quot;,&quot;id&quot;:&quot;89958097-af4c-3f02-abd2-a961372dd74c&quot;,&quot;title&quot;:&quot;Response of potato crop to selected nutrients in central and eastern highlands of Kenya&quot;,&quot;author&quot;:[{&quot;family&quot;:&quot;Mugo&quot;,&quot;given&quot;:&quot;James N.&quot;,&quot;parse-names&quot;:false,&quot;dropping-particle&quot;:&quot;&quot;,&quot;non-dropping-particle&quot;:&quot;&quot;},{&quot;family&quot;:&quot;Karanja&quot;,&quot;given&quot;:&quot;Nancy N.&quot;,&quot;parse-names&quot;:false,&quot;dropping-particle&quot;:&quot;&quot;,&quot;non-dropping-particle&quot;:&quot;&quot;},{&quot;family&quot;:&quot;Gachene&quot;,&quot;given&quot;:&quot;Charles K.&quot;,&quot;parse-names&quot;:false,&quot;dropping-particle&quot;:&quot;&quot;,&quot;non-dropping-particle&quot;:&quot;&quot;},{&quot;family&quot;:&quot;Dittert&quot;,&quot;given&quot;:&quot;Klaus&quot;,&quot;parse-names&quot;:false,&quot;dropping-particle&quot;:&quot;&quot;,&quot;non-dropping-particle&quot;:&quot;&quot;},{&quot;family&quot;:&quot;Gitari&quot;,&quot;given&quot;:&quot;Harun I.&quot;,&quot;parse-names&quot;:false,&quot;dropping-particle&quot;:&quot;&quot;,&quot;non-dropping-particle&quot;:&quot;&quot;},{&quot;family&quot;:&quot;Schulte-Geldermann&quot;,&quot;given&quot;:&quot;Elmar&quot;,&quot;parse-names&quot;:false,&quot;dropping-particle&quot;:&quot;&quot;,&quot;non-dropping-particle&quot;:&quot;&quot;}],&quot;container-title&quot;:&quot;Cogent Food and Agriculture&quot;,&quot;container-title-short&quot;:&quot;Cogent Food Agric.&quot;,&quot;DOI&quot;:&quot;10.1080/23311932.2021.1898762&quot;,&quot;ISSN&quot;:&quot;23311932&quot;,&quot;issued&quot;:{&quot;date-parts&quot;:[[2021]]},&quot;abstract&quot;:&quot;Low nutrients have been reported in potato-growing areas of Kenya, prompting a need for nutrient management research. A study was designed to determine the effect of omitting nutrients on potato growth, yield and harvest index. On-farm nutrient omission trials were set during the long rains (LR) and short rains (SR) of 2016 in which the treatments involve the judicious omission of N, P, K, S and B. Additional two treatments were included with one receiving all the nutrients and a control where no nutrients were added. The treatment was laid in a randomized complete block design with three replications. Potato yields reduced by 6.6 and 11.2 t ha−1 in N-omitted treatments in LR and SR, respectively, when compared to the one receiving all the nutrients, while omitting P resulted in respective yield reductions of 3.8 and 2.0 t ha−1. Stability analysis revealed that omission of N was more stable with a regression coefficient of 0.5; it was followed by P with a value of 1. Potassium, S and B were limiting nutrients only in some farms. N and P should continue to be included in potato nutrient management, while K, S and B should be added based on soil test.&quot;,&quot;publisher&quot;:&quot;Informa Healthcare&quot;,&quot;issue&quot;:&quot;1&quot;,&quot;volume&quot;:&quot;7&quot;},&quot;isTemporary&quot;:false}]},{&quot;citationID&quot;:&quot;MENDELEY_CITATION_77486474-0710-4996-a7f8-8c28f454edeb&quot;,&quot;properties&quot;:{&quot;noteIndex&quot;:0},&quot;isEdited&quot;:false,&quot;manualOverride&quot;:{&quot;isManuallyOverridden&quot;:true,&quot;citeprocText&quot;:&quot;(Ariong et al., 2023; &lt;i&gt;Post-Harvest-Losses-of-Cereals-in-Developing-Countries-A-Review&lt;/i&gt;, n.d.; Yonas et al., 2021)&quot;,&quot;manualOverrideText&quot;:&quot;(Ariong et al., 2023; Yonas et al., 2021)&quot;},&quot;citationTag&quot;:&quot;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&quot;,&quot;citationItems&quot;:[{&quot;id&quot;:&quot;e1c09842-3cd0-31cc-98c6-c6c479ad0c7a&quot;,&quot;itemData&quot;:{&quot;type&quot;:&quot;article-journal&quot;,&quot;id&quot;:&quot;e1c09842-3cd0-31cc-98c6-c6c479ad0c7a&quot;,&quot;title&quot;:&quot;Post-Harvest-Losses-of-Cereals-in-Developing-Countries-A-Review&quot;,&quot;container-title-short&quot;:&quot;&quot;},&quot;isTemporary&quot;:false},{&quot;id&quot;:&quot;38b4c157-8dc0-33ed-90fe-44969134c148&quot;,&quot;itemData&quot;:{&quot;type&quot;:&quot;article-journal&quot;,&quot;id&quot;:&quot;38b4c157-8dc0-33ed-90fe-44969134c148&quot;,&quot;title&quot;:&quot;Stored-grain losses and management practices among smallholder cereal farmers in Northern Ethiopia&quot;,&quot;author&quot;:[{&quot;family&quot;:&quot;Yonas&quot;,&quot;given&quot;:&quot;Meheretu&quot;,&quot;parse-names&quot;:false,&quot;dropping-particle&quot;:&quot;&quot;,&quot;non-dropping-particle&quot;:&quot;&quot;},{&quot;family&quot;:&quot;Ashenafi&quot;,&quot;given&quot;:&quot;Fanos&quot;,&quot;parse-names&quot;:false,&quot;dropping-particle&quot;:&quot;&quot;,&quot;non-dropping-particle&quot;:&quot;&quot;},{&quot;family&quot;:&quot;Kidane&quot;,&quot;given&quot;:&quot;Dawit&quot;,&quot;parse-names&quot;:false,&quot;dropping-particle&quot;:&quot;&quot;,&quot;non-dropping-particle&quot;:&quot;&quot;},{&quot;family&quot;:&quot;Welegerima&quot;,&quot;given&quot;:&quot;Kiros&quot;,&quot;parse-names&quot;:false,&quot;dropping-particle&quot;:&quot;&quot;,&quot;non-dropping-particle&quot;:&quot;&quot;}],&quot;container-title&quot;:&quot;International Journal of Pest Management&quot;,&quot;container-title-short&quot;:&quot;Int. J. Pest Manag.&quot;,&quot;DOI&quot;:&quot;10.1080/09670874.2020.1795301&quot;,&quot;ISSN&quot;:&quot;13665863&quot;,&quot;issued&quot;:{&quot;date-parts&quot;:[[2021]]},&quot;page&quot;:&quot;59-68&quot;,&quot;abstract&quot;:&quot;Storage pests are a major concern to smallholder farmers in Africa south of the Sahara since their livelihoods heavily depend on subsistence agriculture. These farmers depend mainly on traditional grain storage materials and pest management methods, both of which are generally ineffective against pests. Here we provide insights into stored-grain losses suffered by highland and lowland farmers in northern Ethiopia using a survey conducted during the 2016/2017 cropping season. A total of 109 household heads were interviewed and about half were visited for observation of grain storage materials. Irrespective of agroecology, the predominant stored-grain pests were weevils, rats, and termites. Both highland and lowland farmers stored grains in woven polythene sacks and dung made barrels indoors, and in barns outdoors. Some lowland farmers stored grains in underground pits outdoors. While highland farmers suffered an 8.03% average annual grain loss to the storage pests, the lowland farmers suffered a 12.18% average annual grain loss, which was significant (p = 0.007). The multiple linear regression analysis indicated significantly higher stored-grain losses in (i) lowland than highland farmers, (ii) households with heads holding village administrative positions than households with heads not holding any village administrative position, (iii) households storing grains for an additional month than households that did not and (iv) households storing grains in other indoor storage materials than households storing grains in woven polythene bags with plastic liners inside (p &lt; 0.05). Households with one more family member working on the farm and household heads who had attended training on pest management suffered significantly lower losses (p &lt; 0.05). Innovative storage methods and environmentally benign management options are recommended.&quot;,&quot;publisher&quot;:&quot;Taylor and Francis Ltd.&quot;,&quot;issue&quot;:&quot;1&quot;,&quot;volume&quot;:&quot;68&quot;},&quot;isTemporary&quot;:false},{&quot;id&quot;:&quot;37a74396-1593-31a3-bd8e-da435ff09075&quot;,&quot;itemData&quot;:{&quot;type&quot;:&quot;article-journal&quot;,&quot;id&quot;:&quot;37a74396-1593-31a3-bd8e-da435ff09075&quot;,&quot;title&quot;:&quot;The cost of inadequate postharvest management of pulse grain: Farmer losses due to handling and storage practices in Uganda&quot;,&quot;author&quot;:[{&quot;family&quot;:&quot;Ariong&quot;,&quot;given&quot;:&quot;Richard M.&quot;,&quot;parse-names&quot;:false,&quot;dropping-particle&quot;:&quot;&quot;,&quot;non-dropping-particle&quot;:&quot;&quot;},{&quot;family&quot;:&quot;Okello&quot;,&quot;given&quot;:&quot;Daniel M.&quot;,&quot;parse-names&quot;:false,&quot;dropping-particle&quot;:&quot;&quot;,&quot;non-dropping-particle&quot;:&quot;&quot;},{&quot;family&quot;:&quot;Otim&quot;,&quot;given&quot;:&quot;Michael Hilary&quot;,&quot;parse-names&quot;:false,&quot;dropping-particle&quot;:&quot;&quot;,&quot;non-dropping-particle&quot;:&quot;&quot;},{&quot;family&quot;:&quot;Paparu&quot;,&quot;given&quot;:&quot;Pamela&quot;,&quot;parse-names&quot;:false,&quot;dropping-particle&quot;:&quot;&quot;,&quot;non-dropping-particle&quot;:&quot;&quot;}],&quot;container-title&quot;:&quot;Agriculture and Food Security&quot;,&quot;container-title-short&quot;:&quot;Agric. Food Secur.&quot;,&quot;DOI&quot;:&quot;10.1186/s40066-023-00423-7&quot;,&quot;ISSN&quot;:&quot;20487010&quot;,&quot;issued&quot;:{&quot;date-parts&quot;:[[2023,12,1]]},&quot;abstract&quot;:&quot;Background: Investing in postharvest technologies is one way of reducing food losses with the aim of achieving food security, but it is often overlooked. In this study, we assessed the losses and costs associated with the harvest and postharvest practices used by smallholder bean farmers in Uganda. We also estimated the grain Moisture Content (MC) associated with traditional storage practices. Results: Harvest and postharvest handling practices result in a loss of about 22% of the crop harvest. The cost associated with this loss is 17% of the output value. In addition, the common storage practices used by farmers are unable to maintain the required grain MC of ≤ 13%. As even a slight change in grain MC can significantly impact storage duration, we found that 74% of farmers fail to meet the required MC, resulting in a loss of anticipated price premiums over an average storage duration of 80 days. Our econometric estimates suggest that storing grain in bags placed above the floor surface could reduce MC by an additional 1.5%. Conclusions: Our predictions indicate that farmers who use traditional practices should store bean grains for less than 60 days, or they should adopt better storage practices to increase shelf life and ensure food safety. If more farmers had placed their grain above the floor surface, 48% rather than 26% would have met the required MC at 90 days. It is worth noting that poor postharvest handling has significant economic implications and can lead to food safety concerns due to quality failures in the grain. To address these issues, there is a need to scale up interventions that increase farmer access to postharvest technologies.&quot;,&quot;publisher&quot;:&quot;BioMed Central Ltd&quot;,&quot;issue&quot;:&quot;1&quot;,&quot;volume&quot;:&quot;12&quot;},&quot;isTemporary&quot;:false}]},{&quot;citationID&quot;:&quot;MENDELEY_CITATION_9bdcbebd-e0bf-4311-addb-7011c8fb469e&quot;,&quot;properties&quot;:{&quot;noteIndex&quot;:0},&quot;isEdited&quot;:false,&quot;manualOverride&quot;:{&quot;isManuallyOverridden&quot;:false,&quot;citeprocText&quot;:&quot;(Ma et al., 2025)&quot;,&quot;manualOverrideText&quot;:&quot;&quot;},&quot;citationTag&quot;:&quot;MENDELEY_CITATION_v3_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&quot;,&quot;citationItems&quot;:[{&quot;id&quot;:&quot;5778986c-d5c2-3302-b75f-27e36ab52f29&quot;,&quot;itemData&quot;:{&quot;type&quot;:&quot;article-journal&quot;,&quot;id&quot;:&quot;5778986c-d5c2-3302-b75f-27e36ab52f29&quot;,&quot;title&quot;:&quot;ZIP: Scalable Crowd Counting via Zero-Inflated Poisson Modeling&quot;,&quot;author&quot;:[{&quot;family&quot;:&quot;Ma&quot;,&quot;given&quot;:&quot;Yiming&quot;,&quot;parse-names&quot;:false,&quot;dropping-particle&quot;:&quot;&quot;,&quot;non-dropping-particle&quot;:&quot;&quot;},{&quot;family&quot;:&quot;Sanchez&quot;,&quot;given&quot;:&quot;Victor&quot;,&quot;parse-names&quot;:false,&quot;dropping-particle&quot;:&quot;&quot;,&quot;non-dropping-particle&quot;:&quot;&quot;},{&quot;family&quot;:&quot;Guha&quot;,&quot;given&quot;:&quot;Tanaya&quot;,&quot;parse-names&quot;:false,&quot;dropping-particle&quot;:&quot;&quot;,&quot;non-dropping-particle&quot;:&quot;&quot;}],&quot;URL&quot;:&quot;http://arxiv.org/abs/2506.19955&quot;,&quot;issued&quot;:{&quot;date-parts&quot;:[[2025,7,31]]},&quot;abstract&quot;:&quot;Most crowd counting methods directly regress blockwise density maps using Mean Squared Error (MSE) losses. This practice has two key limitations: (1) it fails to account for the extreme spatial sparsity of annotations - over 95% of 8x8 blocks are empty across standard benchmarks, so supervision signals in informative regions are diluted by the predominant zeros; (2) MSE corresponds to a Gaussian error model that poorly matches discrete, non-negative count data. To address these issues, we introduce ZIP, a scalable crowd counting framework that models blockwise counts with a Zero-Inflated Poisson likelihood: a zero-inflation term learns the probability a block is structurally empty (handling excess zeros), while the Poisson component captures expected counts when people are present (respecting discreteness). We provide a generalization analysis showing a tighter risk bound for ZIP than MSE-based losses and DMCount provided that the training resolution is moderately large. To assess the scalability of ZIP, we instantiate it on backbones spanning over 100x in parameters/compute. Experiments on ShanghaiTech A &amp; B, UCF-QNRF, and NWPU-Crowd demonstrate that ZIP consistently surpasses state-of-the-art methods across all model scales.&quot;,&quot;container-title-short&quot;:&quot;&quot;},&quot;isTemporary&quot;:false}]},{&quot;citationID&quot;:&quot;MENDELEY_CITATION_c996b160-7a9d-4de0-a759-0c8d6b2b96e2&quot;,&quot;properties&quot;:{&quot;noteIndex&quot;:0},&quot;isEdited&quot;:false,&quot;manualOverride&quot;:{&quot;isManuallyOverridden&quot;:false,&quot;citeprocText&quot;:&quot;(Saha et al., 2026)&quot;,&quot;manualOverrideText&quot;:&quot;&quot;},&quot;citationTag&quot;:&quot;MENDELEY_CITATION_v3_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&quot;,&quot;citationItems&quot;:[{&quot;id&quot;:&quot;8202511c-cfa8-3758-be81-56341170c488&quot;,&quot;itemData&quot;:{&quot;type&quot;:&quot;article-journal&quot;,&quot;id&quot;:&quot;8202511c-cfa8-3758-be81-56341170c488&quot;,&quot;title&quot;:&quot;Poisson Log-Normal Process for Count Data Prediction&quot;,&quot;author&quot;:[{&quot;family&quot;:&quot;Saha&quot;,&quot;given&quot;:&quot;Anushka&quot;,&quot;parse-names&quot;:false,&quot;dropping-particle&quot;:&quot;&quot;,&quot;non-dropping-particle&quot;:&quot;&quot;},{&quot;family&quot;:&quot;Gandrakota&quot;,&quot;given&quot;:&quot;Abhijith&quot;,&quot;parse-names&quot;:false,&quot;dropping-particle&quot;:&quot;&quot;,&quot;non-dropping-particle&quot;:&quot;&quot;},{&quot;family&quot;:&quot;Morozov&quot;,&quot;given&quot;:&quot;Alexandre&quot;,&quot;parse-names&quot;:false,&quot;dropping-particle&quot;:&quot;V.&quot;,&quot;non-dropping-particle&quot;:&quot;&quot;}],&quot;URL&quot;:&quot;http://arxiv.org/abs/2602.05926&quot;,&quot;issued&quot;:{&quot;date-parts&quot;:[[2026,2,5]]},&quot;abstract&quot;:&quot;Modeling count data is important in physics and other scientific disciplines, where measurements often involve discrete, non-negative quantities such as photon or neutrino detection events. Traditional parametric approaches can be trained to generate integer-count predictions but may struggle with capturing complex, non-linear dependencies often observed in the data. Gaussian process (GP) regression provides a robust non-parametric alternative to modeling continuous data; however, it cannot generate integer outputs. We propose the Poisson Log-Normal (PoLoN) process, a framework that employs GP to model Poisson log-rates. As in GP regression, our approach relies on the correlations between data points captured via GP kernel structure rather than explicit functional parameterizations. We demonstrate that the PoLoN predictive distribution is Poisson-LogNormal and provide an algorithm for optimizing kernel hyperparameters. Furthermore, we adapt the PoLoN approach to the problem of detecting weak localized signals superimposed on a smoothly varying background - a task of considerable interest in many areas of science and engineering. Our framework allows us to predict the strength, location and width of the detected signals. We evaluate PoLoN's performance using both synthetic and real-world datasets, including the open dataset from CERN which was used to detect the Higgs boson at the Large Hadron Collider. Our results indicate that the PoLoN process can be used as a non-parametric alternative for analyzing, predicting, and extracting signals from integer-valued data.&quot;,&quot;container-title-short&quot;:&quot;&quot;},&quot;isTemporary&quot;:false}]},{&quot;citationID&quot;:&quot;MENDELEY_CITATION_a4dcfdff-7253-4826-bf71-a158578eba55&quot;,&quot;properties&quot;:{&quot;noteIndex&quot;:0},&quot;isEdited&quot;:false,&quot;manualOverride&quot;:{&quot;isManuallyOverridden&quot;:false,&quot;citeprocText&quot;:&quot;(Morris &amp;#38; Sellers, 2022)&quot;,&quot;manualOverrideText&quot;:&quot;&quot;},&quot;citationTag&quot;:&quot;MENDELEY_CITATION_v3_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&quot;,&quot;citationItems&quot;:[{&quot;id&quot;:&quot;b4144a25-8b5e-3ef2-9bc5-9a93b3bd852d&quot;,&quot;itemData&quot;:{&quot;type&quot;:&quot;article-journal&quot;,&quot;id&quot;:&quot;b4144a25-8b5e-3ef2-9bc5-9a93b3bd852d&quot;,&quot;title&quot;:&quot;A Flexible Mixed Model for Clustered Count Data&quot;,&quot;author&quot;:[{&quot;family&quot;:&quot;Morris&quot;,&quot;given&quot;:&quot;Darcy Steeg&quot;,&quot;parse-names&quot;:false,&quot;dropping-particle&quot;:&quot;&quot;,&quot;non-dropping-particle&quot;:&quot;&quot;},{&quot;family&quot;:&quot;Sellers&quot;,&quot;given&quot;:&quot;Kimberly F.&quot;,&quot;parse-names&quot;:false,&quot;dropping-particle&quot;:&quot;&quot;,&quot;non-dropping-particle&quot;:&quot;&quot;}],&quot;container-title&quot;:&quot;Stats&quot;,&quot;container-title-short&quot;:&quot;Stats (Basel).&quot;,&quot;DOI&quot;:&quot;10.3390/stats5010004&quot;,&quot;ISSN&quot;:&quot;2571905X&quot;,&quot;issued&quot;:{&quot;date-parts&quot;:[[2022,3,1]]},&quot;page&quot;:&quot;52-69&quot;,&quot;abstract&quot;:&quot;Clustered count data are commonly modeled using Poisson regression with random effects to account for the correlation induced by clustering. The Poisson mixed model allows for overdispersion via the nature of the within-cluster correlation, however, departures from equi-dispersion may also exist due to the underlying count process mechanism. We study the cross-sectional COM-Poisson regression model—a generalized regression model for count data in light of data dispersion—together with random effects for analysis of clustered count data. We demonstrate model flexibility of the COM-Poisson random intercept model, including choice of the random effect distribution, via simulated and real data examples. We find that COM-Poisson mixed models provide comparable model fit to well-known mixed models for associated special cases of clustered discrete data, and result in improved model fit for data with intermediate levels of over- or underdispersion in the count mechanism. Accordingly, the proposed models are useful for capturing dispersion not consistent with commonly used statistical models, and also serve as a practical diagnostic tool.&quot;,&quot;publisher&quot;:&quot;MDPI&quot;,&quot;issue&quot;:&quot;1&quot;,&quot;volume&quot;:&quot;5&quot;},&quot;isTemporary&quot;:false}]},{&quot;citationID&quot;:&quot;MENDELEY_CITATION_ed33d0ce-d129-4f3b-ac4c-ddab4ed3fd8d&quot;,&quot;properties&quot;:{&quot;noteIndex&quot;:0},&quot;isEdited&quot;:false,&quot;manualOverride&quot;:{&quot;isManuallyOverridden&quot;:false,&quot;citeprocText&quot;:&quot;(Almasi et al., 2016; Khan &amp;#38; Hasan, 2022)&quot;,&quot;manualOverrideText&quot;:&quot;&quot;},&quot;citationTag&quot;:&quot;MENDELEY_CITATION_v3_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&quot;,&quot;citationItems&quot;:[{&quot;id&quot;:&quot;874b668b-77b1-3646-acf6-02fc7df62cd2&quot;,&quot;itemData&quot;:{&quot;type&quot;:&quot;article-journal&quot;,&quot;id&quot;:&quot;874b668b-77b1-3646-acf6-02fc7df62cd2&quot;,&quot;title&quot;:&quot;Multilevel zero-inflated Generalized Poisson regression modeling for dispersed correlated count data&quot;,&quot;author&quot;:[{&quot;family&quot;:&quot;Almasi&quot;,&quot;given&quot;:&quot;Afshin&quot;,&quot;parse-names&quot;:false,&quot;dropping-particle&quot;:&quot;&quot;,&quot;non-dropping-particle&quot;:&quot;&quot;},{&quot;family&quot;:&quot;Eshraghian&quot;,&quot;given&quot;:&quot;Mohammad Reza&quot;,&quot;parse-names&quot;:false,&quot;dropping-particle&quot;:&quot;&quot;,&quot;non-dropping-particle&quot;:&quot;&quot;},{&quot;family&quot;:&quot;Moghimbeigi&quot;,&quot;given&quot;:&quot;Abbas&quot;,&quot;parse-names&quot;:false,&quot;dropping-particle&quot;:&quot;&quot;,&quot;non-dropping-particle&quot;:&quot;&quot;},{&quot;family&quot;:&quot;Rahimi&quot;,&quot;given&quot;:&quot;Abbas&quot;,&quot;parse-names&quot;:false,&quot;dropping-particle&quot;:&quot;&quot;,&quot;non-dropping-particle&quot;:&quot;&quot;},{&quot;family&quot;:&quot;Mohammad&quot;,&quot;given&quot;:&quot;Kazem&quot;,&quot;parse-names&quot;:false,&quot;dropping-particle&quot;:&quot;&quot;,&quot;non-dropping-particle&quot;:&quot;&quot;},{&quot;family&quot;:&quot;Fallahigilan&quot;,&quot;given&quot;:&quot;Sadegh&quot;,&quot;parse-names&quot;:false,&quot;dropping-particle&quot;:&quot;&quot;,&quot;non-dropping-particle&quot;:&quot;&quot;}],&quot;container-title&quot;:&quot;Statistical Methodology&quot;,&quot;container-title-short&quot;:&quot;Stat. Methodol.&quot;,&quot;accessed&quot;:{&quot;date-parts&quot;:[[2026,3,23]]},&quot;DOI&quot;:&quot;10.1016/j.stamet.2015.11.001&quot;,&quot;ISSN&quot;:&quot;15723127&quot;,&quot;URL&quot;:&quot;https://www.sciencedirect.com/science/article/abs/pii/S1572312715000763&quot;,&quot;issued&quot;:{&quot;date-parts&quot;:[[2016,5,1]]},&quot;page&quot;:&quot;1-14&quot;,&quot;abstract&quot;:&quot;Poisson or zero-inflated Poisson models often fail to fit count data either because of over- or underdispersion relative to the Poisson distribution. Moreover, data may be correlated due to the hierarchical study design or the data collection methods. In this study, we propose a multilevel zero-inflated generalized Poisson regression model that can address both over- and underdispersed count data. Random effects are assumed to be independent and normally distributed. The method of parameter estimation is EM algorithm base on expectation and maximization which falls into the general framework of maximum-likelihood estimations. The performance of the approach was illustrated by data regarding an index of tooth caries on 9-year-old children. Using various dispersion parameters, through Monte Carlo simulations, the multilevel ZIGP yielded more accurate parameter estimates, especially for underdispersed data.&quot;,&quot;publisher&quot;:&quot;Elsevier&quot;,&quot;volume&quot;:&quot;30&quot;},&quot;isTemporary&quot;:false},{&quot;id&quot;:&quot;a5fbf48a-1aa9-31ed-a286-f52caac2faf9&quot;,&quot;itemData&quot;:{&quot;type&quot;:&quot;article-journal&quot;,&quot;id&quot;:&quot;a5fbf48a-1aa9-31ed-a286-f52caac2faf9&quot;,&quot;title&quot;:&quot;A POISSON REGRESSION APPROACH TO MODELING TRAFFIC ACCIDENT FREQUENCY IN URBAN AREAS&quot;,&quot;author&quot;:[{&quot;family&quot;:&quot;Khan&quot;,&quot;given&quot;:&quot;Md.Kamrul&quot;,&quot;parse-names&quot;:false,&quot;dropping-particle&quot;:&quot;&quot;,&quot;non-dropping-particle&quot;:&quot;&quot;},{&quot;family&quot;:&quot;Hasan&quot;,&quot;given&quot;:&quot;Md. Tarek&quot;,&quot;parse-names&quot;:false,&quot;dropping-particle&quot;:&quot;&quot;,&quot;non-dropping-particle&quot;:&quot;&quot;}],&quot;container-title&quot;:&quot;American Journal of Interdisciplinary Studies&quot;,&quot;DOI&quot;:&quot;10.63125/wqh7pd07&quot;,&quot;URL&quot;:&quot;https://ajisresearch.com/index.php/ajis/article/view/36&quot;,&quot;issued&quot;:{&quot;date-parts&quot;:[[2022,12,1]]},&quot;page&quot;:&quot;117-156&quot;,&quot;abstract&quot;:&quot;&lt;p&gt;Urban traffic safety research frequently models crash frequency using Poisson-family regression because it is interpretable, extensible, and policy relevant. This systematic review synthesizes how these models are specified, diagnosed, validated, and translated into practice for urban contexts. Following PRISMA protocols, we searched multidisciplinary and transportation databases from inception through 2022, applied dual-stage screening with explicit inclusion criteria, extracted standardized methodological and results fields, and appraised reporting quality; 110 studies met all criteria and were included. The modeling landscape shows a clear center of gravity around the Poisson family, with negative binomial as the most common primary specification at 40.0 percent, followed by canonical Poisson at 29.1 percent, zero-inflated or hurdle variants at 12.7 percent, Poisson-lognormal or multivariate forms at 7.3 percent, and mixed or spatial CAR/ICAR primaries at 5.5 percent each, while Poisson appears as a baseline in most studies. Practice quality is uneven. Offsets are specified in 83.6 percent of papers and are associated with stronger validation and more stable inference, yet only 35.5 percent report any out-of-sample validation and calibration plots appear infrequently. Across covariates, higher speeds, turning shares, and access density typically increase risk, whereas medians and coordinated signals are protective; pedestrian and cyclist volumes often exhibit safety-in-numbers curvature. Translation to policy commonly occurs through Safety Performance Functions paired with empirical-Bayes adjustment; among studies reporting re-ranking, median turnover in top-site lists is about 30 percent, underscoring the operational impact of correct EB use and calibration. Overall, the evidence supports a disciplined workflow: construct mechanism-matched offsets, diagnose dispersion, zeros, and dependence, escalate model complexity only when warranted, and pair likelihood-based selection with explicit predictive checks to ensure credible, auditable safety decisions in cities.&lt;/p&gt;&quot;,&quot;issue&quot;:&quot;04&quot;,&quot;volume&quot;:&quot;03&quot;,&quot;container-title-short&quot;:&quot;&quot;},&quot;isTemporary&quot;:false}]},{&quot;citationID&quot;:&quot;MENDELEY_CITATION_896ae226-594c-4291-be40-1afce13c7bea&quot;,&quot;properties&quot;:{&quot;noteIndex&quot;:0},&quot;isEdited&quot;:false,&quot;manualOverride&quot;:{&quot;isManuallyOverridden&quot;:false,&quot;citeprocText&quot;:&quot;(Chen &amp;#38; Yang, 2024)&quot;,&quot;manualOverrideText&quot;:&quot;&quot;},&quot;citationTag&quot;:&quot;MENDELEY_CITATION_v3_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&quot;,&quot;citationItems&quot;:[{&quot;id&quot;:&quot;fbb019b4-1549-3f05-916c-0b1bc7db5f32&quot;,&quot;itemData&quot;:{&quot;type&quot;:&quot;article-journal&quot;,&quot;id&quot;:&quot;fbb019b4-1549-3f05-916c-0b1bc7db5f32&quot;,&quot;title&quot;:&quot;Geographically weighted regression analysis for nonnegative continuous outcomes: An application to Taiwan dengue data&quot;,&quot;author&quot;:[{&quot;family&quot;:&quot;Chen&quot;,&quot;given&quot;:&quot;Vivian Yi Ju&quot;,&quot;parse-names&quot;:false,&quot;dropping-particle&quot;:&quot;&quot;,&quot;non-dropping-particle&quot;:&quot;&quot;},{&quot;family&quot;:&quot;Yang&quot;,&quot;given&quot;:&quot;Yun Ciao&quot;,&quot;parse-names&quot;:false,&quot;dropping-particle&quot;:&quot;&quot;,&quot;non-dropping-particle&quot;:&quot;&quot;}],&quot;container-title&quot;:&quot;PLoS ONE&quot;,&quot;container-title-short&quot;:&quot;PLoS One&quot;,&quot;DOI&quot;:&quot;10.1371/journal.pone.0315327&quot;,&quot;ISSN&quot;:&quot;19326203&quot;,&quot;PMID&quot;:&quot;39666638&quot;,&quot;issued&quot;:{&quot;date-parts&quot;:[[2024,12,1]]},&quot;abstract&quot;:&quot;Geographically Weighted Regression (GWR) has gained widespread popularity across various disciplines for investigating spatial heterogeneity with respect to data relationships in georeferenced datasets. However, GWR is typically limited to the analysis of continuous dependent variables, which are assumed to follow a symmetric normal distribution. In many fields, nonnegative continuous data are often observed and may contain substantial amounts of zeros followed by a right-skewed distribution of positive values. When dealing with such type of outcomes, GWR may not provide adequate insights into spatially varying regression relationships. This study intends to extend the GWR based on a compound Poisson distribution. Such an extension not only allows for exploration of relationship heterogeneity but also accommodates nonnegative continuous response variables. We provide a detailed specification of the proposed model and discuss related modeling issues. Through simulation experiments, we assess the performance of this novel approach. Finally, we present an empirical case study using a dataset on dengue fever in Tainan, Taiwan, to demonstrate the practical applicability and utility of our proposed methodology.&quot;,&quot;publisher&quot;:&quot;Public Library of Science&quot;,&quot;issue&quot;:&quot;12 December&quot;,&quot;volume&quot;:&quot;19&quot;},&quot;isTemporary&quot;:false}]},{&quot;citationID&quot;:&quot;MENDELEY_CITATION_c12c0aed-a479-4db2-8ec7-b792eb22de39&quot;,&quot;properties&quot;:{&quot;noteIndex&quot;:0},&quot;isEdited&quot;:false,&quot;manualOverride&quot;:{&quot;isManuallyOverridden&quot;:true,&quot;citeprocText&quot;:&quot;(Abonazel et al., 2022)&quot;,&quot;manualOverrideText&quot;:&quot;(Abonazel et al., 2022).&quot;},&quot;citationTag&quot;:&quot;MENDELEY_CITATION_v3_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&quot;,&quot;citationItems&quot;:[{&quot;id&quot;:&quot;ed4a3c8b-3d11-3cda-82d4-e51d3e0775d6&quot;,&quot;itemData&quot;:{&quot;type&quot;:&quot;article-journal&quot;,&quot;id&quot;:&quot;ed4a3c8b-3d11-3cda-82d4-e51d3e0775d6&quot;,&quot;title&quot;:&quot;A New Two-Parameter Estimator for Beta Regression Model: Method, Simulation, and Application&quot;,&quot;author&quot;:[{&quot;family&quot;:&quot;Abonazel&quot;,&quot;given&quot;:&quot;Mohamed R.&quot;,&quot;parse-names&quot;:false,&quot;dropping-particle&quot;:&quot;&quot;,&quot;non-dropping-particle&quot;:&quot;&quot;},{&quot;family&quot;:&quot;Algamal&quot;,&quot;given&quot;:&quot;Zakariya Yahya&quot;,&quot;parse-names&quot;:false,&quot;dropping-particle&quot;:&quot;&quot;,&quot;non-dropping-particle&quot;:&quot;&quot;},{&quot;family&quot;:&quot;Awwad&quot;,&quot;given&quot;:&quot;Fuad A.&quot;,&quot;parse-names&quot;:false,&quot;dropping-particle&quot;:&quot;&quot;,&quot;non-dropping-particle&quot;:&quot;&quot;},{&quot;family&quot;:&quot;Taha&quot;,&quot;given&quot;:&quot;Ibrahim M.&quot;,&quot;parse-names&quot;:false,&quot;dropping-particle&quot;:&quot;&quot;,&quot;non-dropping-particle&quot;:&quot;&quot;}],&quot;container-title&quot;:&quot;Frontiers in Applied Mathematics and Statistics&quot;,&quot;container-title-short&quot;:&quot;Front. Appl. Math. Stat.&quot;,&quot;DOI&quot;:&quot;10.3389/fams.2021.780322&quot;,&quot;ISSN&quot;:&quot;22974687&quot;,&quot;issued&quot;:{&quot;date-parts&quot;:[[2022,1,26]]},&quot;abstract&quot;:&quot;The beta regression is a widely known statistical model when the response (or the dependent) variable has the form of fractions or percentages. In most of the situations in beta regression, the explanatory variables are related to each other which is commonly known as the multicollinearity problem. It is well-known that the multicollinearity problem affects severely the variance of maximum likelihood (ML) estimates. In this article, we developed a new biased estimator (called a two-parameter estimator) for the beta regression model to handle this problem and decrease the variance of the estimation. The properties of the proposed estimator are derived. Furthermore, the performance of the proposed estimator is compared with the ML estimator and other common biased (ridge, Liu, and Liu-type) estimators depending on the mean squared error criterion by making a Monte Carlo simulation study and through two real data applications. The results of the simulation and applications indicated that the proposed estimator outperformed ML, ridge, Liu, and Liu-type estimators.&quot;,&quot;publisher&quot;:&quot;Frontiers Media S.A.&quot;,&quot;volume&quot;:&quot;7&quot;},&quot;isTemporary&quot;:false}]},{&quot;citationID&quot;:&quot;MENDELEY_CITATION_e3663c94-0489-41ee-a8cd-ac4aad8477c4&quot;,&quot;properties&quot;:{&quot;noteIndex&quot;:0},&quot;isEdited&quot;:false,&quot;manualOverride&quot;:{&quot;isManuallyOverridden&quot;:false,&quot;citeprocText&quot;:&quot;(Marina Pare, 2025)&quot;,&quot;manualOverrideText&quot;:&quot;&quot;},&quot;citationTag&quot;:&quot;MENDELEY_CITATION_v3_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&quot;,&quot;citationItems&quot;:[{&quot;id&quot;:&quot;18ef06c5-d503-308d-a203-4981e448c63a&quot;,&quot;itemData&quot;:{&quot;type&quot;:&quot;article-journal&quot;,&quot;id&quot;:&quot;18ef06c5-d503-308d-a203-4981e448c63a&quot;,&quot;title&quot;:&quot;Farmers’ groups and the intensity of cereal-based agroforestry practice in Burkina Faso&quot;,&quot;author&quot;:[{&quot;family&quot;:&quot;Marina Pare&quot;,&quot;given&quot;:&quot;Bienlo Annick&quot;,&quot;parse-names&quot;:false,&quot;dropping-particle&quot;:&quot;&quot;,&quot;non-dropping-particle&quot;:&quot;&quot;}],&quot;container-title&quot;:&quot;Forests Trees and Livelihoods&quot;,&quot;DOI&quot;:&quot;10.1080/14728028.2025.2526344&quot;,&quot;ISSN&quot;:&quot;14728028&quot;,&quot;issued&quot;:{&quot;date-parts&quot;:[[2025]]},&quot;page&quot;:&quot;301-314&quot;,&quot;abstract&quot;:&quot;This study examines the effect of farmers’ participation in agricultural organisations on the extent of cereal-based agroforestry practice in Burkina Faso. The analysis draws on data from 4,635 rural households, sourced from the 2019 Permanent Agricultural Survey. A fractional logit model, complemented by a control function approach, was employed to carry out the estimations. The findings reveal first the very large extent of cereal-based agroforestry, with 67% of the cereal cultivated land on average. They also reveal that membership in a farmers’ organisation is positively associated with an increased intensity of cereal-based agroforestry practice. This suggests that participation in farmers’ organisation serves as an effective conduit for the dissemination of agroforestry-related information and knowledge. Moreover, it enhances access to vital services, including credit and agricultural extension services, in rural areas. The results also underscore persistent gender disparities in the intensification of cereal-based agroforestry. Additionally, a positive relationship is observed between cereal-based agroforestry intensity and factors, such as farm size and traditional gathering practices. In light of these findings, policy interventions should enhance collaboration with farmers’ organisations, encourage participation in such groups, improve access to agricultural resources, and implement gender-sensitive agroforestry programmes that specifically support female-headed households in rural areas.&quot;,&quot;publisher&quot;:&quot;Taylor and Francis Ltd.&quot;,&quot;issue&quot;:&quot;4&quot;,&quot;volume&quot;:&quot;34&quot;,&quot;container-title-short&quot;:&quot;&quot;},&quot;isTemporary&quot;:false}]},{&quot;citationID&quot;:&quot;MENDELEY_CITATION_4c37929e-7bbc-427e-8e32-9075b56b3b84&quot;,&quot;properties&quot;:{&quot;noteIndex&quot;:0},&quot;isEdited&quot;:false,&quot;manualOverride&quot;:{&quot;isManuallyOverridden&quot;:false,&quot;citeprocText&quot;:&quot;(Olakiumide, 2021)&quot;,&quot;manualOverrideText&quot;:&quot;&quot;},&quot;citationTag&quot;:&quot;MENDELEY_CITATION_v3_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&quot;,&quot;citationItems&quot;:[{&quot;id&quot;:&quot;8870e5bf-a9cb-3adb-a7da-8627e5d1f048&quot;,&quot;itemData&quot;:{&quot;type&quot;:&quot;report&quot;,&quot;id&quot;:&quot;8870e5bf-a9cb-3adb-a7da-8627e5d1f048&quot;,&quot;title&quot;:&quot;Post-Harvest Loss Reduction: Enhancing Food Security and Economic Sustainability&quot;,&quot;author&quot;:[{&quot;family&quot;:&quot;Olakiumide&quot;,&quot;given&quot;:&quot;Oumiawunaumi&quot;,&quot;parse-names&quot;:false,&quot;dropping-particle&quot;:&quot;&quot;,&quot;non-dropping-particle&quot;:&quot;&quot;}],&quot;URL&quot;:&quot;https://hdpublication.com/index.php/jss&quot;,&quot;issued&quot;:{&quot;date-parts&quot;:[[2021]]},&quot;abstract&quot;:&quot;Post-harvest losses in agriculture are a significant global challenge, particularly pronounced in Africa, where they threaten food security, economic stability, and sustainable development. This paper comprehensively explores the causes, impacts, and potential solutions related to post-harvest losses in the African context. The causes encompass a range of factors, including inadequate infrastructure, poor handling practices, limited technology access, and socioeconomic challenges. Consequently, post-harvest losses have dire implications for both food security and economic prosperity, impacting stakeholders along the agricultural value chain. Modern post-harvest technologies, coupled with effective pest management practices, can extend the shelf life and quality of harvested crops. Policymakers, researchers, farmers, and the private sector must collaborate to implement these solutions. By addressing post-harvest losses, Africa can move towards achieving Sustainable Development Goals related to hunger eradication, economic growth, and improved livelihoods. Ultimately, this paper emphasizes that addressing post-harvest losses is not only a technical challenge but a moral imperative. By reducing losses, African nations can enhance food security, empower local economies, and contribute to a more sustainable and equitable global food system. This paper calls for collective action to combat post-harvest losses and create a brighter future for the continent and beyond.&quot;,&quot;container-title-short&quot;:&quot;&quot;},&quot;isTemporary&quot;:false}]},{&quot;citationID&quot;:&quot;MENDELEY_CITATION_33893078-2b52-4f9d-b35c-5bfd7dce92a7&quot;,&quot;properties&quot;:{&quot;noteIndex&quot;:0},&quot;isEdited&quot;:false,&quot;manualOverride&quot;:{&quot;isManuallyOverridden&quot;:false,&quot;citeprocText&quot;:&quot;(Ferrari &amp;#38; Cribari-Neto, 2004)&quot;,&quot;manualOverrideText&quot;:&quot;&quot;},&quot;citationTag&quot;:&quot;MENDELEY_CITATION_v3_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&quot;,&quot;citationItems&quot;:[{&quot;id&quot;:&quot;30a57831-15a0-32da-8c8f-6b76a94d4bd6&quot;,&quot;itemData&quot;:{&quot;type&quot;:&quot;article-journal&quot;,&quot;id&quot;:&quot;30a57831-15a0-32da-8c8f-6b76a94d4bd6&quot;,&quot;title&quot;:&quot;Beta regression for modelling rates and proportions&quot;,&quot;author&quot;:[{&quot;family&quot;:&quot;Ferrari&quot;,&quot;given&quot;:&quot;Silvia L.P.&quot;,&quot;parse-names&quot;:false,&quot;dropping-particle&quot;:&quot;&quot;,&quot;non-dropping-particle&quot;:&quot;&quot;},{&quot;family&quot;:&quot;Cribari-Neto&quot;,&quot;given&quot;:&quot;Francisco&quot;,&quot;parse-names&quot;:false,&quot;dropping-particle&quot;:&quot;&quot;,&quot;non-dropping-particle&quot;:&quot;&quot;}],&quot;container-title&quot;:&quot;Journal of Applied Statistics&quot;,&quot;container-title-short&quot;:&quot;J. Appl. Stat.&quot;,&quot;DOI&quot;:&quot;10.1080/0266476042000214501&quot;,&quot;ISSN&quot;:&quot;02664763&quot;,&quot;issued&quot;:{&quot;date-parts&quot;:[[2004,8]]},&quot;page&quot;:&quot;799-815&quot;,&quot;abstract&quot;:&quot;This paper proposes a regression model where the response is beta distributed using a parameterization of the beta law that is indexed by mean and dispersion parameters. The proposed model is useful for situations where the variable of interest is continuous and restricted to the interval (0, 1) and is related to other variables through a regression structure. The regression parameters of the beta regression model are interpretable in terms of the mean of the response and, when the logit link is used, of an odds ratio, unlike the parameters of a linear regression that employs a transformed response. Estimation is performed by maximum likelihood. We provide closed-form expressions for the score function, for Fisher's information matrix and its inverse. Hypothesis testing is performed using approximations obtained from the asymptotic normality of the maximum likelihood estimator. Some diagnostic measures are introduced. Finally, practical applications that employ real data are presented and discussed. © 2004 Taylor &amp; Francis Ltd.&quot;,&quot;issue&quot;:&quot;7&quot;,&quot;volume&quot;:&quot;31&quot;},&quot;isTemporary&quot;:false}]},{&quot;citationID&quot;:&quot;MENDELEY_CITATION_ca787bef-b6e2-48ed-b676-4c0ec508dbcc&quot;,&quot;properties&quot;:{&quot;noteIndex&quot;:0},&quot;isEdited&quot;:false,&quot;manualOverride&quot;:{&quot;isManuallyOverridden&quot;:false,&quot;citeprocText&quot;:&quot;(Devine et al., 2024)&quot;,&quot;manualOverrideText&quot;:&quot;&quot;},&quot;citationTag&quot;:&quot;MENDELEY_CITATION_v3_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&quot;,&quot;citationItems&quot;:[{&quot;id&quot;:&quot;8986bcea-a62b-3d76-94fa-bb64a1cdd30f&quot;,&quot;itemData&quot;:{&quot;type&quot;:&quot;article-journal&quot;,&quot;id&quot;:&quot;8986bcea-a62b-3d76-94fa-bb64a1cdd30f&quot;,&quot;title&quot;:&quot;Approaches for Quantifying the ICC in Multilevel Logistic Models: A Didactic Demonstration&quot;,&quot;author&quot;:[{&quot;family&quot;:&quot;Devine&quot;,&quot;given&quot;:&quot;Sean&quot;,&quot;parse-names&quot;:false,&quot;dropping-particle&quot;:&quot;&quot;,&quot;non-dropping-particle&quot;:&quot;&quot;},{&quot;family&quot;:&quot;Uanhoro&quot;,&quot;given&quot;:&quot;James O.&quot;,&quot;parse-names&quot;:false,&quot;dropping-particle&quot;:&quot;&quot;,&quot;non-dropping-particle&quot;:&quot;&quot;},{&quot;family&quot;:&quot;Otto&quot;,&quot;given&quot;:&quot;A. Ross&quot;,&quot;parse-names&quot;:false,&quot;dropping-particle&quot;:&quot;&quot;,&quot;non-dropping-particle&quot;:&quot;&quot;},{&quot;family&quot;:&quot;Flake&quot;,&quot;given&quot;:&quot;Jessica K.&quot;,&quot;parse-names&quot;:false,&quot;dropping-particle&quot;:&quot;&quot;,&quot;non-dropping-particle&quot;:&quot;&quot;}],&quot;container-title&quot;:&quot;Collabra: Psychology&quot;,&quot;container-title-short&quot;:&quot;Collabra Psychol.&quot;,&quot;DOI&quot;:&quot;10.1525/collabra.94263&quot;,&quot;ISSN&quot;:&quot;24747394&quot;,&quot;issued&quot;:{&quot;date-parts&quot;:[[2024,3,14]]},&quot;page&quot;:&quot;3175-3199&quot;,&quot;abstract&quot;:&quot;Multilevel modeling techniques have gained traction among experimental psychologists for their ability to account for dependencies in nested data structures. Increasingly, these techniques are extended to the analysis of binary data (e.g., correct or incorrect responses). Despite their popularity, the information in logistic multilevel models is often underutilized when researchers focus solely on fixed effects and ignore important heterogeneity that exists between participants. In this tutorial, we review four techniques for estimating and quantifying the relative degree of between-person variability in logistic multilevel models in an accessible manner using real data. First, we introduce logistic multilevel modeling, including the interpretation of fixed and random effects. Second, we review the challenges associated with the estimation and interpretation of within- and between-participant variation in logistic multilevel models, particularly computing the intraclass correlation coefficient (ICC), which is usually a first, simple step in a linear MLM. Third, we demonstrate four existing methods of quantifying the ICC in logistic multilevel models and discuss their relative advantages and disadvantages. Fourth, we present bootstrapping methods to make statistical inference about these ICC estimates. To facilitate reuse, we developed R code to implement the discussed techniques, which is provided throughout the text and as supplemental materials.&quot;,&quot;publisher&quot;:&quot;University of California Press&quot;,&quot;issue&quot;:&quot;1&quot;,&quot;volume&quot;:&quot;10&quot;},&quot;isTemporary&quot;:false}]}]"/>
    <we:property name="MENDELEY_CITATIONS_STYLE" value="{&quot;id&quot;:&quot;https://www.zotero.org/styles/apa&quot;,&quot;title&quot;:&quot;APA Style 7th edition&quot;,&quot;format&quot;:&quot;author-date&quot;,&quot;defaultLocale&quot;:null,&quot;isLocaleCodeValid&quot;:true}"/>
    <we:property name="MENDELEY_BIBLIOGRAPHY_IS_DIRTY" value="false"/>
    <we:property name="MENDELEY_BIBLIOGRAPHY_LAST_MODIFIED" value="1775060024850"/>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1597D-EA29-416E-AA5D-EBC0DD1B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2234</TotalTime>
  <Pages>19</Pages>
  <Words>6262</Words>
  <Characters>35696</Characters>
  <Application>Microsoft Office Word</Application>
  <DocSecurity>0</DocSecurity>
  <Lines>297</Lines>
  <Paragraphs>83</Paragraphs>
  <ScaleCrop>false</ScaleCrop>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KIRUI</dc:creator>
  <cp:keywords/>
  <dc:description/>
  <cp:lastModifiedBy>SDI 1158</cp:lastModifiedBy>
  <cp:revision>37</cp:revision>
  <dcterms:created xsi:type="dcterms:W3CDTF">2026-03-31T18:51:00Z</dcterms:created>
  <dcterms:modified xsi:type="dcterms:W3CDTF">2026-04-22T06:46:00Z</dcterms:modified>
</cp:coreProperties>
</file>