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5281" w14:textId="77777777" w:rsidR="00426D20" w:rsidRDefault="00426D20" w:rsidP="00B660CD">
      <w:pPr>
        <w:pStyle w:val="20"/>
        <w:jc w:val="left"/>
        <w:rPr>
          <w:rFonts w:asciiTheme="majorBidi" w:hAnsiTheme="majorBidi" w:cstheme="majorBidi"/>
          <w:b/>
          <w:bCs/>
          <w:sz w:val="32"/>
          <w:szCs w:val="32"/>
        </w:rPr>
      </w:pPr>
      <w:r w:rsidRPr="00426D20">
        <w:rPr>
          <w:rFonts w:asciiTheme="majorBidi" w:hAnsiTheme="majorBidi" w:cstheme="majorBidi"/>
          <w:b/>
          <w:bCs/>
          <w:sz w:val="32"/>
          <w:szCs w:val="32"/>
        </w:rPr>
        <w:t>Original Research Article</w:t>
      </w:r>
    </w:p>
    <w:p w14:paraId="4683911A" w14:textId="77777777" w:rsidR="00426D20" w:rsidRDefault="00426D20" w:rsidP="00B660CD">
      <w:pPr>
        <w:pStyle w:val="20"/>
        <w:jc w:val="left"/>
        <w:rPr>
          <w:rFonts w:asciiTheme="majorBidi" w:hAnsiTheme="majorBidi" w:cstheme="majorBidi"/>
          <w:b/>
          <w:bCs/>
          <w:sz w:val="32"/>
          <w:szCs w:val="32"/>
        </w:rPr>
      </w:pPr>
    </w:p>
    <w:p w14:paraId="29B3713A" w14:textId="0DE5DE08" w:rsidR="00860585" w:rsidRDefault="00860585" w:rsidP="00B660CD">
      <w:pPr>
        <w:pStyle w:val="20"/>
        <w:jc w:val="left"/>
        <w:rPr>
          <w:rFonts w:asciiTheme="majorBidi" w:hAnsiTheme="majorBidi" w:cstheme="majorBidi"/>
          <w:b/>
          <w:bCs/>
          <w:sz w:val="32"/>
          <w:szCs w:val="32"/>
        </w:rPr>
      </w:pPr>
      <w:hyperlink r:id="rId8" w:history="1">
        <w:r w:rsidRPr="00860585">
          <w:rPr>
            <w:rStyle w:val="Hyperlink"/>
            <w:rFonts w:asciiTheme="majorBidi" w:hAnsiTheme="majorBidi" w:cstheme="majorBidi"/>
            <w:b/>
            <w:bCs/>
            <w:color w:val="auto"/>
            <w:sz w:val="32"/>
            <w:szCs w:val="32"/>
            <w:u w:val="none"/>
            <w:shd w:val="clear" w:color="auto" w:fill="FFFFFF"/>
          </w:rPr>
          <w:t>Uncertainty-Calibrated Decision Thresholds in Bayesian AI Systems: A Governance-Oriented Framework</w:t>
        </w:r>
      </w:hyperlink>
    </w:p>
    <w:p w14:paraId="158C2D20" w14:textId="77777777" w:rsidR="00A73464" w:rsidRPr="00860585" w:rsidRDefault="00A73464" w:rsidP="00B660CD">
      <w:pPr>
        <w:pStyle w:val="20"/>
        <w:jc w:val="left"/>
        <w:rPr>
          <w:rFonts w:asciiTheme="majorBidi" w:hAnsiTheme="majorBidi" w:cstheme="majorBidi"/>
          <w:b/>
          <w:bCs/>
          <w:sz w:val="32"/>
          <w:szCs w:val="32"/>
        </w:rPr>
      </w:pPr>
    </w:p>
    <w:p w14:paraId="1AA65DF0" w14:textId="77777777" w:rsidR="00F42FFC" w:rsidRDefault="006A307E" w:rsidP="00080419">
      <w:pPr>
        <w:pStyle w:val="NormalWeb"/>
        <w:spacing w:line="276" w:lineRule="auto"/>
      </w:pPr>
      <w:r>
        <w:rPr>
          <w:rStyle w:val="Strong"/>
        </w:rPr>
        <w:t>Abstract</w:t>
      </w:r>
    </w:p>
    <w:p w14:paraId="27328177" w14:textId="77777777" w:rsidR="009D4679" w:rsidRPr="009D4679" w:rsidRDefault="009D4679" w:rsidP="00F72FA6">
      <w:pPr>
        <w:spacing w:line="276" w:lineRule="auto"/>
        <w:jc w:val="both"/>
        <w:rPr>
          <w:rFonts w:asciiTheme="majorBidi" w:hAnsiTheme="majorBidi" w:cstheme="majorBidi"/>
          <w:sz w:val="24"/>
          <w:szCs w:val="24"/>
        </w:rPr>
      </w:pPr>
      <w:r w:rsidRPr="009D4679">
        <w:rPr>
          <w:rFonts w:asciiTheme="majorBidi" w:hAnsiTheme="majorBidi" w:cstheme="majorBidi"/>
          <w:sz w:val="24"/>
          <w:szCs w:val="24"/>
          <w:highlight w:val="yellow"/>
        </w:rPr>
        <w:t>While Bayesian inference provides a principled way to quantify uncertainty, many AI systems still rely on fixed thresholds applied to posterior summaries. This practice ignores the role of uncertainty dispersion, meaning that similar posterior estimates can lead to actions with very different levels of stability and risk—especially across varying contexts, subpopulations, or deployment environments.</w:t>
      </w:r>
    </w:p>
    <w:p w14:paraId="57F06B93" w14:textId="579D7D3C" w:rsidR="00F72FA6" w:rsidRPr="00815C6E" w:rsidRDefault="00F72FA6" w:rsidP="00F72FA6">
      <w:pPr>
        <w:spacing w:line="276" w:lineRule="auto"/>
        <w:jc w:val="both"/>
        <w:rPr>
          <w:rFonts w:asciiTheme="majorBidi" w:eastAsia="Times New Roman" w:hAnsiTheme="majorBidi" w:cstheme="majorBidi"/>
          <w:sz w:val="24"/>
          <w:szCs w:val="24"/>
          <w:lang w:eastAsia="en-US"/>
        </w:rPr>
      </w:pPr>
      <w:r w:rsidRPr="009D4679">
        <w:rPr>
          <w:rFonts w:asciiTheme="majorBidi" w:eastAsia="Times New Roman" w:hAnsiTheme="majorBidi" w:cstheme="majorBidi"/>
          <w:sz w:val="24"/>
          <w:szCs w:val="24"/>
          <w:lang w:eastAsia="en-US"/>
        </w:rPr>
        <w:t xml:space="preserve">This paper introduces </w:t>
      </w:r>
      <w:r w:rsidRPr="009D4679">
        <w:rPr>
          <w:rFonts w:asciiTheme="majorBidi" w:eastAsia="Times New Roman" w:hAnsiTheme="majorBidi" w:cstheme="majorBidi"/>
          <w:b/>
          <w:bCs/>
          <w:sz w:val="24"/>
          <w:szCs w:val="24"/>
          <w:lang w:eastAsia="en-US"/>
        </w:rPr>
        <w:t>Bayesian Epistemic Zoning (BEZ)</w:t>
      </w:r>
      <w:r w:rsidRPr="009D4679">
        <w:rPr>
          <w:rFonts w:asciiTheme="majorBidi" w:eastAsia="Times New Roman" w:hAnsiTheme="majorBidi" w:cstheme="majorBidi"/>
          <w:sz w:val="24"/>
          <w:szCs w:val="24"/>
          <w:lang w:eastAsia="en-US"/>
        </w:rPr>
        <w:t>, an interpretive framework that evaluates operational decision thresholds relative to posterior dispersion. By standardizing decision values with respect to posterior uncertainty, the framework partitions decision thresholds into interpretable regions—Trusted, Upper Plausible, Lower Plausible, Inflated, and Recessive—reflecting differing levels of decision stability and evidential support. In addition, BEZ enables inverse derivation of admissible decision thresholds from posterior uncertainty</w:t>
      </w:r>
      <w:r w:rsidRPr="00F72FA6">
        <w:rPr>
          <w:rFonts w:ascii="Times New Roman" w:eastAsia="Times New Roman" w:hAnsi="Times New Roman"/>
          <w:sz w:val="24"/>
          <w:szCs w:val="24"/>
          <w:lang w:eastAsia="en-US"/>
        </w:rPr>
        <w:t xml:space="preserve"> constraints, replacing </w:t>
      </w:r>
      <w:r w:rsidRPr="00815C6E">
        <w:rPr>
          <w:rFonts w:asciiTheme="majorBidi" w:eastAsia="Times New Roman" w:hAnsiTheme="majorBidi" w:cstheme="majorBidi"/>
          <w:sz w:val="24"/>
          <w:szCs w:val="24"/>
          <w:lang w:eastAsia="en-US"/>
        </w:rPr>
        <w:t>convention-based cutoffs with dispersion-calibrated decision limits.</w:t>
      </w:r>
    </w:p>
    <w:p w14:paraId="565DFCC6" w14:textId="77777777" w:rsidR="00483D89" w:rsidRPr="00483D89" w:rsidRDefault="00815C6E" w:rsidP="00483D89">
      <w:pPr>
        <w:spacing w:line="276" w:lineRule="auto"/>
        <w:jc w:val="both"/>
        <w:rPr>
          <w:rFonts w:asciiTheme="majorBidi" w:hAnsiTheme="majorBidi" w:cstheme="majorBidi"/>
          <w:sz w:val="24"/>
          <w:szCs w:val="24"/>
        </w:rPr>
      </w:pPr>
      <w:r w:rsidRPr="00483D89">
        <w:rPr>
          <w:rFonts w:asciiTheme="majorBidi" w:hAnsiTheme="majorBidi" w:cstheme="majorBidi"/>
          <w:sz w:val="24"/>
          <w:szCs w:val="24"/>
        </w:rPr>
        <w:t>Simulation experiments demonstrate that dispersion</w:t>
      </w:r>
      <w:r w:rsidRPr="00483D89">
        <w:rPr>
          <w:rFonts w:asciiTheme="majorBidi" w:hAnsiTheme="majorBidi" w:cstheme="majorBidi"/>
          <w:sz w:val="24"/>
          <w:szCs w:val="24"/>
        </w:rPr>
        <w:noBreakHyphen/>
        <w:t xml:space="preserve">aware classification can reveal instability and overconfidence that remain hidden when relying solely on posterior means or credible intervals. </w:t>
      </w:r>
      <w:r w:rsidR="00483D89" w:rsidRPr="007A444A">
        <w:rPr>
          <w:rFonts w:asciiTheme="majorBidi" w:hAnsiTheme="majorBidi" w:cstheme="majorBidi"/>
          <w:sz w:val="24"/>
          <w:szCs w:val="24"/>
          <w:highlight w:val="yellow"/>
        </w:rPr>
        <w:t>In real</w:t>
      </w:r>
      <w:r w:rsidR="00483D89" w:rsidRPr="007A444A">
        <w:rPr>
          <w:rFonts w:asciiTheme="majorBidi" w:hAnsiTheme="majorBidi" w:cstheme="majorBidi"/>
          <w:sz w:val="24"/>
          <w:szCs w:val="24"/>
          <w:highlight w:val="yellow"/>
        </w:rPr>
        <w:noBreakHyphen/>
        <w:t>world medical threshold analysis of malignancy risk, BEZ showed that clinically relevant cutoffs migrated across epistemic zones despite similar posterior point estimates, underscoring the practical importance of uncertainty</w:t>
      </w:r>
      <w:r w:rsidR="00483D89" w:rsidRPr="007A444A">
        <w:rPr>
          <w:rFonts w:asciiTheme="majorBidi" w:hAnsiTheme="majorBidi" w:cstheme="majorBidi"/>
          <w:sz w:val="24"/>
          <w:szCs w:val="24"/>
          <w:highlight w:val="yellow"/>
        </w:rPr>
        <w:noBreakHyphen/>
        <w:t>aware evaluation. Specifically, thresholds that appeared stable under conventional point estimates were reclassified as fragile or inflated once posterior dispersion was accounted for, revealing hidden vulnerabilities in malignancy risk stratification. This demonstrates how BEZ can expose clinically significant shifts in credibility that conventional thresholding would overlook.</w:t>
      </w:r>
    </w:p>
    <w:p w14:paraId="059FC88B" w14:textId="6EB70FF8" w:rsidR="00F72FA6" w:rsidRPr="00F72FA6" w:rsidRDefault="00F72FA6" w:rsidP="00483D89">
      <w:pPr>
        <w:spacing w:line="276" w:lineRule="auto"/>
        <w:jc w:val="both"/>
        <w:rPr>
          <w:rFonts w:ascii="Times New Roman" w:eastAsia="Times New Roman" w:hAnsi="Times New Roman"/>
          <w:sz w:val="24"/>
          <w:szCs w:val="24"/>
          <w:lang w:eastAsia="en-US"/>
        </w:rPr>
      </w:pPr>
      <w:r w:rsidRPr="00F72FA6">
        <w:rPr>
          <w:rFonts w:ascii="Times New Roman" w:eastAsia="Times New Roman" w:hAnsi="Times New Roman"/>
          <w:sz w:val="24"/>
          <w:szCs w:val="24"/>
          <w:lang w:eastAsia="en-US"/>
        </w:rPr>
        <w:t>The proposed framework is model-agnostic, computationally lightweight, and compatible with standard Bayesian workflows. By linking posterior uncertainty directly to decision threshold evaluation, BEZ provides a practical mechanism for improving transparency, stability assessment, and uncertainty-aware oversight in automated and high-stakes decision systems.</w:t>
      </w:r>
    </w:p>
    <w:p w14:paraId="5DDD22EF" w14:textId="63DCE259" w:rsidR="00F72FA6" w:rsidRPr="00F72FA6" w:rsidRDefault="00F72FA6" w:rsidP="00A11C1E">
      <w:pPr>
        <w:jc w:val="both"/>
        <w:rPr>
          <w:rFonts w:ascii="Times New Roman" w:eastAsia="Times New Roman" w:hAnsi="Times New Roman"/>
          <w:sz w:val="24"/>
          <w:szCs w:val="24"/>
          <w:lang w:eastAsia="en-US"/>
        </w:rPr>
      </w:pPr>
      <w:r w:rsidRPr="00F72FA6">
        <w:rPr>
          <w:rFonts w:ascii="Times New Roman" w:eastAsia="Times New Roman" w:hAnsi="Times New Roman"/>
          <w:b/>
          <w:bCs/>
          <w:sz w:val="24"/>
          <w:szCs w:val="24"/>
          <w:lang w:eastAsia="en-US"/>
        </w:rPr>
        <w:lastRenderedPageBreak/>
        <w:t>Keywords:</w:t>
      </w:r>
      <w:r w:rsidRPr="00F72FA6">
        <w:rPr>
          <w:rFonts w:ascii="Times New Roman" w:eastAsia="Times New Roman" w:hAnsi="Times New Roman"/>
          <w:sz w:val="24"/>
          <w:szCs w:val="24"/>
          <w:lang w:eastAsia="en-US"/>
        </w:rPr>
        <w:t xml:space="preserve"> Bayesian inference; </w:t>
      </w:r>
      <w:r w:rsidRPr="00B7489E">
        <w:rPr>
          <w:rFonts w:asciiTheme="majorBidi" w:eastAsia="Times New Roman" w:hAnsiTheme="majorBidi" w:cstheme="majorBidi"/>
          <w:sz w:val="24"/>
          <w:szCs w:val="24"/>
          <w:lang w:eastAsia="en-US"/>
        </w:rPr>
        <w:t>decision thresholds; uncertainty quantification; posterior dispersion; reliability-aware interpretation; probabilistic modeling</w:t>
      </w:r>
      <w:r w:rsidR="00B7489E" w:rsidRPr="00B7489E">
        <w:rPr>
          <w:rFonts w:asciiTheme="majorBidi" w:eastAsia="Times New Roman" w:hAnsiTheme="majorBidi" w:cstheme="majorBidi"/>
          <w:sz w:val="24"/>
          <w:szCs w:val="24"/>
          <w:lang w:eastAsia="en-US"/>
        </w:rPr>
        <w:t>;</w:t>
      </w:r>
      <w:r w:rsidR="00B7489E" w:rsidRPr="00B7489E">
        <w:rPr>
          <w:rFonts w:asciiTheme="majorBidi" w:hAnsiTheme="majorBidi" w:cstheme="majorBidi"/>
          <w:sz w:val="24"/>
          <w:szCs w:val="24"/>
        </w:rPr>
        <w:t xml:space="preserve"> </w:t>
      </w:r>
      <w:r w:rsidR="00B7489E" w:rsidRPr="00565DB1">
        <w:rPr>
          <w:rFonts w:asciiTheme="majorBidi" w:hAnsiTheme="majorBidi" w:cstheme="majorBidi"/>
          <w:sz w:val="24"/>
          <w:szCs w:val="24"/>
          <w:highlight w:val="yellow"/>
        </w:rPr>
        <w:t>credibility zones</w:t>
      </w:r>
      <w:r w:rsidRPr="00B7489E">
        <w:rPr>
          <w:rFonts w:asciiTheme="majorBidi" w:eastAsia="Times New Roman" w:hAnsiTheme="majorBidi" w:cstheme="majorBidi"/>
          <w:sz w:val="24"/>
          <w:szCs w:val="24"/>
          <w:lang w:eastAsia="en-US"/>
        </w:rPr>
        <w:t>.</w:t>
      </w:r>
    </w:p>
    <w:p w14:paraId="07920BA3" w14:textId="77777777" w:rsidR="00F42FFC" w:rsidRDefault="006A307E" w:rsidP="00705066">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1. Introduction</w:t>
      </w:r>
    </w:p>
    <w:p w14:paraId="08D51368"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Bayesian statistics provides a coherent mathematical framework for updating beliefs under uncertainty by integrating prior information with observed data through probabilistic inference (Howson &amp; Urbach, 2006; Joyce, 2005). Posterior probabilities, credible intervals, and Bayes factors are widely used across scientific disciplines to quantify uncertainty, guide prediction, and inform decisions in domains ranging from clinical diagnosis and risk assessment to machine learning and economic forecasting (Gelman et al., 2013; Kendall &amp; Gal, 2017). The interpretability and flexibility of Bayesian methods have contributed to their increasing adoption in data-driven systems and intelligent decision pipelines.</w:t>
      </w:r>
    </w:p>
    <w:p w14:paraId="7156302E"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 xml:space="preserve">Despite these strengths, Bayesian inference primarily yields continuous numerical summaries of belief rather than explicit evaluations of epistemic credibility or decision safety. A posterior probability close to unity may appear compelling, yet such numerical confidence can obscure structural fragility arising from limited data, model misspecification, distributional shift, or hidden bias (Morey et al., 2016; </w:t>
      </w:r>
      <w:proofErr w:type="spellStart"/>
      <w:r w:rsidRPr="00705066">
        <w:rPr>
          <w:rFonts w:ascii="Times New Roman" w:eastAsia="Times New Roman" w:hAnsi="Times New Roman"/>
          <w:sz w:val="24"/>
          <w:szCs w:val="24"/>
          <w:lang w:eastAsia="en-US"/>
        </w:rPr>
        <w:t>Gigerenzer</w:t>
      </w:r>
      <w:proofErr w:type="spellEnd"/>
      <w:r w:rsidRPr="00705066">
        <w:rPr>
          <w:rFonts w:ascii="Times New Roman" w:eastAsia="Times New Roman" w:hAnsi="Times New Roman"/>
          <w:sz w:val="24"/>
          <w:szCs w:val="24"/>
          <w:lang w:eastAsia="en-US"/>
        </w:rPr>
        <w:t xml:space="preserve"> et al., 2004). Although credible intervals quantify dispersion, they are rarely translated into operational criteria that determine when an inference is sufficiently stable for action, when it remains exploratory, or when it may be epistemically misleading despite favorable numerical appearance. In practice, decision-makers frequently rely on conventional thresholds or informal judgment when interpreting Bayesian outputs, especially in high-stakes environments.</w:t>
      </w:r>
    </w:p>
    <w:p w14:paraId="128345C8"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This limitation is particularly salient in contemporary applications of artificial intelligence and automated decision systems, where probabilistic model outputs are embedded directly into operational workflows. In such settings, numerical uncertainty alone does not fully capture epistemic risk. Two systems may report similar posterior means while differing substantially in robustness, sensitivity to perturbation, or reliability under contextual change (</w:t>
      </w:r>
      <w:proofErr w:type="spellStart"/>
      <w:r w:rsidRPr="00705066">
        <w:rPr>
          <w:rFonts w:ascii="Times New Roman" w:eastAsia="Times New Roman" w:hAnsi="Times New Roman"/>
          <w:sz w:val="24"/>
          <w:szCs w:val="24"/>
          <w:lang w:eastAsia="en-US"/>
        </w:rPr>
        <w:t>Begoli</w:t>
      </w:r>
      <w:proofErr w:type="spellEnd"/>
      <w:r w:rsidRPr="00705066">
        <w:rPr>
          <w:rFonts w:ascii="Times New Roman" w:eastAsia="Times New Roman" w:hAnsi="Times New Roman"/>
          <w:sz w:val="24"/>
          <w:szCs w:val="24"/>
          <w:lang w:eastAsia="en-US"/>
        </w:rPr>
        <w:t xml:space="preserve"> et al., 2019; Gal &amp; Ghahramani, 2016). When operational thresholds remain fixed despite variance inflation or environmental shift, automated decisions may exhibit hidden fragility that is not visible from posterior summaries alone.</w:t>
      </w:r>
    </w:p>
    <w:p w14:paraId="5118C0E1"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The absence of a structured interpretive layer that distinguishes stable knowledge from fragile or inflated confidence therefore represents a critical gap between probabilistic inference and responsible decision implementation. Bridging this gap requires mechanisms that translate posterior uncertainty into transparent criteria for decision admissibility.</w:t>
      </w:r>
    </w:p>
    <w:p w14:paraId="3DAC4C8F"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lastRenderedPageBreak/>
        <w:t>To address this challenge, this paper introduces Bayesian Epistemic Zoning (BEZ), a structured framework that integrates Bayesian inference with epistemic zoning—a categorical methodology that classifies posterior outputs into discrete credibility regions reflecting epistemic stability and decision suitability. Rather than treating posterior probabilities and credible intervals solely as descriptive statistics, BEZ transforms them into operational trust states—Trusted, Upper Plausible, Lower Plausible, Inflated, and Recessive—that explicitly encode reliability, fragility, and potential overconfidence. This perspective responds to contemporary calls to move beyond purely numerical performance metrics toward interpretable and governance-aware representations of uncertainty (Wasserstein &amp; Lazar, 2016; Otsuka, 2023).</w:t>
      </w:r>
    </w:p>
    <w:p w14:paraId="1601D51B"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The core contribution of this work is a formally defined and reproducible method for mapping posterior summaries and dispersion into Posterior Epistemic Zones (PEZs) that jointly account for belief magnitude and epistemic stability. Through simulation and applied illustration, we demonstrate how posterior epistemic zoning reveals heterogeneity that remains hidden under conventional probability-based reporting and how it mitigates false confidence in cases where numerical performance alone may be misleading. BEZ does not seek to replace Bayesian decision theory or derive optimal decision rules. Instead, it introduces a diagnostic and governance-oriented framework for evaluating the epistemic credibility of operational thresholds relative to posterior uncertainty, complementing Bayesian inference while strengthening its interpretive and oversight capacities.</w:t>
      </w:r>
    </w:p>
    <w:p w14:paraId="5F592767" w14:textId="77777777" w:rsidR="00F42FFC" w:rsidRDefault="006A307E" w:rsidP="00080419">
      <w:pPr>
        <w:pStyle w:val="Heading1"/>
        <w:spacing w:line="276" w:lineRule="auto"/>
        <w:rPr>
          <w:rFonts w:ascii="Times New Roman" w:hAnsi="Times New Roman" w:hint="default"/>
          <w:sz w:val="24"/>
          <w:szCs w:val="24"/>
        </w:rPr>
      </w:pPr>
      <w:r>
        <w:rPr>
          <w:rStyle w:val="Strong"/>
          <w:rFonts w:ascii="Times New Roman" w:hAnsi="Times New Roman" w:hint="default"/>
          <w:b/>
          <w:bCs/>
          <w:sz w:val="24"/>
          <w:szCs w:val="24"/>
        </w:rPr>
        <w:t>2. Conceptual Foundations and Prior Frameworks</w:t>
      </w:r>
    </w:p>
    <w:p w14:paraId="7A4975E7" w14:textId="77777777" w:rsidR="00F42FFC" w:rsidRPr="002A1EE5" w:rsidRDefault="006A307E" w:rsidP="002A1EE5">
      <w:pPr>
        <w:pStyle w:val="Heading2"/>
        <w:spacing w:line="276" w:lineRule="auto"/>
        <w:jc w:val="both"/>
        <w:rPr>
          <w:rFonts w:asciiTheme="majorBidi" w:hAnsiTheme="majorBidi" w:cstheme="majorBidi" w:hint="default"/>
          <w:sz w:val="24"/>
          <w:szCs w:val="24"/>
        </w:rPr>
      </w:pPr>
      <w:r w:rsidRPr="002A1EE5">
        <w:rPr>
          <w:rStyle w:val="Strong"/>
          <w:rFonts w:asciiTheme="majorBidi" w:hAnsiTheme="majorBidi" w:cstheme="majorBidi" w:hint="default"/>
          <w:b/>
          <w:bCs/>
          <w:sz w:val="24"/>
          <w:szCs w:val="24"/>
        </w:rPr>
        <w:t>2.1 Bayesian Inference and Uncertainty Representation</w:t>
      </w:r>
    </w:p>
    <w:p w14:paraId="6F3D16CD" w14:textId="77777777" w:rsidR="002A1EE5" w:rsidRPr="002A1EE5" w:rsidRDefault="002A1EE5" w:rsidP="002A1EE5">
      <w:pPr>
        <w:spacing w:line="276" w:lineRule="auto"/>
        <w:jc w:val="both"/>
        <w:rPr>
          <w:rFonts w:asciiTheme="majorBidi" w:eastAsia="Times New Roman" w:hAnsiTheme="majorBidi" w:cstheme="majorBidi"/>
          <w:sz w:val="24"/>
          <w:szCs w:val="24"/>
          <w:lang w:eastAsia="en-US"/>
        </w:rPr>
      </w:pPr>
      <w:r w:rsidRPr="002A1EE5">
        <w:rPr>
          <w:rFonts w:asciiTheme="majorBidi" w:eastAsia="Times New Roman" w:hAnsiTheme="majorBidi" w:cstheme="majorBidi"/>
          <w:sz w:val="24"/>
          <w:szCs w:val="24"/>
          <w:lang w:eastAsia="en-US"/>
        </w:rPr>
        <w:t>Bayesian statistics interprets probability as a rational degree of belief conditioned on available evidence, offering a coherent framework for learning from data through posterior updating (Howson &amp; Urbach, 2006; Joyce, 2005). Given a hypothesis H and observed data D, Bayesian inference computes the posterior distribution P(H</w:t>
      </w:r>
      <w:r w:rsidRPr="002A1EE5">
        <w:rPr>
          <w:rFonts w:ascii="Cambria Math" w:eastAsia="Times New Roman" w:hAnsi="Cambria Math" w:cs="Cambria Math"/>
          <w:sz w:val="24"/>
          <w:szCs w:val="24"/>
          <w:lang w:eastAsia="en-US"/>
        </w:rPr>
        <w:t>∣</w:t>
      </w:r>
      <w:r w:rsidRPr="002A1EE5">
        <w:rPr>
          <w:rFonts w:asciiTheme="majorBidi" w:eastAsia="Times New Roman" w:hAnsiTheme="majorBidi" w:cstheme="majorBidi"/>
          <w:sz w:val="24"/>
          <w:szCs w:val="24"/>
          <w:lang w:eastAsia="en-US"/>
        </w:rPr>
        <w:t>D) by combining prior belief P(H) with the likelihood P(D</w:t>
      </w:r>
      <w:r w:rsidRPr="002A1EE5">
        <w:rPr>
          <w:rFonts w:ascii="Cambria Math" w:eastAsia="Times New Roman" w:hAnsi="Cambria Math" w:cs="Cambria Math"/>
          <w:sz w:val="24"/>
          <w:szCs w:val="24"/>
          <w:lang w:eastAsia="en-US"/>
        </w:rPr>
        <w:t>∣</w:t>
      </w:r>
      <w:r w:rsidRPr="002A1EE5">
        <w:rPr>
          <w:rFonts w:asciiTheme="majorBidi" w:eastAsia="Times New Roman" w:hAnsiTheme="majorBidi" w:cstheme="majorBidi"/>
          <w:sz w:val="24"/>
          <w:szCs w:val="24"/>
          <w:lang w:eastAsia="en-US"/>
        </w:rPr>
        <w:t>H) This updating mechanism enables iterative belief revision as new information becomes available and naturally accommodates parameter, predictive, and model uncertainty (Gelman et al., 2013).</w:t>
      </w:r>
    </w:p>
    <w:p w14:paraId="15A0A84B" w14:textId="77777777" w:rsidR="002A1EE5" w:rsidRPr="002A1EE5" w:rsidRDefault="002A1EE5" w:rsidP="002A1EE5">
      <w:pPr>
        <w:spacing w:line="276" w:lineRule="auto"/>
        <w:jc w:val="both"/>
        <w:rPr>
          <w:rFonts w:asciiTheme="majorBidi" w:eastAsia="Times New Roman" w:hAnsiTheme="majorBidi" w:cstheme="majorBidi"/>
          <w:sz w:val="24"/>
          <w:szCs w:val="24"/>
          <w:lang w:eastAsia="en-US"/>
        </w:rPr>
      </w:pPr>
      <w:r w:rsidRPr="002A1EE5">
        <w:rPr>
          <w:rFonts w:asciiTheme="majorBidi" w:eastAsia="Times New Roman" w:hAnsiTheme="majorBidi" w:cstheme="majorBidi"/>
          <w:sz w:val="24"/>
          <w:szCs w:val="24"/>
          <w:lang w:eastAsia="en-US"/>
        </w:rPr>
        <w:t>In practice, posterior distributions are typically summarized using point estimates and credible intervals, which characterize the range of parameter values compatible with the observed data under the assumed model. Such summaries are widely adopted in machine learning, robotics, and medical prediction systems, where probabilistic outputs inform automated or semi-automated decisions (Kendall &amp; Gal, 2017; Gal &amp; Ghahramani, 2016). These representations provide mathematically rigorous quantification of uncertainty.</w:t>
      </w:r>
    </w:p>
    <w:p w14:paraId="4F64F56D" w14:textId="77777777" w:rsidR="002A1EE5" w:rsidRPr="002A1EE5" w:rsidRDefault="002A1EE5" w:rsidP="002A1EE5">
      <w:pPr>
        <w:spacing w:line="276" w:lineRule="auto"/>
        <w:jc w:val="both"/>
        <w:rPr>
          <w:rFonts w:asciiTheme="majorBidi" w:eastAsia="Times New Roman" w:hAnsiTheme="majorBidi" w:cstheme="majorBidi"/>
          <w:sz w:val="24"/>
          <w:szCs w:val="24"/>
          <w:lang w:eastAsia="en-US"/>
        </w:rPr>
      </w:pPr>
      <w:r w:rsidRPr="002A1EE5">
        <w:rPr>
          <w:rFonts w:asciiTheme="majorBidi" w:eastAsia="Times New Roman" w:hAnsiTheme="majorBidi" w:cstheme="majorBidi"/>
          <w:sz w:val="24"/>
          <w:szCs w:val="24"/>
          <w:lang w:eastAsia="en-US"/>
        </w:rPr>
        <w:lastRenderedPageBreak/>
        <w:t>However, while Bayesian outputs quantify uncertainty numerically, they do not inherently provide structured guidance regarding the epistemic stability of decisions derived from those quantities. The translation from posterior summaries to operational action often depends on externally defined thresholds or informal interpretation. As Bayesian models become embedded in deployed AI systems, this interpretive step becomes critical: numerical uncertainty alone does not guarantee that a decision is epistemically stable, proportionate, or robust to contextual variation.</w:t>
      </w:r>
    </w:p>
    <w:p w14:paraId="6F282891"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2.2 Epistemic Versus Aleatoric Uncertainty</w:t>
      </w:r>
    </w:p>
    <w:p w14:paraId="72A937F0" w14:textId="77777777" w:rsidR="00F42FFC" w:rsidRDefault="006A307E" w:rsidP="00755C90">
      <w:pPr>
        <w:pStyle w:val="NormalWeb"/>
        <w:spacing w:line="276" w:lineRule="auto"/>
        <w:jc w:val="both"/>
      </w:pPr>
      <w:r>
        <w:t xml:space="preserve">A central conceptual distinction separates aleatoric uncertainty from epistemic uncertainty </w:t>
      </w:r>
      <w:r w:rsidR="00755C90">
        <w:t xml:space="preserve">(Der </w:t>
      </w:r>
      <w:proofErr w:type="spellStart"/>
      <w:r w:rsidR="00755C90">
        <w:t>Kiureghian</w:t>
      </w:r>
      <w:proofErr w:type="spellEnd"/>
      <w:r w:rsidR="00755C90">
        <w:t xml:space="preserve"> &amp; Ditlevsen, 2009). </w:t>
      </w:r>
      <w:r>
        <w:t>Aleatoric uncertainty arises from inherent randomness in the system, whereas epistemic uncertainty arises from incomplete knowledge, limited data, or model misspecification. Although Bayesian models probabilistically quantify epistemic uncertainty, they rarely translate it explicitly into operational credibility or decision reliability.</w:t>
      </w:r>
    </w:p>
    <w:p w14:paraId="60D3D65D"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2.3 Limitations of Probability-Centric Evaluation</w:t>
      </w:r>
    </w:p>
    <w:p w14:paraId="39D3A872" w14:textId="77777777" w:rsidR="00F42FFC" w:rsidRDefault="006A307E" w:rsidP="00AA4725">
      <w:pPr>
        <w:pStyle w:val="NormalWeb"/>
        <w:spacing w:line="276" w:lineRule="auto"/>
        <w:jc w:val="both"/>
      </w:pPr>
      <w:r>
        <w:t xml:space="preserve">Statistical practice relies heavily on numerical summaries such as posterior probabilities, credible intervals, and related uncertainty metrics. While informative, these quantities may fail to capture robustness, epistemic fragility, or decision risk </w:t>
      </w:r>
      <w:r w:rsidR="00755C90">
        <w:t xml:space="preserve">(Morey et al., </w:t>
      </w:r>
      <w:proofErr w:type="gramStart"/>
      <w:r w:rsidR="00755C90">
        <w:t>2016</w:t>
      </w:r>
      <w:r w:rsidR="00AA4725">
        <w:t>;</w:t>
      </w:r>
      <w:r w:rsidR="00755C90">
        <w:t>Wasserstein</w:t>
      </w:r>
      <w:proofErr w:type="gramEnd"/>
      <w:r w:rsidR="00755C90">
        <w:t xml:space="preserve"> &amp; Lazar, 2016</w:t>
      </w:r>
      <w:r>
        <w:t>). High numerical confidence can mask sensitivity to modeling assumptions, sampling variability, or hidden biases, leading to potentially misleading conclusions (</w:t>
      </w:r>
      <w:proofErr w:type="spellStart"/>
      <w:r w:rsidR="00AA4725">
        <w:t>Gigerenzer</w:t>
      </w:r>
      <w:proofErr w:type="spellEnd"/>
      <w:r w:rsidR="00AA4725">
        <w:t xml:space="preserve"> et al., 2004; Tukey, 1977)</w:t>
      </w:r>
      <w:r>
        <w:t>.</w:t>
      </w:r>
    </w:p>
    <w:p w14:paraId="07F1DE28"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2.4 Trustworthy AI and Decision Reliability</w:t>
      </w:r>
    </w:p>
    <w:p w14:paraId="64E4559B" w14:textId="77777777" w:rsidR="00F42FFC" w:rsidRDefault="006A307E" w:rsidP="00B8630D">
      <w:pPr>
        <w:pStyle w:val="NormalWeb"/>
        <w:spacing w:line="276" w:lineRule="auto"/>
        <w:jc w:val="both"/>
      </w:pPr>
      <w:r>
        <w:t xml:space="preserve">As artificial intelligence systems increasingly operate in safety-critical domains, the interpretability, reliability, and governance of model outputs have become essential requirements </w:t>
      </w:r>
      <w:r w:rsidR="00B8630D">
        <w:t>(</w:t>
      </w:r>
      <w:proofErr w:type="spellStart"/>
      <w:r w:rsidR="00B8630D">
        <w:t>Begoli</w:t>
      </w:r>
      <w:proofErr w:type="spellEnd"/>
      <w:r w:rsidR="00B8630D">
        <w:t xml:space="preserve"> et al., 2019). </w:t>
      </w:r>
      <w:r>
        <w:t xml:space="preserve">Existing uncertainty quantification approaches largely remain descriptive and lack structured epistemic mechanisms for guiding safe operational decisions, particularly under distributional shift and model drift </w:t>
      </w:r>
      <w:r w:rsidR="00B8630D">
        <w:t>(Gal &amp; Ghahramani, 2016).</w:t>
      </w:r>
    </w:p>
    <w:p w14:paraId="26B51A8A"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2.5 Prior Bayesian Interpretative Frameworks</w:t>
      </w:r>
    </w:p>
    <w:p w14:paraId="0CC7E3F2" w14:textId="77777777" w:rsidR="00F42FFC" w:rsidRDefault="006A307E" w:rsidP="007732BD">
      <w:pPr>
        <w:pStyle w:val="NormalWeb"/>
        <w:spacing w:line="276" w:lineRule="auto"/>
        <w:jc w:val="both"/>
      </w:pPr>
      <w:r>
        <w:t>Bayesian inference has long been accompanied by philosophical and methodological efforts to interpret probabilistic outputs beyond numerical estimation. Classical Bayesian epistemology treats probability as a rational degree of belief constrained by coherence and evidence updating, providing normative justification for posterior probabilities as expre</w:t>
      </w:r>
      <w:r w:rsidR="007732BD">
        <w:t xml:space="preserve">ssions of epistemic commitment (Howson &amp; Urbach, 2006; (Joyce, 2005). </w:t>
      </w:r>
      <w:r>
        <w:t xml:space="preserve">In this view, posterior distributions encode rational belief states rather </w:t>
      </w:r>
      <w:r>
        <w:lastRenderedPageBreak/>
        <w:t>than physical frequencies, and decision-making is typically guided through expected utility maximization and loss-based optimization.</w:t>
      </w:r>
    </w:p>
    <w:p w14:paraId="6B807D26" w14:textId="77777777" w:rsidR="00F42FFC" w:rsidRDefault="006A307E" w:rsidP="007732BD">
      <w:pPr>
        <w:pStyle w:val="NormalWeb"/>
        <w:spacing w:line="276" w:lineRule="auto"/>
        <w:jc w:val="both"/>
      </w:pPr>
      <w:r>
        <w:t xml:space="preserve">Within applied statistics and machine learning, several interpretative extensions have been proposed to improve the practical meaning of Bayesian outputs. Credible intervals are commonly used to express parameter uncertainty, although their interpretation is often misunderstood or overconfidently operationalized </w:t>
      </w:r>
      <w:r w:rsidR="007732BD">
        <w:t xml:space="preserve">(Morey et al., 2016). </w:t>
      </w:r>
      <w:r>
        <w:t xml:space="preserve">Bayesian model comparison frameworks such as Bayes factors and posterior odds provide relative evidence assessment but do not directly characterize epistemic stability or decision safety under model uncertainty </w:t>
      </w:r>
      <w:r w:rsidR="007732BD">
        <w:t>(Gelman et al., 2013).</w:t>
      </w:r>
    </w:p>
    <w:p w14:paraId="3B4E0A86" w14:textId="77777777" w:rsidR="00F42FFC" w:rsidRDefault="006A307E" w:rsidP="004A16A9">
      <w:pPr>
        <w:pStyle w:val="NormalWeb"/>
        <w:spacing w:line="276" w:lineRule="auto"/>
        <w:jc w:val="both"/>
      </w:pPr>
      <w:r>
        <w:t xml:space="preserve">More recent work in probabilistic machine learning has emphasized uncertainty decomposition, distinguishing aleatoric and epistemic uncertainty to improve reliability in predictive systems </w:t>
      </w:r>
      <w:r w:rsidR="004A16A9">
        <w:t>(Kendall &amp; Gal, 2017);</w:t>
      </w:r>
      <w:r w:rsidR="004A16A9" w:rsidRPr="004A16A9">
        <w:t xml:space="preserve"> </w:t>
      </w:r>
      <w:r w:rsidR="004A16A9">
        <w:t>Gal &amp; Ghahramani, 2016</w:t>
      </w:r>
      <w:r>
        <w:t>). Bayesian neural networks, Monte Carlo dropout, and ensemble methods quantify predictive dispersion and calibration quality but remain fundamentally quantitative and lack categorical interpretive mechanisms that translate posterior uncertainty into actionable credibility states.</w:t>
      </w:r>
    </w:p>
    <w:p w14:paraId="3BF689ED" w14:textId="77777777" w:rsidR="00F42FFC" w:rsidRDefault="006A307E" w:rsidP="006A1914">
      <w:pPr>
        <w:pStyle w:val="NormalWeb"/>
        <w:spacing w:line="276" w:lineRule="auto"/>
        <w:jc w:val="both"/>
      </w:pPr>
      <w:r>
        <w:t xml:space="preserve">In decision theory, Bayesian decision rules typically rely on fixed thresholds, utility functions, or cost-sensitive optimization. While theoretically principled, these mechanisms require external specification of risk tolerance and often embed implicit arbitrariness in operational cutoffs </w:t>
      </w:r>
      <w:r w:rsidR="006A1914">
        <w:t>Otsuka, 2023).</w:t>
      </w:r>
      <w:r>
        <w:t xml:space="preserve">Regulatory and clinical guidelines frequently impose fixed probability thresholds without explicit linkage to epistemic robustness or stability across data perturbations </w:t>
      </w:r>
      <w:r w:rsidR="006A1914">
        <w:t>(Wasserstein &amp; Lazar, 2016).</w:t>
      </w:r>
    </w:p>
    <w:p w14:paraId="7C161B5E" w14:textId="77777777" w:rsidR="00F42FFC" w:rsidRDefault="006A307E" w:rsidP="006A1914">
      <w:pPr>
        <w:pStyle w:val="NormalWeb"/>
        <w:spacing w:line="276" w:lineRule="auto"/>
        <w:jc w:val="both"/>
      </w:pPr>
      <w:r>
        <w:t xml:space="preserve">Philosophical treatments of statistical inference have repeatedly warned against equating numerical confidence with epistemic reliability, emphasizing the risks of overinterpretation without structural validation of assumptions and data adequacy </w:t>
      </w:r>
      <w:r w:rsidR="006A1914">
        <w:t>(</w:t>
      </w:r>
      <w:proofErr w:type="spellStart"/>
      <w:r w:rsidR="006A1914">
        <w:t>Gigerenzer</w:t>
      </w:r>
      <w:proofErr w:type="spellEnd"/>
      <w:r w:rsidR="006A1914">
        <w:t xml:space="preserve"> et al., 2004;</w:t>
      </w:r>
      <w:r w:rsidR="006A1914" w:rsidRPr="006A1914">
        <w:t xml:space="preserve"> </w:t>
      </w:r>
      <w:r w:rsidR="006A1914">
        <w:t>Tukey, 1977; (Romeijn, 2017</w:t>
      </w:r>
      <w:r>
        <w:t>). Despite these insights, no widely adopted Bayesian framework provides a formal mechanism for classifying posterior results into epistemic credibility regimes that explicitly govern decision admissibility.</w:t>
      </w:r>
    </w:p>
    <w:p w14:paraId="7724CFEB" w14:textId="77777777" w:rsidR="00F42FFC" w:rsidRDefault="006A307E" w:rsidP="00080419">
      <w:pPr>
        <w:pStyle w:val="Heading1"/>
        <w:spacing w:line="276" w:lineRule="auto"/>
        <w:rPr>
          <w:rFonts w:ascii="Times New Roman" w:hAnsi="Times New Roman" w:hint="default"/>
          <w:sz w:val="24"/>
          <w:szCs w:val="24"/>
        </w:rPr>
      </w:pPr>
      <w:r>
        <w:rPr>
          <w:rFonts w:ascii="Times New Roman" w:hAnsi="Times New Roman" w:hint="default"/>
          <w:sz w:val="24"/>
          <w:szCs w:val="24"/>
        </w:rPr>
        <w:t>3. Methodology: Bayesian Epistemic Zoning via Posterior Standardization</w:t>
      </w:r>
    </w:p>
    <w:p w14:paraId="5A49646E"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3.1 Bayesian Posterior Estimation</w:t>
      </w:r>
    </w:p>
    <w:p w14:paraId="4C9EA5C1" w14:textId="77777777" w:rsidR="00DA5A11" w:rsidRDefault="00DA5A11" w:rsidP="00DA5A11">
      <w:pPr>
        <w:pStyle w:val="11"/>
        <w:spacing w:line="360" w:lineRule="auto"/>
        <w:ind w:right="1400"/>
        <w:rPr>
          <w:rFonts w:eastAsia="SimSun"/>
        </w:rPr>
      </w:pPr>
      <w:r>
        <w:rPr>
          <w:rFonts w:eastAsia="SimSun"/>
        </w:rPr>
        <w:t>Let θ\</w:t>
      </w:r>
      <w:proofErr w:type="spellStart"/>
      <w:r>
        <w:rPr>
          <w:rFonts w:eastAsia="SimSun"/>
        </w:rPr>
        <w:t>thetaθ</w:t>
      </w:r>
      <w:proofErr w:type="spellEnd"/>
      <w:r>
        <w:rPr>
          <w:rFonts w:eastAsia="SimSun"/>
        </w:rPr>
        <w:t xml:space="preserve"> denote the unknown parameter of interest (e.g., disease risk, failure probability, event rate). A Bayesian model is specified as:</w:t>
      </w:r>
    </w:p>
    <w:p w14:paraId="7D49B620" w14:textId="77777777" w:rsidR="00DA5A11" w:rsidRDefault="00DA5A11" w:rsidP="00DA5A11">
      <w:pPr>
        <w:pStyle w:val="10"/>
        <w:spacing w:line="360" w:lineRule="auto"/>
        <w:jc w:val="left"/>
        <w:rPr>
          <w:rFonts w:ascii="Times New Roman" w:eastAsia="DengXian" w:hAnsi="Times New Roman"/>
        </w:rPr>
      </w:pPr>
      <w:proofErr w:type="spellStart"/>
      <w:r>
        <w:rPr>
          <w:rFonts w:ascii="Times New Roman" w:eastAsia="SimSun" w:hAnsi="Times New Roman"/>
        </w:rPr>
        <w:t>θ</w:t>
      </w:r>
      <w:r>
        <w:rPr>
          <w:rFonts w:ascii="Cambria Math" w:eastAsia="SimSun" w:hAnsi="Cambria Math" w:cs="Cambria Math"/>
        </w:rPr>
        <w:t>∼</w:t>
      </w:r>
      <w:r>
        <w:rPr>
          <w:rFonts w:ascii="Times New Roman" w:eastAsia="SimSun" w:hAnsi="Times New Roman"/>
        </w:rPr>
        <w:t>p</w:t>
      </w:r>
      <w:proofErr w:type="spellEnd"/>
      <w:r>
        <w:rPr>
          <w:rFonts w:ascii="Times New Roman" w:eastAsia="SimSun" w:hAnsi="Times New Roman"/>
        </w:rPr>
        <w:t>(θ</w:t>
      </w:r>
      <w:proofErr w:type="gramStart"/>
      <w:r>
        <w:rPr>
          <w:rFonts w:ascii="Times New Roman" w:eastAsia="SimSun" w:hAnsi="Times New Roman"/>
        </w:rPr>
        <w:t>),</w:t>
      </w:r>
      <w:proofErr w:type="spellStart"/>
      <w:r>
        <w:rPr>
          <w:rFonts w:ascii="Times New Roman" w:eastAsia="SimSun" w:hAnsi="Times New Roman"/>
        </w:rPr>
        <w:t>D</w:t>
      </w:r>
      <w:proofErr w:type="gramEnd"/>
      <w:r>
        <w:rPr>
          <w:rFonts w:ascii="Cambria Math" w:eastAsia="SimSun" w:hAnsi="Cambria Math" w:cs="Cambria Math"/>
        </w:rPr>
        <w:t>∼</w:t>
      </w:r>
      <w:r>
        <w:rPr>
          <w:rFonts w:ascii="Times New Roman" w:eastAsia="SimSun" w:hAnsi="Times New Roman"/>
        </w:rPr>
        <w:t>p</w:t>
      </w:r>
      <w:proofErr w:type="spellEnd"/>
      <w:r>
        <w:rPr>
          <w:rFonts w:ascii="Times New Roman" w:eastAsia="SimSun" w:hAnsi="Times New Roman"/>
        </w:rPr>
        <w:t>(</w:t>
      </w:r>
      <w:proofErr w:type="spellStart"/>
      <w:r>
        <w:rPr>
          <w:rFonts w:ascii="Times New Roman" w:eastAsia="SimSun" w:hAnsi="Times New Roman"/>
        </w:rPr>
        <w:t>D</w:t>
      </w:r>
      <w:r>
        <w:rPr>
          <w:rFonts w:ascii="Cambria Math" w:eastAsia="SimSun" w:hAnsi="Cambria Math" w:cs="Cambria Math"/>
        </w:rPr>
        <w:t>∣</w:t>
      </w:r>
      <w:r>
        <w:rPr>
          <w:rFonts w:ascii="Times New Roman" w:eastAsia="SimSun" w:hAnsi="Times New Roman"/>
        </w:rPr>
        <w:t>θ</w:t>
      </w:r>
      <w:proofErr w:type="spellEnd"/>
      <w:r>
        <w:rPr>
          <w:rFonts w:ascii="Times New Roman" w:eastAsia="SimSun" w:hAnsi="Times New Roman"/>
        </w:rPr>
        <w:t xml:space="preserve">) </w:t>
      </w:r>
    </w:p>
    <w:p w14:paraId="0FDCE1BD" w14:textId="77777777" w:rsidR="00DA5A11" w:rsidRDefault="00DA5A11" w:rsidP="00DA5A11">
      <w:pPr>
        <w:pStyle w:val="11"/>
        <w:spacing w:line="360" w:lineRule="auto"/>
        <w:ind w:right="1400"/>
        <w:rPr>
          <w:rFonts w:eastAsia="SimSun"/>
        </w:rPr>
      </w:pPr>
      <w:r>
        <w:rPr>
          <w:rFonts w:eastAsia="SimSun"/>
        </w:rPr>
        <w:lastRenderedPageBreak/>
        <w:t>After observing data D, the posterior distribution is obtained via Bayes’ theorem:</w:t>
      </w:r>
    </w:p>
    <w:p w14:paraId="27CCC9BB" w14:textId="77777777" w:rsidR="00DA5A11" w:rsidRDefault="00DA5A11" w:rsidP="00DA5A11">
      <w:pPr>
        <w:pStyle w:val="10"/>
        <w:spacing w:line="360" w:lineRule="auto"/>
        <w:jc w:val="left"/>
        <w:rPr>
          <w:rFonts w:ascii="Times New Roman" w:eastAsia="DengXian" w:hAnsi="Times New Roman"/>
        </w:rPr>
      </w:pPr>
      <w:r>
        <w:rPr>
          <w:rFonts w:ascii="Times New Roman" w:eastAsia="SimSun" w:hAnsi="Times New Roman"/>
        </w:rPr>
        <w:t>p(</w:t>
      </w:r>
      <w:proofErr w:type="spellStart"/>
      <w:r>
        <w:rPr>
          <w:rFonts w:ascii="Times New Roman" w:eastAsia="SimSun" w:hAnsi="Times New Roman"/>
        </w:rPr>
        <w:t>θ</w:t>
      </w:r>
      <w:r>
        <w:rPr>
          <w:rFonts w:ascii="Cambria Math" w:eastAsia="SimSun" w:hAnsi="Cambria Math" w:cs="Cambria Math"/>
        </w:rPr>
        <w:t>∣</w:t>
      </w:r>
      <w:proofErr w:type="gramStart"/>
      <w:r>
        <w:rPr>
          <w:rFonts w:ascii="Times New Roman" w:eastAsia="SimSun" w:hAnsi="Times New Roman"/>
        </w:rPr>
        <w:t>D</w:t>
      </w:r>
      <w:proofErr w:type="spellEnd"/>
      <w:r>
        <w:rPr>
          <w:rFonts w:ascii="Times New Roman" w:eastAsia="SimSun" w:hAnsi="Times New Roman"/>
        </w:rPr>
        <w:t>)</w:t>
      </w:r>
      <w:r>
        <w:rPr>
          <w:rFonts w:ascii="Cambria Math" w:eastAsia="SimSun" w:hAnsi="Cambria Math" w:cs="Cambria Math"/>
        </w:rPr>
        <w:t>∝</w:t>
      </w:r>
      <w:proofErr w:type="gramEnd"/>
      <w:r>
        <w:rPr>
          <w:rFonts w:ascii="Times New Roman" w:eastAsia="SimSun" w:hAnsi="Times New Roman"/>
        </w:rPr>
        <w:t>p(</w:t>
      </w:r>
      <w:proofErr w:type="spellStart"/>
      <w:r>
        <w:rPr>
          <w:rFonts w:ascii="Times New Roman" w:eastAsia="SimSun" w:hAnsi="Times New Roman"/>
        </w:rPr>
        <w:t>D</w:t>
      </w:r>
      <w:r>
        <w:rPr>
          <w:rFonts w:ascii="Cambria Math" w:eastAsia="SimSun" w:hAnsi="Cambria Math" w:cs="Cambria Math"/>
        </w:rPr>
        <w:t>∣</w:t>
      </w:r>
      <w:r>
        <w:rPr>
          <w:rFonts w:ascii="Times New Roman" w:eastAsia="SimSun" w:hAnsi="Times New Roman"/>
        </w:rPr>
        <w:t>θ</w:t>
      </w:r>
      <w:proofErr w:type="spellEnd"/>
      <w:r>
        <w:rPr>
          <w:rFonts w:ascii="Times New Roman" w:eastAsia="SimSun" w:hAnsi="Times New Roman"/>
        </w:rPr>
        <w:t xml:space="preserve">) p(θ) </w:t>
      </w:r>
    </w:p>
    <w:p w14:paraId="7663DC01" w14:textId="77777777" w:rsidR="00DA5A11" w:rsidRDefault="00DA5A11" w:rsidP="00DA5A11">
      <w:pPr>
        <w:pStyle w:val="11"/>
        <w:spacing w:line="360" w:lineRule="auto"/>
        <w:ind w:right="1400"/>
        <w:rPr>
          <w:rFonts w:eastAsia="SimSun"/>
        </w:rPr>
      </w:pPr>
      <w:r>
        <w:rPr>
          <w:rFonts w:eastAsia="SimSun"/>
        </w:rPr>
        <w:t>From the posterior distribution, the following summary quantities are computed:</w:t>
      </w:r>
    </w:p>
    <w:p w14:paraId="6FFC00BB" w14:textId="77777777" w:rsidR="00DA5A11" w:rsidRDefault="00DA5A11" w:rsidP="00DA5A11">
      <w:pPr>
        <w:pStyle w:val="10"/>
        <w:spacing w:line="360" w:lineRule="auto"/>
        <w:jc w:val="left"/>
        <w:rPr>
          <w:rFonts w:ascii="Times New Roman" w:eastAsia="SimSun" w:hAnsi="Times New Roman"/>
        </w:rPr>
      </w:pPr>
      <w:r>
        <w:rPr>
          <w:rFonts w:ascii="Times New Roman" w:eastAsia="SimSun" w:hAnsi="Times New Roman"/>
        </w:rPr>
        <w:t>μ=E[</w:t>
      </w:r>
      <w:proofErr w:type="spellStart"/>
      <w:r>
        <w:rPr>
          <w:rFonts w:ascii="Times New Roman" w:eastAsia="SimSun" w:hAnsi="Times New Roman"/>
        </w:rPr>
        <w:t>θ</w:t>
      </w:r>
      <w:r>
        <w:rPr>
          <w:rFonts w:ascii="Cambria Math" w:eastAsia="SimSun" w:hAnsi="Cambria Math" w:cs="Cambria Math"/>
        </w:rPr>
        <w:t>∣</w:t>
      </w:r>
      <w:proofErr w:type="gramStart"/>
      <w:r>
        <w:rPr>
          <w:rFonts w:ascii="Times New Roman" w:eastAsia="SimSun" w:hAnsi="Times New Roman"/>
        </w:rPr>
        <w:t>D</w:t>
      </w:r>
      <w:proofErr w:type="spellEnd"/>
      <w:r>
        <w:rPr>
          <w:rFonts w:ascii="Times New Roman" w:eastAsia="SimSun" w:hAnsi="Times New Roman"/>
        </w:rPr>
        <w:t>](</w:t>
      </w:r>
      <w:proofErr w:type="gramEnd"/>
      <w:r>
        <w:rPr>
          <w:rFonts w:ascii="Times New Roman" w:eastAsia="SimSun" w:hAnsi="Times New Roman"/>
        </w:rPr>
        <w:t>posterior mean)</w:t>
      </w:r>
    </w:p>
    <w:p w14:paraId="31B4F534" w14:textId="77777777" w:rsidR="00F42FFC" w:rsidRPr="00B660CD" w:rsidRDefault="006A307E" w:rsidP="00DA5A11">
      <w:pPr>
        <w:spacing w:line="276" w:lineRule="auto"/>
        <w:jc w:val="left"/>
        <w:rPr>
          <w:rFonts w:ascii="Times New Roman" w:eastAsia="SimSun" w:hAnsi="Times New Roman"/>
          <w:bCs/>
          <w:sz w:val="24"/>
          <w:szCs w:val="24"/>
          <w:lang w:bidi="ar"/>
        </w:rPr>
      </w:pPr>
      <w:proofErr w:type="spellStart"/>
      <w:r w:rsidRPr="00B660CD">
        <w:rPr>
          <w:rFonts w:ascii="Times New Roman" w:hAnsi="Times New Roman"/>
          <w:bCs/>
          <w:sz w:val="24"/>
          <w:szCs w:val="24"/>
        </w:rPr>
        <w:t>σ_post</w:t>
      </w:r>
      <w:proofErr w:type="spellEnd"/>
      <w:r w:rsidRPr="00B660CD">
        <w:rPr>
          <w:rFonts w:ascii="Times New Roman" w:hAnsi="Times New Roman"/>
          <w:bCs/>
          <w:sz w:val="24"/>
          <w:szCs w:val="24"/>
        </w:rPr>
        <w:t xml:space="preserve"> = √</w:t>
      </w:r>
      <w:proofErr w:type="gramStart"/>
      <w:r w:rsidRPr="00B660CD">
        <w:rPr>
          <w:rFonts w:ascii="Times New Roman" w:hAnsi="Times New Roman"/>
          <w:bCs/>
          <w:sz w:val="24"/>
          <w:szCs w:val="24"/>
        </w:rPr>
        <w:t>Var(</w:t>
      </w:r>
      <w:proofErr w:type="gramEnd"/>
      <w:r w:rsidRPr="00B660CD">
        <w:rPr>
          <w:rFonts w:ascii="Times New Roman" w:hAnsi="Times New Roman"/>
          <w:bCs/>
          <w:sz w:val="24"/>
          <w:szCs w:val="24"/>
        </w:rPr>
        <w:t>θ | D)</w:t>
      </w:r>
      <w:proofErr w:type="gramStart"/>
      <w:r w:rsidRPr="00B660CD">
        <w:rPr>
          <w:rFonts w:ascii="Times New Roman" w:hAnsi="Times New Roman"/>
          <w:bCs/>
          <w:sz w:val="24"/>
          <w:szCs w:val="24"/>
        </w:rPr>
        <w:t xml:space="preserve">   (</w:t>
      </w:r>
      <w:proofErr w:type="gramEnd"/>
      <w:r w:rsidRPr="00B660CD">
        <w:rPr>
          <w:rFonts w:ascii="Times New Roman" w:hAnsi="Times New Roman"/>
          <w:bCs/>
          <w:sz w:val="24"/>
          <w:szCs w:val="24"/>
        </w:rPr>
        <w:t>posterior standard deviation)</w:t>
      </w:r>
    </w:p>
    <w:p w14:paraId="062F9BB1" w14:textId="77777777" w:rsidR="00F42FFC" w:rsidRDefault="006A307E" w:rsidP="00DA5A11">
      <w:pPr>
        <w:pStyle w:val="NormalWeb"/>
        <w:spacing w:before="100" w:after="100" w:line="276" w:lineRule="auto"/>
      </w:pPr>
      <w:r>
        <w:t>These quantities characterize the central tendency and epistemic uncertainty of the inferred parameter.</w:t>
      </w:r>
    </w:p>
    <w:p w14:paraId="6B7499EF"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3.2 Operational Decision Value</w:t>
      </w:r>
    </w:p>
    <w:p w14:paraId="73424E59" w14:textId="77777777" w:rsidR="00F42FFC" w:rsidRDefault="006A307E" w:rsidP="00080419">
      <w:pPr>
        <w:pStyle w:val="NormalWeb"/>
        <w:spacing w:line="276" w:lineRule="auto"/>
        <w:jc w:val="both"/>
      </w:pPr>
      <w:r>
        <w:t xml:space="preserve">Let x denote an </w:t>
      </w:r>
      <w:r w:rsidRPr="00B660CD">
        <w:rPr>
          <w:rStyle w:val="Strong"/>
          <w:b w:val="0"/>
          <w:bCs w:val="0"/>
        </w:rPr>
        <w:t>operational decision value</w:t>
      </w:r>
      <w:r>
        <w:t>, representing a concrete actionable quantity such as:</w:t>
      </w:r>
    </w:p>
    <w:p w14:paraId="51C49528" w14:textId="77777777" w:rsidR="00F42FFC" w:rsidRDefault="006A307E" w:rsidP="00080419">
      <w:pPr>
        <w:pStyle w:val="NormalWeb"/>
        <w:spacing w:line="276" w:lineRule="auto"/>
        <w:jc w:val="both"/>
      </w:pPr>
      <w:r>
        <w:t>a classification cutoff,</w:t>
      </w:r>
    </w:p>
    <w:p w14:paraId="7D9AFDDD" w14:textId="77777777" w:rsidR="00F42FFC" w:rsidRDefault="006A307E" w:rsidP="00080419">
      <w:pPr>
        <w:pStyle w:val="NormalWeb"/>
        <w:spacing w:line="276" w:lineRule="auto"/>
        <w:jc w:val="both"/>
      </w:pPr>
      <w:r>
        <w:t>a clinical intervention threshold,</w:t>
      </w:r>
    </w:p>
    <w:p w14:paraId="3E09FB6D" w14:textId="77777777" w:rsidR="00F42FFC" w:rsidRDefault="006A307E" w:rsidP="00080419">
      <w:pPr>
        <w:pStyle w:val="NormalWeb"/>
        <w:spacing w:line="276" w:lineRule="auto"/>
        <w:jc w:val="both"/>
      </w:pPr>
      <w:r>
        <w:t>a regulatory risk limit,</w:t>
      </w:r>
    </w:p>
    <w:p w14:paraId="1FFF4D0E" w14:textId="77777777" w:rsidR="00F42FFC" w:rsidRDefault="006A307E" w:rsidP="00080419">
      <w:pPr>
        <w:pStyle w:val="NormalWeb"/>
        <w:spacing w:line="276" w:lineRule="auto"/>
        <w:jc w:val="both"/>
      </w:pPr>
      <w:r>
        <w:t>or a policy trigger level.</w:t>
      </w:r>
    </w:p>
    <w:p w14:paraId="203BDE5D" w14:textId="77777777" w:rsidR="00F42FFC" w:rsidRDefault="006A307E" w:rsidP="00080419">
      <w:pPr>
        <w:pStyle w:val="NormalWeb"/>
        <w:spacing w:line="276" w:lineRule="auto"/>
        <w:jc w:val="both"/>
      </w:pPr>
      <w:r>
        <w:t xml:space="preserve">In classical practice, such values are typically fixed arbitrarily (e.g., 0.5, 20%, 0.05). In the proposed framework, x is treated as a </w:t>
      </w:r>
      <w:r w:rsidRPr="00B660CD">
        <w:rPr>
          <w:rStyle w:val="Strong"/>
          <w:b w:val="0"/>
          <w:bCs w:val="0"/>
        </w:rPr>
        <w:t>decision hypothesis</w:t>
      </w:r>
      <w:r>
        <w:t xml:space="preserve"> whose epistemic legitimacy must be evaluated relative to posterior uncertainty.</w:t>
      </w:r>
    </w:p>
    <w:p w14:paraId="33CE6C2E"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3.3 Posterior Epistemic Standardization</w:t>
      </w:r>
    </w:p>
    <w:p w14:paraId="1118E4C0" w14:textId="77777777" w:rsidR="00DA5A11" w:rsidRDefault="00DA5A11" w:rsidP="00DA5A11">
      <w:pPr>
        <w:pStyle w:val="11"/>
        <w:spacing w:line="360" w:lineRule="auto"/>
        <w:ind w:right="1400"/>
        <w:jc w:val="both"/>
        <w:rPr>
          <w:rFonts w:eastAsia="SimSun"/>
        </w:rPr>
      </w:pPr>
      <w:r>
        <w:rPr>
          <w:rFonts w:eastAsia="SimSun"/>
        </w:rPr>
        <w:t>To quantify the epistemic distance between the operational decision and posterior belief, the following standardized epistemic coordinate is defined:</w:t>
      </w:r>
    </w:p>
    <w:p w14:paraId="030C4A88" w14:textId="77777777" w:rsidR="00DA5A11" w:rsidRDefault="00DA5A11" w:rsidP="00DA5A11">
      <w:pPr>
        <w:pStyle w:val="10"/>
        <w:spacing w:line="360" w:lineRule="auto"/>
        <w:jc w:val="both"/>
        <w:rPr>
          <w:rFonts w:ascii="Times New Roman" w:eastAsia="DengXian" w:hAnsi="Times New Roman"/>
        </w:rPr>
      </w:pPr>
      <w:proofErr w:type="spellStart"/>
      <w:r>
        <w:rPr>
          <w:rFonts w:ascii="Times New Roman" w:eastAsia="SimSun" w:hAnsi="Times New Roman"/>
        </w:rPr>
        <w:t>Zpost</w:t>
      </w:r>
      <w:proofErr w:type="spellEnd"/>
      <w:r>
        <w:rPr>
          <w:rFonts w:ascii="Times New Roman" w:eastAsia="SimSun" w:hAnsi="Times New Roman"/>
        </w:rPr>
        <w:t>(x)=x−μ/</w:t>
      </w:r>
      <w:proofErr w:type="spellStart"/>
      <w:r>
        <w:rPr>
          <w:rFonts w:ascii="Times New Roman" w:eastAsia="SimSun" w:hAnsi="Times New Roman"/>
        </w:rPr>
        <w:t>σpost</w:t>
      </w:r>
      <w:proofErr w:type="spellEnd"/>
      <w:r>
        <w:rPr>
          <w:rFonts w:ascii="Times New Roman" w:eastAsia="SimSun" w:hAnsi="Times New Roman"/>
        </w:rPr>
        <w:t xml:space="preserve">​​ </w:t>
      </w:r>
    </w:p>
    <w:p w14:paraId="09940067" w14:textId="77777777" w:rsidR="00DA5A11" w:rsidRDefault="00DA5A11" w:rsidP="00DA5A11">
      <w:pPr>
        <w:pStyle w:val="11"/>
        <w:spacing w:line="360" w:lineRule="auto"/>
        <w:ind w:right="1400"/>
        <w:jc w:val="both"/>
        <w:rPr>
          <w:rFonts w:eastAsia="SimSun"/>
        </w:rPr>
      </w:pPr>
      <w:r>
        <w:rPr>
          <w:rFonts w:eastAsia="SimSun"/>
        </w:rPr>
        <w:lastRenderedPageBreak/>
        <w:t xml:space="preserve">This transformation converts the absolute numerical difference into a </w:t>
      </w:r>
      <w:r w:rsidRPr="00B660CD">
        <w:rPr>
          <w:rStyle w:val="15"/>
          <w:rFonts w:eastAsia="SimSun"/>
          <w:b w:val="0"/>
          <w:bCs/>
        </w:rPr>
        <w:t>dimensionless epistemic distance measured in posterior uncertainty units</w:t>
      </w:r>
      <w:r w:rsidRPr="00B660CD">
        <w:rPr>
          <w:rFonts w:eastAsia="SimSun"/>
          <w:b/>
          <w:bCs/>
        </w:rPr>
        <w:t>.</w:t>
      </w:r>
    </w:p>
    <w:p w14:paraId="0DE01D5B" w14:textId="77777777" w:rsidR="00DA5A11" w:rsidRDefault="00DA5A11" w:rsidP="00DA5A11">
      <w:pPr>
        <w:pStyle w:val="11"/>
        <w:spacing w:line="360" w:lineRule="auto"/>
        <w:ind w:right="1400"/>
        <w:jc w:val="both"/>
        <w:rPr>
          <w:rFonts w:eastAsia="SimSun"/>
        </w:rPr>
      </w:pPr>
      <w:r>
        <w:rPr>
          <w:rFonts w:eastAsia="SimSun"/>
        </w:rPr>
        <w:t>Interpretively:</w:t>
      </w:r>
    </w:p>
    <w:p w14:paraId="69D2DD6D" w14:textId="77777777" w:rsidR="00DA5A11" w:rsidRDefault="00DA5A11" w:rsidP="00DA5A11">
      <w:pPr>
        <w:pStyle w:val="11"/>
        <w:spacing w:line="360" w:lineRule="auto"/>
        <w:ind w:right="1400"/>
        <w:jc w:val="both"/>
        <w:rPr>
          <w:rFonts w:eastAsia="SimSun"/>
        </w:rPr>
      </w:pPr>
      <w:r>
        <w:rPr>
          <w:rFonts w:eastAsia="SimSun"/>
        </w:rPr>
        <w:t xml:space="preserve">Small </w:t>
      </w:r>
      <w:r>
        <w:rPr>
          <w:rFonts w:ascii="Cambria Math" w:eastAsia="SimSun" w:hAnsi="Cambria Math" w:cs="Cambria Math"/>
        </w:rPr>
        <w:t>∣</w:t>
      </w:r>
      <w:proofErr w:type="spellStart"/>
      <w:r>
        <w:rPr>
          <w:rFonts w:eastAsia="SimSun"/>
        </w:rPr>
        <w:t>Zpost</w:t>
      </w:r>
      <w:proofErr w:type="spellEnd"/>
      <w:r>
        <w:rPr>
          <w:rFonts w:ascii="Cambria Math" w:eastAsia="SimSun" w:hAnsi="Cambria Math" w:cs="Cambria Math"/>
        </w:rPr>
        <w:t>∣</w:t>
      </w:r>
      <w:r>
        <w:rPr>
          <w:rFonts w:eastAsia="SimSun"/>
        </w:rPr>
        <w:t xml:space="preserve"> indicates high epistemic alignment between decision and posterior belief.</w:t>
      </w:r>
    </w:p>
    <w:p w14:paraId="59858416" w14:textId="77777777" w:rsidR="00DA5A11" w:rsidRDefault="00DA5A11" w:rsidP="00DA5A11">
      <w:pPr>
        <w:pStyle w:val="11"/>
        <w:spacing w:line="360" w:lineRule="auto"/>
        <w:ind w:right="1400"/>
        <w:jc w:val="both"/>
        <w:rPr>
          <w:rFonts w:eastAsia="SimSun"/>
        </w:rPr>
      </w:pPr>
      <w:r>
        <w:rPr>
          <w:rFonts w:eastAsia="SimSun"/>
        </w:rPr>
        <w:t xml:space="preserve">Large </w:t>
      </w:r>
      <w:r>
        <w:rPr>
          <w:rFonts w:ascii="Cambria Math" w:eastAsia="SimSun" w:hAnsi="Cambria Math" w:cs="Cambria Math"/>
        </w:rPr>
        <w:t>∣</w:t>
      </w:r>
      <w:proofErr w:type="spellStart"/>
      <w:r>
        <w:rPr>
          <w:rFonts w:eastAsia="SimSun"/>
        </w:rPr>
        <w:t>Zpost</w:t>
      </w:r>
      <w:r>
        <w:rPr>
          <w:rFonts w:ascii="Cambria Math" w:eastAsia="SimSun" w:hAnsi="Cambria Math" w:cs="Cambria Math"/>
        </w:rPr>
        <w:t>∣</w:t>
      </w:r>
      <w:r>
        <w:rPr>
          <w:rFonts w:eastAsia="SimSun"/>
        </w:rPr>
        <w:t>indicates</w:t>
      </w:r>
      <w:proofErr w:type="spellEnd"/>
      <w:r>
        <w:rPr>
          <w:rFonts w:eastAsia="SimSun"/>
        </w:rPr>
        <w:t xml:space="preserve"> epistemic fragility or potential overconfidence.</w:t>
      </w:r>
    </w:p>
    <w:p w14:paraId="72292E49"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3.4 Posterior Epistemic Zone Partitioning</w:t>
      </w:r>
    </w:p>
    <w:p w14:paraId="30E18EBF" w14:textId="77777777" w:rsidR="00F42FFC" w:rsidRDefault="006A307E" w:rsidP="00080419">
      <w:pPr>
        <w:pStyle w:val="Heading3"/>
        <w:spacing w:line="276"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Operational decision thresholds are classified into epistemic credibility zones using standardized posterior distance partitions, as summarized in </w:t>
      </w:r>
      <w:r>
        <w:rPr>
          <w:rStyle w:val="Strong"/>
          <w:rFonts w:ascii="Times New Roman" w:hAnsi="Times New Roman" w:hint="default"/>
          <w:sz w:val="24"/>
          <w:szCs w:val="24"/>
        </w:rPr>
        <w:t>Table 1and Figure 1</w:t>
      </w:r>
      <w:r>
        <w:rPr>
          <w:rFonts w:ascii="Times New Roman" w:hAnsi="Times New Roman" w:hint="default"/>
          <w:b w:val="0"/>
          <w:bCs w:val="0"/>
          <w:sz w:val="24"/>
          <w:szCs w:val="24"/>
        </w:rPr>
        <w:t xml:space="preserve">. </w:t>
      </w:r>
    </w:p>
    <w:p w14:paraId="582E0256"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Table 1. Posterior Epistemic Zone Classification and Decision Interpretation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8"/>
        <w:gridCol w:w="2717"/>
        <w:gridCol w:w="2364"/>
        <w:gridCol w:w="1897"/>
      </w:tblGrid>
      <w:tr w:rsidR="00F42FFC" w14:paraId="302EFB8E" w14:textId="77777777" w:rsidTr="00B660CD">
        <w:trPr>
          <w:tblHeader/>
          <w:tblCellSpacing w:w="15" w:type="dxa"/>
        </w:trPr>
        <w:tc>
          <w:tcPr>
            <w:tcW w:w="1393" w:type="dxa"/>
            <w:shd w:val="clear" w:color="auto" w:fill="FFE599" w:themeFill="accent4" w:themeFillTint="66"/>
            <w:vAlign w:val="center"/>
          </w:tcPr>
          <w:p w14:paraId="781C8BFC"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Posterior Epistemic Zone</w:t>
            </w:r>
          </w:p>
        </w:tc>
        <w:tc>
          <w:tcPr>
            <w:tcW w:w="2687" w:type="dxa"/>
            <w:shd w:val="clear" w:color="auto" w:fill="FFE599" w:themeFill="accent4" w:themeFillTint="66"/>
            <w:vAlign w:val="center"/>
          </w:tcPr>
          <w:p w14:paraId="7A332E37"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Condition on (Z post(x)</w:t>
            </w:r>
          </w:p>
        </w:tc>
        <w:tc>
          <w:tcPr>
            <w:tcW w:w="0" w:type="auto"/>
            <w:shd w:val="clear" w:color="auto" w:fill="FFE599" w:themeFill="accent4" w:themeFillTint="66"/>
            <w:vAlign w:val="center"/>
          </w:tcPr>
          <w:p w14:paraId="1880F4EF"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Epistemic Meaning</w:t>
            </w:r>
          </w:p>
        </w:tc>
        <w:tc>
          <w:tcPr>
            <w:tcW w:w="0" w:type="auto"/>
            <w:shd w:val="clear" w:color="auto" w:fill="FFE599" w:themeFill="accent4" w:themeFillTint="66"/>
            <w:vAlign w:val="center"/>
          </w:tcPr>
          <w:p w14:paraId="26413F88"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Decision Interpretation</w:t>
            </w:r>
          </w:p>
        </w:tc>
      </w:tr>
      <w:tr w:rsidR="00F42FFC" w14:paraId="301037A6" w14:textId="77777777" w:rsidTr="00D276E7">
        <w:trPr>
          <w:tblCellSpacing w:w="15" w:type="dxa"/>
        </w:trPr>
        <w:tc>
          <w:tcPr>
            <w:tcW w:w="1393" w:type="dxa"/>
            <w:vAlign w:val="center"/>
          </w:tcPr>
          <w:p w14:paraId="15754470"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2687" w:type="dxa"/>
            <w:vAlign w:val="center"/>
          </w:tcPr>
          <w:p w14:paraId="4ECF4BF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 xml:space="preserve">(-1 </w:t>
            </w:r>
            <w:r>
              <w:rPr>
                <w:rFonts w:ascii="Times New Roman" w:eastAsia="SimSun" w:hAnsi="Times New Roman"/>
                <w:sz w:val="24"/>
                <w:szCs w:val="24"/>
              </w:rPr>
              <w:t>≤</w:t>
            </w:r>
            <w:r>
              <w:rPr>
                <w:rFonts w:ascii="Times New Roman" w:eastAsia="SimSun" w:hAnsi="Times New Roman"/>
                <w:sz w:val="24"/>
                <w:szCs w:val="24"/>
                <w:lang w:bidi="ar"/>
              </w:rPr>
              <w:t>Z post</w:t>
            </w:r>
            <w:r>
              <w:rPr>
                <w:rFonts w:ascii="Times New Roman" w:eastAsia="SimSun" w:hAnsi="Times New Roman"/>
                <w:sz w:val="24"/>
                <w:szCs w:val="24"/>
              </w:rPr>
              <w:t>≤+1)</w:t>
            </w:r>
          </w:p>
        </w:tc>
        <w:tc>
          <w:tcPr>
            <w:tcW w:w="0" w:type="auto"/>
            <w:vAlign w:val="center"/>
          </w:tcPr>
          <w:p w14:paraId="01A1FCF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High credibility, stable inference</w:t>
            </w:r>
          </w:p>
        </w:tc>
        <w:tc>
          <w:tcPr>
            <w:tcW w:w="0" w:type="auto"/>
            <w:vAlign w:val="center"/>
          </w:tcPr>
          <w:p w14:paraId="3E71D54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Safe execution</w:t>
            </w:r>
          </w:p>
        </w:tc>
      </w:tr>
      <w:tr w:rsidR="00F42FFC" w14:paraId="44E41138" w14:textId="77777777" w:rsidTr="00D276E7">
        <w:trPr>
          <w:tblCellSpacing w:w="15" w:type="dxa"/>
        </w:trPr>
        <w:tc>
          <w:tcPr>
            <w:tcW w:w="1393" w:type="dxa"/>
            <w:vAlign w:val="center"/>
          </w:tcPr>
          <w:p w14:paraId="7933B058"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Upper Plausible</w:t>
            </w:r>
          </w:p>
        </w:tc>
        <w:tc>
          <w:tcPr>
            <w:tcW w:w="2687" w:type="dxa"/>
            <w:vAlign w:val="center"/>
          </w:tcPr>
          <w:p w14:paraId="4F01266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 &lt; Z post(x) +2)</w:t>
            </w:r>
          </w:p>
        </w:tc>
        <w:tc>
          <w:tcPr>
            <w:tcW w:w="0" w:type="auto"/>
            <w:vAlign w:val="center"/>
          </w:tcPr>
          <w:p w14:paraId="7A2A9F1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Moderate credibility with optimistic tendency</w:t>
            </w:r>
          </w:p>
        </w:tc>
        <w:tc>
          <w:tcPr>
            <w:tcW w:w="0" w:type="auto"/>
            <w:vAlign w:val="center"/>
          </w:tcPr>
          <w:p w14:paraId="5025601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Conditional execution</w:t>
            </w:r>
          </w:p>
        </w:tc>
      </w:tr>
      <w:tr w:rsidR="00F42FFC" w14:paraId="0F81EADE" w14:textId="77777777" w:rsidTr="00D276E7">
        <w:trPr>
          <w:tblCellSpacing w:w="15" w:type="dxa"/>
        </w:trPr>
        <w:tc>
          <w:tcPr>
            <w:tcW w:w="1393" w:type="dxa"/>
            <w:vAlign w:val="center"/>
          </w:tcPr>
          <w:p w14:paraId="7C757A64"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Lower Plausible</w:t>
            </w:r>
          </w:p>
        </w:tc>
        <w:tc>
          <w:tcPr>
            <w:tcW w:w="2687" w:type="dxa"/>
            <w:vAlign w:val="center"/>
          </w:tcPr>
          <w:p w14:paraId="41E5417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(-2 Z post(x) &lt; -1)</w:t>
            </w:r>
          </w:p>
        </w:tc>
        <w:tc>
          <w:tcPr>
            <w:tcW w:w="0" w:type="auto"/>
            <w:vAlign w:val="center"/>
          </w:tcPr>
          <w:p w14:paraId="130E5FA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Moderate credibility with conservative tendency</w:t>
            </w:r>
          </w:p>
        </w:tc>
        <w:tc>
          <w:tcPr>
            <w:tcW w:w="0" w:type="auto"/>
            <w:vAlign w:val="center"/>
          </w:tcPr>
          <w:p w14:paraId="2978848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Conditional execution</w:t>
            </w:r>
          </w:p>
        </w:tc>
      </w:tr>
      <w:tr w:rsidR="00F42FFC" w14:paraId="5AB7640E" w14:textId="77777777" w:rsidTr="00D276E7">
        <w:trPr>
          <w:tblCellSpacing w:w="15" w:type="dxa"/>
        </w:trPr>
        <w:tc>
          <w:tcPr>
            <w:tcW w:w="1393" w:type="dxa"/>
            <w:vAlign w:val="center"/>
          </w:tcPr>
          <w:p w14:paraId="061C11BB"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Inflated</w:t>
            </w:r>
          </w:p>
        </w:tc>
        <w:tc>
          <w:tcPr>
            <w:tcW w:w="2687" w:type="dxa"/>
            <w:vAlign w:val="center"/>
          </w:tcPr>
          <w:p w14:paraId="7DE0E68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(Z post (x) &gt; +2)</w:t>
            </w:r>
          </w:p>
        </w:tc>
        <w:tc>
          <w:tcPr>
            <w:tcW w:w="0" w:type="auto"/>
            <w:vAlign w:val="center"/>
          </w:tcPr>
          <w:p w14:paraId="37F9DB8F"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Overconfident extrapolation</w:t>
            </w:r>
          </w:p>
        </w:tc>
        <w:tc>
          <w:tcPr>
            <w:tcW w:w="0" w:type="auto"/>
            <w:vAlign w:val="center"/>
          </w:tcPr>
          <w:p w14:paraId="0768CE1A"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Do not act / recalibrate</w:t>
            </w:r>
          </w:p>
        </w:tc>
      </w:tr>
      <w:tr w:rsidR="00F42FFC" w14:paraId="5D1F100E" w14:textId="77777777" w:rsidTr="00D276E7">
        <w:trPr>
          <w:tblCellSpacing w:w="15" w:type="dxa"/>
        </w:trPr>
        <w:tc>
          <w:tcPr>
            <w:tcW w:w="1393" w:type="dxa"/>
            <w:vAlign w:val="center"/>
          </w:tcPr>
          <w:p w14:paraId="48865829"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Recessive</w:t>
            </w:r>
          </w:p>
        </w:tc>
        <w:tc>
          <w:tcPr>
            <w:tcW w:w="2687" w:type="dxa"/>
            <w:vAlign w:val="center"/>
          </w:tcPr>
          <w:p w14:paraId="64F0E60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(Z post(x) &lt; -2)</w:t>
            </w:r>
          </w:p>
        </w:tc>
        <w:tc>
          <w:tcPr>
            <w:tcW w:w="0" w:type="auto"/>
            <w:vAlign w:val="center"/>
          </w:tcPr>
          <w:p w14:paraId="08B558D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Insufficient epistemic support</w:t>
            </w:r>
          </w:p>
        </w:tc>
        <w:tc>
          <w:tcPr>
            <w:tcW w:w="0" w:type="auto"/>
            <w:vAlign w:val="center"/>
          </w:tcPr>
          <w:p w14:paraId="301CD4D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Data augmentation / abstain</w:t>
            </w:r>
          </w:p>
        </w:tc>
      </w:tr>
    </w:tbl>
    <w:p w14:paraId="0BB7C6E6" w14:textId="77777777" w:rsidR="00F42FFC" w:rsidRDefault="006A307E" w:rsidP="00080419">
      <w:pPr>
        <w:pStyle w:val="NormalWeb"/>
        <w:spacing w:line="276" w:lineRule="auto"/>
        <w:jc w:val="both"/>
      </w:pPr>
      <w:r>
        <w:t>These partitions correspond to increasing epistemic risk rather than probabilistic rarity.</w:t>
      </w:r>
    </w:p>
    <w:p w14:paraId="245628EB" w14:textId="77777777" w:rsidR="00F42FFC" w:rsidRPr="005037F6" w:rsidRDefault="00F72FA6" w:rsidP="00080419">
      <w:pPr>
        <w:spacing w:line="276" w:lineRule="auto"/>
        <w:jc w:val="both"/>
        <w:rPr>
          <w:rFonts w:asciiTheme="majorBidi" w:eastAsia="SimSun" w:hAnsiTheme="majorBidi" w:cstheme="majorBidi"/>
          <w:sz w:val="24"/>
          <w:szCs w:val="24"/>
        </w:rPr>
      </w:pPr>
      <w:r>
        <w:t>PEZs</w:t>
      </w:r>
      <w:r>
        <w:rPr>
          <w:rFonts w:ascii="Times New Roman" w:eastAsia="SimSun" w:hAnsi="Times New Roman"/>
          <w:sz w:val="24"/>
          <w:szCs w:val="24"/>
        </w:rPr>
        <w:t xml:space="preserve"> </w:t>
      </w:r>
      <w:r w:rsidR="006A307E">
        <w:rPr>
          <w:rFonts w:ascii="Times New Roman" w:eastAsia="SimSun" w:hAnsi="Times New Roman"/>
          <w:sz w:val="24"/>
          <w:szCs w:val="24"/>
        </w:rPr>
        <w:t xml:space="preserve">are measured in dimensionless standardized units corresponding </w:t>
      </w:r>
      <w:r w:rsidR="006A307E" w:rsidRPr="005037F6">
        <w:rPr>
          <w:rFonts w:asciiTheme="majorBidi" w:eastAsia="SimSun" w:hAnsiTheme="majorBidi" w:cstheme="majorBidi"/>
          <w:sz w:val="24"/>
          <w:szCs w:val="24"/>
        </w:rPr>
        <w:t xml:space="preserve">to posterior standard deviations, representing the epistemic distance between an operational </w:t>
      </w:r>
      <w:r w:rsidR="006A307E" w:rsidRPr="005037F6">
        <w:rPr>
          <w:rFonts w:asciiTheme="majorBidi" w:eastAsia="SimSun" w:hAnsiTheme="majorBidi" w:cstheme="majorBidi"/>
          <w:sz w:val="24"/>
          <w:szCs w:val="24"/>
        </w:rPr>
        <w:lastRenderedPageBreak/>
        <w:t>decision and the center of posterior belief. These units quantify credibility rather than magnitude, enabling scale-independent interpretation of decision reliability.</w:t>
      </w:r>
    </w:p>
    <w:p w14:paraId="186C7E2A" w14:textId="77777777" w:rsidR="005037F6" w:rsidRPr="005037F6" w:rsidRDefault="005037F6" w:rsidP="00080419">
      <w:pPr>
        <w:spacing w:line="276" w:lineRule="auto"/>
        <w:jc w:val="both"/>
        <w:rPr>
          <w:rFonts w:asciiTheme="majorBidi" w:eastAsia="SimSun" w:hAnsiTheme="majorBidi" w:cstheme="majorBidi"/>
          <w:sz w:val="24"/>
          <w:szCs w:val="24"/>
        </w:rPr>
      </w:pPr>
      <w:r w:rsidRPr="005037F6">
        <w:rPr>
          <w:rFonts w:asciiTheme="majorBidi" w:hAnsiTheme="majorBidi" w:cstheme="majorBidi"/>
          <w:sz w:val="24"/>
          <w:szCs w:val="24"/>
        </w:rPr>
        <w:t>While ±1σ and ±2σ partitions resemble familiar statistical scales, their role here is categorical and epistemic rather than probabilistic.</w:t>
      </w:r>
    </w:p>
    <w:p w14:paraId="1530CCFB" w14:textId="77777777" w:rsidR="00F42FFC" w:rsidRDefault="006A307E" w:rsidP="00080419">
      <w:pPr>
        <w:pStyle w:val="Heading2"/>
        <w:spacing w:line="276" w:lineRule="auto"/>
        <w:jc w:val="both"/>
        <w:rPr>
          <w:rFonts w:ascii="Times New Roman" w:hAnsi="Times New Roman" w:hint="default"/>
          <w:sz w:val="24"/>
          <w:szCs w:val="24"/>
        </w:rPr>
      </w:pPr>
      <w:r w:rsidRPr="005037F6">
        <w:rPr>
          <w:rStyle w:val="Strong"/>
          <w:rFonts w:asciiTheme="majorBidi" w:hAnsiTheme="majorBidi" w:cstheme="majorBidi" w:hint="default"/>
          <w:b/>
          <w:bCs/>
          <w:sz w:val="24"/>
          <w:szCs w:val="24"/>
        </w:rPr>
        <w:t>3.5 Operational Threshold</w:t>
      </w:r>
      <w:r>
        <w:rPr>
          <w:rStyle w:val="Strong"/>
          <w:rFonts w:ascii="Times New Roman" w:hAnsi="Times New Roman" w:hint="default"/>
          <w:b/>
          <w:bCs/>
          <w:sz w:val="24"/>
          <w:szCs w:val="24"/>
        </w:rPr>
        <w:t xml:space="preserve"> Mapping</w:t>
      </w:r>
    </w:p>
    <w:p w14:paraId="0C3463BF" w14:textId="77777777" w:rsidR="00D276E7" w:rsidRDefault="00D276E7" w:rsidP="00D276E7">
      <w:pPr>
        <w:pStyle w:val="11"/>
        <w:spacing w:line="360" w:lineRule="auto"/>
        <w:ind w:right="1400"/>
        <w:jc w:val="both"/>
        <w:rPr>
          <w:rFonts w:eastAsia="SimSun"/>
        </w:rPr>
      </w:pPr>
      <w:r>
        <w:rPr>
          <w:rFonts w:eastAsia="SimSun"/>
        </w:rPr>
        <w:t>Solving the standardization equation for x:</w:t>
      </w:r>
    </w:p>
    <w:p w14:paraId="50E35075" w14:textId="77777777" w:rsidR="00D276E7" w:rsidRDefault="00D276E7" w:rsidP="00D276E7">
      <w:pPr>
        <w:pStyle w:val="10"/>
        <w:spacing w:line="360" w:lineRule="auto"/>
        <w:jc w:val="both"/>
        <w:rPr>
          <w:rFonts w:ascii="Times New Roman" w:eastAsia="DengXian" w:hAnsi="Times New Roman"/>
        </w:rPr>
      </w:pPr>
      <w:proofErr w:type="spellStart"/>
      <w:r>
        <w:rPr>
          <w:rFonts w:ascii="Times New Roman" w:eastAsia="SimSun" w:hAnsi="Times New Roman"/>
        </w:rPr>
        <w:t>Zpost</w:t>
      </w:r>
      <w:proofErr w:type="spellEnd"/>
      <w:r>
        <w:rPr>
          <w:rFonts w:ascii="Times New Roman" w:eastAsia="SimSun" w:hAnsi="Times New Roman"/>
        </w:rPr>
        <w:t>(x)=x−μ/</w:t>
      </w:r>
      <w:proofErr w:type="spellStart"/>
      <w:r>
        <w:rPr>
          <w:rFonts w:ascii="Times New Roman" w:eastAsia="SimSun" w:hAnsi="Times New Roman"/>
        </w:rPr>
        <w:t>σpost</w:t>
      </w:r>
      <w:r>
        <w:rPr>
          <w:rFonts w:ascii="Cambria Math" w:eastAsia="SimSun" w:hAnsi="Cambria Math" w:cs="Cambria Math"/>
        </w:rPr>
        <w:t>⇒</w:t>
      </w:r>
      <w:r>
        <w:rPr>
          <w:rFonts w:ascii="Times New Roman" w:eastAsia="SimSun" w:hAnsi="Times New Roman"/>
        </w:rPr>
        <w:t>x</w:t>
      </w:r>
      <w:proofErr w:type="spellEnd"/>
      <w:r>
        <w:rPr>
          <w:rFonts w:ascii="Times New Roman" w:eastAsia="SimSun" w:hAnsi="Times New Roman"/>
        </w:rPr>
        <w:t>=</w:t>
      </w:r>
      <w:proofErr w:type="spellStart"/>
      <w:r>
        <w:rPr>
          <w:rFonts w:ascii="Times New Roman" w:eastAsia="SimSun" w:hAnsi="Times New Roman"/>
        </w:rPr>
        <w:t>μ+Zpost</w:t>
      </w:r>
      <w:r>
        <w:rPr>
          <w:rFonts w:ascii="Cambria Math" w:eastAsia="SimSun" w:hAnsi="Cambria Math" w:cs="Cambria Math"/>
        </w:rPr>
        <w:t>⋅</w:t>
      </w:r>
      <w:r>
        <w:rPr>
          <w:rFonts w:ascii="Times New Roman" w:eastAsia="SimSun" w:hAnsi="Times New Roman"/>
        </w:rPr>
        <w:t>σpostZ</w:t>
      </w:r>
      <w:proofErr w:type="spellEnd"/>
      <w:r>
        <w:rPr>
          <w:rFonts w:ascii="Times New Roman" w:eastAsia="SimSun" w:hAnsi="Times New Roman"/>
        </w:rPr>
        <w:t>_</w:t>
      </w:r>
    </w:p>
    <w:p w14:paraId="3B926994" w14:textId="77777777" w:rsidR="00D276E7" w:rsidRPr="00D276E7" w:rsidRDefault="00D276E7" w:rsidP="00D276E7">
      <w:pPr>
        <w:pStyle w:val="11"/>
        <w:spacing w:line="360" w:lineRule="auto"/>
        <w:ind w:right="1400"/>
        <w:jc w:val="both"/>
        <w:rPr>
          <w:rFonts w:eastAsia="SimSun"/>
        </w:rPr>
      </w:pPr>
      <w:r>
        <w:rPr>
          <w:rFonts w:eastAsia="SimSun"/>
        </w:rPr>
        <w:t xml:space="preserve">Thus, epistemic zone boundaries translate directly into </w:t>
      </w:r>
      <w:r>
        <w:rPr>
          <w:rStyle w:val="15"/>
          <w:rFonts w:eastAsia="SimSun"/>
        </w:rPr>
        <w:t>decision thresholds</w:t>
      </w:r>
      <w:r>
        <w:rPr>
          <w:rFonts w:eastAsia="SimSun"/>
        </w:rPr>
        <w:t xml:space="preserve">: </w:t>
      </w:r>
      <w:proofErr w:type="spellStart"/>
      <w:r>
        <w:rPr>
          <w:rFonts w:eastAsia="SimSun"/>
        </w:rPr>
        <w:t>xk</w:t>
      </w:r>
      <w:proofErr w:type="spellEnd"/>
      <w:r>
        <w:rPr>
          <w:rFonts w:eastAsia="SimSun"/>
        </w:rPr>
        <w:t>±=</w:t>
      </w:r>
      <w:proofErr w:type="spellStart"/>
      <w:r>
        <w:rPr>
          <w:rFonts w:eastAsia="SimSun"/>
        </w:rPr>
        <w:t>μ±k</w:t>
      </w:r>
      <w:proofErr w:type="spellEnd"/>
      <w:r>
        <w:rPr>
          <w:rFonts w:eastAsia="SimSun"/>
        </w:rPr>
        <w:t> </w:t>
      </w:r>
      <w:proofErr w:type="spellStart"/>
      <w:r>
        <w:rPr>
          <w:rFonts w:eastAsia="SimSun"/>
        </w:rPr>
        <w:t>σ</w:t>
      </w:r>
      <w:proofErr w:type="gramStart"/>
      <w:r>
        <w:rPr>
          <w:rFonts w:eastAsia="SimSun"/>
        </w:rPr>
        <w:t>post,k</w:t>
      </w:r>
      <w:proofErr w:type="spellEnd"/>
      <w:r>
        <w:rPr>
          <w:rFonts w:ascii="Cambria Math" w:eastAsia="SimSun" w:hAnsi="Cambria Math" w:cs="Cambria Math"/>
        </w:rPr>
        <w:t>∈</w:t>
      </w:r>
      <w:r>
        <w:rPr>
          <w:rFonts w:eastAsia="SimSun"/>
        </w:rPr>
        <w:t>{</w:t>
      </w:r>
      <w:proofErr w:type="gramEnd"/>
      <w:r>
        <w:rPr>
          <w:rFonts w:eastAsia="SimSun"/>
        </w:rPr>
        <w:t xml:space="preserve">1,2,3} </w:t>
      </w:r>
    </w:p>
    <w:p w14:paraId="7AE91AC5" w14:textId="77777777" w:rsidR="00D276E7" w:rsidRDefault="00D276E7" w:rsidP="00D276E7">
      <w:pPr>
        <w:pStyle w:val="11"/>
        <w:spacing w:line="360" w:lineRule="auto"/>
        <w:ind w:right="1400"/>
        <w:jc w:val="both"/>
        <w:rPr>
          <w:rFonts w:eastAsia="SimSun"/>
        </w:rPr>
      </w:pPr>
      <w:r>
        <w:rPr>
          <w:rFonts w:eastAsia="SimSun"/>
        </w:rPr>
        <w:t xml:space="preserve">Here, k=1 defines the </w:t>
      </w:r>
      <w:r>
        <w:rPr>
          <w:rStyle w:val="15"/>
          <w:rFonts w:eastAsia="SimSun"/>
        </w:rPr>
        <w:t>Trusted boundary</w:t>
      </w:r>
      <w:r>
        <w:rPr>
          <w:rFonts w:eastAsia="SimSun"/>
        </w:rPr>
        <w:t xml:space="preserve"> (safe decision region), k=2 defines the </w:t>
      </w:r>
      <w:r>
        <w:rPr>
          <w:rStyle w:val="15"/>
          <w:rFonts w:eastAsia="SimSun"/>
        </w:rPr>
        <w:t>Plausible boundary</w:t>
      </w:r>
      <w:r>
        <w:rPr>
          <w:rFonts w:eastAsia="SimSun"/>
        </w:rPr>
        <w:t xml:space="preserve"> (conditional decision region), and k=3 defines the </w:t>
      </w:r>
      <w:r>
        <w:rPr>
          <w:rStyle w:val="15"/>
          <w:rFonts w:eastAsia="SimSun"/>
        </w:rPr>
        <w:t>epistemic alarm boundary</w:t>
      </w:r>
      <w:r>
        <w:rPr>
          <w:rFonts w:eastAsia="SimSun"/>
        </w:rPr>
        <w:t xml:space="preserve"> (do-not-act or recalibration region). This mapping replaces fixed numerical cutoffs with adaptive, posterior-grounded epistemic </w:t>
      </w:r>
      <w:proofErr w:type="spellStart"/>
      <w:proofErr w:type="gramStart"/>
      <w:r>
        <w:rPr>
          <w:rFonts w:eastAsia="SimSun"/>
        </w:rPr>
        <w:t>thresholds.This</w:t>
      </w:r>
      <w:proofErr w:type="spellEnd"/>
      <w:proofErr w:type="gramEnd"/>
      <w:r>
        <w:rPr>
          <w:rFonts w:eastAsia="SimSun"/>
        </w:rPr>
        <w:t xml:space="preserve"> mapping replaces fixed numerical cutoffs with </w:t>
      </w:r>
      <w:r>
        <w:rPr>
          <w:rStyle w:val="15"/>
          <w:rFonts w:eastAsia="SimSun"/>
        </w:rPr>
        <w:t xml:space="preserve">adaptive </w:t>
      </w:r>
      <w:proofErr w:type="gramStart"/>
      <w:r>
        <w:rPr>
          <w:rStyle w:val="15"/>
          <w:rFonts w:eastAsia="SimSun"/>
        </w:rPr>
        <w:t>posterior  epistemically</w:t>
      </w:r>
      <w:proofErr w:type="gramEnd"/>
      <w:r>
        <w:rPr>
          <w:rStyle w:val="15"/>
          <w:rFonts w:eastAsia="SimSun"/>
        </w:rPr>
        <w:t xml:space="preserve"> grounded thresholds</w:t>
      </w:r>
      <w:r>
        <w:rPr>
          <w:rFonts w:eastAsia="SimSun"/>
        </w:rPr>
        <w:t>.</w:t>
      </w:r>
    </w:p>
    <w:p w14:paraId="5BB4E6C2"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3.6 Safe Decision Rules</w:t>
      </w:r>
    </w:p>
    <w:p w14:paraId="46058F98" w14:textId="77777777" w:rsidR="00F42FFC" w:rsidRDefault="006A307E" w:rsidP="00080419">
      <w:pPr>
        <w:pStyle w:val="NormalWeb"/>
        <w:spacing w:line="276" w:lineRule="auto"/>
        <w:jc w:val="both"/>
      </w:pPr>
      <w:r>
        <w:t>Based on the above structure, the following decision rules are defined:</w:t>
      </w:r>
    </w:p>
    <w:p w14:paraId="5E62A25E"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Rule 1 — Trusted Execution Rule</w:t>
      </w:r>
    </w:p>
    <w:p w14:paraId="08FBDC6C" w14:textId="77777777" w:rsidR="00F42FFC" w:rsidRDefault="006A307E" w:rsidP="005A5CED">
      <w:pPr>
        <w:pStyle w:val="NormalWeb"/>
        <w:spacing w:line="276" w:lineRule="auto"/>
        <w:jc w:val="both"/>
      </w:pPr>
      <w:r>
        <w:rPr>
          <w:lang w:bidi="ar"/>
        </w:rPr>
        <w:t xml:space="preserve">(-1 </w:t>
      </w:r>
      <w:r>
        <w:t>≤</w:t>
      </w:r>
      <w:r>
        <w:rPr>
          <w:lang w:bidi="ar"/>
        </w:rPr>
        <w:t>Z post</w:t>
      </w:r>
      <w:r>
        <w:t>≤+1)</w:t>
      </w:r>
      <w:r w:rsidR="005A5CED">
        <w:t xml:space="preserve"> </w:t>
      </w:r>
      <w:r>
        <w:t>The decision lies within epistemically stable bounds and may be executed directly, suitable for high-risk applications.</w:t>
      </w:r>
    </w:p>
    <w:p w14:paraId="4143E0C5"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Rule 2 — Conditional Execution Rule</w:t>
      </w:r>
    </w:p>
    <w:p w14:paraId="6412AE9F" w14:textId="77777777" w:rsidR="00F42FFC" w:rsidRPr="005A5CED" w:rsidRDefault="00D276E7" w:rsidP="005A5CED">
      <w:pPr>
        <w:pStyle w:val="10"/>
        <w:spacing w:line="360" w:lineRule="auto"/>
        <w:jc w:val="both"/>
        <w:rPr>
          <w:rFonts w:ascii="Times New Roman" w:eastAsia="DengXian" w:hAnsi="Times New Roman"/>
        </w:rPr>
      </w:pPr>
      <w:r>
        <w:rPr>
          <w:rFonts w:ascii="Times New Roman" w:eastAsia="SimSun" w:hAnsi="Times New Roman"/>
        </w:rPr>
        <w:t xml:space="preserve">(1 &lt; </w:t>
      </w:r>
      <w:r>
        <w:rPr>
          <w:rFonts w:ascii="Cambria Math" w:eastAsia="SimSun" w:hAnsi="Cambria Math" w:cs="Cambria Math"/>
        </w:rPr>
        <w:t>∣</w:t>
      </w:r>
      <w:r>
        <w:rPr>
          <w:rFonts w:ascii="Times New Roman" w:eastAsia="SimSun" w:hAnsi="Times New Roman"/>
        </w:rPr>
        <w:t>Z post(x)</w:t>
      </w:r>
      <w:r>
        <w:rPr>
          <w:rFonts w:ascii="Cambria Math" w:eastAsia="SimSun" w:hAnsi="Cambria Math" w:cs="Cambria Math"/>
        </w:rPr>
        <w:t>∣</w:t>
      </w:r>
      <w:r>
        <w:rPr>
          <w:rFonts w:ascii="Times New Roman" w:eastAsia="SimSun" w:hAnsi="Times New Roman"/>
        </w:rPr>
        <w:t>≤2</w:t>
      </w:r>
      <w:proofErr w:type="gramStart"/>
      <w:r>
        <w:rPr>
          <w:rFonts w:ascii="Times New Roman" w:eastAsia="SimSun" w:hAnsi="Times New Roman"/>
        </w:rPr>
        <w:t xml:space="preserve">) </w:t>
      </w:r>
      <w:r w:rsidR="005A5CED">
        <w:rPr>
          <w:rFonts w:ascii="Times New Roman" w:eastAsia="SimSun" w:hAnsi="Times New Roman"/>
        </w:rPr>
        <w:t xml:space="preserve"> </w:t>
      </w:r>
      <w:r w:rsidR="006A307E">
        <w:t>The</w:t>
      </w:r>
      <w:proofErr w:type="gramEnd"/>
      <w:r w:rsidR="006A307E">
        <w:t xml:space="preserve"> decision is acceptable only with additional monitoring, validation, or expert oversight.</w:t>
      </w:r>
    </w:p>
    <w:p w14:paraId="3BC1E76C"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Rule 3 — Epistemic Exclusion Rule</w:t>
      </w:r>
    </w:p>
    <w:p w14:paraId="18D7F606" w14:textId="77777777" w:rsidR="00735619" w:rsidRPr="000725BE" w:rsidRDefault="00D276E7" w:rsidP="005A5CED">
      <w:pPr>
        <w:pStyle w:val="10"/>
        <w:spacing w:line="360" w:lineRule="auto"/>
        <w:jc w:val="both"/>
        <w:rPr>
          <w:rFonts w:asciiTheme="majorBidi" w:hAnsiTheme="majorBidi" w:cstheme="majorBidi"/>
        </w:rPr>
      </w:pPr>
      <w:r>
        <w:rPr>
          <w:rFonts w:ascii="Cambria Math" w:eastAsia="SimSun" w:hAnsi="Cambria Math" w:cs="Cambria Math"/>
        </w:rPr>
        <w:lastRenderedPageBreak/>
        <w:t>∣</w:t>
      </w:r>
      <w:proofErr w:type="spellStart"/>
      <w:r>
        <w:rPr>
          <w:rFonts w:ascii="Times New Roman" w:eastAsia="SimSun" w:hAnsi="Times New Roman"/>
        </w:rPr>
        <w:t>Zpost</w:t>
      </w:r>
      <w:proofErr w:type="spellEnd"/>
      <w:r>
        <w:rPr>
          <w:rFonts w:ascii="Times New Roman" w:eastAsia="SimSun" w:hAnsi="Times New Roman"/>
        </w:rPr>
        <w:t>(x)</w:t>
      </w:r>
      <w:r>
        <w:rPr>
          <w:rFonts w:ascii="Cambria Math" w:eastAsia="SimSun" w:hAnsi="Cambria Math" w:cs="Cambria Math"/>
        </w:rPr>
        <w:t>∣</w:t>
      </w:r>
      <w:r>
        <w:rPr>
          <w:rFonts w:ascii="Times New Roman" w:eastAsia="SimSun" w:hAnsi="Times New Roman"/>
        </w:rPr>
        <w:t xml:space="preserve"> &gt; </w:t>
      </w:r>
      <w:r w:rsidRPr="000725BE">
        <w:rPr>
          <w:rFonts w:asciiTheme="majorBidi" w:eastAsia="SimSun" w:hAnsiTheme="majorBidi" w:cstheme="majorBidi"/>
        </w:rPr>
        <w:t>2</w:t>
      </w:r>
      <w:r w:rsidR="005A5CED" w:rsidRPr="000725BE">
        <w:rPr>
          <w:rFonts w:asciiTheme="majorBidi" w:eastAsia="SimSun" w:hAnsiTheme="majorBidi" w:cstheme="majorBidi"/>
        </w:rPr>
        <w:t xml:space="preserve"> </w:t>
      </w:r>
      <w:r w:rsidR="006A307E" w:rsidRPr="000725BE">
        <w:rPr>
          <w:rFonts w:asciiTheme="majorBidi" w:hAnsiTheme="majorBidi" w:cstheme="majorBidi"/>
        </w:rPr>
        <w:t>The decision is epistemically unsafe and requires data augmentation, model revision, or abstention.</w:t>
      </w:r>
    </w:p>
    <w:p w14:paraId="3112BB75" w14:textId="6F286F72" w:rsidR="000725BE" w:rsidRPr="000725BE" w:rsidRDefault="000725BE" w:rsidP="005A5CED">
      <w:pPr>
        <w:pStyle w:val="10"/>
        <w:spacing w:line="360" w:lineRule="auto"/>
        <w:jc w:val="both"/>
        <w:rPr>
          <w:rFonts w:asciiTheme="majorBidi" w:hAnsiTheme="majorBidi" w:cstheme="majorBidi"/>
        </w:rPr>
      </w:pPr>
      <w:r w:rsidRPr="000725BE">
        <w:rPr>
          <w:rFonts w:asciiTheme="majorBidi" w:hAnsiTheme="majorBidi" w:cstheme="majorBidi"/>
          <w:highlight w:val="yellow"/>
        </w:rPr>
        <w:t>Figure 2 demonstrates the empirical distribution of cases across credibility zones, reinforcing the principle that safe operational thresholds are those predominantly classified within the trusted and plausible regions</w:t>
      </w:r>
    </w:p>
    <w:p w14:paraId="30060B37" w14:textId="77777777" w:rsidR="00A75D32" w:rsidRPr="00A75D32" w:rsidRDefault="00A75D32" w:rsidP="00A75D32">
      <w:pPr>
        <w:jc w:val="left"/>
        <w:rPr>
          <w:rFonts w:asciiTheme="majorBidi" w:eastAsia="Times New Roman" w:hAnsiTheme="majorBidi" w:cstheme="majorBidi"/>
          <w:sz w:val="24"/>
          <w:szCs w:val="24"/>
          <w:lang w:eastAsia="en-US"/>
        </w:rPr>
      </w:pPr>
      <w:r w:rsidRPr="00A75D32">
        <w:rPr>
          <w:rFonts w:asciiTheme="majorBidi" w:eastAsia="Times New Roman" w:hAnsiTheme="majorBidi" w:cstheme="majorBidi"/>
          <w:b/>
          <w:bCs/>
          <w:sz w:val="24"/>
          <w:szCs w:val="24"/>
          <w:lang w:eastAsia="en-US"/>
        </w:rPr>
        <w:t>3.6.1 Regret Behavior Under Posterior Variance Inflation</w:t>
      </w:r>
    </w:p>
    <w:p w14:paraId="72E8F7F2" w14:textId="77777777" w:rsidR="008D3F8E" w:rsidRPr="008D3F8E" w:rsidRDefault="005A5CED" w:rsidP="00A75D32">
      <w:pPr>
        <w:spacing w:line="276" w:lineRule="auto"/>
        <w:jc w:val="both"/>
        <w:rPr>
          <w:rFonts w:asciiTheme="majorBidi" w:eastAsia="Times New Roman" w:hAnsiTheme="majorBidi" w:cstheme="majorBidi"/>
          <w:sz w:val="24"/>
          <w:szCs w:val="24"/>
          <w:lang w:eastAsia="en-US"/>
        </w:rPr>
      </w:pPr>
      <w:r w:rsidRPr="00A75D32">
        <w:rPr>
          <w:rFonts w:asciiTheme="majorBidi" w:hAnsiTheme="majorBidi" w:cstheme="majorBidi"/>
          <w:sz w:val="24"/>
          <w:szCs w:val="24"/>
        </w:rPr>
        <w:t xml:space="preserve">Under threshold-type decision loss (e.g., binary action with 0–1 misclassification cost), posterior variance inflation can increase the probability of decision error when </w:t>
      </w:r>
      <w:r w:rsidRPr="00B61CEA">
        <w:rPr>
          <w:rFonts w:asciiTheme="majorBidi" w:hAnsiTheme="majorBidi" w:cstheme="majorBidi"/>
          <w:sz w:val="24"/>
          <w:szCs w:val="24"/>
        </w:rPr>
        <w:t xml:space="preserve">operational thresholds remain fixed, particularly when posterior mean estimates lie near the decision boundary. Under posterior normality or unimodal symmetric posteriors, this effect follows from the shrinkage of the standardized boundary distance as dispersion increases, which increases posterior mass in the vicinity of the decision </w:t>
      </w:r>
      <w:proofErr w:type="spellStart"/>
      <w:r w:rsidRPr="00B61CEA">
        <w:rPr>
          <w:rFonts w:asciiTheme="majorBidi" w:hAnsiTheme="majorBidi" w:cstheme="majorBidi"/>
          <w:sz w:val="24"/>
          <w:szCs w:val="24"/>
        </w:rPr>
        <w:t>threshold.</w:t>
      </w:r>
      <w:r w:rsidR="008D3F8E" w:rsidRPr="008D3F8E">
        <w:rPr>
          <w:rFonts w:asciiTheme="majorBidi" w:eastAsia="Times New Roman" w:hAnsiTheme="majorBidi" w:cstheme="majorBidi"/>
          <w:sz w:val="24"/>
          <w:szCs w:val="24"/>
          <w:lang w:eastAsia="en-US"/>
        </w:rPr>
        <w:t>As</w:t>
      </w:r>
      <w:proofErr w:type="spellEnd"/>
      <w:r w:rsidR="008D3F8E" w:rsidRPr="008D3F8E">
        <w:rPr>
          <w:rFonts w:asciiTheme="majorBidi" w:eastAsia="Times New Roman" w:hAnsiTheme="majorBidi" w:cstheme="majorBidi"/>
          <w:sz w:val="24"/>
          <w:szCs w:val="24"/>
          <w:lang w:eastAsia="en-US"/>
        </w:rPr>
        <w:t xml:space="preserve"> posterior dispersion </w:t>
      </w:r>
      <w:proofErr w:type="spellStart"/>
      <w:r w:rsidR="008D3F8E" w:rsidRPr="00B61CEA">
        <w:rPr>
          <w:rFonts w:asciiTheme="majorBidi" w:eastAsia="Times New Roman" w:hAnsiTheme="majorBidi" w:cstheme="majorBidi"/>
          <w:sz w:val="24"/>
          <w:szCs w:val="24"/>
          <w:lang w:eastAsia="en-US"/>
        </w:rPr>
        <w:t>σpost</w:t>
      </w:r>
      <w:proofErr w:type="spellEnd"/>
      <w:r w:rsidR="008D3F8E" w:rsidRPr="00B61CEA">
        <w:rPr>
          <w:rFonts w:asciiTheme="majorBidi" w:eastAsia="Times New Roman" w:hAnsiTheme="majorBidi" w:cstheme="majorBidi"/>
          <w:sz w:val="24"/>
          <w:szCs w:val="24"/>
          <w:lang w:eastAsia="en-US"/>
        </w:rPr>
        <w:t xml:space="preserve"> </w:t>
      </w:r>
      <w:r w:rsidR="008D3F8E" w:rsidRPr="008D3F8E">
        <w:rPr>
          <w:rFonts w:asciiTheme="majorBidi" w:eastAsia="Times New Roman" w:hAnsiTheme="majorBidi" w:cstheme="majorBidi"/>
          <w:sz w:val="24"/>
          <w:szCs w:val="24"/>
          <w:lang w:eastAsia="en-US"/>
        </w:rPr>
        <w:t xml:space="preserve">increases while the threshold </w:t>
      </w:r>
      <w:r w:rsidR="008D3F8E" w:rsidRPr="00B61CEA">
        <w:rPr>
          <w:rFonts w:asciiTheme="majorBidi" w:eastAsia="Times New Roman" w:hAnsiTheme="majorBidi" w:cstheme="majorBidi"/>
          <w:sz w:val="24"/>
          <w:szCs w:val="24"/>
          <w:lang w:eastAsia="en-US"/>
        </w:rPr>
        <w:t>x</w:t>
      </w:r>
      <w:r w:rsidR="00A75D32" w:rsidRPr="00B61CEA">
        <w:rPr>
          <w:rFonts w:asciiTheme="majorBidi" w:eastAsia="Times New Roman" w:hAnsiTheme="majorBidi" w:cstheme="majorBidi"/>
          <w:sz w:val="24"/>
          <w:szCs w:val="24"/>
          <w:lang w:eastAsia="en-US"/>
        </w:rPr>
        <w:t xml:space="preserve"> </w:t>
      </w:r>
      <w:r w:rsidR="008D3F8E" w:rsidRPr="008D3F8E">
        <w:rPr>
          <w:rFonts w:asciiTheme="majorBidi" w:eastAsia="Times New Roman" w:hAnsiTheme="majorBidi" w:cstheme="majorBidi"/>
          <w:sz w:val="24"/>
          <w:szCs w:val="24"/>
          <w:lang w:eastAsia="en-US"/>
        </w:rPr>
        <w:t xml:space="preserve">remains constant, the standardized distance </w:t>
      </w:r>
      <w:r w:rsidR="008D3F8E" w:rsidRPr="00B61CEA">
        <w:rPr>
          <w:rFonts w:asciiTheme="majorBidi" w:eastAsia="Times New Roman" w:hAnsiTheme="majorBidi" w:cstheme="majorBidi"/>
          <w:sz w:val="24"/>
          <w:szCs w:val="24"/>
          <w:lang w:eastAsia="en-US"/>
        </w:rPr>
        <w:t>(x−μ)/</w:t>
      </w:r>
      <w:proofErr w:type="spellStart"/>
      <w:r w:rsidR="008D3F8E" w:rsidRPr="00B61CEA">
        <w:rPr>
          <w:rFonts w:asciiTheme="majorBidi" w:eastAsia="Times New Roman" w:hAnsiTheme="majorBidi" w:cstheme="majorBidi"/>
          <w:sz w:val="24"/>
          <w:szCs w:val="24"/>
          <w:lang w:eastAsia="en-US"/>
        </w:rPr>
        <w:t>σpost</w:t>
      </w:r>
      <w:proofErr w:type="spellEnd"/>
      <w:r w:rsidR="008D3F8E" w:rsidRPr="008D3F8E">
        <w:rPr>
          <w:rFonts w:asciiTheme="majorBidi" w:eastAsia="Times New Roman" w:hAnsiTheme="majorBidi" w:cstheme="majorBidi"/>
          <w:sz w:val="24"/>
          <w:szCs w:val="24"/>
          <w:lang w:eastAsia="en-US"/>
        </w:rPr>
        <w:t xml:space="preserve"> decreases in magnitude. This reduction increases posterior mass near the boundary, potentially elevating misclassification probability.</w:t>
      </w:r>
    </w:p>
    <w:p w14:paraId="6E7CFD3E" w14:textId="77777777" w:rsidR="008D3F8E" w:rsidRPr="009A651E" w:rsidRDefault="008D3F8E" w:rsidP="00D354E3">
      <w:pPr>
        <w:spacing w:line="276" w:lineRule="auto"/>
        <w:jc w:val="both"/>
        <w:rPr>
          <w:rFonts w:asciiTheme="majorBidi" w:eastAsia="Times New Roman" w:hAnsiTheme="majorBidi" w:cstheme="majorBidi"/>
          <w:sz w:val="24"/>
          <w:szCs w:val="24"/>
          <w:lang w:eastAsia="en-US"/>
        </w:rPr>
      </w:pPr>
      <w:r w:rsidRPr="008D3F8E">
        <w:rPr>
          <w:rFonts w:asciiTheme="majorBidi" w:eastAsia="Times New Roman" w:hAnsiTheme="majorBidi" w:cstheme="majorBidi"/>
          <w:sz w:val="24"/>
          <w:szCs w:val="24"/>
          <w:lang w:eastAsia="en-US"/>
        </w:rPr>
        <w:t>In contrast, BEZ-adaptive thresholds scale proportionally with posterior uncertainty according to</w:t>
      </w:r>
      <w:r w:rsidR="00D354E3" w:rsidRPr="00B61CEA">
        <w:rPr>
          <w:rFonts w:asciiTheme="majorBidi" w:eastAsia="Times New Roman" w:hAnsiTheme="majorBidi" w:cstheme="majorBidi"/>
          <w:sz w:val="24"/>
          <w:szCs w:val="24"/>
          <w:lang w:eastAsia="en-US"/>
        </w:rPr>
        <w:t xml:space="preserve"> </w:t>
      </w:r>
      <w:r w:rsidRPr="00B61CEA">
        <w:rPr>
          <w:rFonts w:asciiTheme="majorBidi" w:eastAsia="Times New Roman" w:hAnsiTheme="majorBidi" w:cstheme="majorBidi"/>
          <w:sz w:val="24"/>
          <w:szCs w:val="24"/>
          <w:lang w:eastAsia="en-US"/>
        </w:rPr>
        <w:t>x=μ</w:t>
      </w:r>
      <w:r w:rsidR="00471A57" w:rsidRPr="00B61CEA">
        <w:rPr>
          <w:rFonts w:asciiTheme="majorBidi" w:eastAsia="Times New Roman" w:hAnsiTheme="majorBidi" w:cstheme="majorBidi"/>
          <w:sz w:val="24"/>
          <w:szCs w:val="24"/>
          <w:lang w:eastAsia="en-US"/>
        </w:rPr>
        <w:t xml:space="preserve"> </w:t>
      </w:r>
      <w:r w:rsidRPr="00B61CEA">
        <w:rPr>
          <w:rFonts w:asciiTheme="majorBidi" w:eastAsia="Times New Roman" w:hAnsiTheme="majorBidi" w:cstheme="majorBidi"/>
          <w:sz w:val="24"/>
          <w:szCs w:val="24"/>
          <w:lang w:eastAsia="en-US"/>
        </w:rPr>
        <w:t>±k</w:t>
      </w:r>
      <w:r w:rsidR="00471A57" w:rsidRPr="00B61CEA">
        <w:rPr>
          <w:rFonts w:asciiTheme="majorBidi" w:eastAsia="Times New Roman" w:hAnsiTheme="majorBidi" w:cstheme="majorBidi"/>
          <w:sz w:val="24"/>
          <w:szCs w:val="24"/>
          <w:lang w:eastAsia="en-US"/>
        </w:rPr>
        <w:t xml:space="preserve"> </w:t>
      </w:r>
      <w:proofErr w:type="spellStart"/>
      <w:r w:rsidRPr="00B61CEA">
        <w:rPr>
          <w:rFonts w:asciiTheme="majorBidi" w:eastAsia="Times New Roman" w:hAnsiTheme="majorBidi" w:cstheme="majorBidi"/>
          <w:sz w:val="24"/>
          <w:szCs w:val="24"/>
          <w:lang w:eastAsia="en-US"/>
        </w:rPr>
        <w:t>σ</w:t>
      </w:r>
      <w:proofErr w:type="gramStart"/>
      <w:r w:rsidRPr="00B61CEA">
        <w:rPr>
          <w:rFonts w:asciiTheme="majorBidi" w:eastAsia="Times New Roman" w:hAnsiTheme="majorBidi" w:cstheme="majorBidi"/>
          <w:sz w:val="24"/>
          <w:szCs w:val="24"/>
          <w:vertAlign w:val="subscript"/>
          <w:lang w:eastAsia="en-US"/>
        </w:rPr>
        <w:t>post</w:t>
      </w:r>
      <w:proofErr w:type="spellEnd"/>
      <w:r w:rsidRPr="00B61CEA">
        <w:rPr>
          <w:rFonts w:asciiTheme="majorBidi" w:eastAsia="Times New Roman" w:hAnsiTheme="majorBidi" w:cstheme="majorBidi"/>
          <w:sz w:val="24"/>
          <w:szCs w:val="24"/>
          <w:lang w:eastAsia="en-US"/>
        </w:rPr>
        <w:t>​,</w:t>
      </w:r>
      <w:r w:rsidRPr="008D3F8E">
        <w:rPr>
          <w:rFonts w:asciiTheme="majorBidi" w:eastAsia="Times New Roman" w:hAnsiTheme="majorBidi" w:cstheme="majorBidi"/>
          <w:sz w:val="24"/>
          <w:szCs w:val="24"/>
          <w:lang w:eastAsia="en-US"/>
        </w:rPr>
        <w:t xml:space="preserve"> </w:t>
      </w:r>
      <w:r w:rsidR="00EF756F" w:rsidRPr="00B61CEA">
        <w:rPr>
          <w:rFonts w:asciiTheme="majorBidi" w:eastAsia="Times New Roman" w:hAnsiTheme="majorBidi" w:cstheme="majorBidi"/>
          <w:sz w:val="24"/>
          <w:szCs w:val="24"/>
          <w:lang w:eastAsia="en-US"/>
        </w:rPr>
        <w:t xml:space="preserve"> </w:t>
      </w:r>
      <w:r w:rsidRPr="008D3F8E">
        <w:rPr>
          <w:rFonts w:asciiTheme="majorBidi" w:eastAsia="Times New Roman" w:hAnsiTheme="majorBidi" w:cstheme="majorBidi"/>
          <w:sz w:val="24"/>
          <w:szCs w:val="24"/>
          <w:lang w:eastAsia="en-US"/>
        </w:rPr>
        <w:t>preserving</w:t>
      </w:r>
      <w:proofErr w:type="gramEnd"/>
      <w:r w:rsidRPr="008D3F8E">
        <w:rPr>
          <w:rFonts w:asciiTheme="majorBidi" w:eastAsia="Times New Roman" w:hAnsiTheme="majorBidi" w:cstheme="majorBidi"/>
          <w:sz w:val="24"/>
          <w:szCs w:val="24"/>
          <w:lang w:eastAsia="en-US"/>
        </w:rPr>
        <w:t xml:space="preserve"> a constant standardized epistemic distance </w:t>
      </w:r>
      <w:r w:rsidRPr="00B61CEA">
        <w:rPr>
          <w:rFonts w:asciiTheme="majorBidi" w:eastAsia="Times New Roman" w:hAnsiTheme="majorBidi" w:cstheme="majorBidi"/>
          <w:sz w:val="24"/>
          <w:szCs w:val="24"/>
          <w:lang w:eastAsia="en-US"/>
        </w:rPr>
        <w:t>k</w:t>
      </w:r>
      <w:r w:rsidRPr="008D3F8E">
        <w:rPr>
          <w:rFonts w:asciiTheme="majorBidi" w:eastAsia="Times New Roman" w:hAnsiTheme="majorBidi" w:cstheme="majorBidi"/>
          <w:sz w:val="24"/>
          <w:szCs w:val="24"/>
          <w:lang w:eastAsia="en-US"/>
        </w:rPr>
        <w:t xml:space="preserve">. This variance-proportional calibration maintains alignment between operational thresholds and posterior credibility regions. Consequently, under posterior variance inflation, fixed operational thresholds may exhibit higher expected decision regret </w:t>
      </w:r>
      <w:r w:rsidRPr="009A651E">
        <w:rPr>
          <w:rFonts w:asciiTheme="majorBidi" w:eastAsia="Times New Roman" w:hAnsiTheme="majorBidi" w:cstheme="majorBidi"/>
          <w:sz w:val="24"/>
          <w:szCs w:val="24"/>
          <w:lang w:eastAsia="en-US"/>
        </w:rPr>
        <w:t>relative to BEZ-adaptive thresholds that remain dispersion-calibrated.</w:t>
      </w:r>
    </w:p>
    <w:p w14:paraId="4C0C16F4" w14:textId="77777777" w:rsidR="008D3F8E" w:rsidRPr="009A651E" w:rsidRDefault="008D3F8E" w:rsidP="00EF756F">
      <w:pPr>
        <w:spacing w:line="276" w:lineRule="auto"/>
        <w:jc w:val="both"/>
        <w:rPr>
          <w:rFonts w:asciiTheme="majorBidi" w:eastAsia="Times New Roman" w:hAnsiTheme="majorBidi" w:cstheme="majorBidi"/>
          <w:sz w:val="24"/>
          <w:szCs w:val="24"/>
          <w:lang w:eastAsia="en-US"/>
        </w:rPr>
      </w:pPr>
      <w:r w:rsidRPr="009A651E">
        <w:rPr>
          <w:rFonts w:asciiTheme="majorBidi" w:eastAsia="Times New Roman" w:hAnsiTheme="majorBidi" w:cstheme="majorBidi"/>
          <w:sz w:val="24"/>
          <w:szCs w:val="24"/>
          <w:lang w:eastAsia="en-US"/>
        </w:rPr>
        <w:t>This comparison holds under threshold-type decision rules and symmetric or cost-weighted binary loss functions.</w:t>
      </w:r>
    </w:p>
    <w:p w14:paraId="0EDE1CEA" w14:textId="23626ED7" w:rsidR="009A651E" w:rsidRPr="00216A83" w:rsidRDefault="009A651E" w:rsidP="00216A83">
      <w:pPr>
        <w:spacing w:line="276" w:lineRule="auto"/>
        <w:jc w:val="both"/>
        <w:rPr>
          <w:rFonts w:asciiTheme="majorBidi" w:eastAsia="Times New Roman" w:hAnsiTheme="majorBidi" w:cstheme="majorBidi"/>
          <w:sz w:val="24"/>
          <w:szCs w:val="24"/>
          <w:lang w:eastAsia="en-US"/>
        </w:rPr>
      </w:pPr>
      <w:r w:rsidRPr="00216A83">
        <w:rPr>
          <w:rFonts w:asciiTheme="majorBidi" w:hAnsiTheme="majorBidi" w:cstheme="majorBidi"/>
          <w:sz w:val="24"/>
          <w:szCs w:val="24"/>
          <w:highlight w:val="yellow"/>
        </w:rPr>
        <w:t>In contexts where scientific consensus or regulatory guidance already defines multiple threshold levels (e.g., mild, moderate, severe categories), BEZ does not alter those cut</w:t>
      </w:r>
      <w:r w:rsidRPr="00216A83">
        <w:rPr>
          <w:rFonts w:asciiTheme="majorBidi" w:hAnsiTheme="majorBidi" w:cstheme="majorBidi"/>
          <w:sz w:val="24"/>
          <w:szCs w:val="24"/>
          <w:highlight w:val="yellow"/>
        </w:rPr>
        <w:noBreakHyphen/>
        <w:t xml:space="preserve">offs but evaluates each against posterior dispersion. Each threshold xi is standardized as </w:t>
      </w:r>
      <w:proofErr w:type="spellStart"/>
      <w:r w:rsidRPr="00216A83">
        <w:rPr>
          <w:rFonts w:asciiTheme="majorBidi" w:hAnsiTheme="majorBidi" w:cstheme="majorBidi"/>
          <w:sz w:val="24"/>
          <w:szCs w:val="24"/>
          <w:highlight w:val="yellow"/>
        </w:rPr>
        <w:t>Zpost</w:t>
      </w:r>
      <w:proofErr w:type="spellEnd"/>
      <w:r w:rsidRPr="00216A83">
        <w:rPr>
          <w:rFonts w:asciiTheme="majorBidi" w:hAnsiTheme="majorBidi" w:cstheme="majorBidi"/>
          <w:sz w:val="24"/>
          <w:szCs w:val="24"/>
          <w:highlight w:val="yellow"/>
        </w:rPr>
        <w:t>(xi)=(xi−μ)/</w:t>
      </w:r>
      <w:proofErr w:type="spellStart"/>
      <w:r w:rsidRPr="00216A83">
        <w:rPr>
          <w:rFonts w:asciiTheme="majorBidi" w:hAnsiTheme="majorBidi" w:cstheme="majorBidi"/>
          <w:sz w:val="24"/>
          <w:szCs w:val="24"/>
          <w:highlight w:val="yellow"/>
        </w:rPr>
        <w:t>σpost</w:t>
      </w:r>
      <w:proofErr w:type="spellEnd"/>
      <w:r w:rsidRPr="00216A83">
        <w:rPr>
          <w:rFonts w:asciiTheme="majorBidi" w:hAnsiTheme="majorBidi" w:cstheme="majorBidi"/>
          <w:sz w:val="24"/>
          <w:szCs w:val="24"/>
          <w:highlight w:val="yellow"/>
        </w:rPr>
        <w:t xml:space="preserve"> and assigned to its epistemic zone. The canonical zone boundaries (Trusted: </w:t>
      </w:r>
      <w:r w:rsidRPr="00216A83">
        <w:rPr>
          <w:rFonts w:ascii="Cambria Math" w:hAnsi="Cambria Math" w:cs="Cambria Math"/>
          <w:sz w:val="24"/>
          <w:szCs w:val="24"/>
          <w:highlight w:val="yellow"/>
        </w:rPr>
        <w:t>∣</w:t>
      </w:r>
      <w:r w:rsidRPr="00216A83">
        <w:rPr>
          <w:rFonts w:asciiTheme="majorBidi" w:hAnsiTheme="majorBidi" w:cstheme="majorBidi"/>
          <w:sz w:val="24"/>
          <w:szCs w:val="24"/>
          <w:highlight w:val="yellow"/>
        </w:rPr>
        <w:t>Z</w:t>
      </w:r>
      <w:r w:rsidRPr="00216A83">
        <w:rPr>
          <w:rFonts w:ascii="Cambria Math" w:hAnsi="Cambria Math" w:cs="Cambria Math"/>
          <w:sz w:val="24"/>
          <w:szCs w:val="24"/>
          <w:highlight w:val="yellow"/>
        </w:rPr>
        <w:t>∣</w:t>
      </w:r>
      <w:r w:rsidRPr="00216A83">
        <w:rPr>
          <w:rFonts w:asciiTheme="majorBidi" w:hAnsiTheme="majorBidi" w:cstheme="majorBidi"/>
          <w:sz w:val="24"/>
          <w:szCs w:val="24"/>
          <w:highlight w:val="yellow"/>
        </w:rPr>
        <w:t>≤1; Plausible: 1&lt;</w:t>
      </w:r>
      <w:r w:rsidRPr="00216A83">
        <w:rPr>
          <w:rFonts w:ascii="Cambria Math" w:hAnsi="Cambria Math" w:cs="Cambria Math"/>
          <w:sz w:val="24"/>
          <w:szCs w:val="24"/>
          <w:highlight w:val="yellow"/>
        </w:rPr>
        <w:t>∣</w:t>
      </w:r>
      <w:r w:rsidRPr="00216A83">
        <w:rPr>
          <w:rFonts w:asciiTheme="majorBidi" w:hAnsiTheme="majorBidi" w:cstheme="majorBidi"/>
          <w:sz w:val="24"/>
          <w:szCs w:val="24"/>
          <w:highlight w:val="yellow"/>
        </w:rPr>
        <w:t>Z</w:t>
      </w:r>
      <w:r w:rsidRPr="00216A83">
        <w:rPr>
          <w:rFonts w:ascii="Cambria Math" w:hAnsi="Cambria Math" w:cs="Cambria Math"/>
          <w:sz w:val="24"/>
          <w:szCs w:val="24"/>
          <w:highlight w:val="yellow"/>
        </w:rPr>
        <w:t>∣</w:t>
      </w:r>
      <w:r w:rsidRPr="00216A83">
        <w:rPr>
          <w:rFonts w:asciiTheme="majorBidi" w:hAnsiTheme="majorBidi" w:cstheme="majorBidi"/>
          <w:sz w:val="24"/>
          <w:szCs w:val="24"/>
          <w:highlight w:val="yellow"/>
        </w:rPr>
        <w:t xml:space="preserve">≤2; Inflated/Recessive: </w:t>
      </w:r>
      <w:r w:rsidRPr="00216A83">
        <w:rPr>
          <w:rFonts w:ascii="Cambria Math" w:hAnsi="Cambria Math" w:cs="Cambria Math"/>
          <w:sz w:val="24"/>
          <w:szCs w:val="24"/>
          <w:highlight w:val="yellow"/>
        </w:rPr>
        <w:t>∣</w:t>
      </w:r>
      <w:r w:rsidRPr="00216A83">
        <w:rPr>
          <w:rFonts w:asciiTheme="majorBidi" w:hAnsiTheme="majorBidi" w:cstheme="majorBidi"/>
          <w:sz w:val="24"/>
          <w:szCs w:val="24"/>
          <w:highlight w:val="yellow"/>
        </w:rPr>
        <w:t>Z</w:t>
      </w:r>
      <w:r w:rsidRPr="00216A83">
        <w:rPr>
          <w:rFonts w:ascii="Cambria Math" w:hAnsi="Cambria Math" w:cs="Cambria Math"/>
          <w:sz w:val="24"/>
          <w:szCs w:val="24"/>
          <w:highlight w:val="yellow"/>
        </w:rPr>
        <w:t>∣</w:t>
      </w:r>
      <w:r w:rsidRPr="00216A83">
        <w:rPr>
          <w:rFonts w:asciiTheme="majorBidi" w:hAnsiTheme="majorBidi" w:cstheme="majorBidi"/>
          <w:sz w:val="24"/>
          <w:szCs w:val="24"/>
          <w:highlight w:val="yellow"/>
        </w:rPr>
        <w:t>&gt;2) serve as default interpretive categories, independent of the absolute values of xi. However, these presets can be adjusted in domain</w:t>
      </w:r>
      <w:r w:rsidRPr="00216A83">
        <w:rPr>
          <w:rFonts w:asciiTheme="majorBidi" w:hAnsiTheme="majorBidi" w:cstheme="majorBidi"/>
          <w:sz w:val="24"/>
          <w:szCs w:val="24"/>
          <w:highlight w:val="yellow"/>
        </w:rPr>
        <w:noBreakHyphen/>
        <w:t>specific contexts (e.g., regulatory tolerance, clinical safety margins), allowing BEZ to flexibly align with established practice while still providing dispersion</w:t>
      </w:r>
      <w:r w:rsidRPr="00216A83">
        <w:rPr>
          <w:rFonts w:asciiTheme="majorBidi" w:hAnsiTheme="majorBidi" w:cstheme="majorBidi"/>
          <w:sz w:val="24"/>
          <w:szCs w:val="24"/>
          <w:highlight w:val="yellow"/>
        </w:rPr>
        <w:noBreakHyphen/>
        <w:t>aware calibration. This layered evaluation enables simultaneous assessment of all thresholds, ensuring that established cut</w:t>
      </w:r>
      <w:r w:rsidRPr="00216A83">
        <w:rPr>
          <w:rFonts w:asciiTheme="majorBidi" w:hAnsiTheme="majorBidi" w:cstheme="majorBidi"/>
          <w:sz w:val="24"/>
          <w:szCs w:val="24"/>
          <w:highlight w:val="yellow"/>
        </w:rPr>
        <w:noBreakHyphen/>
        <w:t>offs are transparently classified as epistemically stable, conditionally credible, or fragile. In practice, BEZ therefore provides a governance</w:t>
      </w:r>
      <w:r w:rsidRPr="00216A83">
        <w:rPr>
          <w:rFonts w:asciiTheme="majorBidi" w:hAnsiTheme="majorBidi" w:cstheme="majorBidi"/>
          <w:sz w:val="24"/>
          <w:szCs w:val="24"/>
          <w:highlight w:val="yellow"/>
        </w:rPr>
        <w:noBreakHyphen/>
        <w:t xml:space="preserve">oriented overlay: </w:t>
      </w:r>
      <w:r w:rsidRPr="00216A83">
        <w:rPr>
          <w:rFonts w:asciiTheme="majorBidi" w:hAnsiTheme="majorBidi" w:cstheme="majorBidi"/>
          <w:sz w:val="24"/>
          <w:szCs w:val="24"/>
          <w:highlight w:val="yellow"/>
        </w:rPr>
        <w:lastRenderedPageBreak/>
        <w:t>thresholds remain scientifically defined, but their epistemic reliability is explicitly contextualized by posterior uncertainty.</w:t>
      </w:r>
    </w:p>
    <w:p w14:paraId="0BAC038A" w14:textId="77777777" w:rsidR="00216A83" w:rsidRPr="00216A83" w:rsidRDefault="00216A83" w:rsidP="00216A83">
      <w:pPr>
        <w:spacing w:line="276" w:lineRule="auto"/>
        <w:jc w:val="both"/>
        <w:rPr>
          <w:rFonts w:asciiTheme="majorBidi" w:eastAsia="Times New Roman" w:hAnsiTheme="majorBidi" w:cstheme="majorBidi"/>
          <w:sz w:val="24"/>
          <w:szCs w:val="24"/>
          <w:lang w:eastAsia="en-US"/>
        </w:rPr>
      </w:pPr>
      <w:r w:rsidRPr="00216A83">
        <w:rPr>
          <w:rFonts w:asciiTheme="majorBidi" w:eastAsia="Times New Roman" w:hAnsiTheme="majorBidi" w:cstheme="majorBidi"/>
          <w:b/>
          <w:bCs/>
          <w:sz w:val="24"/>
          <w:szCs w:val="24"/>
          <w:lang w:eastAsia="en-US"/>
        </w:rPr>
        <w:t>3.7 Replacement of Arbitrary Thresholds</w:t>
      </w:r>
    </w:p>
    <w:p w14:paraId="6110699F" w14:textId="77777777" w:rsidR="00216A83" w:rsidRPr="00216A83" w:rsidRDefault="00216A83" w:rsidP="00216A83">
      <w:pPr>
        <w:spacing w:line="276" w:lineRule="auto"/>
        <w:jc w:val="both"/>
        <w:rPr>
          <w:rFonts w:asciiTheme="majorBidi" w:eastAsia="Times New Roman" w:hAnsiTheme="majorBidi" w:cstheme="majorBidi"/>
          <w:sz w:val="24"/>
          <w:szCs w:val="24"/>
          <w:lang w:eastAsia="en-US"/>
        </w:rPr>
      </w:pPr>
      <w:r w:rsidRPr="00216A83">
        <w:rPr>
          <w:rFonts w:asciiTheme="majorBidi" w:eastAsia="Times New Roman" w:hAnsiTheme="majorBidi" w:cstheme="majorBidi"/>
          <w:sz w:val="24"/>
          <w:szCs w:val="24"/>
          <w:lang w:eastAsia="en-US"/>
        </w:rPr>
        <w:t>Instead of relying on fixed operational cutoffs such as a classification threshold of 0.5, a clinical risk threshold of 20%, or a significance level of 0.05, the proposed framework derives decision limits directly from posterior uncertainty.</w:t>
      </w:r>
    </w:p>
    <w:p w14:paraId="4DB0E435" w14:textId="77777777" w:rsidR="00216A83" w:rsidRPr="00216A83" w:rsidRDefault="00216A83" w:rsidP="00216A83">
      <w:pPr>
        <w:spacing w:line="276" w:lineRule="auto"/>
        <w:jc w:val="both"/>
        <w:rPr>
          <w:rFonts w:asciiTheme="majorBidi" w:eastAsia="Times New Roman" w:hAnsiTheme="majorBidi" w:cstheme="majorBidi"/>
          <w:sz w:val="24"/>
          <w:szCs w:val="24"/>
          <w:lang w:eastAsia="en-US"/>
        </w:rPr>
      </w:pPr>
      <w:r w:rsidRPr="00216A83">
        <w:rPr>
          <w:rFonts w:asciiTheme="majorBidi" w:eastAsia="Times New Roman" w:hAnsiTheme="majorBidi" w:cstheme="majorBidi"/>
          <w:sz w:val="24"/>
          <w:szCs w:val="24"/>
          <w:lang w:eastAsia="en-US"/>
        </w:rPr>
        <w:t xml:space="preserve">Given posterior mean μ and posterior standard deviation </w:t>
      </w:r>
      <w:proofErr w:type="spellStart"/>
      <w:r w:rsidRPr="00216A83">
        <w:rPr>
          <w:rFonts w:asciiTheme="majorBidi" w:eastAsia="Times New Roman" w:hAnsiTheme="majorBidi" w:cstheme="majorBidi"/>
          <w:sz w:val="24"/>
          <w:szCs w:val="24"/>
          <w:lang w:eastAsia="en-US"/>
        </w:rPr>
        <w:t>σpost</w:t>
      </w:r>
      <w:proofErr w:type="spellEnd"/>
      <w:r w:rsidRPr="00216A83">
        <w:rPr>
          <w:rFonts w:asciiTheme="majorBidi" w:eastAsia="Times New Roman" w:hAnsiTheme="majorBidi" w:cstheme="majorBidi"/>
          <w:sz w:val="24"/>
          <w:szCs w:val="24"/>
          <w:lang w:eastAsia="en-US"/>
        </w:rPr>
        <w:t>, admissible decision thresholds are defined as:</w:t>
      </w:r>
    </w:p>
    <w:p w14:paraId="162FB13A" w14:textId="77777777" w:rsidR="00216A83" w:rsidRPr="00216A83" w:rsidRDefault="00216A83" w:rsidP="00216A83">
      <w:pPr>
        <w:spacing w:before="0" w:beforeAutospacing="0" w:after="0" w:afterAutospacing="0" w:line="276" w:lineRule="auto"/>
        <w:jc w:val="both"/>
        <w:rPr>
          <w:rFonts w:asciiTheme="majorBidi" w:eastAsia="Times New Roman" w:hAnsiTheme="majorBidi" w:cstheme="majorBidi"/>
          <w:sz w:val="24"/>
          <w:szCs w:val="24"/>
          <w:lang w:eastAsia="en-US"/>
        </w:rPr>
      </w:pPr>
      <w:r w:rsidRPr="00216A83">
        <w:rPr>
          <w:rFonts w:asciiTheme="majorBidi" w:eastAsia="Times New Roman" w:hAnsiTheme="majorBidi" w:cstheme="majorBidi"/>
          <w:sz w:val="24"/>
          <w:szCs w:val="24"/>
          <w:lang w:eastAsia="en-US"/>
        </w:rPr>
        <w:t>Decision Threshold=</w:t>
      </w:r>
      <w:proofErr w:type="spellStart"/>
      <w:r w:rsidRPr="00216A83">
        <w:rPr>
          <w:rFonts w:asciiTheme="majorBidi" w:eastAsia="Times New Roman" w:hAnsiTheme="majorBidi" w:cstheme="majorBidi"/>
          <w:sz w:val="24"/>
          <w:szCs w:val="24"/>
          <w:lang w:eastAsia="en-US"/>
        </w:rPr>
        <w:t>μ±kσpost</w:t>
      </w:r>
      <w:proofErr w:type="spellEnd"/>
    </w:p>
    <w:p w14:paraId="3EAECE18" w14:textId="77777777" w:rsidR="00216A83" w:rsidRPr="00216A83" w:rsidRDefault="00216A83" w:rsidP="00216A83">
      <w:pPr>
        <w:spacing w:line="276" w:lineRule="auto"/>
        <w:jc w:val="both"/>
        <w:rPr>
          <w:rFonts w:asciiTheme="majorBidi" w:eastAsia="Times New Roman" w:hAnsiTheme="majorBidi" w:cstheme="majorBidi"/>
          <w:sz w:val="24"/>
          <w:szCs w:val="24"/>
          <w:highlight w:val="yellow"/>
          <w:lang w:eastAsia="en-US"/>
        </w:rPr>
      </w:pPr>
      <w:r w:rsidRPr="00216A83">
        <w:rPr>
          <w:rFonts w:asciiTheme="majorBidi" w:eastAsia="Times New Roman" w:hAnsiTheme="majorBidi" w:cstheme="majorBidi"/>
          <w:sz w:val="24"/>
          <w:szCs w:val="24"/>
          <w:highlight w:val="yellow"/>
          <w:lang w:eastAsia="en-US"/>
        </w:rPr>
        <w:t xml:space="preserve">Here, both the dispersion term </w:t>
      </w:r>
      <w:proofErr w:type="spellStart"/>
      <w:r w:rsidRPr="00216A83">
        <w:rPr>
          <w:rFonts w:asciiTheme="majorBidi" w:eastAsia="Times New Roman" w:hAnsiTheme="majorBidi" w:cstheme="majorBidi"/>
          <w:sz w:val="24"/>
          <w:szCs w:val="24"/>
          <w:highlight w:val="yellow"/>
          <w:lang w:eastAsia="en-US"/>
        </w:rPr>
        <w:t>σpost</w:t>
      </w:r>
      <w:proofErr w:type="spellEnd"/>
      <w:r w:rsidRPr="00216A83">
        <w:rPr>
          <w:rFonts w:asciiTheme="majorBidi" w:eastAsia="Times New Roman" w:hAnsiTheme="majorBidi" w:cstheme="majorBidi"/>
          <w:sz w:val="24"/>
          <w:szCs w:val="24"/>
          <w:highlight w:val="yellow"/>
          <w:lang w:eastAsia="en-US"/>
        </w:rPr>
        <w:t xml:space="preserve"> and the scaling constant k are critical in defining threshold outcomes. The values of k are not arbitrary: canonical choices of k=1 and k=2 correspond to standardized epistemic zone boundaries, reflecting widely recognized dispersion landmarks. Specifically, </w:t>
      </w:r>
      <w:r w:rsidRPr="00216A83">
        <w:rPr>
          <w:rFonts w:ascii="Cambria Math" w:eastAsia="Times New Roman" w:hAnsi="Cambria Math" w:cs="Cambria Math"/>
          <w:sz w:val="24"/>
          <w:szCs w:val="24"/>
          <w:highlight w:val="yellow"/>
          <w:lang w:eastAsia="en-US"/>
        </w:rPr>
        <w:t>∣</w:t>
      </w:r>
      <w:r w:rsidRPr="00216A83">
        <w:rPr>
          <w:rFonts w:asciiTheme="majorBidi" w:eastAsia="Times New Roman" w:hAnsiTheme="majorBidi" w:cstheme="majorBidi"/>
          <w:sz w:val="24"/>
          <w:szCs w:val="24"/>
          <w:highlight w:val="yellow"/>
          <w:lang w:eastAsia="en-US"/>
        </w:rPr>
        <w:t>Z</w:t>
      </w:r>
      <w:r w:rsidRPr="00216A83">
        <w:rPr>
          <w:rFonts w:ascii="Cambria Math" w:eastAsia="Times New Roman" w:hAnsi="Cambria Math" w:cs="Cambria Math"/>
          <w:sz w:val="24"/>
          <w:szCs w:val="24"/>
          <w:highlight w:val="yellow"/>
          <w:lang w:eastAsia="en-US"/>
        </w:rPr>
        <w:t>∣</w:t>
      </w:r>
      <w:r w:rsidRPr="00216A83">
        <w:rPr>
          <w:rFonts w:ascii="Times New Roman" w:eastAsia="Times New Roman" w:hAnsi="Times New Roman"/>
          <w:sz w:val="24"/>
          <w:szCs w:val="24"/>
          <w:highlight w:val="yellow"/>
          <w:lang w:eastAsia="en-US"/>
        </w:rPr>
        <w:t>≤</w:t>
      </w:r>
      <w:r w:rsidRPr="00216A83">
        <w:rPr>
          <w:rFonts w:asciiTheme="majorBidi" w:eastAsia="Times New Roman" w:hAnsiTheme="majorBidi" w:cstheme="majorBidi"/>
          <w:sz w:val="24"/>
          <w:szCs w:val="24"/>
          <w:highlight w:val="yellow"/>
          <w:lang w:eastAsia="en-US"/>
        </w:rPr>
        <w:t xml:space="preserve">1 approximates the central 68% probability region, while </w:t>
      </w:r>
      <w:r w:rsidRPr="00216A83">
        <w:rPr>
          <w:rFonts w:ascii="Cambria Math" w:eastAsia="Times New Roman" w:hAnsi="Cambria Math" w:cs="Cambria Math"/>
          <w:sz w:val="24"/>
          <w:szCs w:val="24"/>
          <w:highlight w:val="yellow"/>
          <w:lang w:eastAsia="en-US"/>
        </w:rPr>
        <w:t>∣</w:t>
      </w:r>
      <w:r w:rsidRPr="00216A83">
        <w:rPr>
          <w:rFonts w:asciiTheme="majorBidi" w:eastAsia="Times New Roman" w:hAnsiTheme="majorBidi" w:cstheme="majorBidi"/>
          <w:sz w:val="24"/>
          <w:szCs w:val="24"/>
          <w:highlight w:val="yellow"/>
          <w:lang w:eastAsia="en-US"/>
        </w:rPr>
        <w:t>Z</w:t>
      </w:r>
      <w:r w:rsidRPr="00216A83">
        <w:rPr>
          <w:rFonts w:ascii="Cambria Math" w:eastAsia="Times New Roman" w:hAnsi="Cambria Math" w:cs="Cambria Math"/>
          <w:sz w:val="24"/>
          <w:szCs w:val="24"/>
          <w:highlight w:val="yellow"/>
          <w:lang w:eastAsia="en-US"/>
        </w:rPr>
        <w:t>∣</w:t>
      </w:r>
      <w:r w:rsidRPr="00216A83">
        <w:rPr>
          <w:rFonts w:ascii="Times New Roman" w:eastAsia="Times New Roman" w:hAnsi="Times New Roman"/>
          <w:sz w:val="24"/>
          <w:szCs w:val="24"/>
          <w:highlight w:val="yellow"/>
          <w:lang w:eastAsia="en-US"/>
        </w:rPr>
        <w:t>≤</w:t>
      </w:r>
      <w:r w:rsidRPr="00216A83">
        <w:rPr>
          <w:rFonts w:asciiTheme="majorBidi" w:eastAsia="Times New Roman" w:hAnsiTheme="majorBidi" w:cstheme="majorBidi"/>
          <w:sz w:val="24"/>
          <w:szCs w:val="24"/>
          <w:highlight w:val="yellow"/>
          <w:lang w:eastAsia="en-US"/>
        </w:rPr>
        <w:t>2 approximates the central 95% region under normality. These values therefore provide a principled and reproducible mapping between posterior dispersion and epistemic credibility categories (Trusted, Plausible, Inflated, Recessive).</w:t>
      </w:r>
    </w:p>
    <w:p w14:paraId="021A469E" w14:textId="3B5D7899" w:rsidR="00216A83" w:rsidRPr="00216A83" w:rsidRDefault="00216A83" w:rsidP="00216A83">
      <w:pPr>
        <w:spacing w:line="276" w:lineRule="auto"/>
        <w:jc w:val="both"/>
        <w:rPr>
          <w:rFonts w:asciiTheme="majorBidi" w:eastAsia="Times New Roman" w:hAnsiTheme="majorBidi" w:cstheme="majorBidi"/>
          <w:sz w:val="24"/>
          <w:szCs w:val="24"/>
          <w:lang w:eastAsia="en-US"/>
        </w:rPr>
      </w:pPr>
      <w:r w:rsidRPr="00216A83">
        <w:rPr>
          <w:rFonts w:asciiTheme="majorBidi" w:eastAsia="Times New Roman" w:hAnsiTheme="majorBidi" w:cstheme="majorBidi"/>
          <w:sz w:val="24"/>
          <w:szCs w:val="24"/>
          <w:highlight w:val="yellow"/>
          <w:lang w:eastAsia="en-US"/>
        </w:rPr>
        <w:t>Importantly, while these canonical values serve as defaults, the framework allows domain</w:t>
      </w:r>
      <w:r w:rsidRPr="00216A83">
        <w:rPr>
          <w:rFonts w:asciiTheme="majorBidi" w:eastAsia="Times New Roman" w:hAnsiTheme="majorBidi" w:cstheme="majorBidi"/>
          <w:sz w:val="24"/>
          <w:szCs w:val="24"/>
          <w:highlight w:val="yellow"/>
          <w:lang w:eastAsia="en-US"/>
        </w:rPr>
        <w:noBreakHyphen/>
        <w:t>specific adjustment of k to reflect regulatory tolerance, clinical safety margins, or operational risk appetite. This formulation replaces convention</w:t>
      </w:r>
      <w:r w:rsidRPr="00216A83">
        <w:rPr>
          <w:rFonts w:asciiTheme="majorBidi" w:eastAsia="Times New Roman" w:hAnsiTheme="majorBidi" w:cstheme="majorBidi"/>
          <w:sz w:val="24"/>
          <w:szCs w:val="24"/>
          <w:highlight w:val="yellow"/>
          <w:lang w:eastAsia="en-US"/>
        </w:rPr>
        <w:noBreakHyphen/>
        <w:t>based cutoffs with dispersion</w:t>
      </w:r>
      <w:r w:rsidRPr="00216A83">
        <w:rPr>
          <w:rFonts w:asciiTheme="majorBidi" w:eastAsia="Times New Roman" w:hAnsiTheme="majorBidi" w:cstheme="majorBidi"/>
          <w:sz w:val="24"/>
          <w:szCs w:val="24"/>
          <w:highlight w:val="yellow"/>
          <w:lang w:eastAsia="en-US"/>
        </w:rPr>
        <w:noBreakHyphen/>
        <w:t>calibrated thresholds anchored to posterior belief concentration. As a result, operational decisions remain explicitly aligned with epistemic stability rather than externally imposed numerical conventions, while retaining flexibility for context</w:t>
      </w:r>
      <w:r w:rsidRPr="00216A83">
        <w:rPr>
          <w:rFonts w:asciiTheme="majorBidi" w:eastAsia="Times New Roman" w:hAnsiTheme="majorBidi" w:cstheme="majorBidi"/>
          <w:sz w:val="24"/>
          <w:szCs w:val="24"/>
          <w:highlight w:val="yellow"/>
          <w:lang w:eastAsia="en-US"/>
        </w:rPr>
        <w:noBreakHyphen/>
        <w:t>specific calibration.</w:t>
      </w:r>
    </w:p>
    <w:p w14:paraId="43F33D14" w14:textId="77777777" w:rsidR="000D4919" w:rsidRDefault="006A307E" w:rsidP="00F72FA6">
      <w:pPr>
        <w:pStyle w:val="10"/>
        <w:spacing w:line="276" w:lineRule="auto"/>
        <w:jc w:val="left"/>
        <w:rPr>
          <w:rFonts w:ascii="Times New Roman" w:hAnsi="Times New Roman"/>
        </w:rPr>
      </w:pPr>
      <w:r w:rsidRPr="00D276E7">
        <w:rPr>
          <w:rFonts w:ascii="Times New Roman" w:hAnsi="Times New Roman"/>
          <w:b/>
          <w:bCs/>
        </w:rPr>
        <w:t>3.8 Algorithmic Summary — Posterior Epistemic Zoning Procedure (PEZ-ZD)</w:t>
      </w:r>
      <w:r>
        <w:rPr>
          <w:rFonts w:ascii="Times New Roman" w:hAnsi="Times New Roman"/>
        </w:rPr>
        <w:br/>
        <w:t>Algorithm: Posterior Epistemic Zoning with Zone-Guided Decision Design</w:t>
      </w:r>
      <w:r>
        <w:rPr>
          <w:rFonts w:ascii="Times New Roman" w:hAnsi="Times New Roman"/>
        </w:rPr>
        <w:br/>
        <w:t>Input:</w:t>
      </w:r>
      <w:r>
        <w:rPr>
          <w:rFonts w:ascii="Times New Roman" w:hAnsi="Times New Roman"/>
        </w:rPr>
        <w:br/>
        <w:t>Observed data D, Bayesian model M, operational decision variable x (or target epistemic zone Z*), and decision context.</w:t>
      </w:r>
      <w:r>
        <w:rPr>
          <w:rFonts w:ascii="Times New Roman" w:hAnsi="Times New Roman"/>
        </w:rPr>
        <w:br/>
      </w:r>
      <w:r w:rsidRPr="00D276E7">
        <w:rPr>
          <w:rFonts w:ascii="Times New Roman" w:hAnsi="Times New Roman"/>
          <w:b/>
          <w:bCs/>
        </w:rPr>
        <w:t>Step 1 — Bayesian Posterior Estimation</w:t>
      </w:r>
      <w:r>
        <w:rPr>
          <w:rFonts w:ascii="Times New Roman" w:hAnsi="Times New Roman"/>
        </w:rPr>
        <w:br/>
        <w:t>Fit the Bayesian model to data and obtain posterior samples p(</w:t>
      </w:r>
      <w:proofErr w:type="spellStart"/>
      <w:r>
        <w:rPr>
          <w:rFonts w:ascii="Times New Roman" w:hAnsi="Times New Roman"/>
        </w:rPr>
        <w:t>θ|D</w:t>
      </w:r>
      <w:proofErr w:type="spellEnd"/>
      <w:r>
        <w:rPr>
          <w:rFonts w:ascii="Times New Roman" w:hAnsi="Times New Roman"/>
        </w:rPr>
        <w:t>).</w:t>
      </w:r>
      <w:r>
        <w:rPr>
          <w:rFonts w:ascii="Times New Roman" w:hAnsi="Times New Roman"/>
        </w:rPr>
        <w:br/>
        <w:t>Compute:</w:t>
      </w:r>
      <w:r>
        <w:rPr>
          <w:rFonts w:ascii="Times New Roman" w:hAnsi="Times New Roman"/>
        </w:rPr>
        <w:br/>
        <w:t>μ = E[</w:t>
      </w:r>
      <w:proofErr w:type="spellStart"/>
      <w:r>
        <w:rPr>
          <w:rFonts w:ascii="Times New Roman" w:hAnsi="Times New Roman"/>
        </w:rPr>
        <w:t>θ|D</w:t>
      </w:r>
      <w:proofErr w:type="spellEnd"/>
      <w:r>
        <w:rPr>
          <w:rFonts w:ascii="Times New Roman" w:hAnsi="Times New Roman"/>
        </w:rPr>
        <w:t>]</w:t>
      </w:r>
      <w:r>
        <w:rPr>
          <w:rFonts w:ascii="Times New Roman" w:hAnsi="Times New Roman"/>
        </w:rPr>
        <w:br/>
      </w:r>
      <w:proofErr w:type="spellStart"/>
      <w:r>
        <w:rPr>
          <w:rFonts w:ascii="Times New Roman" w:hAnsi="Times New Roman"/>
        </w:rPr>
        <w:t>σ_post</w:t>
      </w:r>
      <w:proofErr w:type="spellEnd"/>
      <w:r>
        <w:rPr>
          <w:rFonts w:ascii="Times New Roman" w:hAnsi="Times New Roman"/>
        </w:rPr>
        <w:t xml:space="preserve"> = sqrt(Var(</w:t>
      </w:r>
      <w:proofErr w:type="spellStart"/>
      <w:r>
        <w:rPr>
          <w:rFonts w:ascii="Times New Roman" w:hAnsi="Times New Roman"/>
        </w:rPr>
        <w:t>θ|D</w:t>
      </w:r>
      <w:proofErr w:type="spellEnd"/>
      <w:r>
        <w:rPr>
          <w:rFonts w:ascii="Times New Roman" w:hAnsi="Times New Roman"/>
        </w:rPr>
        <w:t>))</w:t>
      </w:r>
      <w:r>
        <w:rPr>
          <w:rFonts w:ascii="Times New Roman" w:hAnsi="Times New Roman"/>
        </w:rPr>
        <w:br/>
        <w:t>These summarize posterior central tendency and epistemic dispersion.</w:t>
      </w:r>
      <w:r>
        <w:rPr>
          <w:rFonts w:ascii="Times New Roman" w:hAnsi="Times New Roman"/>
        </w:rPr>
        <w:br/>
      </w:r>
      <w:r w:rsidRPr="00D276E7">
        <w:rPr>
          <w:rFonts w:ascii="Times New Roman" w:hAnsi="Times New Roman"/>
          <w:b/>
          <w:bCs/>
        </w:rPr>
        <w:t>Step 2 — Operational Target Definition</w:t>
      </w:r>
      <w:r>
        <w:rPr>
          <w:rFonts w:ascii="Times New Roman" w:hAnsi="Times New Roman"/>
        </w:rPr>
        <w:br/>
      </w:r>
      <w:r>
        <w:rPr>
          <w:rFonts w:ascii="Times New Roman" w:hAnsi="Times New Roman"/>
        </w:rPr>
        <w:lastRenderedPageBreak/>
        <w:t>Specify either the operational decision value x (for evaluation) or the target posterior epistemic zone Z* (for decision design).</w:t>
      </w:r>
      <w:r>
        <w:rPr>
          <w:rFonts w:ascii="Times New Roman" w:hAnsi="Times New Roman"/>
        </w:rPr>
        <w:br/>
      </w:r>
      <w:r w:rsidRPr="00D276E7">
        <w:rPr>
          <w:rFonts w:ascii="Times New Roman" w:hAnsi="Times New Roman"/>
          <w:b/>
          <w:bCs/>
        </w:rPr>
        <w:t>Step 3 — Posterior Epistemic Zone Assignment (PEZ)</w:t>
      </w:r>
      <w:r>
        <w:rPr>
          <w:rFonts w:ascii="Times New Roman" w:hAnsi="Times New Roman"/>
        </w:rPr>
        <w:br/>
        <w:t>Compute the epistemic standardized distance:</w:t>
      </w:r>
      <w:r>
        <w:rPr>
          <w:rFonts w:ascii="Times New Roman" w:hAnsi="Times New Roman"/>
        </w:rPr>
        <w:br/>
      </w:r>
      <w:proofErr w:type="spellStart"/>
      <w:r>
        <w:rPr>
          <w:rFonts w:ascii="Times New Roman" w:hAnsi="Times New Roman"/>
        </w:rPr>
        <w:t>Z_post</w:t>
      </w:r>
      <w:proofErr w:type="spellEnd"/>
      <w:r>
        <w:rPr>
          <w:rFonts w:ascii="Times New Roman" w:hAnsi="Times New Roman"/>
        </w:rPr>
        <w:t xml:space="preserve">(x) = (x − μ) / </w:t>
      </w:r>
      <w:proofErr w:type="spellStart"/>
      <w:r>
        <w:rPr>
          <w:rFonts w:ascii="Times New Roman" w:hAnsi="Times New Roman"/>
        </w:rPr>
        <w:t>σ_post</w:t>
      </w:r>
      <w:proofErr w:type="spellEnd"/>
      <w:r>
        <w:rPr>
          <w:rFonts w:ascii="Times New Roman" w:hAnsi="Times New Roman"/>
        </w:rPr>
        <w:br/>
        <w:t xml:space="preserve">Assign the decision to one of the following </w:t>
      </w:r>
      <w:r w:rsidR="00F72FA6">
        <w:t>PEZs</w:t>
      </w:r>
      <w:r>
        <w:rPr>
          <w:rFonts w:ascii="Times New Roman" w:hAnsi="Times New Roman"/>
        </w:rPr>
        <w:t>:</w:t>
      </w:r>
      <w:r>
        <w:rPr>
          <w:rFonts w:ascii="Times New Roman" w:hAnsi="Times New Roman"/>
        </w:rPr>
        <w:br/>
        <w:t xml:space="preserve">Trusted </w:t>
      </w:r>
      <w:r w:rsidR="00F72FA6">
        <w:t>PEZ</w:t>
      </w:r>
      <w:r>
        <w:rPr>
          <w:rFonts w:ascii="Times New Roman" w:hAnsi="Times New Roman"/>
        </w:rPr>
        <w:t>: |</w:t>
      </w:r>
      <w:proofErr w:type="spellStart"/>
      <w:r>
        <w:rPr>
          <w:rFonts w:ascii="Times New Roman" w:hAnsi="Times New Roman"/>
        </w:rPr>
        <w:t>Z_post</w:t>
      </w:r>
      <w:proofErr w:type="spellEnd"/>
      <w:r>
        <w:rPr>
          <w:rFonts w:ascii="Times New Roman" w:hAnsi="Times New Roman"/>
        </w:rPr>
        <w:t>(x)| ≤ 1</w:t>
      </w:r>
      <w:r>
        <w:rPr>
          <w:rFonts w:ascii="Times New Roman" w:hAnsi="Times New Roman"/>
        </w:rPr>
        <w:br/>
        <w:t xml:space="preserve">Upper Plausible </w:t>
      </w:r>
      <w:r w:rsidR="00F72FA6">
        <w:t>PEZ</w:t>
      </w:r>
      <w:r>
        <w:rPr>
          <w:rFonts w:ascii="Times New Roman" w:hAnsi="Times New Roman"/>
        </w:rPr>
        <w:t xml:space="preserve">: 1 &lt; </w:t>
      </w:r>
      <w:proofErr w:type="spellStart"/>
      <w:r>
        <w:rPr>
          <w:rFonts w:ascii="Times New Roman" w:hAnsi="Times New Roman"/>
        </w:rPr>
        <w:t>Z_post</w:t>
      </w:r>
      <w:proofErr w:type="spellEnd"/>
      <w:r>
        <w:rPr>
          <w:rFonts w:ascii="Times New Roman" w:hAnsi="Times New Roman"/>
        </w:rPr>
        <w:t>(x) ≤ 2</w:t>
      </w:r>
      <w:r>
        <w:rPr>
          <w:rFonts w:ascii="Times New Roman" w:hAnsi="Times New Roman"/>
        </w:rPr>
        <w:br/>
        <w:t xml:space="preserve">Lower Plausible </w:t>
      </w:r>
      <w:r w:rsidR="00F72FA6">
        <w:t>PEZ</w:t>
      </w:r>
      <w:r>
        <w:rPr>
          <w:rFonts w:ascii="Times New Roman" w:hAnsi="Times New Roman"/>
        </w:rPr>
        <w:t xml:space="preserve">: −2 ≤ </w:t>
      </w:r>
      <w:proofErr w:type="spellStart"/>
      <w:r>
        <w:rPr>
          <w:rFonts w:ascii="Times New Roman" w:hAnsi="Times New Roman"/>
        </w:rPr>
        <w:t>Z_post</w:t>
      </w:r>
      <w:proofErr w:type="spellEnd"/>
      <w:r>
        <w:rPr>
          <w:rFonts w:ascii="Times New Roman" w:hAnsi="Times New Roman"/>
        </w:rPr>
        <w:t>(x) &lt; −1</w:t>
      </w:r>
      <w:r>
        <w:rPr>
          <w:rFonts w:ascii="Times New Roman" w:hAnsi="Times New Roman"/>
        </w:rPr>
        <w:br/>
        <w:t>I</w:t>
      </w:r>
      <w:r w:rsidR="00F72FA6">
        <w:rPr>
          <w:rFonts w:ascii="Times New Roman" w:hAnsi="Times New Roman"/>
        </w:rPr>
        <w:t xml:space="preserve">nflated </w:t>
      </w:r>
      <w:r w:rsidR="00F72FA6">
        <w:t>PEZ</w:t>
      </w:r>
      <w:r>
        <w:rPr>
          <w:rFonts w:ascii="Times New Roman" w:hAnsi="Times New Roman"/>
        </w:rPr>
        <w:t xml:space="preserve">: </w:t>
      </w:r>
      <w:proofErr w:type="spellStart"/>
      <w:r>
        <w:rPr>
          <w:rFonts w:ascii="Times New Roman" w:hAnsi="Times New Roman"/>
        </w:rPr>
        <w:t>Z_post</w:t>
      </w:r>
      <w:proofErr w:type="spellEnd"/>
      <w:r>
        <w:rPr>
          <w:rFonts w:ascii="Times New Roman" w:hAnsi="Times New Roman"/>
        </w:rPr>
        <w:t>(x) &gt; 2</w:t>
      </w:r>
      <w:r>
        <w:rPr>
          <w:rFonts w:ascii="Times New Roman" w:hAnsi="Times New Roman"/>
        </w:rPr>
        <w:br/>
        <w:t xml:space="preserve">Recessive </w:t>
      </w:r>
      <w:r w:rsidR="00F72FA6">
        <w:t>PEZ</w:t>
      </w:r>
      <w:r>
        <w:rPr>
          <w:rFonts w:ascii="Times New Roman" w:hAnsi="Times New Roman"/>
        </w:rPr>
        <w:t xml:space="preserve">: </w:t>
      </w:r>
      <w:proofErr w:type="spellStart"/>
      <w:r>
        <w:rPr>
          <w:rFonts w:ascii="Times New Roman" w:hAnsi="Times New Roman"/>
        </w:rPr>
        <w:t>Z_post</w:t>
      </w:r>
      <w:proofErr w:type="spellEnd"/>
      <w:r>
        <w:rPr>
          <w:rFonts w:ascii="Times New Roman" w:hAnsi="Times New Roman"/>
        </w:rPr>
        <w:t>(x) &lt; −2</w:t>
      </w:r>
      <w:r>
        <w:rPr>
          <w:rFonts w:ascii="Times New Roman" w:hAnsi="Times New Roman"/>
        </w:rPr>
        <w:br/>
        <w:t>This step establishes the epistemic credibility state of the decision.</w:t>
      </w:r>
    </w:p>
    <w:p w14:paraId="657B0F37" w14:textId="77777777" w:rsidR="00F42FFC" w:rsidRDefault="00E1679E" w:rsidP="00941482">
      <w:pPr>
        <w:pStyle w:val="10"/>
        <w:spacing w:line="276" w:lineRule="auto"/>
        <w:jc w:val="both"/>
      </w:pPr>
      <w:r>
        <w:t>(Note:</w:t>
      </w:r>
      <w:r w:rsidR="000933C6">
        <w:t xml:space="preserve"> </w:t>
      </w:r>
      <w:r w:rsidR="000D4919">
        <w:t>The zone boundaries (|Z| = 1 and |Z| = 2) correspond to conventional dispersion landmarks of the standardized normal distribution, approximating the central 68% and 95% probability regions under normality. Consequently, values with |Z| &gt; 2 lie in posterior tail regions containing approximately 5% of probability mass. The zoning scheme therefore reflects widely used statistical interpretations of standardized distance rather than arbitrary thresholds.</w:t>
      </w:r>
      <w:r w:rsidR="000933C6">
        <w:t>)</w:t>
      </w:r>
      <w:r w:rsidR="006A307E">
        <w:rPr>
          <w:rFonts w:ascii="Times New Roman" w:hAnsi="Times New Roman"/>
        </w:rPr>
        <w:br/>
      </w:r>
      <w:r w:rsidR="006A307E" w:rsidRPr="00D276E7">
        <w:rPr>
          <w:rFonts w:ascii="Times New Roman" w:hAnsi="Times New Roman"/>
          <w:b/>
          <w:bCs/>
        </w:rPr>
        <w:t>Step 4 — Zone-Guided Inverse Decision Design</w:t>
      </w:r>
      <w:r w:rsidR="006A307E">
        <w:rPr>
          <w:rFonts w:ascii="Times New Roman" w:hAnsi="Times New Roman"/>
        </w:rPr>
        <w:br/>
      </w:r>
      <w:r w:rsidR="00D276E7">
        <w:rPr>
          <w:rFonts w:ascii="Times New Roman" w:eastAsia="Calibri" w:hAnsi="Times New Roman"/>
        </w:rPr>
        <w:t>If a target zone Z* is specified, compute admissible operational values by inversion:</w:t>
      </w:r>
      <w:r w:rsidR="00D276E7">
        <w:rPr>
          <w:rFonts w:ascii="Times New Roman" w:eastAsia="Calibri" w:hAnsi="Times New Roman"/>
        </w:rPr>
        <w:br/>
        <w:t xml:space="preserve">x = μ + </w:t>
      </w:r>
      <w:proofErr w:type="spellStart"/>
      <w:r w:rsidR="00D276E7">
        <w:rPr>
          <w:rFonts w:ascii="Times New Roman" w:eastAsia="Calibri" w:hAnsi="Times New Roman"/>
        </w:rPr>
        <w:t>z·σ_post</w:t>
      </w:r>
      <w:proofErr w:type="spellEnd"/>
      <w:r w:rsidR="00D276E7">
        <w:rPr>
          <w:rFonts w:ascii="Times New Roman" w:eastAsia="Calibri" w:hAnsi="Times New Roman"/>
        </w:rPr>
        <w:t xml:space="preserve"> , z </w:t>
      </w:r>
      <w:r w:rsidR="00D276E7">
        <w:rPr>
          <w:rFonts w:ascii="Cambria Math" w:eastAsia="Calibri" w:hAnsi="Cambria Math" w:cs="Cambria Math"/>
        </w:rPr>
        <w:t>∈</w:t>
      </w:r>
      <w:r w:rsidR="00D276E7">
        <w:rPr>
          <w:rFonts w:ascii="Times New Roman" w:eastAsia="Calibri" w:hAnsi="Times New Roman"/>
        </w:rPr>
        <w:t xml:space="preserve"> Z*</w:t>
      </w:r>
      <w:r w:rsidR="00D276E7">
        <w:rPr>
          <w:rFonts w:ascii="Times New Roman" w:eastAsia="Calibri" w:hAnsi="Times New Roman"/>
        </w:rPr>
        <w:br/>
        <w:t>Admissible intervals:</w:t>
      </w:r>
      <w:r w:rsidR="00D276E7">
        <w:rPr>
          <w:rFonts w:ascii="Times New Roman" w:eastAsia="Calibri" w:hAnsi="Times New Roman"/>
        </w:rPr>
        <w:br/>
        <w:t xml:space="preserve">Trusted: μ − </w:t>
      </w:r>
      <w:proofErr w:type="spellStart"/>
      <w:r w:rsidR="00D276E7">
        <w:rPr>
          <w:rFonts w:ascii="Times New Roman" w:eastAsia="Calibri" w:hAnsi="Times New Roman"/>
        </w:rPr>
        <w:t>σ_post</w:t>
      </w:r>
      <w:proofErr w:type="spellEnd"/>
      <w:r w:rsidR="00D276E7">
        <w:rPr>
          <w:rFonts w:ascii="Times New Roman" w:eastAsia="Calibri" w:hAnsi="Times New Roman"/>
        </w:rPr>
        <w:t xml:space="preserve"> ≤ x ≤ μ + </w:t>
      </w:r>
      <w:proofErr w:type="spellStart"/>
      <w:r w:rsidR="00D276E7">
        <w:rPr>
          <w:rFonts w:ascii="Times New Roman" w:eastAsia="Calibri" w:hAnsi="Times New Roman"/>
        </w:rPr>
        <w:t>σ_post</w:t>
      </w:r>
      <w:proofErr w:type="spellEnd"/>
      <w:r w:rsidR="00D276E7">
        <w:rPr>
          <w:rFonts w:ascii="Times New Roman" w:eastAsia="Calibri" w:hAnsi="Times New Roman"/>
        </w:rPr>
        <w:br/>
        <w:t xml:space="preserve">Upper Plausible: μ + </w:t>
      </w:r>
      <w:proofErr w:type="spellStart"/>
      <w:r w:rsidR="00D276E7">
        <w:rPr>
          <w:rFonts w:ascii="Times New Roman" w:eastAsia="Calibri" w:hAnsi="Times New Roman"/>
        </w:rPr>
        <w:t>σ_post</w:t>
      </w:r>
      <w:proofErr w:type="spellEnd"/>
      <w:r w:rsidR="00D276E7">
        <w:rPr>
          <w:rFonts w:ascii="Times New Roman" w:eastAsia="Calibri" w:hAnsi="Times New Roman"/>
        </w:rPr>
        <w:t xml:space="preserve"> &lt; x ≤ μ + 2σ_post</w:t>
      </w:r>
      <w:r w:rsidR="00D276E7">
        <w:rPr>
          <w:rFonts w:ascii="Times New Roman" w:eastAsia="Calibri" w:hAnsi="Times New Roman"/>
        </w:rPr>
        <w:br/>
        <w:t xml:space="preserve">Lower Plausible: μ − 2σ_post ≤ x &lt; μ − </w:t>
      </w:r>
      <w:proofErr w:type="spellStart"/>
      <w:r w:rsidR="00D276E7">
        <w:rPr>
          <w:rFonts w:ascii="Times New Roman" w:eastAsia="Calibri" w:hAnsi="Times New Roman"/>
        </w:rPr>
        <w:t>σ_post</w:t>
      </w:r>
      <w:proofErr w:type="spellEnd"/>
      <w:r w:rsidR="00D276E7">
        <w:rPr>
          <w:rFonts w:ascii="Times New Roman" w:eastAsia="Calibri" w:hAnsi="Times New Roman"/>
        </w:rPr>
        <w:br/>
        <w:t>Inflated: x &gt; μ + 2σ_post</w:t>
      </w:r>
      <w:r w:rsidR="00D276E7">
        <w:rPr>
          <w:rFonts w:ascii="Times New Roman" w:eastAsia="Calibri" w:hAnsi="Times New Roman"/>
        </w:rPr>
        <w:br/>
        <w:t>Recessive: x &lt; μ − 2σ_post</w:t>
      </w:r>
      <w:r w:rsidR="00D276E7">
        <w:rPr>
          <w:rFonts w:ascii="Times New Roman" w:eastAsia="Calibri" w:hAnsi="Times New Roman"/>
        </w:rPr>
        <w:br/>
        <w:t>This step converts epistemic zoning into a constructive mechanism for safe threshold design.</w:t>
      </w:r>
      <w:r w:rsidR="006A307E">
        <w:rPr>
          <w:rFonts w:ascii="Times New Roman" w:hAnsi="Times New Roman"/>
        </w:rPr>
        <w:br/>
      </w:r>
      <w:r w:rsidR="006A307E" w:rsidRPr="00D276E7">
        <w:rPr>
          <w:rFonts w:ascii="Times New Roman" w:hAnsi="Times New Roman"/>
          <w:b/>
          <w:bCs/>
        </w:rPr>
        <w:t>Step 5 — Decision Selection and Validation</w:t>
      </w:r>
      <w:r w:rsidR="006A307E">
        <w:rPr>
          <w:rFonts w:ascii="Times New Roman" w:hAnsi="Times New Roman"/>
        </w:rPr>
        <w:br/>
        <w:t>Select x within the admissible interval subject to operational constraints.</w:t>
      </w:r>
      <w:r w:rsidR="006A307E">
        <w:rPr>
          <w:rFonts w:ascii="Times New Roman" w:hAnsi="Times New Roman"/>
        </w:rPr>
        <w:br/>
        <w:t xml:space="preserve">Recompute </w:t>
      </w:r>
      <w:proofErr w:type="spellStart"/>
      <w:r w:rsidR="006A307E">
        <w:rPr>
          <w:rFonts w:ascii="Times New Roman" w:hAnsi="Times New Roman"/>
        </w:rPr>
        <w:t>Z_post</w:t>
      </w:r>
      <w:proofErr w:type="spellEnd"/>
      <w:r w:rsidR="006A307E">
        <w:rPr>
          <w:rFonts w:ascii="Times New Roman" w:hAnsi="Times New Roman"/>
        </w:rPr>
        <w:t>(x) to verify zone consistency.</w:t>
      </w:r>
      <w:r w:rsidR="006A307E">
        <w:rPr>
          <w:rFonts w:ascii="Times New Roman" w:hAnsi="Times New Roman"/>
        </w:rPr>
        <w:br/>
        <w:t>Step 6 — Monitoring and Adaptive Update</w:t>
      </w:r>
      <w:r w:rsidR="006A307E">
        <w:rPr>
          <w:rFonts w:ascii="Times New Roman" w:hAnsi="Times New Roman"/>
        </w:rPr>
        <w:br/>
        <w:t xml:space="preserve">As new data become available, update the posterior distribution, recompute μ and </w:t>
      </w:r>
      <w:proofErr w:type="spellStart"/>
      <w:r w:rsidR="006A307E">
        <w:rPr>
          <w:rFonts w:ascii="Times New Roman" w:hAnsi="Times New Roman"/>
        </w:rPr>
        <w:t>σ_post</w:t>
      </w:r>
      <w:proofErr w:type="spellEnd"/>
      <w:r w:rsidR="006A307E">
        <w:rPr>
          <w:rFonts w:ascii="Times New Roman" w:hAnsi="Times New Roman"/>
        </w:rPr>
        <w:t>, track zone migration over time, and adjust operational thresholds accordingly.</w:t>
      </w:r>
    </w:p>
    <w:p w14:paraId="3D03A0D9" w14:textId="77777777" w:rsidR="00343A27" w:rsidRPr="00A71F99" w:rsidRDefault="00343A27" w:rsidP="006E6FFB">
      <w:pPr>
        <w:pStyle w:val="NormalWeb"/>
        <w:spacing w:line="276" w:lineRule="auto"/>
        <w:jc w:val="both"/>
        <w:rPr>
          <w:rFonts w:asciiTheme="majorBidi" w:hAnsiTheme="majorBidi" w:cstheme="majorBidi"/>
        </w:rPr>
      </w:pPr>
      <w:r w:rsidRPr="00A71F99">
        <w:rPr>
          <w:rStyle w:val="Strong"/>
          <w:rFonts w:asciiTheme="majorBidi" w:hAnsiTheme="majorBidi" w:cstheme="majorBidi"/>
        </w:rPr>
        <w:t>3.9 Interpretive Scope</w:t>
      </w:r>
      <w:r w:rsidRPr="00A71F99">
        <w:rPr>
          <w:rFonts w:asciiTheme="majorBidi" w:hAnsiTheme="majorBidi" w:cstheme="majorBidi"/>
        </w:rPr>
        <w:br/>
        <w:t xml:space="preserve">The proposed framework does not replace Bayesian inference; rather, it augments standard posterior summaries with an explicit epistemic standardization that supports reliability-aware interpretation of decision thresholds, transparent uncertainty </w:t>
      </w:r>
      <w:r w:rsidRPr="00A71F99">
        <w:rPr>
          <w:rFonts w:asciiTheme="majorBidi" w:hAnsiTheme="majorBidi" w:cstheme="majorBidi"/>
        </w:rPr>
        <w:lastRenderedPageBreak/>
        <w:t>assessment, mitigation of confidence inflation, and reproducible comparison of decision stability across operational settings.</w:t>
      </w:r>
    </w:p>
    <w:p w14:paraId="33058BD6" w14:textId="77777777" w:rsidR="00A71F99" w:rsidRPr="00A71F99" w:rsidRDefault="00A71F99" w:rsidP="00080419">
      <w:pPr>
        <w:pStyle w:val="Heading2"/>
        <w:spacing w:line="276" w:lineRule="auto"/>
        <w:jc w:val="both"/>
        <w:rPr>
          <w:rFonts w:asciiTheme="majorBidi" w:hAnsiTheme="majorBidi" w:cstheme="majorBidi" w:hint="default"/>
          <w:b w:val="0"/>
          <w:bCs w:val="0"/>
          <w:sz w:val="24"/>
          <w:szCs w:val="24"/>
        </w:rPr>
      </w:pPr>
      <w:r w:rsidRPr="00E30103">
        <w:rPr>
          <w:rFonts w:asciiTheme="majorBidi" w:hAnsiTheme="majorBidi" w:cstheme="majorBidi" w:hint="default"/>
          <w:b w:val="0"/>
          <w:bCs w:val="0"/>
          <w:sz w:val="24"/>
          <w:szCs w:val="24"/>
          <w:highlight w:val="yellow"/>
        </w:rPr>
        <w:t>While BEZ is designed as a model</w:t>
      </w:r>
      <w:r w:rsidRPr="00E30103">
        <w:rPr>
          <w:rFonts w:asciiTheme="majorBidi" w:hAnsiTheme="majorBidi" w:cstheme="majorBidi" w:hint="default"/>
          <w:b w:val="0"/>
          <w:bCs w:val="0"/>
          <w:sz w:val="24"/>
          <w:szCs w:val="24"/>
          <w:highlight w:val="yellow"/>
        </w:rPr>
        <w:noBreakHyphen/>
        <w:t xml:space="preserve">agnostic interpretive framework, it can be applied to posterior distributions derived from a variety of inference engines, including classical Bayesian models, ensemble methods, and more recent generative approaches. For example, </w:t>
      </w:r>
      <w:r w:rsidRPr="00E30103">
        <w:rPr>
          <w:rStyle w:val="Emphasis"/>
          <w:rFonts w:asciiTheme="majorBidi" w:hAnsiTheme="majorBidi" w:cstheme="majorBidi" w:hint="default"/>
          <w:b w:val="0"/>
          <w:bCs w:val="0"/>
          <w:sz w:val="24"/>
          <w:szCs w:val="24"/>
          <w:highlight w:val="yellow"/>
        </w:rPr>
        <w:t>Epistemic Generative Adversarial Networks</w:t>
      </w:r>
      <w:r w:rsidRPr="00E30103">
        <w:rPr>
          <w:rFonts w:asciiTheme="majorBidi" w:hAnsiTheme="majorBidi" w:cstheme="majorBidi" w:hint="default"/>
          <w:b w:val="0"/>
          <w:bCs w:val="0"/>
          <w:sz w:val="24"/>
          <w:szCs w:val="24"/>
          <w:highlight w:val="yellow"/>
        </w:rPr>
        <w:t xml:space="preserve"> (Mubashar &amp; </w:t>
      </w:r>
      <w:proofErr w:type="spellStart"/>
      <w:r w:rsidRPr="00E30103">
        <w:rPr>
          <w:rFonts w:asciiTheme="majorBidi" w:hAnsiTheme="majorBidi" w:cstheme="majorBidi" w:hint="default"/>
          <w:b w:val="0"/>
          <w:bCs w:val="0"/>
          <w:sz w:val="24"/>
          <w:szCs w:val="24"/>
          <w:highlight w:val="yellow"/>
        </w:rPr>
        <w:t>Cuzzolin</w:t>
      </w:r>
      <w:proofErr w:type="spellEnd"/>
      <w:r w:rsidRPr="00E30103">
        <w:rPr>
          <w:rFonts w:asciiTheme="majorBidi" w:hAnsiTheme="majorBidi" w:cstheme="majorBidi" w:hint="default"/>
          <w:b w:val="0"/>
          <w:bCs w:val="0"/>
          <w:sz w:val="24"/>
          <w:szCs w:val="24"/>
          <w:highlight w:val="yellow"/>
        </w:rPr>
        <w:t>, 2026) introduce evidential reasoning into GAN architectures to improve diversity and quantify uncertainty in small</w:t>
      </w:r>
      <w:r w:rsidRPr="00E30103">
        <w:rPr>
          <w:rFonts w:asciiTheme="majorBidi" w:hAnsiTheme="majorBidi" w:cstheme="majorBidi" w:hint="default"/>
          <w:b w:val="0"/>
          <w:bCs w:val="0"/>
          <w:sz w:val="24"/>
          <w:szCs w:val="24"/>
          <w:highlight w:val="yellow"/>
        </w:rPr>
        <w:noBreakHyphen/>
        <w:t>sample regimes. Such generative tools may help mitigate fragility when data are scarce, but BEZ’s contribution lies in the structured calibration of decision thresholds relative to posterior dispersion, rather than in the generative modeling of data itself. In this sense, BEZ complements rather than replaces generative epistemic methods, providing a governance</w:t>
      </w:r>
      <w:r w:rsidRPr="00E30103">
        <w:rPr>
          <w:rFonts w:asciiTheme="majorBidi" w:hAnsiTheme="majorBidi" w:cstheme="majorBidi" w:hint="default"/>
          <w:b w:val="0"/>
          <w:bCs w:val="0"/>
          <w:sz w:val="24"/>
          <w:szCs w:val="24"/>
          <w:highlight w:val="yellow"/>
        </w:rPr>
        <w:noBreakHyphen/>
        <w:t>oriented overlay that transparently evaluates the credibility of thresholds regardless of how posterior samples are obtained.</w:t>
      </w:r>
    </w:p>
    <w:p w14:paraId="4F3E85F0" w14:textId="76D266FB" w:rsidR="00F42FFC" w:rsidRDefault="006A307E" w:rsidP="00080419">
      <w:pPr>
        <w:pStyle w:val="Heading2"/>
        <w:spacing w:line="276" w:lineRule="auto"/>
        <w:jc w:val="both"/>
        <w:rPr>
          <w:rFonts w:ascii="Times New Roman" w:hAnsi="Times New Roman" w:hint="default"/>
          <w:sz w:val="24"/>
          <w:szCs w:val="24"/>
        </w:rPr>
      </w:pPr>
      <w:r>
        <w:rPr>
          <w:rFonts w:ascii="Times New Roman" w:hAnsi="Times New Roman" w:hint="default"/>
          <w:sz w:val="24"/>
          <w:szCs w:val="24"/>
        </w:rPr>
        <w:t>4.</w:t>
      </w:r>
      <w:r>
        <w:rPr>
          <w:rStyle w:val="Strong"/>
          <w:rFonts w:ascii="Times New Roman" w:hAnsi="Times New Roman" w:hint="default"/>
          <w:b/>
          <w:bCs/>
          <w:sz w:val="24"/>
          <w:szCs w:val="24"/>
        </w:rPr>
        <w:t>Simulated Example: Posterior Epistemic Zone Behavior Under Sample Size Scaling</w:t>
      </w:r>
    </w:p>
    <w:p w14:paraId="2CA5319D" w14:textId="77777777" w:rsidR="00F42FFC" w:rsidRDefault="006A307E" w:rsidP="00F72FA6">
      <w:pPr>
        <w:pStyle w:val="NormalWeb"/>
        <w:spacing w:line="276" w:lineRule="auto"/>
        <w:jc w:val="both"/>
      </w:pPr>
      <w:r>
        <w:t xml:space="preserve">To illustrate the operational behavior of </w:t>
      </w:r>
      <w:r w:rsidR="00F72FA6">
        <w:t>BEZ</w:t>
      </w:r>
      <w:r>
        <w:t>, a controlled simulation study was conducted under varying sample sizes and posterior dispersion regimes. A fixed operational reference value x=0.70 was evaluated against posterior estimates obtained under three representative epistemic conditions: stable knowledge (Scenario A), moderate uncertainty (Scenario B), and fragile or misleading inference (Scenario C).</w:t>
      </w:r>
    </w:p>
    <w:p w14:paraId="586D1D50" w14:textId="77777777" w:rsidR="00F42FFC" w:rsidRDefault="006A307E" w:rsidP="00080419">
      <w:pPr>
        <w:pStyle w:val="NormalWeb"/>
        <w:spacing w:line="276" w:lineRule="auto"/>
        <w:jc w:val="both"/>
      </w:pPr>
      <w:r>
        <w:t xml:space="preserve">Posterior mean μ and posterior standard deviation </w:t>
      </w:r>
      <w:proofErr w:type="spellStart"/>
      <w:r>
        <w:t>σpost</w:t>
      </w:r>
      <w:proofErr w:type="spellEnd"/>
      <w:r>
        <w:t xml:space="preserve"> were computed for each simulated dataset. The epistemic standardized distance was then calculated as:</w:t>
      </w:r>
    </w:p>
    <w:p w14:paraId="6D0A78A0" w14:textId="77777777" w:rsidR="00F42FFC" w:rsidRDefault="006A307E" w:rsidP="00080419">
      <w:pPr>
        <w:spacing w:line="276" w:lineRule="auto"/>
        <w:jc w:val="both"/>
        <w:rPr>
          <w:rFonts w:ascii="Times New Roman" w:hAnsi="Times New Roman"/>
          <w:sz w:val="24"/>
          <w:szCs w:val="24"/>
        </w:rPr>
      </w:pPr>
      <w:proofErr w:type="spellStart"/>
      <w:r>
        <w:rPr>
          <w:rFonts w:ascii="Times New Roman" w:eastAsia="SimSun" w:hAnsi="Times New Roman"/>
          <w:sz w:val="24"/>
          <w:szCs w:val="24"/>
          <w:lang w:bidi="ar"/>
        </w:rPr>
        <w:t>Zpost</w:t>
      </w:r>
      <w:proofErr w:type="spellEnd"/>
      <w:r>
        <w:rPr>
          <w:rFonts w:ascii="Times New Roman" w:eastAsia="SimSun" w:hAnsi="Times New Roman"/>
          <w:sz w:val="24"/>
          <w:szCs w:val="24"/>
          <w:lang w:bidi="ar"/>
        </w:rPr>
        <w:t>(x)=x−μ/</w:t>
      </w:r>
      <w:proofErr w:type="spellStart"/>
      <w:r>
        <w:rPr>
          <w:rFonts w:ascii="Times New Roman" w:eastAsia="SimSun" w:hAnsi="Times New Roman"/>
          <w:sz w:val="24"/>
          <w:szCs w:val="24"/>
          <w:lang w:bidi="ar"/>
        </w:rPr>
        <w:t>σpost</w:t>
      </w:r>
      <w:proofErr w:type="spellEnd"/>
      <w:r>
        <w:rPr>
          <w:rFonts w:ascii="Times New Roman" w:eastAsia="SimSun" w:hAnsi="Times New Roman"/>
          <w:sz w:val="24"/>
          <w:szCs w:val="24"/>
          <w:lang w:bidi="ar"/>
        </w:rPr>
        <w:t xml:space="preserve"> </w:t>
      </w:r>
    </w:p>
    <w:p w14:paraId="45C287EA" w14:textId="77777777" w:rsidR="00F42FFC" w:rsidRDefault="006A307E" w:rsidP="00F72FA6">
      <w:pPr>
        <w:pStyle w:val="NormalWeb"/>
        <w:spacing w:line="276" w:lineRule="auto"/>
        <w:jc w:val="both"/>
      </w:pPr>
      <w:r>
        <w:t xml:space="preserve">Each case was subsequently assigned to its corresponding </w:t>
      </w:r>
      <w:r w:rsidR="00F72FA6">
        <w:t>PEZ</w:t>
      </w:r>
      <w:r>
        <w:t xml:space="preserve"> according to the predefined PEZ partitions.</w:t>
      </w:r>
    </w:p>
    <w:p w14:paraId="52E4E42A" w14:textId="77777777" w:rsidR="00F42FFC" w:rsidRDefault="006A307E" w:rsidP="00080419">
      <w:pPr>
        <w:pStyle w:val="NormalWeb"/>
        <w:spacing w:line="276" w:lineRule="auto"/>
        <w:jc w:val="both"/>
      </w:pPr>
      <w:r>
        <w:t>Table 2 summarizes the resulting posterior statistics and epistemic classifications.</w:t>
      </w:r>
    </w:p>
    <w:p w14:paraId="3211F607" w14:textId="77777777" w:rsidR="00F42FFC" w:rsidRDefault="006A307E" w:rsidP="00080419">
      <w:pPr>
        <w:pStyle w:val="NormalWeb"/>
        <w:spacing w:line="276" w:lineRule="auto"/>
        <w:jc w:val="both"/>
      </w:pPr>
      <w:r>
        <w:t>Several important behaviors emerge. In Scenario A, increasing sample size reduces posterior dispersion, tightening epistemic tolerance. While small and moderate sample sizes classify the operational threshold as Trusted or Lower Plausible, the same fixed threshold becomes Recessive at large sample sizes due to extreme posterior concentration, illustrating how fixed thresholds may become epistemically misaligned as knowledge stabilizes.</w:t>
      </w:r>
    </w:p>
    <w:p w14:paraId="76182B0E" w14:textId="77777777" w:rsidR="00F42FFC" w:rsidRDefault="006A307E" w:rsidP="00080419">
      <w:pPr>
        <w:pStyle w:val="NormalWeb"/>
        <w:spacing w:line="276" w:lineRule="auto"/>
        <w:jc w:val="both"/>
      </w:pPr>
      <w:r>
        <w:lastRenderedPageBreak/>
        <w:t>Scenario B demonstrates that moderate posterior uncertainty can still yield Trusted epistemic classification when the operational value remains well-aligned with posterior belief, even under relatively small samples.</w:t>
      </w:r>
    </w:p>
    <w:p w14:paraId="1838A0FD" w14:textId="77777777" w:rsidR="00F42FFC" w:rsidRDefault="006A307E" w:rsidP="00080419">
      <w:pPr>
        <w:pStyle w:val="NormalWeb"/>
        <w:spacing w:line="276" w:lineRule="auto"/>
        <w:jc w:val="both"/>
      </w:pPr>
      <w:r>
        <w:t>Scenario C highlights epistemic fragility: although posterior means appear numerically high, wide posterior dispersion produces Lower Plausible classifications, revealing hidden instability that would not be apparent from posterior means alone.</w:t>
      </w:r>
    </w:p>
    <w:p w14:paraId="4F84C8C6" w14:textId="77777777" w:rsidR="00F42FFC" w:rsidRDefault="006A307E" w:rsidP="00080419">
      <w:pPr>
        <w:pStyle w:val="NormalWeb"/>
        <w:spacing w:line="276" w:lineRule="auto"/>
        <w:jc w:val="both"/>
      </w:pPr>
      <w:r>
        <w:t>Overall, the simulation confirms that Posterior Epistemic Zoning captures epistemic structure that remains invisible under conventional Bayesian summaries and provides adaptive credibility-aware interpretation of operational decisions.</w:t>
      </w:r>
    </w:p>
    <w:p w14:paraId="34173CFB" w14:textId="77777777" w:rsidR="00F42FFC" w:rsidRDefault="006A307E" w:rsidP="00080419">
      <w:pPr>
        <w:pStyle w:val="NormalWeb"/>
        <w:spacing w:line="276" w:lineRule="auto"/>
      </w:pPr>
      <w:r>
        <w:rPr>
          <w:rStyle w:val="Strong"/>
        </w:rPr>
        <w:t>Table 2. Posterior Statistics and Epistemic Zone Classification Across Simulation Scenarios</w:t>
      </w:r>
    </w:p>
    <w:tbl>
      <w:tblPr>
        <w:tblW w:w="87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8"/>
        <w:gridCol w:w="841"/>
        <w:gridCol w:w="1027"/>
        <w:gridCol w:w="1027"/>
        <w:gridCol w:w="1106"/>
        <w:gridCol w:w="787"/>
        <w:gridCol w:w="1053"/>
        <w:gridCol w:w="1633"/>
      </w:tblGrid>
      <w:tr w:rsidR="00F42FFC" w14:paraId="7821AA3E" w14:textId="77777777" w:rsidTr="00B660CD">
        <w:trPr>
          <w:tblHeader/>
          <w:tblCellSpacing w:w="15" w:type="dxa"/>
        </w:trPr>
        <w:tc>
          <w:tcPr>
            <w:tcW w:w="0" w:type="auto"/>
            <w:shd w:val="clear" w:color="auto" w:fill="FFE599" w:themeFill="accent4" w:themeFillTint="66"/>
            <w:vAlign w:val="center"/>
          </w:tcPr>
          <w:p w14:paraId="7A8B35FB"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Scenario</w:t>
            </w:r>
          </w:p>
        </w:tc>
        <w:tc>
          <w:tcPr>
            <w:tcW w:w="0" w:type="auto"/>
            <w:shd w:val="clear" w:color="auto" w:fill="FFE599" w:themeFill="accent4" w:themeFillTint="66"/>
            <w:vAlign w:val="center"/>
          </w:tcPr>
          <w:p w14:paraId="49A2E55B"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Sample Size (n)</w:t>
            </w:r>
          </w:p>
        </w:tc>
        <w:tc>
          <w:tcPr>
            <w:tcW w:w="0" w:type="auto"/>
            <w:shd w:val="clear" w:color="auto" w:fill="FFE599" w:themeFill="accent4" w:themeFillTint="66"/>
            <w:vAlign w:val="center"/>
          </w:tcPr>
          <w:p w14:paraId="0945A19D"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Posterior Mean (μ)</w:t>
            </w:r>
          </w:p>
        </w:tc>
        <w:tc>
          <w:tcPr>
            <w:tcW w:w="0" w:type="auto"/>
            <w:shd w:val="clear" w:color="auto" w:fill="FFE599" w:themeFill="accent4" w:themeFillTint="66"/>
            <w:vAlign w:val="center"/>
          </w:tcPr>
          <w:p w14:paraId="4F55B76F"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Posterior SD (</w:t>
            </w:r>
            <w:proofErr w:type="spellStart"/>
            <w:r>
              <w:rPr>
                <w:rFonts w:ascii="Times New Roman" w:eastAsia="SimSun" w:hAnsi="Times New Roman"/>
                <w:b/>
                <w:bCs/>
                <w:sz w:val="24"/>
                <w:szCs w:val="24"/>
                <w:lang w:bidi="ar"/>
              </w:rPr>
              <w:t>σ_post</w:t>
            </w:r>
            <w:proofErr w:type="spellEnd"/>
            <w:r>
              <w:rPr>
                <w:rFonts w:ascii="Times New Roman" w:eastAsia="SimSun" w:hAnsi="Times New Roman"/>
                <w:b/>
                <w:bCs/>
                <w:sz w:val="24"/>
                <w:szCs w:val="24"/>
                <w:lang w:bidi="ar"/>
              </w:rPr>
              <w:t>)</w:t>
            </w:r>
          </w:p>
        </w:tc>
        <w:tc>
          <w:tcPr>
            <w:tcW w:w="0" w:type="auto"/>
            <w:shd w:val="clear" w:color="auto" w:fill="FFE599" w:themeFill="accent4" w:themeFillTint="66"/>
            <w:vAlign w:val="center"/>
          </w:tcPr>
          <w:p w14:paraId="266B0E65"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Reference Value (x)</w:t>
            </w:r>
          </w:p>
        </w:tc>
        <w:tc>
          <w:tcPr>
            <w:tcW w:w="0" w:type="auto"/>
            <w:shd w:val="clear" w:color="auto" w:fill="FFE599" w:themeFill="accent4" w:themeFillTint="66"/>
            <w:vAlign w:val="center"/>
          </w:tcPr>
          <w:p w14:paraId="7413EFD6" w14:textId="77777777" w:rsidR="00F42FFC" w:rsidRDefault="006A307E" w:rsidP="00080419">
            <w:pPr>
              <w:spacing w:line="276" w:lineRule="auto"/>
              <w:jc w:val="center"/>
              <w:rPr>
                <w:rFonts w:ascii="Times New Roman" w:hAnsi="Times New Roman"/>
                <w:b/>
                <w:bCs/>
                <w:sz w:val="24"/>
                <w:szCs w:val="24"/>
              </w:rPr>
            </w:pPr>
            <w:proofErr w:type="spellStart"/>
            <w:r>
              <w:rPr>
                <w:rFonts w:ascii="Times New Roman" w:eastAsia="SimSun" w:hAnsi="Times New Roman"/>
                <w:b/>
                <w:bCs/>
                <w:sz w:val="24"/>
                <w:szCs w:val="24"/>
                <w:lang w:bidi="ar"/>
              </w:rPr>
              <w:t>Z_post</w:t>
            </w:r>
            <w:proofErr w:type="spellEnd"/>
          </w:p>
        </w:tc>
        <w:tc>
          <w:tcPr>
            <w:tcW w:w="0" w:type="auto"/>
            <w:shd w:val="clear" w:color="auto" w:fill="FFE599" w:themeFill="accent4" w:themeFillTint="66"/>
            <w:vAlign w:val="center"/>
          </w:tcPr>
          <w:p w14:paraId="3BE4D8F5" w14:textId="77777777" w:rsidR="00F42FFC" w:rsidRPr="00F72FA6" w:rsidRDefault="00F72FA6" w:rsidP="00080419">
            <w:pPr>
              <w:spacing w:line="276" w:lineRule="auto"/>
              <w:jc w:val="center"/>
              <w:rPr>
                <w:rFonts w:asciiTheme="majorBidi" w:hAnsiTheme="majorBidi" w:cstheme="majorBidi"/>
                <w:b/>
                <w:bCs/>
                <w:sz w:val="24"/>
                <w:szCs w:val="24"/>
              </w:rPr>
            </w:pPr>
            <w:r w:rsidRPr="00F72FA6">
              <w:rPr>
                <w:rFonts w:asciiTheme="majorBidi" w:hAnsiTheme="majorBidi" w:cstheme="majorBidi"/>
                <w:b/>
                <w:bCs/>
                <w:sz w:val="24"/>
                <w:szCs w:val="24"/>
              </w:rPr>
              <w:t>PEZ</w:t>
            </w:r>
          </w:p>
        </w:tc>
        <w:tc>
          <w:tcPr>
            <w:tcW w:w="1763" w:type="dxa"/>
            <w:shd w:val="clear" w:color="auto" w:fill="FFE599" w:themeFill="accent4" w:themeFillTint="66"/>
            <w:vAlign w:val="center"/>
          </w:tcPr>
          <w:p w14:paraId="5563FE5A" w14:textId="77777777" w:rsidR="00F42FFC" w:rsidRPr="00F72FA6" w:rsidRDefault="006A307E" w:rsidP="00080419">
            <w:pPr>
              <w:spacing w:line="276" w:lineRule="auto"/>
              <w:jc w:val="center"/>
              <w:rPr>
                <w:rFonts w:asciiTheme="majorBidi" w:hAnsiTheme="majorBidi" w:cstheme="majorBidi"/>
                <w:b/>
                <w:bCs/>
                <w:sz w:val="24"/>
                <w:szCs w:val="24"/>
              </w:rPr>
            </w:pPr>
            <w:r w:rsidRPr="00F72FA6">
              <w:rPr>
                <w:rFonts w:asciiTheme="majorBidi" w:eastAsia="SimSun" w:hAnsiTheme="majorBidi" w:cstheme="majorBidi"/>
                <w:b/>
                <w:bCs/>
                <w:sz w:val="24"/>
                <w:szCs w:val="24"/>
                <w:lang w:bidi="ar"/>
              </w:rPr>
              <w:t>Interpretation</w:t>
            </w:r>
          </w:p>
        </w:tc>
      </w:tr>
      <w:tr w:rsidR="00F42FFC" w14:paraId="5A4AF37E" w14:textId="77777777" w:rsidTr="00B660CD">
        <w:trPr>
          <w:tblCellSpacing w:w="15" w:type="dxa"/>
        </w:trPr>
        <w:tc>
          <w:tcPr>
            <w:tcW w:w="0" w:type="auto"/>
            <w:vAlign w:val="center"/>
          </w:tcPr>
          <w:p w14:paraId="3E8D0DC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 – Stable Knowledge</w:t>
            </w:r>
          </w:p>
        </w:tc>
        <w:tc>
          <w:tcPr>
            <w:tcW w:w="0" w:type="auto"/>
            <w:vAlign w:val="center"/>
          </w:tcPr>
          <w:p w14:paraId="44564B8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50</w:t>
            </w:r>
          </w:p>
        </w:tc>
        <w:tc>
          <w:tcPr>
            <w:tcW w:w="0" w:type="auto"/>
            <w:vAlign w:val="center"/>
          </w:tcPr>
          <w:p w14:paraId="3D9B8741"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0.74</w:t>
            </w:r>
          </w:p>
        </w:tc>
        <w:tc>
          <w:tcPr>
            <w:tcW w:w="0" w:type="auto"/>
            <w:vAlign w:val="center"/>
          </w:tcPr>
          <w:p w14:paraId="12A097F7"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0.082</w:t>
            </w:r>
          </w:p>
        </w:tc>
        <w:tc>
          <w:tcPr>
            <w:tcW w:w="0" w:type="auto"/>
            <w:vAlign w:val="center"/>
          </w:tcPr>
          <w:p w14:paraId="35F29FEB"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37EDD543"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−0.49</w:t>
            </w:r>
          </w:p>
        </w:tc>
        <w:tc>
          <w:tcPr>
            <w:tcW w:w="0" w:type="auto"/>
            <w:vAlign w:val="center"/>
          </w:tcPr>
          <w:p w14:paraId="3A1B2B7B"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1763" w:type="dxa"/>
            <w:vAlign w:val="center"/>
          </w:tcPr>
          <w:p w14:paraId="3F5FD3B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Stable inference despite moderate sample size</w:t>
            </w:r>
          </w:p>
        </w:tc>
      </w:tr>
      <w:tr w:rsidR="00F42FFC" w14:paraId="385C890C" w14:textId="77777777" w:rsidTr="00B660CD">
        <w:trPr>
          <w:tblCellSpacing w:w="15" w:type="dxa"/>
        </w:trPr>
        <w:tc>
          <w:tcPr>
            <w:tcW w:w="0" w:type="auto"/>
            <w:vAlign w:val="center"/>
          </w:tcPr>
          <w:p w14:paraId="086C0FF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 – Stable Knowledge</w:t>
            </w:r>
          </w:p>
        </w:tc>
        <w:tc>
          <w:tcPr>
            <w:tcW w:w="0" w:type="auto"/>
            <w:vAlign w:val="center"/>
          </w:tcPr>
          <w:p w14:paraId="34ACBBB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200</w:t>
            </w:r>
          </w:p>
        </w:tc>
        <w:tc>
          <w:tcPr>
            <w:tcW w:w="0" w:type="auto"/>
            <w:vAlign w:val="center"/>
          </w:tcPr>
          <w:p w14:paraId="61A923A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0.75</w:t>
            </w:r>
          </w:p>
        </w:tc>
        <w:tc>
          <w:tcPr>
            <w:tcW w:w="0" w:type="auto"/>
            <w:vAlign w:val="center"/>
          </w:tcPr>
          <w:p w14:paraId="30CAB4C3"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0.041</w:t>
            </w:r>
          </w:p>
        </w:tc>
        <w:tc>
          <w:tcPr>
            <w:tcW w:w="0" w:type="auto"/>
            <w:vAlign w:val="center"/>
          </w:tcPr>
          <w:p w14:paraId="6B855B8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761631B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−1.22</w:t>
            </w:r>
          </w:p>
        </w:tc>
        <w:tc>
          <w:tcPr>
            <w:tcW w:w="0" w:type="auto"/>
            <w:vAlign w:val="center"/>
          </w:tcPr>
          <w:p w14:paraId="4C7D7512"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Lower Plausible</w:t>
            </w:r>
          </w:p>
        </w:tc>
        <w:tc>
          <w:tcPr>
            <w:tcW w:w="1763" w:type="dxa"/>
            <w:vAlign w:val="center"/>
          </w:tcPr>
          <w:p w14:paraId="040113A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Increasing certainty but still conservative</w:t>
            </w:r>
          </w:p>
        </w:tc>
      </w:tr>
      <w:tr w:rsidR="00F42FFC" w14:paraId="3377BDE0" w14:textId="77777777" w:rsidTr="00B660CD">
        <w:trPr>
          <w:tblCellSpacing w:w="15" w:type="dxa"/>
        </w:trPr>
        <w:tc>
          <w:tcPr>
            <w:tcW w:w="0" w:type="auto"/>
            <w:vAlign w:val="center"/>
          </w:tcPr>
          <w:p w14:paraId="510269D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 – Stable Knowledge</w:t>
            </w:r>
          </w:p>
        </w:tc>
        <w:tc>
          <w:tcPr>
            <w:tcW w:w="0" w:type="auto"/>
            <w:vAlign w:val="center"/>
          </w:tcPr>
          <w:p w14:paraId="64A3978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1000</w:t>
            </w:r>
          </w:p>
        </w:tc>
        <w:tc>
          <w:tcPr>
            <w:tcW w:w="0" w:type="auto"/>
            <w:vAlign w:val="center"/>
          </w:tcPr>
          <w:p w14:paraId="72F8ECE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0.76</w:t>
            </w:r>
          </w:p>
        </w:tc>
        <w:tc>
          <w:tcPr>
            <w:tcW w:w="0" w:type="auto"/>
            <w:vAlign w:val="center"/>
          </w:tcPr>
          <w:p w14:paraId="52A487F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0.015</w:t>
            </w:r>
          </w:p>
        </w:tc>
        <w:tc>
          <w:tcPr>
            <w:tcW w:w="0" w:type="auto"/>
            <w:vAlign w:val="center"/>
          </w:tcPr>
          <w:p w14:paraId="0D0033D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5BD1B2A5"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−4.00</w:t>
            </w:r>
          </w:p>
        </w:tc>
        <w:tc>
          <w:tcPr>
            <w:tcW w:w="0" w:type="auto"/>
            <w:vAlign w:val="center"/>
          </w:tcPr>
          <w:p w14:paraId="16BF413B"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Recessive</w:t>
            </w:r>
          </w:p>
        </w:tc>
        <w:tc>
          <w:tcPr>
            <w:tcW w:w="1763" w:type="dxa"/>
            <w:vAlign w:val="center"/>
          </w:tcPr>
          <w:p w14:paraId="42362D61"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Threshold too conservative relative to posterior concentration</w:t>
            </w:r>
          </w:p>
        </w:tc>
      </w:tr>
      <w:tr w:rsidR="00F42FFC" w14:paraId="5BB835DA" w14:textId="77777777" w:rsidTr="00B660CD">
        <w:trPr>
          <w:tblCellSpacing w:w="15" w:type="dxa"/>
        </w:trPr>
        <w:tc>
          <w:tcPr>
            <w:tcW w:w="0" w:type="auto"/>
            <w:vAlign w:val="center"/>
          </w:tcPr>
          <w:p w14:paraId="13BC19D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B – Moderate Uncertainty</w:t>
            </w:r>
          </w:p>
        </w:tc>
        <w:tc>
          <w:tcPr>
            <w:tcW w:w="0" w:type="auto"/>
            <w:vAlign w:val="center"/>
          </w:tcPr>
          <w:p w14:paraId="3237E9F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50</w:t>
            </w:r>
          </w:p>
        </w:tc>
        <w:tc>
          <w:tcPr>
            <w:tcW w:w="0" w:type="auto"/>
            <w:vAlign w:val="center"/>
          </w:tcPr>
          <w:p w14:paraId="26170CDC"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0.71</w:t>
            </w:r>
          </w:p>
        </w:tc>
        <w:tc>
          <w:tcPr>
            <w:tcW w:w="0" w:type="auto"/>
            <w:vAlign w:val="center"/>
          </w:tcPr>
          <w:p w14:paraId="5D5517E1"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0.115</w:t>
            </w:r>
          </w:p>
        </w:tc>
        <w:tc>
          <w:tcPr>
            <w:tcW w:w="0" w:type="auto"/>
            <w:vAlign w:val="center"/>
          </w:tcPr>
          <w:p w14:paraId="24820947"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2BAAA9E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−0.09</w:t>
            </w:r>
          </w:p>
        </w:tc>
        <w:tc>
          <w:tcPr>
            <w:tcW w:w="0" w:type="auto"/>
            <w:vAlign w:val="center"/>
          </w:tcPr>
          <w:p w14:paraId="4D44FD33"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1763" w:type="dxa"/>
            <w:vAlign w:val="center"/>
          </w:tcPr>
          <w:p w14:paraId="6AB2782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Acceptable but uncertainty remains wide</w:t>
            </w:r>
          </w:p>
        </w:tc>
      </w:tr>
      <w:tr w:rsidR="00F42FFC" w14:paraId="56ABCBC4" w14:textId="77777777" w:rsidTr="00B660CD">
        <w:trPr>
          <w:tblCellSpacing w:w="15" w:type="dxa"/>
        </w:trPr>
        <w:tc>
          <w:tcPr>
            <w:tcW w:w="0" w:type="auto"/>
            <w:vAlign w:val="center"/>
          </w:tcPr>
          <w:p w14:paraId="44F6C33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B – Moderate Uncertainty</w:t>
            </w:r>
          </w:p>
        </w:tc>
        <w:tc>
          <w:tcPr>
            <w:tcW w:w="0" w:type="auto"/>
            <w:vAlign w:val="center"/>
          </w:tcPr>
          <w:p w14:paraId="49AADDDB"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200</w:t>
            </w:r>
          </w:p>
        </w:tc>
        <w:tc>
          <w:tcPr>
            <w:tcW w:w="0" w:type="auto"/>
            <w:vAlign w:val="center"/>
          </w:tcPr>
          <w:p w14:paraId="3B0DF71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0.72</w:t>
            </w:r>
          </w:p>
        </w:tc>
        <w:tc>
          <w:tcPr>
            <w:tcW w:w="0" w:type="auto"/>
            <w:vAlign w:val="center"/>
          </w:tcPr>
          <w:p w14:paraId="21CD3A13"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0.062</w:t>
            </w:r>
          </w:p>
        </w:tc>
        <w:tc>
          <w:tcPr>
            <w:tcW w:w="0" w:type="auto"/>
            <w:vAlign w:val="center"/>
          </w:tcPr>
          <w:p w14:paraId="5939A30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132FF8E5"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−0.32</w:t>
            </w:r>
          </w:p>
        </w:tc>
        <w:tc>
          <w:tcPr>
            <w:tcW w:w="0" w:type="auto"/>
            <w:vAlign w:val="center"/>
          </w:tcPr>
          <w:p w14:paraId="326C2942"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1763" w:type="dxa"/>
            <w:vAlign w:val="center"/>
          </w:tcPr>
          <w:p w14:paraId="7A77881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Improved stability with increased data</w:t>
            </w:r>
          </w:p>
        </w:tc>
      </w:tr>
      <w:tr w:rsidR="00F42FFC" w14:paraId="281B3C2B" w14:textId="77777777" w:rsidTr="00B660CD">
        <w:trPr>
          <w:tblCellSpacing w:w="15" w:type="dxa"/>
        </w:trPr>
        <w:tc>
          <w:tcPr>
            <w:tcW w:w="0" w:type="auto"/>
            <w:vAlign w:val="center"/>
          </w:tcPr>
          <w:p w14:paraId="17B50515"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C – Fragile / Misleading</w:t>
            </w:r>
          </w:p>
        </w:tc>
        <w:tc>
          <w:tcPr>
            <w:tcW w:w="0" w:type="auto"/>
            <w:vAlign w:val="center"/>
          </w:tcPr>
          <w:p w14:paraId="1690B92B"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50</w:t>
            </w:r>
          </w:p>
        </w:tc>
        <w:tc>
          <w:tcPr>
            <w:tcW w:w="0" w:type="auto"/>
            <w:vAlign w:val="center"/>
          </w:tcPr>
          <w:p w14:paraId="491C657C"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0.91</w:t>
            </w:r>
          </w:p>
        </w:tc>
        <w:tc>
          <w:tcPr>
            <w:tcW w:w="0" w:type="auto"/>
            <w:vAlign w:val="center"/>
          </w:tcPr>
          <w:p w14:paraId="616E2F1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0.145</w:t>
            </w:r>
          </w:p>
        </w:tc>
        <w:tc>
          <w:tcPr>
            <w:tcW w:w="0" w:type="auto"/>
            <w:vAlign w:val="center"/>
          </w:tcPr>
          <w:p w14:paraId="5B119EE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4E0924E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−1.45</w:t>
            </w:r>
          </w:p>
        </w:tc>
        <w:tc>
          <w:tcPr>
            <w:tcW w:w="0" w:type="auto"/>
            <w:vAlign w:val="center"/>
          </w:tcPr>
          <w:p w14:paraId="4FD9CC32"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Lower Plausible</w:t>
            </w:r>
          </w:p>
        </w:tc>
        <w:tc>
          <w:tcPr>
            <w:tcW w:w="1763" w:type="dxa"/>
            <w:vAlign w:val="center"/>
          </w:tcPr>
          <w:p w14:paraId="717B73E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High mean but epistemically fragile</w:t>
            </w:r>
          </w:p>
        </w:tc>
      </w:tr>
      <w:tr w:rsidR="00F42FFC" w14:paraId="2D660DC7" w14:textId="77777777" w:rsidTr="00B660CD">
        <w:trPr>
          <w:tblCellSpacing w:w="15" w:type="dxa"/>
        </w:trPr>
        <w:tc>
          <w:tcPr>
            <w:tcW w:w="0" w:type="auto"/>
            <w:vAlign w:val="center"/>
          </w:tcPr>
          <w:p w14:paraId="37DFF4D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lastRenderedPageBreak/>
              <w:t>C – Fragile / Misleading</w:t>
            </w:r>
          </w:p>
        </w:tc>
        <w:tc>
          <w:tcPr>
            <w:tcW w:w="0" w:type="auto"/>
            <w:vAlign w:val="center"/>
          </w:tcPr>
          <w:p w14:paraId="25C0D74A"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200</w:t>
            </w:r>
          </w:p>
        </w:tc>
        <w:tc>
          <w:tcPr>
            <w:tcW w:w="0" w:type="auto"/>
            <w:vAlign w:val="center"/>
          </w:tcPr>
          <w:p w14:paraId="720FFD0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0.88</w:t>
            </w:r>
          </w:p>
        </w:tc>
        <w:tc>
          <w:tcPr>
            <w:tcW w:w="0" w:type="auto"/>
            <w:vAlign w:val="center"/>
          </w:tcPr>
          <w:p w14:paraId="6A6B233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0.098</w:t>
            </w:r>
          </w:p>
        </w:tc>
        <w:tc>
          <w:tcPr>
            <w:tcW w:w="0" w:type="auto"/>
            <w:vAlign w:val="center"/>
          </w:tcPr>
          <w:p w14:paraId="2B3343B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68B9563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−1.84</w:t>
            </w:r>
          </w:p>
        </w:tc>
        <w:tc>
          <w:tcPr>
            <w:tcW w:w="0" w:type="auto"/>
            <w:vAlign w:val="center"/>
          </w:tcPr>
          <w:p w14:paraId="292D3F31"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Lower Plausible</w:t>
            </w:r>
          </w:p>
        </w:tc>
        <w:tc>
          <w:tcPr>
            <w:tcW w:w="1763" w:type="dxa"/>
            <w:vAlign w:val="center"/>
          </w:tcPr>
          <w:p w14:paraId="47DE120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Apparent confidence remains epistemically weak</w:t>
            </w:r>
          </w:p>
        </w:tc>
      </w:tr>
    </w:tbl>
    <w:p w14:paraId="3F2B5B77" w14:textId="77777777" w:rsidR="00941482" w:rsidRPr="00B660CD" w:rsidRDefault="006A307E" w:rsidP="00B660CD">
      <w:pPr>
        <w:pStyle w:val="Heading1"/>
        <w:spacing w:line="276" w:lineRule="auto"/>
        <w:jc w:val="both"/>
        <w:rPr>
          <w:rFonts w:ascii="Times New Roman" w:hAnsi="Times New Roman" w:hint="default"/>
          <w:b w:val="0"/>
          <w:bCs w:val="0"/>
          <w:sz w:val="24"/>
          <w:szCs w:val="24"/>
        </w:rPr>
      </w:pPr>
      <w:r>
        <w:rPr>
          <w:rFonts w:ascii="Times New Roman" w:hAnsi="Times New Roman" w:hint="default"/>
          <w:sz w:val="24"/>
          <w:szCs w:val="24"/>
        </w:rPr>
        <w:t>5.Real-World Demonstration: Breast Cancer Risk Prediction</w:t>
      </w:r>
    </w:p>
    <w:p w14:paraId="7D60CBB4" w14:textId="77777777" w:rsidR="00F42FFC" w:rsidRPr="00D276E7" w:rsidRDefault="006A307E" w:rsidP="00970356">
      <w:pPr>
        <w:pStyle w:val="Heading1"/>
        <w:spacing w:line="276" w:lineRule="auto"/>
        <w:jc w:val="both"/>
        <w:rPr>
          <w:rFonts w:ascii="Times New Roman" w:hAnsi="Times New Roman" w:hint="default"/>
          <w:b w:val="0"/>
          <w:bCs w:val="0"/>
          <w:sz w:val="24"/>
          <w:szCs w:val="24"/>
        </w:rPr>
      </w:pPr>
      <w:r w:rsidRPr="00C07359">
        <w:rPr>
          <w:rFonts w:asciiTheme="majorBidi" w:hAnsiTheme="majorBidi" w:cstheme="majorBidi" w:hint="default"/>
          <w:b w:val="0"/>
          <w:bCs w:val="0"/>
          <w:sz w:val="24"/>
          <w:szCs w:val="24"/>
        </w:rPr>
        <w:t xml:space="preserve">To demonstrate the practical applicability and interpretability of </w:t>
      </w:r>
      <w:proofErr w:type="gramStart"/>
      <w:r w:rsidRPr="00C07359">
        <w:rPr>
          <w:rFonts w:asciiTheme="majorBidi" w:hAnsiTheme="majorBidi" w:cstheme="majorBidi" w:hint="default"/>
          <w:b w:val="0"/>
          <w:bCs w:val="0"/>
          <w:sz w:val="24"/>
          <w:szCs w:val="24"/>
        </w:rPr>
        <w:t>BEZ</w:t>
      </w:r>
      <w:r w:rsidR="00970356" w:rsidRPr="00C07359">
        <w:rPr>
          <w:rFonts w:asciiTheme="majorBidi" w:hAnsiTheme="majorBidi" w:cstheme="majorBidi" w:hint="default"/>
          <w:b w:val="0"/>
          <w:bCs w:val="0"/>
          <w:sz w:val="24"/>
          <w:szCs w:val="24"/>
        </w:rPr>
        <w:t xml:space="preserve"> </w:t>
      </w:r>
      <w:r w:rsidRPr="00C07359">
        <w:rPr>
          <w:rFonts w:asciiTheme="majorBidi" w:hAnsiTheme="majorBidi" w:cstheme="majorBidi" w:hint="default"/>
          <w:b w:val="0"/>
          <w:bCs w:val="0"/>
          <w:sz w:val="24"/>
          <w:szCs w:val="24"/>
        </w:rPr>
        <w:t>,</w:t>
      </w:r>
      <w:proofErr w:type="gramEnd"/>
      <w:r w:rsidRPr="00C07359">
        <w:rPr>
          <w:rFonts w:asciiTheme="majorBidi" w:hAnsiTheme="majorBidi" w:cstheme="majorBidi" w:hint="default"/>
          <w:b w:val="0"/>
          <w:bCs w:val="0"/>
          <w:sz w:val="24"/>
          <w:szCs w:val="24"/>
        </w:rPr>
        <w:t xml:space="preserve"> the framework is applied to a publicly available real-world dataset: the Breast Cancer Wisconsin (Diagnostic) dataset originally compiled by Wolberg, Street, and Mangasarian and distributed via the UCI Machine Learning Repository </w:t>
      </w:r>
      <w:r w:rsidR="00A478E1" w:rsidRPr="00C07359">
        <w:rPr>
          <w:rFonts w:asciiTheme="majorBidi" w:hAnsiTheme="majorBidi" w:cstheme="majorBidi" w:hint="default"/>
          <w:b w:val="0"/>
          <w:bCs w:val="0"/>
          <w:sz w:val="24"/>
          <w:szCs w:val="24"/>
        </w:rPr>
        <w:t>(Wolberg et al., 1995).</w:t>
      </w:r>
      <w:r w:rsidR="00C07359" w:rsidRPr="00C07359">
        <w:rPr>
          <w:rFonts w:asciiTheme="majorBidi" w:hAnsiTheme="majorBidi" w:cstheme="majorBidi" w:hint="default"/>
          <w:b w:val="0"/>
          <w:bCs w:val="0"/>
          <w:sz w:val="24"/>
          <w:szCs w:val="24"/>
        </w:rPr>
        <w:t xml:space="preserve"> The dataset is used solely as an illustrative example to demonstrate threshold evaluation under posterior uncertainty rather than to derive clinical conclusions. </w:t>
      </w:r>
      <w:r w:rsidRPr="00C07359">
        <w:rPr>
          <w:rFonts w:asciiTheme="majorBidi" w:hAnsiTheme="majorBidi" w:cstheme="majorBidi" w:hint="default"/>
          <w:b w:val="0"/>
          <w:bCs w:val="0"/>
          <w:sz w:val="24"/>
          <w:szCs w:val="24"/>
        </w:rPr>
        <w:t>The dataset contains 569 patient samples with</w:t>
      </w:r>
      <w:r w:rsidRPr="00A478E1">
        <w:rPr>
          <w:rFonts w:asciiTheme="majorBidi" w:hAnsiTheme="majorBidi" w:cstheme="majorBidi" w:hint="default"/>
          <w:b w:val="0"/>
          <w:bCs w:val="0"/>
          <w:sz w:val="24"/>
          <w:szCs w:val="24"/>
        </w:rPr>
        <w:t xml:space="preserve"> 30 quantitative cytological features extracted from digitized fine-needle aspiration biopsy images and a binary clinical outcome indicating the presence or absence of malignancy. The dataset is widely used as a benchmark in medical machine learning research and enables reproducible</w:t>
      </w:r>
      <w:r>
        <w:rPr>
          <w:rFonts w:ascii="Times New Roman" w:hAnsi="Times New Roman" w:hint="default"/>
          <w:b w:val="0"/>
          <w:bCs w:val="0"/>
          <w:sz w:val="24"/>
          <w:szCs w:val="24"/>
        </w:rPr>
        <w:t xml:space="preserve"> methodological evaluation.</w:t>
      </w:r>
      <w:r>
        <w:rPr>
          <w:rFonts w:ascii="Times New Roman" w:hAnsi="Times New Roman" w:hint="default"/>
          <w:b w:val="0"/>
          <w:bCs w:val="0"/>
          <w:sz w:val="24"/>
          <w:szCs w:val="24"/>
        </w:rPr>
        <w:br/>
        <w:t>A Bayesian logistic regression model was fitted to estimate the posterior probability of malignancy for individual patients. Weakly informative Gaussian priors were assigned to regression coefficients to avoid excessive regularization while maintaining numerical stability. Posterior inference was performed using standard Bayesian sampling, yielding posterior samples of the predicted malignancy probability θ.</w:t>
      </w:r>
      <w:r>
        <w:rPr>
          <w:rFonts w:ascii="Times New Roman" w:hAnsi="Times New Roman" w:hint="default"/>
          <w:b w:val="0"/>
          <w:bCs w:val="0"/>
          <w:sz w:val="24"/>
          <w:szCs w:val="24"/>
        </w:rPr>
        <w:br/>
        <w:t>For a representative test case, posterior inference produced the following summary statistics:</w:t>
      </w:r>
      <w:r>
        <w:rPr>
          <w:rFonts w:ascii="Times New Roman" w:hAnsi="Times New Roman" w:hint="default"/>
          <w:b w:val="0"/>
          <w:bCs w:val="0"/>
          <w:sz w:val="24"/>
          <w:szCs w:val="24"/>
        </w:rPr>
        <w:br/>
        <w:t>μ = 0.72</w:t>
      </w:r>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xml:space="preserve"> = 0.08</w:t>
      </w:r>
      <w:r>
        <w:rPr>
          <w:rFonts w:ascii="Times New Roman" w:hAnsi="Times New Roman" w:hint="default"/>
          <w:b w:val="0"/>
          <w:bCs w:val="0"/>
          <w:sz w:val="24"/>
          <w:szCs w:val="24"/>
        </w:rPr>
        <w:br/>
        <w:t xml:space="preserve">where μ denotes the posterior mean malignancy probability and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xml:space="preserve"> represents posterior epistemic dispersion.</w:t>
      </w:r>
      <w:r>
        <w:rPr>
          <w:rFonts w:ascii="Times New Roman" w:hAnsi="Times New Roman" w:hint="default"/>
          <w:b w:val="0"/>
          <w:bCs w:val="0"/>
          <w:sz w:val="24"/>
          <w:szCs w:val="24"/>
        </w:rPr>
        <w:br/>
        <w:t>Suppose a clinical policy defines an operational intervention threshold:</w:t>
      </w:r>
      <w:r>
        <w:rPr>
          <w:rFonts w:ascii="Times New Roman" w:hAnsi="Times New Roman" w:hint="default"/>
          <w:b w:val="0"/>
          <w:bCs w:val="0"/>
          <w:sz w:val="24"/>
          <w:szCs w:val="24"/>
        </w:rPr>
        <w:br/>
        <w:t>x = 0.85</w:t>
      </w:r>
      <w:r>
        <w:rPr>
          <w:rFonts w:ascii="Times New Roman" w:hAnsi="Times New Roman" w:hint="default"/>
          <w:b w:val="0"/>
          <w:bCs w:val="0"/>
          <w:sz w:val="24"/>
          <w:szCs w:val="24"/>
        </w:rPr>
        <w:br/>
        <w:t>meaning that aggressive intervention is recommended if predicted malignancy exceeds 85%.</w:t>
      </w:r>
      <w:r>
        <w:rPr>
          <w:rFonts w:ascii="Times New Roman" w:hAnsi="Times New Roman" w:hint="default"/>
          <w:b w:val="0"/>
          <w:bCs w:val="0"/>
          <w:sz w:val="24"/>
          <w:szCs w:val="24"/>
        </w:rPr>
        <w:br/>
        <w:t>Using the PEZ formulation:</w:t>
      </w:r>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Z_post</w:t>
      </w:r>
      <w:proofErr w:type="spellEnd"/>
      <w:r>
        <w:rPr>
          <w:rFonts w:ascii="Times New Roman" w:hAnsi="Times New Roman" w:hint="default"/>
          <w:b w:val="0"/>
          <w:bCs w:val="0"/>
          <w:sz w:val="24"/>
          <w:szCs w:val="24"/>
        </w:rPr>
        <w:t xml:space="preserve">(x) = (x − μ) /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Z_post</w:t>
      </w:r>
      <w:proofErr w:type="spellEnd"/>
      <w:r>
        <w:rPr>
          <w:rFonts w:ascii="Times New Roman" w:hAnsi="Times New Roman" w:hint="default"/>
          <w:b w:val="0"/>
          <w:bCs w:val="0"/>
          <w:sz w:val="24"/>
          <w:szCs w:val="24"/>
        </w:rPr>
        <w:t>(x) = (0.85 − 0.72) / 0.08 = 1.625</w:t>
      </w:r>
      <w:r>
        <w:rPr>
          <w:rFonts w:ascii="Times New Roman" w:hAnsi="Times New Roman" w:hint="default"/>
          <w:b w:val="0"/>
          <w:bCs w:val="0"/>
          <w:sz w:val="24"/>
          <w:szCs w:val="24"/>
        </w:rPr>
        <w:br/>
        <w:t xml:space="preserve">This value falls within the Upper Plausible Zone. Although the posterior mean </w:t>
      </w:r>
      <w:r>
        <w:rPr>
          <w:rFonts w:ascii="Times New Roman" w:hAnsi="Times New Roman" w:hint="default"/>
          <w:b w:val="0"/>
          <w:bCs w:val="0"/>
          <w:sz w:val="24"/>
          <w:szCs w:val="24"/>
        </w:rPr>
        <w:lastRenderedPageBreak/>
        <w:t>indicates a high malignancy probability, the operational threshold lies outside the Trusted Zone. The decision therefore carries conditional epistemic credibility and may warrant additional diagnostics, confirmation testing, or cautious deployment rather than full automation.</w:t>
      </w:r>
      <w:r>
        <w:rPr>
          <w:rFonts w:ascii="Times New Roman" w:hAnsi="Times New Roman" w:hint="default"/>
          <w:b w:val="0"/>
          <w:bCs w:val="0"/>
          <w:sz w:val="24"/>
          <w:szCs w:val="24"/>
        </w:rPr>
        <w:br/>
        <w:t>To illustrate epistemic risk escalation, consider a more aggressive institutional threshold:</w:t>
      </w:r>
      <w:r>
        <w:rPr>
          <w:rFonts w:ascii="Times New Roman" w:hAnsi="Times New Roman" w:hint="default"/>
          <w:b w:val="0"/>
          <w:bCs w:val="0"/>
          <w:sz w:val="24"/>
          <w:szCs w:val="24"/>
        </w:rPr>
        <w:br/>
        <w:t>x = 0.95</w:t>
      </w:r>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Z_post</w:t>
      </w:r>
      <w:proofErr w:type="spellEnd"/>
      <w:r>
        <w:rPr>
          <w:rFonts w:ascii="Times New Roman" w:hAnsi="Times New Roman" w:hint="default"/>
          <w:b w:val="0"/>
          <w:bCs w:val="0"/>
          <w:sz w:val="24"/>
          <w:szCs w:val="24"/>
        </w:rPr>
        <w:t>(x) = (0.95 − 0.72) / 0.08 = 2.875</w:t>
      </w:r>
      <w:r>
        <w:rPr>
          <w:rFonts w:ascii="Times New Roman" w:hAnsi="Times New Roman" w:hint="default"/>
          <w:b w:val="0"/>
          <w:bCs w:val="0"/>
          <w:sz w:val="24"/>
          <w:szCs w:val="24"/>
        </w:rPr>
        <w:br/>
        <w:t>This value lies in the Inflated Zone, indicating overconfident extrapolation beyond posterior support. While a purely Bayesian summary might still report a high posterior mean, PEZ reveals that the decision threshold is epistemically unsafe and vulnerable to error amplification.</w:t>
      </w:r>
      <w:r>
        <w:rPr>
          <w:rFonts w:ascii="Times New Roman" w:hAnsi="Times New Roman" w:hint="default"/>
          <w:b w:val="0"/>
          <w:bCs w:val="0"/>
          <w:sz w:val="24"/>
          <w:szCs w:val="24"/>
        </w:rPr>
        <w:br/>
        <w:t>Conversely, the Trusted operational range derived from PEZ is:</w:t>
      </w:r>
      <w:r>
        <w:rPr>
          <w:rFonts w:ascii="Times New Roman" w:hAnsi="Times New Roman" w:hint="default"/>
          <w:b w:val="0"/>
          <w:bCs w:val="0"/>
          <w:sz w:val="24"/>
          <w:szCs w:val="24"/>
        </w:rPr>
        <w:br/>
        <w:t xml:space="preserve">x ∈ [μ −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xml:space="preserve">, μ +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 [0.64, 0.80]</w:t>
      </w:r>
      <w:r>
        <w:rPr>
          <w:rFonts w:ascii="Times New Roman" w:hAnsi="Times New Roman" w:hint="default"/>
          <w:b w:val="0"/>
          <w:bCs w:val="0"/>
          <w:sz w:val="24"/>
          <w:szCs w:val="24"/>
        </w:rPr>
        <w:br/>
        <w:t>Thresholds selected within this interval maintain high epistemic credibility and decision stability.</w:t>
      </w:r>
      <w:r>
        <w:rPr>
          <w:rFonts w:ascii="Times New Roman" w:hAnsi="Times New Roman" w:hint="default"/>
          <w:b w:val="0"/>
          <w:bCs w:val="0"/>
          <w:sz w:val="24"/>
          <w:szCs w:val="24"/>
        </w:rPr>
        <w:br/>
        <w:t>This example demonstrates how PEZ transforms Bayesian posterior summaries into explicit epistemic decision guidance. While classical Bayesian inference reports probabilistic belief levels, PEZ contextualizes operational thresholds relative to posterior uncertainty, enabling detection of fragile or misleading confidence regimes. The framework thereby enhances interpretability, safety, and transparency in high-stakes predictive decision systems.</w:t>
      </w:r>
    </w:p>
    <w:p w14:paraId="0573B2AD" w14:textId="77777777" w:rsidR="00F42FFC" w:rsidRDefault="006A307E" w:rsidP="00080419">
      <w:pPr>
        <w:pStyle w:val="Heading1"/>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6. Evaluating Diagnostic Utility Across Posterior Epistemic Zones</w:t>
      </w:r>
    </w:p>
    <w:p w14:paraId="429A5B1C" w14:textId="77777777" w:rsidR="00F42FFC" w:rsidRDefault="006A307E" w:rsidP="00F72FA6">
      <w:pPr>
        <w:pStyle w:val="NormalWeb"/>
        <w:spacing w:line="276" w:lineRule="auto"/>
        <w:jc w:val="both"/>
      </w:pPr>
      <w:r>
        <w:t xml:space="preserve">To illustrate how </w:t>
      </w:r>
      <w:r w:rsidR="00F72FA6">
        <w:t>BEZ</w:t>
      </w:r>
      <w:r>
        <w:t xml:space="preserve"> supports clinically meaningful evaluation beyond posterior probabilities, the breast cancer risk prediction example is extended to assess diagnostic utility across </w:t>
      </w:r>
      <w:r w:rsidR="00F72FA6">
        <w:t xml:space="preserve">PEZs </w:t>
      </w:r>
      <w:r>
        <w:t xml:space="preserve">using three complementary metrics: </w:t>
      </w:r>
      <w:r>
        <w:rPr>
          <w:rStyle w:val="Strong"/>
          <w:b w:val="0"/>
          <w:bCs w:val="0"/>
        </w:rPr>
        <w:t>Posterior Zone-Balanced Error (PZBE)</w:t>
      </w:r>
      <w:r>
        <w:t xml:space="preserve">, </w:t>
      </w:r>
      <w:r>
        <w:rPr>
          <w:rStyle w:val="Strong"/>
          <w:b w:val="0"/>
          <w:bCs w:val="0"/>
        </w:rPr>
        <w:t>Net Benefit</w:t>
      </w:r>
      <w:r>
        <w:t xml:space="preserve">, and </w:t>
      </w:r>
      <w:r>
        <w:rPr>
          <w:rStyle w:val="Strong"/>
          <w:b w:val="0"/>
          <w:bCs w:val="0"/>
        </w:rPr>
        <w:t>Expected Diagnostic Cost</w:t>
      </w:r>
      <w:r>
        <w:t>.</w:t>
      </w:r>
    </w:p>
    <w:p w14:paraId="36A606DB" w14:textId="77777777" w:rsidR="00F42FFC" w:rsidRPr="00EB3F35" w:rsidRDefault="006A307E" w:rsidP="00F72FA6">
      <w:pPr>
        <w:pStyle w:val="10"/>
        <w:spacing w:line="276" w:lineRule="auto"/>
        <w:jc w:val="both"/>
      </w:pPr>
      <w:r>
        <w:rPr>
          <w:rStyle w:val="Strong"/>
          <w:rFonts w:ascii="Times New Roman" w:hAnsi="Times New Roman"/>
        </w:rPr>
        <w:t>Posterior Zone-Balanced Error (P-ZBE) (Table 3)</w:t>
      </w:r>
      <w:r>
        <w:rPr>
          <w:rFonts w:ascii="Times New Roman" w:eastAsia="MS Mincho" w:hAnsi="Times New Roman"/>
          <w:lang w:bidi="ar"/>
        </w:rPr>
        <w:br/>
        <w:t>Posterior Zone-Balanced Error (P-ZBE) quantifies diagnostic error while explicitly accounting for epistemic credibility. Rather than aggregating all misclassifications equally, PZBE weights errors according to the epistemic zone in which the operational decision lies:</w:t>
      </w:r>
      <w:r>
        <w:rPr>
          <w:rFonts w:ascii="Times New Roman" w:eastAsia="MS Mincho" w:hAnsi="Times New Roman"/>
          <w:lang w:bidi="ar"/>
        </w:rPr>
        <w:br/>
      </w:r>
      <w:r w:rsidR="00EB3F35">
        <w:rPr>
          <w:rFonts w:ascii="Times New Roman" w:eastAsia="Calibri" w:hAnsi="Times New Roman"/>
        </w:rPr>
        <w:t>P-ZBE = Σ_{</w:t>
      </w:r>
      <w:proofErr w:type="spellStart"/>
      <w:r w:rsidR="00EB3F35">
        <w:rPr>
          <w:rFonts w:ascii="Times New Roman" w:eastAsia="Calibri" w:hAnsi="Times New Roman"/>
        </w:rPr>
        <w:t>z</w:t>
      </w:r>
      <w:r w:rsidR="00EB3F35">
        <w:rPr>
          <w:rFonts w:ascii="Cambria Math" w:eastAsia="Calibri" w:hAnsi="Cambria Math" w:cs="Cambria Math"/>
        </w:rPr>
        <w:t>∈</w:t>
      </w:r>
      <w:r w:rsidR="00EB3F35">
        <w:rPr>
          <w:rFonts w:ascii="Times New Roman" w:eastAsia="Calibri" w:hAnsi="Times New Roman"/>
        </w:rPr>
        <w:t>Z</w:t>
      </w:r>
      <w:proofErr w:type="spellEnd"/>
      <w:r w:rsidR="00EB3F35">
        <w:rPr>
          <w:rFonts w:ascii="Times New Roman" w:eastAsia="Calibri" w:hAnsi="Times New Roman"/>
        </w:rPr>
        <w:t xml:space="preserve">} ( </w:t>
      </w:r>
      <w:proofErr w:type="spellStart"/>
      <w:r w:rsidR="00EB3F35">
        <w:rPr>
          <w:rFonts w:ascii="Times New Roman" w:eastAsia="Calibri" w:hAnsi="Times New Roman"/>
        </w:rPr>
        <w:t>w_z</w:t>
      </w:r>
      <w:proofErr w:type="spellEnd"/>
      <w:r w:rsidR="00EB3F35">
        <w:rPr>
          <w:rFonts w:ascii="Times New Roman" w:eastAsia="Calibri" w:hAnsi="Times New Roman"/>
        </w:rPr>
        <w:t xml:space="preserve"> · </w:t>
      </w:r>
      <w:proofErr w:type="spellStart"/>
      <w:r w:rsidR="00EB3F35">
        <w:rPr>
          <w:rFonts w:ascii="Times New Roman" w:eastAsia="Calibri" w:hAnsi="Times New Roman"/>
        </w:rPr>
        <w:t>Error_z</w:t>
      </w:r>
      <w:proofErr w:type="spellEnd"/>
      <w:r w:rsidR="00EB3F35">
        <w:rPr>
          <w:rFonts w:ascii="Times New Roman" w:eastAsia="Calibri" w:hAnsi="Times New Roman"/>
        </w:rPr>
        <w:t xml:space="preserve"> )</w:t>
      </w:r>
      <w:r>
        <w:rPr>
          <w:rFonts w:ascii="Times New Roman" w:eastAsia="MS Mincho" w:hAnsi="Times New Roman"/>
          <w:lang w:bidi="ar"/>
        </w:rPr>
        <w:br/>
        <w:t xml:space="preserve">where Z denotes the set of </w:t>
      </w:r>
      <w:r w:rsidR="00F72FA6">
        <w:t>PEZs</w:t>
      </w:r>
      <w:r w:rsidR="00F72FA6">
        <w:rPr>
          <w:rFonts w:ascii="Times New Roman" w:eastAsia="MS Mincho" w:hAnsi="Times New Roman"/>
          <w:lang w:bidi="ar"/>
        </w:rPr>
        <w:t xml:space="preserve"> ,</w:t>
      </w:r>
      <w:proofErr w:type="spellStart"/>
      <w:r>
        <w:rPr>
          <w:rFonts w:ascii="Times New Roman" w:eastAsia="MS Mincho" w:hAnsi="Times New Roman"/>
          <w:lang w:bidi="ar"/>
        </w:rPr>
        <w:t>Error_z</w:t>
      </w:r>
      <w:proofErr w:type="spellEnd"/>
      <w:r>
        <w:rPr>
          <w:rFonts w:ascii="Times New Roman" w:eastAsia="MS Mincho" w:hAnsi="Times New Roman"/>
          <w:lang w:bidi="ar"/>
        </w:rPr>
        <w:t xml:space="preserve"> represents the misclassification rate under decision thresholds located in zone z, and </w:t>
      </w:r>
      <w:proofErr w:type="spellStart"/>
      <w:r>
        <w:rPr>
          <w:rFonts w:ascii="Times New Roman" w:eastAsia="MS Mincho" w:hAnsi="Times New Roman"/>
          <w:lang w:bidi="ar"/>
        </w:rPr>
        <w:t>w_z</w:t>
      </w:r>
      <w:proofErr w:type="spellEnd"/>
      <w:r>
        <w:rPr>
          <w:rFonts w:ascii="Times New Roman" w:eastAsia="MS Mincho" w:hAnsi="Times New Roman"/>
          <w:lang w:bidi="ar"/>
        </w:rPr>
        <w:t xml:space="preserve"> reflects epistemic risk weighting, with larger weights assigned to epistemically fragile zones (typically Inflated and Recessive PEZs) and smaller weights assigned to Trusted PEZs.</w:t>
      </w:r>
      <w:r>
        <w:rPr>
          <w:rFonts w:ascii="Times New Roman" w:eastAsia="MS Mincho" w:hAnsi="Times New Roman"/>
          <w:lang w:bidi="ar"/>
        </w:rPr>
        <w:br/>
        <w:t xml:space="preserve">In the breast cancer illustration, the posterior mean malignancy probability was μ = 0.72 with </w:t>
      </w:r>
      <w:proofErr w:type="spellStart"/>
      <w:r>
        <w:rPr>
          <w:rFonts w:ascii="Times New Roman" w:eastAsia="MS Mincho" w:hAnsi="Times New Roman"/>
          <w:lang w:bidi="ar"/>
        </w:rPr>
        <w:t>σ_post</w:t>
      </w:r>
      <w:proofErr w:type="spellEnd"/>
      <w:r>
        <w:rPr>
          <w:rFonts w:ascii="Times New Roman" w:eastAsia="MS Mincho" w:hAnsi="Times New Roman"/>
          <w:lang w:bidi="ar"/>
        </w:rPr>
        <w:t xml:space="preserve"> = 0.08. A clinical threshold x = 0.85 yielded </w:t>
      </w:r>
      <w:proofErr w:type="spellStart"/>
      <w:r>
        <w:rPr>
          <w:rFonts w:ascii="Times New Roman" w:eastAsia="MS Mincho" w:hAnsi="Times New Roman"/>
          <w:lang w:bidi="ar"/>
        </w:rPr>
        <w:t>Z_post</w:t>
      </w:r>
      <w:proofErr w:type="spellEnd"/>
      <w:r>
        <w:rPr>
          <w:rFonts w:ascii="Times New Roman" w:eastAsia="MS Mincho" w:hAnsi="Times New Roman"/>
          <w:lang w:bidi="ar"/>
        </w:rPr>
        <w:t xml:space="preserve">(x) = 1.625, placing the decision in the Upper Plausible PEZ. Errors occurring at this threshold </w:t>
      </w:r>
      <w:r>
        <w:rPr>
          <w:rFonts w:ascii="Times New Roman" w:eastAsia="MS Mincho" w:hAnsi="Times New Roman"/>
          <w:lang w:bidi="ar"/>
        </w:rPr>
        <w:lastRenderedPageBreak/>
        <w:t>contribute moderately to PZBE, signaling conditional reliability.</w:t>
      </w:r>
      <w:r>
        <w:rPr>
          <w:rFonts w:ascii="Times New Roman" w:eastAsia="MS Mincho" w:hAnsi="Times New Roman"/>
          <w:lang w:bidi="ar"/>
        </w:rPr>
        <w:br/>
        <w:t xml:space="preserve">When the threshold was increased to x = 0.95, the resulting </w:t>
      </w:r>
      <w:proofErr w:type="spellStart"/>
      <w:r>
        <w:rPr>
          <w:rFonts w:ascii="Times New Roman" w:eastAsia="MS Mincho" w:hAnsi="Times New Roman"/>
          <w:lang w:bidi="ar"/>
        </w:rPr>
        <w:t>Z_post</w:t>
      </w:r>
      <w:proofErr w:type="spellEnd"/>
      <w:r>
        <w:rPr>
          <w:rFonts w:ascii="Times New Roman" w:eastAsia="MS Mincho" w:hAnsi="Times New Roman"/>
          <w:lang w:bidi="ar"/>
        </w:rPr>
        <w:t>(x) = 2.875 placed the decision in the Inflated PEZ, substantially increasing PZBE due to elevated epistemic risk. Thus, even if classical accuracy remains high, BEZ identifies zones in which errors carry disproportionate credibility risk, reinforcing the importance of epistemic-aware aggregation beyond conventional error metrics.</w:t>
      </w:r>
    </w:p>
    <w:p w14:paraId="1A61D68E"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Table 3. Synthetic Posterior Zone-Balanced Error (P-ZBE) Illustration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3"/>
        <w:gridCol w:w="1067"/>
        <w:gridCol w:w="1362"/>
        <w:gridCol w:w="1487"/>
        <w:gridCol w:w="1247"/>
        <w:gridCol w:w="2040"/>
      </w:tblGrid>
      <w:tr w:rsidR="00F42FFC" w14:paraId="1AB9D1B3" w14:textId="77777777" w:rsidTr="00B660CD">
        <w:trPr>
          <w:tblHeader/>
          <w:tblCellSpacing w:w="15" w:type="dxa"/>
        </w:trPr>
        <w:tc>
          <w:tcPr>
            <w:tcW w:w="0" w:type="auto"/>
            <w:shd w:val="clear" w:color="auto" w:fill="FFE599" w:themeFill="accent4" w:themeFillTint="66"/>
            <w:vAlign w:val="center"/>
          </w:tcPr>
          <w:p w14:paraId="3670B4A4"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Threshold x</w:t>
            </w:r>
          </w:p>
        </w:tc>
        <w:tc>
          <w:tcPr>
            <w:tcW w:w="0" w:type="auto"/>
            <w:shd w:val="clear" w:color="auto" w:fill="FFE599" w:themeFill="accent4" w:themeFillTint="66"/>
            <w:vAlign w:val="center"/>
          </w:tcPr>
          <w:p w14:paraId="1CCED41E" w14:textId="77777777" w:rsidR="00F42FFC" w:rsidRPr="00F72FA6" w:rsidRDefault="006A307E" w:rsidP="00080419">
            <w:pPr>
              <w:spacing w:line="276" w:lineRule="auto"/>
              <w:jc w:val="both"/>
              <w:rPr>
                <w:rFonts w:asciiTheme="majorBidi" w:hAnsiTheme="majorBidi" w:cstheme="majorBidi"/>
                <w:b/>
                <w:bCs/>
                <w:sz w:val="24"/>
                <w:szCs w:val="24"/>
              </w:rPr>
            </w:pPr>
            <w:proofErr w:type="spellStart"/>
            <w:r w:rsidRPr="00F72FA6">
              <w:rPr>
                <w:rFonts w:asciiTheme="majorBidi" w:eastAsia="SimSun" w:hAnsiTheme="majorBidi" w:cstheme="majorBidi"/>
                <w:b/>
                <w:bCs/>
                <w:sz w:val="24"/>
                <w:szCs w:val="24"/>
                <w:lang w:bidi="ar"/>
              </w:rPr>
              <w:t>Z_post</w:t>
            </w:r>
            <w:proofErr w:type="spellEnd"/>
            <w:r w:rsidRPr="00F72FA6">
              <w:rPr>
                <w:rFonts w:asciiTheme="majorBidi" w:eastAsia="SimSun" w:hAnsiTheme="majorBidi" w:cstheme="majorBidi"/>
                <w:b/>
                <w:bCs/>
                <w:sz w:val="24"/>
                <w:szCs w:val="24"/>
                <w:lang w:bidi="ar"/>
              </w:rPr>
              <w:t>(x)</w:t>
            </w:r>
          </w:p>
        </w:tc>
        <w:tc>
          <w:tcPr>
            <w:tcW w:w="0" w:type="auto"/>
            <w:shd w:val="clear" w:color="auto" w:fill="FFE599" w:themeFill="accent4" w:themeFillTint="66"/>
            <w:vAlign w:val="center"/>
          </w:tcPr>
          <w:p w14:paraId="45AC42E3" w14:textId="77777777" w:rsidR="00F42FFC" w:rsidRPr="00F72FA6" w:rsidRDefault="00F72FA6" w:rsidP="00080419">
            <w:pPr>
              <w:spacing w:line="276" w:lineRule="auto"/>
              <w:jc w:val="both"/>
              <w:rPr>
                <w:rFonts w:asciiTheme="majorBidi" w:hAnsiTheme="majorBidi" w:cstheme="majorBidi"/>
                <w:b/>
                <w:bCs/>
                <w:sz w:val="24"/>
                <w:szCs w:val="24"/>
              </w:rPr>
            </w:pPr>
            <w:r w:rsidRPr="00F72FA6">
              <w:rPr>
                <w:rFonts w:asciiTheme="majorBidi" w:hAnsiTheme="majorBidi" w:cstheme="majorBidi"/>
                <w:b/>
                <w:bCs/>
                <w:sz w:val="24"/>
                <w:szCs w:val="24"/>
              </w:rPr>
              <w:t>PEZ</w:t>
            </w:r>
          </w:p>
        </w:tc>
        <w:tc>
          <w:tcPr>
            <w:tcW w:w="0" w:type="auto"/>
            <w:shd w:val="clear" w:color="auto" w:fill="FFE599" w:themeFill="accent4" w:themeFillTint="66"/>
            <w:vAlign w:val="center"/>
          </w:tcPr>
          <w:p w14:paraId="7C8EDCF2" w14:textId="77777777" w:rsidR="00F42FFC" w:rsidRPr="00F72FA6" w:rsidRDefault="006A307E" w:rsidP="00080419">
            <w:pPr>
              <w:spacing w:line="276" w:lineRule="auto"/>
              <w:jc w:val="both"/>
              <w:rPr>
                <w:rFonts w:asciiTheme="majorBidi" w:hAnsiTheme="majorBidi" w:cstheme="majorBidi"/>
                <w:b/>
                <w:bCs/>
                <w:sz w:val="24"/>
                <w:szCs w:val="24"/>
              </w:rPr>
            </w:pPr>
            <w:r w:rsidRPr="00F72FA6">
              <w:rPr>
                <w:rFonts w:asciiTheme="majorBidi" w:eastAsia="SimSun" w:hAnsiTheme="majorBidi" w:cstheme="majorBidi"/>
                <w:b/>
                <w:bCs/>
                <w:sz w:val="24"/>
                <w:szCs w:val="24"/>
                <w:lang w:bidi="ar"/>
              </w:rPr>
              <w:t>Observed Error Rate</w:t>
            </w:r>
          </w:p>
        </w:tc>
        <w:tc>
          <w:tcPr>
            <w:tcW w:w="0" w:type="auto"/>
            <w:shd w:val="clear" w:color="auto" w:fill="FFE599" w:themeFill="accent4" w:themeFillTint="66"/>
            <w:vAlign w:val="center"/>
          </w:tcPr>
          <w:p w14:paraId="0FBF31FE"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Zone Weight (</w:t>
            </w:r>
            <w:proofErr w:type="spellStart"/>
            <w:r>
              <w:rPr>
                <w:rFonts w:ascii="Times New Roman" w:eastAsia="SimSun" w:hAnsi="Times New Roman"/>
                <w:b/>
                <w:bCs/>
                <w:sz w:val="24"/>
                <w:szCs w:val="24"/>
                <w:lang w:bidi="ar"/>
              </w:rPr>
              <w:t>w_z</w:t>
            </w:r>
            <w:proofErr w:type="spellEnd"/>
            <w:r>
              <w:rPr>
                <w:rFonts w:ascii="Times New Roman" w:eastAsia="SimSun" w:hAnsi="Times New Roman"/>
                <w:b/>
                <w:bCs/>
                <w:sz w:val="24"/>
                <w:szCs w:val="24"/>
                <w:lang w:bidi="ar"/>
              </w:rPr>
              <w:t>)</w:t>
            </w:r>
          </w:p>
        </w:tc>
        <w:tc>
          <w:tcPr>
            <w:tcW w:w="0" w:type="auto"/>
            <w:shd w:val="clear" w:color="auto" w:fill="FFE599" w:themeFill="accent4" w:themeFillTint="66"/>
            <w:vAlign w:val="center"/>
          </w:tcPr>
          <w:p w14:paraId="34ED9D57"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Weighted Error Contribution</w:t>
            </w:r>
          </w:p>
        </w:tc>
      </w:tr>
      <w:tr w:rsidR="00F42FFC" w14:paraId="3C9DAB27" w14:textId="77777777" w:rsidTr="00EB3F35">
        <w:trPr>
          <w:tblCellSpacing w:w="15" w:type="dxa"/>
        </w:trPr>
        <w:tc>
          <w:tcPr>
            <w:tcW w:w="0" w:type="auto"/>
            <w:vAlign w:val="center"/>
          </w:tcPr>
          <w:p w14:paraId="65AE714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0.75</w:t>
            </w:r>
          </w:p>
        </w:tc>
        <w:tc>
          <w:tcPr>
            <w:tcW w:w="0" w:type="auto"/>
            <w:vAlign w:val="center"/>
          </w:tcPr>
          <w:p w14:paraId="703BB16A"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0.38</w:t>
            </w:r>
          </w:p>
        </w:tc>
        <w:tc>
          <w:tcPr>
            <w:tcW w:w="0" w:type="auto"/>
            <w:vAlign w:val="center"/>
          </w:tcPr>
          <w:p w14:paraId="3D12117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Trusted PEZ</w:t>
            </w:r>
          </w:p>
        </w:tc>
        <w:tc>
          <w:tcPr>
            <w:tcW w:w="0" w:type="auto"/>
            <w:vAlign w:val="center"/>
          </w:tcPr>
          <w:p w14:paraId="7933DF1C"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0.06</w:t>
            </w:r>
          </w:p>
        </w:tc>
        <w:tc>
          <w:tcPr>
            <w:tcW w:w="0" w:type="auto"/>
            <w:vAlign w:val="center"/>
          </w:tcPr>
          <w:p w14:paraId="560324D0"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w:t>
            </w:r>
          </w:p>
        </w:tc>
        <w:tc>
          <w:tcPr>
            <w:tcW w:w="0" w:type="auto"/>
            <w:vAlign w:val="center"/>
          </w:tcPr>
          <w:p w14:paraId="51A83247"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0.060</w:t>
            </w:r>
          </w:p>
        </w:tc>
      </w:tr>
      <w:tr w:rsidR="00F42FFC" w14:paraId="047AAB16" w14:textId="77777777" w:rsidTr="00EB3F35">
        <w:trPr>
          <w:tblCellSpacing w:w="15" w:type="dxa"/>
        </w:trPr>
        <w:tc>
          <w:tcPr>
            <w:tcW w:w="0" w:type="auto"/>
            <w:vAlign w:val="center"/>
          </w:tcPr>
          <w:p w14:paraId="07BBDD7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0.85</w:t>
            </w:r>
          </w:p>
        </w:tc>
        <w:tc>
          <w:tcPr>
            <w:tcW w:w="0" w:type="auto"/>
            <w:vAlign w:val="center"/>
          </w:tcPr>
          <w:p w14:paraId="4D2B35EE"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1.63</w:t>
            </w:r>
          </w:p>
        </w:tc>
        <w:tc>
          <w:tcPr>
            <w:tcW w:w="0" w:type="auto"/>
            <w:vAlign w:val="center"/>
          </w:tcPr>
          <w:p w14:paraId="0DC0CB4C"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Upper Plausible PEZ</w:t>
            </w:r>
          </w:p>
        </w:tc>
        <w:tc>
          <w:tcPr>
            <w:tcW w:w="0" w:type="auto"/>
            <w:vAlign w:val="center"/>
          </w:tcPr>
          <w:p w14:paraId="3843E24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0.11</w:t>
            </w:r>
          </w:p>
        </w:tc>
        <w:tc>
          <w:tcPr>
            <w:tcW w:w="0" w:type="auto"/>
            <w:vAlign w:val="center"/>
          </w:tcPr>
          <w:p w14:paraId="1F4D669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1.5</w:t>
            </w:r>
          </w:p>
        </w:tc>
        <w:tc>
          <w:tcPr>
            <w:tcW w:w="0" w:type="auto"/>
            <w:vAlign w:val="center"/>
          </w:tcPr>
          <w:p w14:paraId="77654E5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0.165</w:t>
            </w:r>
          </w:p>
        </w:tc>
      </w:tr>
      <w:tr w:rsidR="00F42FFC" w14:paraId="2D1166F5" w14:textId="77777777" w:rsidTr="00EB3F35">
        <w:trPr>
          <w:tblCellSpacing w:w="15" w:type="dxa"/>
        </w:trPr>
        <w:tc>
          <w:tcPr>
            <w:tcW w:w="0" w:type="auto"/>
            <w:vAlign w:val="center"/>
          </w:tcPr>
          <w:p w14:paraId="710211E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0.95</w:t>
            </w:r>
          </w:p>
        </w:tc>
        <w:tc>
          <w:tcPr>
            <w:tcW w:w="0" w:type="auto"/>
            <w:vAlign w:val="center"/>
          </w:tcPr>
          <w:p w14:paraId="7774C8F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2.88</w:t>
            </w:r>
          </w:p>
        </w:tc>
        <w:tc>
          <w:tcPr>
            <w:tcW w:w="0" w:type="auto"/>
            <w:vAlign w:val="center"/>
          </w:tcPr>
          <w:p w14:paraId="564F939C"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Inflated PEZ</w:t>
            </w:r>
          </w:p>
        </w:tc>
        <w:tc>
          <w:tcPr>
            <w:tcW w:w="0" w:type="auto"/>
            <w:vAlign w:val="center"/>
          </w:tcPr>
          <w:p w14:paraId="45DEB1B2"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0.18</w:t>
            </w:r>
          </w:p>
        </w:tc>
        <w:tc>
          <w:tcPr>
            <w:tcW w:w="0" w:type="auto"/>
            <w:vAlign w:val="center"/>
          </w:tcPr>
          <w:p w14:paraId="0B53D455"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3.0</w:t>
            </w:r>
          </w:p>
        </w:tc>
        <w:tc>
          <w:tcPr>
            <w:tcW w:w="0" w:type="auto"/>
            <w:vAlign w:val="center"/>
          </w:tcPr>
          <w:p w14:paraId="2A056C1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0.540</w:t>
            </w:r>
          </w:p>
        </w:tc>
      </w:tr>
      <w:tr w:rsidR="00F42FFC" w14:paraId="2B662313" w14:textId="77777777" w:rsidTr="00EB3F35">
        <w:trPr>
          <w:tblCellSpacing w:w="15" w:type="dxa"/>
        </w:trPr>
        <w:tc>
          <w:tcPr>
            <w:tcW w:w="0" w:type="auto"/>
            <w:gridSpan w:val="6"/>
            <w:vAlign w:val="center"/>
          </w:tcPr>
          <w:p w14:paraId="0FA7975A" w14:textId="77777777" w:rsidR="00F42FFC" w:rsidRDefault="006A307E" w:rsidP="00080419">
            <w:pPr>
              <w:pStyle w:val="NormalWeb"/>
              <w:spacing w:line="276" w:lineRule="auto"/>
              <w:jc w:val="both"/>
            </w:pPr>
            <w:r>
              <w:t xml:space="preserve">(P-ZBE=0.060+0.165+0.540=0.765) </w:t>
            </w:r>
          </w:p>
        </w:tc>
      </w:tr>
    </w:tbl>
    <w:p w14:paraId="085C5F68" w14:textId="77777777" w:rsidR="00F42FFC" w:rsidRDefault="006A307E" w:rsidP="00EB3F35">
      <w:pPr>
        <w:pStyle w:val="NormalWeb"/>
        <w:spacing w:line="276" w:lineRule="auto"/>
        <w:jc w:val="both"/>
      </w:pPr>
      <w:r>
        <w:t>Although classical error increases moderately acr</w:t>
      </w:r>
      <w:r w:rsidR="00EB3F35">
        <w:t xml:space="preserve">oss thresholds, P-ZBE amplifies </w:t>
      </w:r>
      <w:r>
        <w:t>epistemic risk when decisions migrate into Inflated zones. The inflated threshold contributes disproportionately to total epistemic error despite comparable numerical accuracy, illustrating how BEZ penalizes fragile overconfidence that remains invisible to conventional performance metrics.</w:t>
      </w:r>
    </w:p>
    <w:p w14:paraId="5AC4C18A" w14:textId="77777777" w:rsidR="00F42FFC" w:rsidRDefault="006A307E" w:rsidP="00B46DF2">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Net Benefit Stratified by Posterior Epistemic Zones (Table 4)</w:t>
      </w:r>
      <w:r>
        <w:rPr>
          <w:rFonts w:ascii="Times New Roman" w:eastAsia="MS Mincho" w:hAnsi="Times New Roman" w:hint="default"/>
          <w:sz w:val="24"/>
          <w:szCs w:val="24"/>
          <w:lang w:bidi="ar"/>
        </w:rPr>
        <w:br/>
      </w:r>
      <w:r>
        <w:rPr>
          <w:rFonts w:ascii="Times New Roman" w:eastAsia="MS Mincho" w:hAnsi="Times New Roman" w:hint="default"/>
          <w:b w:val="0"/>
          <w:bCs w:val="0"/>
          <w:sz w:val="24"/>
          <w:szCs w:val="24"/>
          <w:lang w:bidi="ar"/>
        </w:rPr>
        <w:t xml:space="preserve">Net Benefit measures clinical utility by balancing true positives against false positives under a given intervention threshold. Within </w:t>
      </w:r>
      <w:r w:rsidR="00F72FA6">
        <w:rPr>
          <w:rFonts w:ascii="Times New Roman" w:hAnsi="Times New Roman" w:hint="default"/>
          <w:b w:val="0"/>
          <w:bCs w:val="0"/>
          <w:sz w:val="24"/>
          <w:szCs w:val="24"/>
        </w:rPr>
        <w:t>BEZ</w:t>
      </w:r>
      <w:r w:rsidR="00F72FA6">
        <w:rPr>
          <w:rFonts w:ascii="Times New Roman" w:eastAsia="MS Mincho" w:hAnsi="Times New Roman" w:hint="default"/>
          <w:b w:val="0"/>
          <w:bCs w:val="0"/>
          <w:sz w:val="24"/>
          <w:szCs w:val="24"/>
          <w:lang w:bidi="ar"/>
        </w:rPr>
        <w:t xml:space="preserve"> , </w:t>
      </w:r>
      <w:r>
        <w:rPr>
          <w:rFonts w:ascii="Times New Roman" w:eastAsia="MS Mincho" w:hAnsi="Times New Roman" w:hint="default"/>
          <w:b w:val="0"/>
          <w:bCs w:val="0"/>
          <w:sz w:val="24"/>
          <w:szCs w:val="24"/>
          <w:lang w:bidi="ar"/>
        </w:rPr>
        <w:t>Net Benefit may be evaluated separately for each epistemic zone:</w:t>
      </w:r>
      <w:r>
        <w:rPr>
          <w:rFonts w:ascii="Times New Roman" w:eastAsia="MS Mincho" w:hAnsi="Times New Roman" w:hint="default"/>
          <w:b w:val="0"/>
          <w:bCs w:val="0"/>
          <w:sz w:val="24"/>
          <w:szCs w:val="24"/>
          <w:lang w:bidi="ar"/>
        </w:rPr>
        <w:br/>
      </w:r>
      <w:proofErr w:type="spellStart"/>
      <w:r>
        <w:rPr>
          <w:rFonts w:ascii="Times New Roman" w:eastAsia="MS Mincho" w:hAnsi="Times New Roman" w:hint="default"/>
          <w:b w:val="0"/>
          <w:bCs w:val="0"/>
          <w:sz w:val="24"/>
          <w:szCs w:val="24"/>
          <w:lang w:bidi="ar"/>
        </w:rPr>
        <w:t>NetBenefit_z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TP_z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N_z</w:t>
      </w:r>
      <w:proofErr w:type="spellEnd"/>
      <w:r>
        <w:rPr>
          <w:rFonts w:ascii="Times New Roman" w:eastAsia="MS Mincho" w:hAnsi="Times New Roman" w:hint="default"/>
          <w:b w:val="0"/>
          <w:bCs w:val="0"/>
          <w:sz w:val="24"/>
          <w:szCs w:val="24"/>
          <w:lang w:bidi="ar"/>
        </w:rPr>
        <w:t>) − (</w:t>
      </w:r>
      <w:proofErr w:type="spellStart"/>
      <w:r>
        <w:rPr>
          <w:rFonts w:ascii="Times New Roman" w:eastAsia="MS Mincho" w:hAnsi="Times New Roman" w:hint="default"/>
          <w:b w:val="0"/>
          <w:bCs w:val="0"/>
          <w:sz w:val="24"/>
          <w:szCs w:val="24"/>
          <w:lang w:bidi="ar"/>
        </w:rPr>
        <w:t>FP_z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N_z</w:t>
      </w:r>
      <w:proofErr w:type="spellEnd"/>
      <w:r>
        <w:rPr>
          <w:rFonts w:ascii="Times New Roman" w:eastAsia="MS Mincho" w:hAnsi="Times New Roman" w:hint="default"/>
          <w:b w:val="0"/>
          <w:bCs w:val="0"/>
          <w:sz w:val="24"/>
          <w:szCs w:val="24"/>
          <w:lang w:bidi="ar"/>
        </w:rPr>
        <w:t>) · (</w:t>
      </w:r>
      <w:proofErr w:type="spellStart"/>
      <w:r>
        <w:rPr>
          <w:rFonts w:ascii="Times New Roman" w:eastAsia="MS Mincho" w:hAnsi="Times New Roman" w:hint="default"/>
          <w:b w:val="0"/>
          <w:bCs w:val="0"/>
          <w:sz w:val="24"/>
          <w:szCs w:val="24"/>
          <w:lang w:bidi="ar"/>
        </w:rPr>
        <w:t>p_t</w:t>
      </w:r>
      <w:proofErr w:type="spellEnd"/>
      <w:r>
        <w:rPr>
          <w:rFonts w:ascii="Times New Roman" w:eastAsia="MS Mincho" w:hAnsi="Times New Roman" w:hint="default"/>
          <w:b w:val="0"/>
          <w:bCs w:val="0"/>
          <w:sz w:val="24"/>
          <w:szCs w:val="24"/>
          <w:lang w:bidi="ar"/>
        </w:rPr>
        <w:t xml:space="preserve"> / (1 − </w:t>
      </w:r>
      <w:proofErr w:type="spellStart"/>
      <w:r>
        <w:rPr>
          <w:rFonts w:ascii="Times New Roman" w:eastAsia="MS Mincho" w:hAnsi="Times New Roman" w:hint="default"/>
          <w:b w:val="0"/>
          <w:bCs w:val="0"/>
          <w:sz w:val="24"/>
          <w:szCs w:val="24"/>
          <w:lang w:bidi="ar"/>
        </w:rPr>
        <w:t>p_t</w:t>
      </w:r>
      <w:proofErr w:type="spellEnd"/>
      <w:r>
        <w:rPr>
          <w:rFonts w:ascii="Times New Roman" w:eastAsia="MS Mincho" w:hAnsi="Times New Roman" w:hint="default"/>
          <w:b w:val="0"/>
          <w:bCs w:val="0"/>
          <w:sz w:val="24"/>
          <w:szCs w:val="24"/>
          <w:lang w:bidi="ar"/>
        </w:rPr>
        <w:t>))</w:t>
      </w:r>
      <w:r>
        <w:rPr>
          <w:rFonts w:ascii="Times New Roman" w:eastAsia="MS Mincho" w:hAnsi="Times New Roman" w:hint="default"/>
          <w:b w:val="0"/>
          <w:bCs w:val="0"/>
          <w:sz w:val="24"/>
          <w:szCs w:val="24"/>
          <w:lang w:bidi="ar"/>
        </w:rPr>
        <w:br/>
        <w:t xml:space="preserve">where </w:t>
      </w:r>
      <w:proofErr w:type="spellStart"/>
      <w:r>
        <w:rPr>
          <w:rFonts w:ascii="Times New Roman" w:eastAsia="MS Mincho" w:hAnsi="Times New Roman" w:hint="default"/>
          <w:b w:val="0"/>
          <w:bCs w:val="0"/>
          <w:sz w:val="24"/>
          <w:szCs w:val="24"/>
          <w:lang w:bidi="ar"/>
        </w:rPr>
        <w:t>p_t</w:t>
      </w:r>
      <w:proofErr w:type="spellEnd"/>
      <w:r>
        <w:rPr>
          <w:rFonts w:ascii="Times New Roman" w:eastAsia="MS Mincho" w:hAnsi="Times New Roman" w:hint="default"/>
          <w:b w:val="0"/>
          <w:bCs w:val="0"/>
          <w:sz w:val="24"/>
          <w:szCs w:val="24"/>
          <w:lang w:bidi="ar"/>
        </w:rPr>
        <w:t xml:space="preserve"> is the clinical decision threshold and </w:t>
      </w:r>
      <w:proofErr w:type="spellStart"/>
      <w:r>
        <w:rPr>
          <w:rFonts w:ascii="Times New Roman" w:eastAsia="MS Mincho" w:hAnsi="Times New Roman" w:hint="default"/>
          <w:b w:val="0"/>
          <w:bCs w:val="0"/>
          <w:sz w:val="24"/>
          <w:szCs w:val="24"/>
          <w:lang w:bidi="ar"/>
        </w:rPr>
        <w:t>N_z</w:t>
      </w:r>
      <w:proofErr w:type="spellEnd"/>
      <w:r>
        <w:rPr>
          <w:rFonts w:ascii="Times New Roman" w:eastAsia="MS Mincho" w:hAnsi="Times New Roman" w:hint="default"/>
          <w:b w:val="0"/>
          <w:bCs w:val="0"/>
          <w:sz w:val="24"/>
          <w:szCs w:val="24"/>
          <w:lang w:bidi="ar"/>
        </w:rPr>
        <w:t xml:space="preserve"> is the number of cases evaluated within zone z.</w:t>
      </w:r>
      <w:r>
        <w:rPr>
          <w:rFonts w:ascii="Times New Roman" w:eastAsia="MS Mincho" w:hAnsi="Times New Roman" w:hint="default"/>
          <w:b w:val="0"/>
          <w:bCs w:val="0"/>
          <w:sz w:val="24"/>
          <w:szCs w:val="24"/>
          <w:lang w:bidi="ar"/>
        </w:rPr>
        <w:br/>
        <w:t>In the breast cancer illustration, thresholds within the Trusted PEZ</w:t>
      </w:r>
      <w:r w:rsidR="00B46DF2">
        <w:rPr>
          <w:rFonts w:ascii="Times New Roman" w:eastAsia="MS Mincho" w:hAnsi="Times New Roman" w:hint="default"/>
          <w:b w:val="0"/>
          <w:bCs w:val="0"/>
          <w:sz w:val="24"/>
          <w:szCs w:val="24"/>
          <w:lang w:bidi="ar"/>
        </w:rPr>
        <w:t xml:space="preserve"> </w:t>
      </w:r>
      <w:r>
        <w:rPr>
          <w:rFonts w:ascii="Times New Roman" w:eastAsia="MS Mincho" w:hAnsi="Times New Roman" w:hint="default"/>
          <w:b w:val="0"/>
          <w:bCs w:val="0"/>
          <w:sz w:val="24"/>
          <w:szCs w:val="24"/>
          <w:lang w:bidi="ar"/>
        </w:rPr>
        <w:t>[0.64, 0.80] are expected, under the observed posterior dispersion, to produce stable Net Benefit because posterior uncertainty supports consistent classification behavior. Thresholds in the Upper Plausible PEZ may retain positive Net Benefit but exhibit increased sensitivity to sampling variability and calibration drift. In contrast, thresholds in the Inflated PEZ may exhibit unstable or misleading Net Benefit due to overconfident extrapolation beyond posterior support, even when apparent discrimination metrics remain favorable.</w:t>
      </w:r>
      <w:r>
        <w:rPr>
          <w:rFonts w:ascii="Times New Roman" w:eastAsia="MS Mincho" w:hAnsi="Times New Roman" w:hint="default"/>
          <w:b w:val="0"/>
          <w:bCs w:val="0"/>
          <w:sz w:val="24"/>
          <w:szCs w:val="24"/>
          <w:lang w:bidi="ar"/>
        </w:rPr>
        <w:br/>
        <w:t xml:space="preserve">This stratification enables clinicians and regulators to assess whether observed clinical utility is grounded in epistemically stable inference or driven by fragile numerical </w:t>
      </w:r>
      <w:r>
        <w:rPr>
          <w:rFonts w:ascii="Times New Roman" w:eastAsia="MS Mincho" w:hAnsi="Times New Roman" w:hint="default"/>
          <w:b w:val="0"/>
          <w:bCs w:val="0"/>
          <w:sz w:val="24"/>
          <w:szCs w:val="24"/>
          <w:lang w:bidi="ar"/>
        </w:rPr>
        <w:lastRenderedPageBreak/>
        <w:t>confidence, aligning numerical performance with epistemic credibility and decision safety.</w:t>
      </w:r>
    </w:p>
    <w:p w14:paraId="4941C424" w14:textId="77777777" w:rsidR="00F42FFC" w:rsidRDefault="006A307E" w:rsidP="00080419">
      <w:pPr>
        <w:pStyle w:val="Heading2"/>
        <w:spacing w:line="276" w:lineRule="auto"/>
        <w:jc w:val="both"/>
        <w:rPr>
          <w:rFonts w:ascii="Times New Roman" w:hAnsi="Times New Roman" w:hint="default"/>
          <w:sz w:val="24"/>
          <w:szCs w:val="24"/>
        </w:rPr>
      </w:pPr>
      <w:r>
        <w:rPr>
          <w:rFonts w:ascii="Times New Roman" w:hAnsi="Times New Roman" w:hint="default"/>
          <w:sz w:val="24"/>
          <w:szCs w:val="24"/>
        </w:rPr>
        <w:t>Table 4. Synthetic Net Benefit Stratified by Posterior Epistemic Zones (Illustration)</w:t>
      </w:r>
    </w:p>
    <w:tbl>
      <w:tblPr>
        <w:tblW w:w="0" w:type="auto"/>
        <w:tblCellSpacing w:w="15"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5"/>
        <w:gridCol w:w="1087"/>
        <w:gridCol w:w="2107"/>
        <w:gridCol w:w="520"/>
        <w:gridCol w:w="574"/>
        <w:gridCol w:w="735"/>
        <w:gridCol w:w="854"/>
        <w:gridCol w:w="1188"/>
      </w:tblGrid>
      <w:tr w:rsidR="00F42FFC" w14:paraId="383A032A" w14:textId="77777777" w:rsidTr="00B660CD">
        <w:trPr>
          <w:tblHeader/>
          <w:tblCellSpacing w:w="15" w:type="dxa"/>
        </w:trPr>
        <w:tc>
          <w:tcPr>
            <w:tcW w:w="1290" w:type="dxa"/>
            <w:shd w:val="clear" w:color="auto" w:fill="FFE599" w:themeFill="accent4" w:themeFillTint="66"/>
            <w:vAlign w:val="center"/>
          </w:tcPr>
          <w:p w14:paraId="7B0E8053"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Threshold (x) (= (</w:t>
            </w:r>
            <w:proofErr w:type="spellStart"/>
            <w:r>
              <w:rPr>
                <w:rFonts w:ascii="Times New Roman" w:eastAsia="SimSun" w:hAnsi="Times New Roman"/>
                <w:b/>
                <w:bCs/>
                <w:sz w:val="24"/>
                <w:szCs w:val="24"/>
                <w:lang w:bidi="ar"/>
              </w:rPr>
              <w:t>p_t</w:t>
            </w:r>
            <w:proofErr w:type="spellEnd"/>
            <w:r>
              <w:rPr>
                <w:rFonts w:ascii="Times New Roman" w:eastAsia="SimSun" w:hAnsi="Times New Roman"/>
                <w:b/>
                <w:bCs/>
                <w:sz w:val="24"/>
                <w:szCs w:val="24"/>
                <w:lang w:bidi="ar"/>
              </w:rPr>
              <w:t>))</w:t>
            </w:r>
          </w:p>
        </w:tc>
        <w:tc>
          <w:tcPr>
            <w:tcW w:w="0" w:type="auto"/>
            <w:shd w:val="clear" w:color="auto" w:fill="FFE599" w:themeFill="accent4" w:themeFillTint="66"/>
            <w:vAlign w:val="center"/>
          </w:tcPr>
          <w:p w14:paraId="765DFBE4" w14:textId="77777777" w:rsidR="00F42FFC" w:rsidRPr="00B46DF2" w:rsidRDefault="006A307E" w:rsidP="00080419">
            <w:pPr>
              <w:spacing w:line="276" w:lineRule="auto"/>
              <w:jc w:val="both"/>
              <w:rPr>
                <w:rFonts w:asciiTheme="majorBidi" w:hAnsiTheme="majorBidi" w:cstheme="majorBidi"/>
                <w:b/>
                <w:bCs/>
                <w:sz w:val="24"/>
                <w:szCs w:val="24"/>
              </w:rPr>
            </w:pPr>
            <w:r w:rsidRPr="00B46DF2">
              <w:rPr>
                <w:rFonts w:asciiTheme="majorBidi" w:eastAsia="SimSun" w:hAnsiTheme="majorBidi" w:cstheme="majorBidi"/>
                <w:b/>
                <w:bCs/>
                <w:sz w:val="24"/>
                <w:szCs w:val="24"/>
                <w:lang w:bidi="ar"/>
              </w:rPr>
              <w:t>(Z post(x)</w:t>
            </w:r>
          </w:p>
        </w:tc>
        <w:tc>
          <w:tcPr>
            <w:tcW w:w="0" w:type="auto"/>
            <w:shd w:val="clear" w:color="auto" w:fill="FFE599" w:themeFill="accent4" w:themeFillTint="66"/>
            <w:vAlign w:val="center"/>
          </w:tcPr>
          <w:p w14:paraId="0E9550E4" w14:textId="77777777" w:rsidR="00F42FFC" w:rsidRPr="00B46DF2" w:rsidRDefault="00B46DF2" w:rsidP="00080419">
            <w:pPr>
              <w:spacing w:line="276" w:lineRule="auto"/>
              <w:jc w:val="both"/>
              <w:rPr>
                <w:rFonts w:asciiTheme="majorBidi" w:hAnsiTheme="majorBidi" w:cstheme="majorBidi"/>
                <w:b/>
                <w:bCs/>
                <w:sz w:val="24"/>
                <w:szCs w:val="24"/>
              </w:rPr>
            </w:pPr>
            <w:r w:rsidRPr="00B46DF2">
              <w:rPr>
                <w:rFonts w:asciiTheme="majorBidi" w:hAnsiTheme="majorBidi" w:cstheme="majorBidi"/>
                <w:b/>
                <w:bCs/>
                <w:sz w:val="24"/>
                <w:szCs w:val="24"/>
              </w:rPr>
              <w:t>PEZ</w:t>
            </w:r>
          </w:p>
        </w:tc>
        <w:tc>
          <w:tcPr>
            <w:tcW w:w="0" w:type="auto"/>
            <w:shd w:val="clear" w:color="auto" w:fill="FFE599" w:themeFill="accent4" w:themeFillTint="66"/>
            <w:vAlign w:val="center"/>
          </w:tcPr>
          <w:p w14:paraId="114D066F" w14:textId="77777777" w:rsidR="00F42FFC" w:rsidRPr="00B46DF2" w:rsidRDefault="006A307E" w:rsidP="00080419">
            <w:pPr>
              <w:spacing w:line="276" w:lineRule="auto"/>
              <w:jc w:val="both"/>
              <w:rPr>
                <w:rFonts w:asciiTheme="majorBidi" w:hAnsiTheme="majorBidi" w:cstheme="majorBidi"/>
                <w:b/>
                <w:bCs/>
                <w:sz w:val="24"/>
                <w:szCs w:val="24"/>
              </w:rPr>
            </w:pPr>
            <w:r w:rsidRPr="00B46DF2">
              <w:rPr>
                <w:rFonts w:asciiTheme="majorBidi" w:eastAsia="SimSun" w:hAnsiTheme="majorBidi" w:cstheme="majorBidi"/>
                <w:b/>
                <w:bCs/>
                <w:sz w:val="24"/>
                <w:szCs w:val="24"/>
                <w:lang w:bidi="ar"/>
              </w:rPr>
              <w:t>(</w:t>
            </w:r>
            <w:proofErr w:type="spellStart"/>
            <w:r w:rsidRPr="00B46DF2">
              <w:rPr>
                <w:rFonts w:asciiTheme="majorBidi" w:eastAsia="SimSun" w:hAnsiTheme="majorBidi" w:cstheme="majorBidi"/>
                <w:b/>
                <w:bCs/>
                <w:sz w:val="24"/>
                <w:szCs w:val="24"/>
                <w:lang w:bidi="ar"/>
              </w:rPr>
              <w:t>Nz</w:t>
            </w:r>
            <w:proofErr w:type="spellEnd"/>
            <w:r w:rsidRPr="00B46DF2">
              <w:rPr>
                <w:rFonts w:asciiTheme="majorBidi" w:eastAsia="SimSun" w:hAnsiTheme="majorBidi" w:cstheme="majorBidi"/>
                <w:b/>
                <w:bCs/>
                <w:sz w:val="24"/>
                <w:szCs w:val="24"/>
                <w:lang w:bidi="ar"/>
              </w:rPr>
              <w:t>)</w:t>
            </w:r>
          </w:p>
        </w:tc>
        <w:tc>
          <w:tcPr>
            <w:tcW w:w="0" w:type="auto"/>
            <w:shd w:val="clear" w:color="auto" w:fill="FFE599" w:themeFill="accent4" w:themeFillTint="66"/>
            <w:vAlign w:val="center"/>
          </w:tcPr>
          <w:p w14:paraId="52FC8E5D" w14:textId="77777777" w:rsidR="00F42FFC" w:rsidRPr="00B46DF2" w:rsidRDefault="006A307E" w:rsidP="00080419">
            <w:pPr>
              <w:spacing w:line="276" w:lineRule="auto"/>
              <w:jc w:val="both"/>
              <w:rPr>
                <w:rFonts w:asciiTheme="majorBidi" w:hAnsiTheme="majorBidi" w:cstheme="majorBidi"/>
                <w:b/>
                <w:bCs/>
                <w:sz w:val="24"/>
                <w:szCs w:val="24"/>
              </w:rPr>
            </w:pPr>
            <w:proofErr w:type="spellStart"/>
            <w:r w:rsidRPr="00B46DF2">
              <w:rPr>
                <w:rFonts w:asciiTheme="majorBidi" w:eastAsia="SimSun" w:hAnsiTheme="majorBidi" w:cstheme="majorBidi"/>
                <w:b/>
                <w:bCs/>
                <w:sz w:val="24"/>
                <w:szCs w:val="24"/>
                <w:lang w:bidi="ar"/>
              </w:rPr>
              <w:t>TPz</w:t>
            </w:r>
            <w:proofErr w:type="spellEnd"/>
            <w:r w:rsidRPr="00B46DF2">
              <w:rPr>
                <w:rFonts w:asciiTheme="majorBidi" w:eastAsia="SimSun" w:hAnsiTheme="majorBidi" w:cstheme="majorBidi"/>
                <w:b/>
                <w:bCs/>
                <w:sz w:val="24"/>
                <w:szCs w:val="24"/>
                <w:lang w:bidi="ar"/>
              </w:rPr>
              <w:t>)</w:t>
            </w:r>
          </w:p>
        </w:tc>
        <w:tc>
          <w:tcPr>
            <w:tcW w:w="0" w:type="auto"/>
            <w:shd w:val="clear" w:color="auto" w:fill="FFE599" w:themeFill="accent4" w:themeFillTint="66"/>
            <w:vAlign w:val="center"/>
          </w:tcPr>
          <w:p w14:paraId="3DEE6EE9" w14:textId="77777777" w:rsidR="00F42FFC" w:rsidRPr="00B46DF2" w:rsidRDefault="006A307E" w:rsidP="00080419">
            <w:pPr>
              <w:spacing w:line="276" w:lineRule="auto"/>
              <w:jc w:val="both"/>
              <w:rPr>
                <w:rFonts w:asciiTheme="majorBidi" w:hAnsiTheme="majorBidi" w:cstheme="majorBidi"/>
                <w:b/>
                <w:bCs/>
                <w:sz w:val="24"/>
                <w:szCs w:val="24"/>
              </w:rPr>
            </w:pPr>
            <w:r w:rsidRPr="00B46DF2">
              <w:rPr>
                <w:rFonts w:asciiTheme="majorBidi" w:eastAsia="SimSun" w:hAnsiTheme="majorBidi" w:cstheme="majorBidi"/>
                <w:b/>
                <w:bCs/>
                <w:sz w:val="24"/>
                <w:szCs w:val="24"/>
                <w:lang w:bidi="ar"/>
              </w:rPr>
              <w:t>(FP}z)</w:t>
            </w:r>
          </w:p>
        </w:tc>
        <w:tc>
          <w:tcPr>
            <w:tcW w:w="0" w:type="auto"/>
            <w:shd w:val="clear" w:color="auto" w:fill="FFE599" w:themeFill="accent4" w:themeFillTint="66"/>
            <w:vAlign w:val="center"/>
          </w:tcPr>
          <w:p w14:paraId="7F21B469"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(pt/1-pt</w:t>
            </w:r>
          </w:p>
        </w:tc>
        <w:tc>
          <w:tcPr>
            <w:tcW w:w="0" w:type="auto"/>
            <w:shd w:val="clear" w:color="auto" w:fill="FFE599" w:themeFill="accent4" w:themeFillTint="66"/>
            <w:vAlign w:val="center"/>
          </w:tcPr>
          <w:p w14:paraId="4B132332" w14:textId="77777777" w:rsidR="00F42FFC" w:rsidRDefault="006A307E" w:rsidP="00080419">
            <w:pPr>
              <w:spacing w:line="276" w:lineRule="auto"/>
              <w:jc w:val="both"/>
              <w:rPr>
                <w:rFonts w:ascii="Times New Roman" w:hAnsi="Times New Roman"/>
                <w:b/>
                <w:bCs/>
                <w:sz w:val="24"/>
                <w:szCs w:val="24"/>
              </w:rPr>
            </w:pPr>
            <w:proofErr w:type="spellStart"/>
            <w:r>
              <w:rPr>
                <w:rFonts w:ascii="Times New Roman" w:eastAsia="SimSun" w:hAnsi="Times New Roman"/>
                <w:b/>
                <w:bCs/>
                <w:sz w:val="24"/>
                <w:szCs w:val="24"/>
                <w:lang w:bidi="ar"/>
              </w:rPr>
              <w:t>NetBenefit</w:t>
            </w:r>
            <w:proofErr w:type="spellEnd"/>
          </w:p>
        </w:tc>
      </w:tr>
      <w:tr w:rsidR="00F42FFC" w14:paraId="294F92DD" w14:textId="77777777" w:rsidTr="00EB3F35">
        <w:trPr>
          <w:tblCellSpacing w:w="15" w:type="dxa"/>
        </w:trPr>
        <w:tc>
          <w:tcPr>
            <w:tcW w:w="1290" w:type="dxa"/>
            <w:vAlign w:val="center"/>
          </w:tcPr>
          <w:p w14:paraId="24983F78"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0.75</w:t>
            </w:r>
          </w:p>
        </w:tc>
        <w:tc>
          <w:tcPr>
            <w:tcW w:w="0" w:type="auto"/>
            <w:vAlign w:val="center"/>
          </w:tcPr>
          <w:p w14:paraId="7FC7B6EE"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0.38</w:t>
            </w:r>
          </w:p>
        </w:tc>
        <w:tc>
          <w:tcPr>
            <w:tcW w:w="0" w:type="auto"/>
            <w:vAlign w:val="center"/>
          </w:tcPr>
          <w:p w14:paraId="2BC1CE9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Trusted PEZ</w:t>
            </w:r>
          </w:p>
        </w:tc>
        <w:tc>
          <w:tcPr>
            <w:tcW w:w="0" w:type="auto"/>
            <w:vAlign w:val="center"/>
          </w:tcPr>
          <w:p w14:paraId="451F095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100</w:t>
            </w:r>
          </w:p>
        </w:tc>
        <w:tc>
          <w:tcPr>
            <w:tcW w:w="0" w:type="auto"/>
            <w:vAlign w:val="center"/>
          </w:tcPr>
          <w:p w14:paraId="52B70974"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45</w:t>
            </w:r>
          </w:p>
        </w:tc>
        <w:tc>
          <w:tcPr>
            <w:tcW w:w="0" w:type="auto"/>
            <w:vAlign w:val="center"/>
          </w:tcPr>
          <w:p w14:paraId="52F28AB8"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5</w:t>
            </w:r>
          </w:p>
        </w:tc>
        <w:tc>
          <w:tcPr>
            <w:tcW w:w="0" w:type="auto"/>
            <w:vAlign w:val="center"/>
          </w:tcPr>
          <w:p w14:paraId="3DC09E0B"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3.00</w:t>
            </w:r>
          </w:p>
        </w:tc>
        <w:tc>
          <w:tcPr>
            <w:tcW w:w="0" w:type="auto"/>
            <w:vAlign w:val="center"/>
          </w:tcPr>
          <w:p w14:paraId="217BE6B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0.30</w:t>
            </w:r>
          </w:p>
        </w:tc>
      </w:tr>
      <w:tr w:rsidR="00F42FFC" w14:paraId="7B16DDD5" w14:textId="77777777" w:rsidTr="00EB3F35">
        <w:trPr>
          <w:tblCellSpacing w:w="15" w:type="dxa"/>
        </w:trPr>
        <w:tc>
          <w:tcPr>
            <w:tcW w:w="1290" w:type="dxa"/>
            <w:vAlign w:val="center"/>
          </w:tcPr>
          <w:p w14:paraId="6CC1F695"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0.85</w:t>
            </w:r>
          </w:p>
        </w:tc>
        <w:tc>
          <w:tcPr>
            <w:tcW w:w="0" w:type="auto"/>
            <w:vAlign w:val="center"/>
          </w:tcPr>
          <w:p w14:paraId="681DAB3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1.63</w:t>
            </w:r>
          </w:p>
        </w:tc>
        <w:tc>
          <w:tcPr>
            <w:tcW w:w="0" w:type="auto"/>
            <w:vAlign w:val="center"/>
          </w:tcPr>
          <w:p w14:paraId="553E24D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Upper Plausible PEZ</w:t>
            </w:r>
          </w:p>
        </w:tc>
        <w:tc>
          <w:tcPr>
            <w:tcW w:w="0" w:type="auto"/>
            <w:vAlign w:val="center"/>
          </w:tcPr>
          <w:p w14:paraId="4C180700"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100</w:t>
            </w:r>
          </w:p>
        </w:tc>
        <w:tc>
          <w:tcPr>
            <w:tcW w:w="0" w:type="auto"/>
            <w:vAlign w:val="center"/>
          </w:tcPr>
          <w:p w14:paraId="50D15BFF"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38</w:t>
            </w:r>
          </w:p>
        </w:tc>
        <w:tc>
          <w:tcPr>
            <w:tcW w:w="0" w:type="auto"/>
            <w:vAlign w:val="center"/>
          </w:tcPr>
          <w:p w14:paraId="0AC32D0B"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4</w:t>
            </w:r>
          </w:p>
        </w:tc>
        <w:tc>
          <w:tcPr>
            <w:tcW w:w="0" w:type="auto"/>
            <w:vAlign w:val="center"/>
          </w:tcPr>
          <w:p w14:paraId="7CA3A595"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5.67</w:t>
            </w:r>
          </w:p>
        </w:tc>
        <w:tc>
          <w:tcPr>
            <w:tcW w:w="0" w:type="auto"/>
            <w:vAlign w:val="center"/>
          </w:tcPr>
          <w:p w14:paraId="2D1433E0"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0.153</w:t>
            </w:r>
          </w:p>
        </w:tc>
      </w:tr>
      <w:tr w:rsidR="00F42FFC" w14:paraId="35565A11" w14:textId="77777777" w:rsidTr="00EB3F35">
        <w:trPr>
          <w:tblCellSpacing w:w="15" w:type="dxa"/>
        </w:trPr>
        <w:tc>
          <w:tcPr>
            <w:tcW w:w="1290" w:type="dxa"/>
            <w:vAlign w:val="center"/>
          </w:tcPr>
          <w:p w14:paraId="37491CD4"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0.95</w:t>
            </w:r>
          </w:p>
        </w:tc>
        <w:tc>
          <w:tcPr>
            <w:tcW w:w="0" w:type="auto"/>
            <w:vAlign w:val="center"/>
          </w:tcPr>
          <w:p w14:paraId="0AE3D2F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2.88</w:t>
            </w:r>
          </w:p>
        </w:tc>
        <w:tc>
          <w:tcPr>
            <w:tcW w:w="0" w:type="auto"/>
            <w:vAlign w:val="center"/>
          </w:tcPr>
          <w:p w14:paraId="6120774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Inflated PEZ</w:t>
            </w:r>
          </w:p>
        </w:tc>
        <w:tc>
          <w:tcPr>
            <w:tcW w:w="0" w:type="auto"/>
            <w:vAlign w:val="center"/>
          </w:tcPr>
          <w:p w14:paraId="358C2E04"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100</w:t>
            </w:r>
          </w:p>
        </w:tc>
        <w:tc>
          <w:tcPr>
            <w:tcW w:w="0" w:type="auto"/>
            <w:vAlign w:val="center"/>
          </w:tcPr>
          <w:p w14:paraId="5DCE1FC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25</w:t>
            </w:r>
          </w:p>
        </w:tc>
        <w:tc>
          <w:tcPr>
            <w:tcW w:w="0" w:type="auto"/>
            <w:vAlign w:val="center"/>
          </w:tcPr>
          <w:p w14:paraId="47A5E458"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w:t>
            </w:r>
          </w:p>
        </w:tc>
        <w:tc>
          <w:tcPr>
            <w:tcW w:w="0" w:type="auto"/>
            <w:vAlign w:val="center"/>
          </w:tcPr>
          <w:p w14:paraId="4235CFA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19.00</w:t>
            </w:r>
          </w:p>
        </w:tc>
        <w:tc>
          <w:tcPr>
            <w:tcW w:w="0" w:type="auto"/>
            <w:vAlign w:val="center"/>
          </w:tcPr>
          <w:p w14:paraId="256BD85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−0.13</w:t>
            </w:r>
          </w:p>
        </w:tc>
      </w:tr>
    </w:tbl>
    <w:p w14:paraId="4CCA1252" w14:textId="3A3DE25A" w:rsidR="00F42FFC" w:rsidRPr="00E550DE" w:rsidRDefault="006A307E" w:rsidP="00E550DE">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Expected Diagnostic Cost Across Epistemic Zones (Table 5)</w:t>
      </w:r>
      <w:r>
        <w:rPr>
          <w:rFonts w:ascii="Times New Roman" w:eastAsia="MS Mincho" w:hAnsi="Times New Roman" w:hint="default"/>
          <w:sz w:val="24"/>
          <w:szCs w:val="24"/>
          <w:lang w:bidi="ar"/>
        </w:rPr>
        <w:br/>
      </w:r>
      <w:r>
        <w:rPr>
          <w:rFonts w:ascii="Times New Roman" w:eastAsia="MS Mincho" w:hAnsi="Times New Roman" w:hint="default"/>
          <w:b w:val="0"/>
          <w:bCs w:val="0"/>
          <w:sz w:val="24"/>
          <w:szCs w:val="24"/>
          <w:lang w:bidi="ar"/>
        </w:rPr>
        <w:t>Expected Diagnostic Cost captures the economic and clinical consequences of diagnostic decisions:</w:t>
      </w:r>
      <w:r>
        <w:rPr>
          <w:rFonts w:ascii="Times New Roman" w:eastAsia="MS Mincho" w:hAnsi="Times New Roman" w:hint="default"/>
          <w:b w:val="0"/>
          <w:bCs w:val="0"/>
          <w:sz w:val="24"/>
          <w:szCs w:val="24"/>
          <w:lang w:bidi="ar"/>
        </w:rPr>
        <w:br/>
      </w:r>
      <w:proofErr w:type="spellStart"/>
      <w:r>
        <w:rPr>
          <w:rFonts w:ascii="Times New Roman" w:eastAsia="MS Mincho" w:hAnsi="Times New Roman" w:hint="default"/>
          <w:b w:val="0"/>
          <w:bCs w:val="0"/>
          <w:sz w:val="24"/>
          <w:szCs w:val="24"/>
          <w:lang w:bidi="ar"/>
        </w:rPr>
        <w:t>Cost_z</w:t>
      </w:r>
      <w:proofErr w:type="spellEnd"/>
      <w:r>
        <w:rPr>
          <w:rFonts w:ascii="Times New Roman" w:eastAsia="MS Mincho" w:hAnsi="Times New Roman" w:hint="default"/>
          <w:b w:val="0"/>
          <w:bCs w:val="0"/>
          <w:sz w:val="24"/>
          <w:szCs w:val="24"/>
          <w:lang w:bidi="ar"/>
        </w:rPr>
        <w:t xml:space="preserve"> = C_FP · </w:t>
      </w:r>
      <w:proofErr w:type="spellStart"/>
      <w:r>
        <w:rPr>
          <w:rFonts w:ascii="Times New Roman" w:eastAsia="MS Mincho" w:hAnsi="Times New Roman" w:hint="default"/>
          <w:b w:val="0"/>
          <w:bCs w:val="0"/>
          <w:sz w:val="24"/>
          <w:szCs w:val="24"/>
          <w:lang w:bidi="ar"/>
        </w:rPr>
        <w:t>FP_z</w:t>
      </w:r>
      <w:proofErr w:type="spellEnd"/>
      <w:r>
        <w:rPr>
          <w:rFonts w:ascii="Times New Roman" w:eastAsia="MS Mincho" w:hAnsi="Times New Roman" w:hint="default"/>
          <w:b w:val="0"/>
          <w:bCs w:val="0"/>
          <w:sz w:val="24"/>
          <w:szCs w:val="24"/>
          <w:lang w:bidi="ar"/>
        </w:rPr>
        <w:t xml:space="preserve"> + C_FN · </w:t>
      </w:r>
      <w:proofErr w:type="spellStart"/>
      <w:r>
        <w:rPr>
          <w:rFonts w:ascii="Times New Roman" w:eastAsia="MS Mincho" w:hAnsi="Times New Roman" w:hint="default"/>
          <w:b w:val="0"/>
          <w:bCs w:val="0"/>
          <w:sz w:val="24"/>
          <w:szCs w:val="24"/>
          <w:lang w:bidi="ar"/>
        </w:rPr>
        <w:t>FN_z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C_Delay</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Deferred_z</w:t>
      </w:r>
      <w:proofErr w:type="spellEnd"/>
      <w:r>
        <w:rPr>
          <w:rFonts w:ascii="Times New Roman" w:eastAsia="MS Mincho" w:hAnsi="Times New Roman" w:hint="default"/>
          <w:b w:val="0"/>
          <w:bCs w:val="0"/>
          <w:sz w:val="24"/>
          <w:szCs w:val="24"/>
          <w:lang w:bidi="ar"/>
        </w:rPr>
        <w:t>,</w:t>
      </w:r>
      <w:r>
        <w:rPr>
          <w:rFonts w:ascii="Times New Roman" w:eastAsia="MS Mincho" w:hAnsi="Times New Roman" w:hint="default"/>
          <w:b w:val="0"/>
          <w:bCs w:val="0"/>
          <w:sz w:val="24"/>
          <w:szCs w:val="24"/>
          <w:lang w:bidi="ar"/>
        </w:rPr>
        <w:br/>
        <w:t xml:space="preserve">where C_FP, C_FN, and </w:t>
      </w:r>
      <w:proofErr w:type="spellStart"/>
      <w:r>
        <w:rPr>
          <w:rFonts w:ascii="Times New Roman" w:eastAsia="MS Mincho" w:hAnsi="Times New Roman" w:hint="default"/>
          <w:b w:val="0"/>
          <w:bCs w:val="0"/>
          <w:sz w:val="24"/>
          <w:szCs w:val="24"/>
          <w:lang w:bidi="ar"/>
        </w:rPr>
        <w:t>C_Delay</w:t>
      </w:r>
      <w:proofErr w:type="spellEnd"/>
      <w:r>
        <w:rPr>
          <w:rFonts w:ascii="Times New Roman" w:eastAsia="MS Mincho" w:hAnsi="Times New Roman" w:hint="default"/>
          <w:b w:val="0"/>
          <w:bCs w:val="0"/>
          <w:sz w:val="24"/>
          <w:szCs w:val="24"/>
          <w:lang w:bidi="ar"/>
        </w:rPr>
        <w:t xml:space="preserve"> represent the cost weights associated with false positives, false negatives, and deferred evaluation penalties, respectively.</w:t>
      </w:r>
      <w:r>
        <w:rPr>
          <w:rFonts w:ascii="Times New Roman" w:eastAsia="MS Mincho" w:hAnsi="Times New Roman" w:hint="default"/>
          <w:b w:val="0"/>
          <w:bCs w:val="0"/>
          <w:sz w:val="24"/>
          <w:szCs w:val="24"/>
          <w:lang w:bidi="ar"/>
        </w:rPr>
        <w:br/>
        <w:t>In the synthetic illustration (Table Y), cost weights were set to:</w:t>
      </w:r>
      <w:r>
        <w:rPr>
          <w:rFonts w:ascii="Times New Roman" w:eastAsia="MS Mincho" w:hAnsi="Times New Roman" w:hint="default"/>
          <w:b w:val="0"/>
          <w:bCs w:val="0"/>
          <w:sz w:val="24"/>
          <w:szCs w:val="24"/>
          <w:lang w:bidi="ar"/>
        </w:rPr>
        <w:br/>
        <w:t xml:space="preserve">C_FP = 1, C_FN = 5, and </w:t>
      </w:r>
      <w:proofErr w:type="spellStart"/>
      <w:r>
        <w:rPr>
          <w:rFonts w:ascii="Times New Roman" w:eastAsia="MS Mincho" w:hAnsi="Times New Roman" w:hint="default"/>
          <w:b w:val="0"/>
          <w:bCs w:val="0"/>
          <w:sz w:val="24"/>
          <w:szCs w:val="24"/>
          <w:lang w:bidi="ar"/>
        </w:rPr>
        <w:t>C_Delay</w:t>
      </w:r>
      <w:proofErr w:type="spellEnd"/>
      <w:r>
        <w:rPr>
          <w:rFonts w:ascii="Times New Roman" w:eastAsia="MS Mincho" w:hAnsi="Times New Roman" w:hint="default"/>
          <w:b w:val="0"/>
          <w:bCs w:val="0"/>
          <w:sz w:val="24"/>
          <w:szCs w:val="24"/>
          <w:lang w:bidi="ar"/>
        </w:rPr>
        <w:t xml:space="preserve"> = 2</w:t>
      </w:r>
      <w:r>
        <w:rPr>
          <w:rFonts w:ascii="Times New Roman" w:eastAsia="MS Mincho" w:hAnsi="Times New Roman" w:hint="default"/>
          <w:b w:val="0"/>
          <w:bCs w:val="0"/>
          <w:sz w:val="24"/>
          <w:szCs w:val="24"/>
          <w:lang w:bidi="ar"/>
        </w:rPr>
        <w:br/>
        <w:t>to reflect the clinically asymmetric harm of missed diagnoses relative to unnecessary intervention.</w:t>
      </w:r>
      <w:r>
        <w:rPr>
          <w:rFonts w:ascii="Times New Roman" w:eastAsia="MS Mincho" w:hAnsi="Times New Roman" w:hint="default"/>
          <w:b w:val="0"/>
          <w:bCs w:val="0"/>
          <w:sz w:val="24"/>
          <w:szCs w:val="24"/>
          <w:lang w:bidi="ar"/>
        </w:rPr>
        <w:br/>
        <w:t xml:space="preserve">For the Trusted PEZ (x = 0.75, </w:t>
      </w:r>
      <w:proofErr w:type="spellStart"/>
      <w:r>
        <w:rPr>
          <w:rFonts w:ascii="Times New Roman" w:eastAsia="MS Mincho" w:hAnsi="Times New Roman" w:hint="default"/>
          <w:b w:val="0"/>
          <w:bCs w:val="0"/>
          <w:sz w:val="24"/>
          <w:szCs w:val="24"/>
          <w:lang w:bidi="ar"/>
        </w:rPr>
        <w:t>Z_post</w:t>
      </w:r>
      <w:proofErr w:type="spellEnd"/>
      <w:r>
        <w:rPr>
          <w:rFonts w:ascii="Times New Roman" w:eastAsia="MS Mincho" w:hAnsi="Times New Roman" w:hint="default"/>
          <w:b w:val="0"/>
          <w:bCs w:val="0"/>
          <w:sz w:val="24"/>
          <w:szCs w:val="24"/>
          <w:lang w:bidi="ar"/>
        </w:rPr>
        <w:t xml:space="preserve"> = 0.38), the observed counts (FP = 5, FN = 15, Deferred = 0) yield a total expected cost of 80, indicating balanced and stable cost exposure under high epistemic credibility.</w:t>
      </w:r>
      <w:r>
        <w:rPr>
          <w:rFonts w:ascii="Times New Roman" w:eastAsia="MS Mincho" w:hAnsi="Times New Roman" w:hint="default"/>
          <w:b w:val="0"/>
          <w:bCs w:val="0"/>
          <w:sz w:val="24"/>
          <w:szCs w:val="24"/>
          <w:lang w:bidi="ar"/>
        </w:rPr>
        <w:br/>
        <w:t xml:space="preserve">For the Upper Plausible PEZ (x = 0.85, </w:t>
      </w:r>
      <w:proofErr w:type="spellStart"/>
      <w:r>
        <w:rPr>
          <w:rFonts w:ascii="Times New Roman" w:eastAsia="MS Mincho" w:hAnsi="Times New Roman" w:hint="default"/>
          <w:b w:val="0"/>
          <w:bCs w:val="0"/>
          <w:sz w:val="24"/>
          <w:szCs w:val="24"/>
          <w:lang w:bidi="ar"/>
        </w:rPr>
        <w:t>Z_post</w:t>
      </w:r>
      <w:proofErr w:type="spellEnd"/>
      <w:r>
        <w:rPr>
          <w:rFonts w:ascii="Times New Roman" w:eastAsia="MS Mincho" w:hAnsi="Times New Roman" w:hint="default"/>
          <w:b w:val="0"/>
          <w:bCs w:val="0"/>
          <w:sz w:val="24"/>
          <w:szCs w:val="24"/>
          <w:lang w:bidi="ar"/>
        </w:rPr>
        <w:t xml:space="preserve"> = 1.63), increased false negatives and deferred cases (FN = 22, Deferred = 2) raise the expected cost to 118, reflecting moderate cost volatility that may be acceptable under monitored deployment.</w:t>
      </w:r>
      <w:r>
        <w:rPr>
          <w:rFonts w:ascii="Times New Roman" w:eastAsia="MS Mincho" w:hAnsi="Times New Roman" w:hint="default"/>
          <w:b w:val="0"/>
          <w:bCs w:val="0"/>
          <w:sz w:val="24"/>
          <w:szCs w:val="24"/>
          <w:lang w:bidi="ar"/>
        </w:rPr>
        <w:br/>
        <w:t xml:space="preserve">In contrast, for the Inflated PEZ (x = 0.95, </w:t>
      </w:r>
      <w:proofErr w:type="spellStart"/>
      <w:r>
        <w:rPr>
          <w:rFonts w:ascii="Times New Roman" w:eastAsia="MS Mincho" w:hAnsi="Times New Roman" w:hint="default"/>
          <w:b w:val="0"/>
          <w:bCs w:val="0"/>
          <w:sz w:val="24"/>
          <w:szCs w:val="24"/>
          <w:lang w:bidi="ar"/>
        </w:rPr>
        <w:t>Z_post</w:t>
      </w:r>
      <w:proofErr w:type="spellEnd"/>
      <w:r>
        <w:rPr>
          <w:rFonts w:ascii="Times New Roman" w:eastAsia="MS Mincho" w:hAnsi="Times New Roman" w:hint="default"/>
          <w:b w:val="0"/>
          <w:bCs w:val="0"/>
          <w:sz w:val="24"/>
          <w:szCs w:val="24"/>
          <w:lang w:bidi="ar"/>
        </w:rPr>
        <w:t xml:space="preserve"> = 2.88), a substantial increase in false negatives and deferred evaluations (FN = 35, Deferred = 5) drives the expected cost to 187, demonstrating pronounced cost escalation under epistemic fragility despite superficially high posterior probabilities.</w:t>
      </w:r>
      <w:r>
        <w:rPr>
          <w:rFonts w:ascii="Times New Roman" w:eastAsia="MS Mincho" w:hAnsi="Times New Roman" w:hint="default"/>
          <w:b w:val="0"/>
          <w:bCs w:val="0"/>
          <w:sz w:val="24"/>
          <w:szCs w:val="24"/>
          <w:lang w:bidi="ar"/>
        </w:rPr>
        <w:br/>
        <w:t>Consistent with the BEZ governance principle, decisions operating in the Trusted PEZ minimize unexpected cost volatility because posterior uncertainty is tightly constrained, whereas Inflated PEZ thresholds expose systems to elevated downstream cost due to amplified epistemic uncertainty and potential miscalibration. In the breast cancer illustration, selecting an aggressive threshold such as x = 0.95 therefore materially increases the risk of costly missed malignancies when posterior uncertainty is underestimated, while thresholds within the Trusted PEZ maintain balanced and more predictable cost exposure.</w:t>
      </w:r>
    </w:p>
    <w:p w14:paraId="7F2DACF3" w14:textId="77777777" w:rsidR="00F42FFC" w:rsidRDefault="006A307E" w:rsidP="00080419">
      <w:pPr>
        <w:pStyle w:val="Heading2"/>
        <w:spacing w:line="276" w:lineRule="auto"/>
        <w:jc w:val="both"/>
        <w:rPr>
          <w:rFonts w:ascii="Times New Roman" w:hAnsi="Times New Roman" w:hint="default"/>
          <w:sz w:val="24"/>
          <w:szCs w:val="24"/>
        </w:rPr>
      </w:pPr>
      <w:r>
        <w:rPr>
          <w:rFonts w:ascii="Times New Roman" w:hAnsi="Times New Roman" w:hint="default"/>
          <w:sz w:val="24"/>
          <w:szCs w:val="24"/>
        </w:rPr>
        <w:t>Table 5. Synthetic Expected Diagnostic Cost by Zone</w:t>
      </w:r>
    </w:p>
    <w:tbl>
      <w:tblPr>
        <w:tblStyle w:v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203"/>
        <w:gridCol w:w="1064"/>
        <w:gridCol w:w="1073"/>
        <w:gridCol w:w="1197"/>
        <w:gridCol w:w="1643"/>
        <w:gridCol w:w="1118"/>
      </w:tblGrid>
      <w:tr w:rsidR="00F42FFC" w14:paraId="700E91A7" w14:textId="77777777" w:rsidTr="00B660CD">
        <w:tc>
          <w:tcPr>
            <w:tcW w:w="1234" w:type="dxa"/>
            <w:shd w:val="clear" w:color="auto" w:fill="FFE599" w:themeFill="accent4" w:themeFillTint="66"/>
          </w:tcPr>
          <w:p w14:paraId="1650EC54"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lastRenderedPageBreak/>
              <w:t>Threshold x</w:t>
            </w:r>
          </w:p>
        </w:tc>
        <w:tc>
          <w:tcPr>
            <w:tcW w:w="1234" w:type="dxa"/>
            <w:shd w:val="clear" w:color="auto" w:fill="FFE599" w:themeFill="accent4" w:themeFillTint="66"/>
          </w:tcPr>
          <w:p w14:paraId="39870458"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Zone</w:t>
            </w:r>
          </w:p>
        </w:tc>
        <w:tc>
          <w:tcPr>
            <w:tcW w:w="1234" w:type="dxa"/>
            <w:shd w:val="clear" w:color="auto" w:fill="FFE599" w:themeFill="accent4" w:themeFillTint="66"/>
          </w:tcPr>
          <w:p w14:paraId="0BBE75CB"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FP</w:t>
            </w:r>
          </w:p>
        </w:tc>
        <w:tc>
          <w:tcPr>
            <w:tcW w:w="1234" w:type="dxa"/>
            <w:shd w:val="clear" w:color="auto" w:fill="FFE599" w:themeFill="accent4" w:themeFillTint="66"/>
          </w:tcPr>
          <w:p w14:paraId="24B9ADB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FN</w:t>
            </w:r>
          </w:p>
        </w:tc>
        <w:tc>
          <w:tcPr>
            <w:tcW w:w="1234" w:type="dxa"/>
            <w:shd w:val="clear" w:color="auto" w:fill="FFE599" w:themeFill="accent4" w:themeFillTint="66"/>
          </w:tcPr>
          <w:p w14:paraId="0249E51B"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Deferred</w:t>
            </w:r>
          </w:p>
        </w:tc>
        <w:tc>
          <w:tcPr>
            <w:tcW w:w="1234" w:type="dxa"/>
            <w:shd w:val="clear" w:color="auto" w:fill="FFE599" w:themeFill="accent4" w:themeFillTint="66"/>
          </w:tcPr>
          <w:p w14:paraId="67E6E2F2"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Cost Weights (</w:t>
            </w:r>
            <w:proofErr w:type="spellStart"/>
            <w:r>
              <w:rPr>
                <w:rFonts w:ascii="Times New Roman" w:eastAsia="MS Mincho" w:hAnsi="Times New Roman" w:hint="default"/>
                <w:sz w:val="24"/>
                <w:szCs w:val="24"/>
                <w:lang w:bidi="ar"/>
              </w:rPr>
              <w:t>FP,FN,Delay</w:t>
            </w:r>
            <w:proofErr w:type="spellEnd"/>
            <w:r>
              <w:rPr>
                <w:rFonts w:ascii="Times New Roman" w:eastAsia="MS Mincho" w:hAnsi="Times New Roman" w:hint="default"/>
                <w:sz w:val="24"/>
                <w:szCs w:val="24"/>
                <w:lang w:bidi="ar"/>
              </w:rPr>
              <w:t>)</w:t>
            </w:r>
          </w:p>
        </w:tc>
        <w:tc>
          <w:tcPr>
            <w:tcW w:w="1234" w:type="dxa"/>
            <w:shd w:val="clear" w:color="auto" w:fill="FFE599" w:themeFill="accent4" w:themeFillTint="66"/>
          </w:tcPr>
          <w:p w14:paraId="1F9D4937"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Total Cost</w:t>
            </w:r>
          </w:p>
        </w:tc>
      </w:tr>
      <w:tr w:rsidR="00F42FFC" w14:paraId="43F7D7AE" w14:textId="77777777" w:rsidTr="00EB3F35">
        <w:tc>
          <w:tcPr>
            <w:tcW w:w="1234" w:type="dxa"/>
          </w:tcPr>
          <w:p w14:paraId="79F6A93A"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0.75</w:t>
            </w:r>
          </w:p>
        </w:tc>
        <w:tc>
          <w:tcPr>
            <w:tcW w:w="1234" w:type="dxa"/>
          </w:tcPr>
          <w:p w14:paraId="06C7162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Trusted</w:t>
            </w:r>
          </w:p>
        </w:tc>
        <w:tc>
          <w:tcPr>
            <w:tcW w:w="1234" w:type="dxa"/>
          </w:tcPr>
          <w:p w14:paraId="1EA88D7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5</w:t>
            </w:r>
          </w:p>
        </w:tc>
        <w:tc>
          <w:tcPr>
            <w:tcW w:w="1234" w:type="dxa"/>
          </w:tcPr>
          <w:p w14:paraId="4346C3ED"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w:t>
            </w:r>
          </w:p>
        </w:tc>
        <w:tc>
          <w:tcPr>
            <w:tcW w:w="1234" w:type="dxa"/>
          </w:tcPr>
          <w:p w14:paraId="0CD72475"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w:t>
            </w:r>
          </w:p>
        </w:tc>
        <w:tc>
          <w:tcPr>
            <w:tcW w:w="1234" w:type="dxa"/>
          </w:tcPr>
          <w:p w14:paraId="349E495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(1,5,2)</w:t>
            </w:r>
          </w:p>
        </w:tc>
        <w:tc>
          <w:tcPr>
            <w:tcW w:w="1234" w:type="dxa"/>
          </w:tcPr>
          <w:p w14:paraId="376F4D5E"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80</w:t>
            </w:r>
          </w:p>
        </w:tc>
      </w:tr>
      <w:tr w:rsidR="00F42FFC" w14:paraId="074C3F9D" w14:textId="77777777" w:rsidTr="00EB3F35">
        <w:tc>
          <w:tcPr>
            <w:tcW w:w="1234" w:type="dxa"/>
          </w:tcPr>
          <w:p w14:paraId="161A017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0.85</w:t>
            </w:r>
          </w:p>
        </w:tc>
        <w:tc>
          <w:tcPr>
            <w:tcW w:w="1234" w:type="dxa"/>
          </w:tcPr>
          <w:p w14:paraId="7EB6B7C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Upper Plausible</w:t>
            </w:r>
          </w:p>
        </w:tc>
        <w:tc>
          <w:tcPr>
            <w:tcW w:w="1234" w:type="dxa"/>
          </w:tcPr>
          <w:p w14:paraId="42B511B4"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4</w:t>
            </w:r>
          </w:p>
        </w:tc>
        <w:tc>
          <w:tcPr>
            <w:tcW w:w="1234" w:type="dxa"/>
          </w:tcPr>
          <w:p w14:paraId="3774FA1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22</w:t>
            </w:r>
          </w:p>
        </w:tc>
        <w:tc>
          <w:tcPr>
            <w:tcW w:w="1234" w:type="dxa"/>
          </w:tcPr>
          <w:p w14:paraId="1DAAF3B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2</w:t>
            </w:r>
          </w:p>
        </w:tc>
        <w:tc>
          <w:tcPr>
            <w:tcW w:w="1234" w:type="dxa"/>
          </w:tcPr>
          <w:p w14:paraId="42545F2A"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(1,5,2)</w:t>
            </w:r>
          </w:p>
        </w:tc>
        <w:tc>
          <w:tcPr>
            <w:tcW w:w="1234" w:type="dxa"/>
          </w:tcPr>
          <w:p w14:paraId="39D3A42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118</w:t>
            </w:r>
          </w:p>
        </w:tc>
      </w:tr>
      <w:tr w:rsidR="00F42FFC" w14:paraId="0697EBD7" w14:textId="77777777" w:rsidTr="00EB3F35">
        <w:tc>
          <w:tcPr>
            <w:tcW w:w="1234" w:type="dxa"/>
          </w:tcPr>
          <w:p w14:paraId="1331114D"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0.95</w:t>
            </w:r>
          </w:p>
        </w:tc>
        <w:tc>
          <w:tcPr>
            <w:tcW w:w="1234" w:type="dxa"/>
          </w:tcPr>
          <w:p w14:paraId="5C717157"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Inflated</w:t>
            </w:r>
          </w:p>
        </w:tc>
        <w:tc>
          <w:tcPr>
            <w:tcW w:w="1234" w:type="dxa"/>
          </w:tcPr>
          <w:p w14:paraId="0716038E"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2</w:t>
            </w:r>
          </w:p>
        </w:tc>
        <w:tc>
          <w:tcPr>
            <w:tcW w:w="1234" w:type="dxa"/>
          </w:tcPr>
          <w:p w14:paraId="7293161B"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35</w:t>
            </w:r>
          </w:p>
        </w:tc>
        <w:tc>
          <w:tcPr>
            <w:tcW w:w="1234" w:type="dxa"/>
          </w:tcPr>
          <w:p w14:paraId="0FC3FA81"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5</w:t>
            </w:r>
          </w:p>
        </w:tc>
        <w:tc>
          <w:tcPr>
            <w:tcW w:w="1234" w:type="dxa"/>
          </w:tcPr>
          <w:p w14:paraId="6C6DE188"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(1,5,2)</w:t>
            </w:r>
          </w:p>
        </w:tc>
        <w:tc>
          <w:tcPr>
            <w:tcW w:w="1234" w:type="dxa"/>
          </w:tcPr>
          <w:p w14:paraId="4E7200DD"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187</w:t>
            </w:r>
          </w:p>
        </w:tc>
      </w:tr>
    </w:tbl>
    <w:p w14:paraId="0D3F4A82" w14:textId="77777777" w:rsidR="00F42FFC" w:rsidRDefault="00F42FFC" w:rsidP="00080419">
      <w:pPr>
        <w:spacing w:before="0" w:beforeAutospacing="0" w:after="200" w:afterAutospacing="0" w:line="276" w:lineRule="auto"/>
        <w:jc w:val="both"/>
        <w:rPr>
          <w:rFonts w:ascii="Times New Roman" w:hAnsi="Times New Roman"/>
          <w:sz w:val="24"/>
          <w:szCs w:val="24"/>
        </w:rPr>
      </w:pPr>
    </w:p>
    <w:p w14:paraId="501A27EE" w14:textId="77777777" w:rsidR="00F42FFC" w:rsidRDefault="006A307E" w:rsidP="00080419">
      <w:pPr>
        <w:pStyle w:val="NormalWeb"/>
        <w:spacing w:line="276" w:lineRule="auto"/>
        <w:jc w:val="both"/>
      </w:pPr>
      <w:r>
        <w:t xml:space="preserve">Combining Posterior Zone-Balanced Error (PZBE), Net Benefit, and Expected Diagnostic Cost yields a multidimensional assessment of diagnostic performance that </w:t>
      </w:r>
      <w:r w:rsidR="00072B6A">
        <w:t xml:space="preserve"> </w:t>
      </w:r>
      <w:r w:rsidR="009F77F7">
        <w:t xml:space="preserve"> </w:t>
      </w:r>
      <w:r>
        <w:t>integrates predictive accuracy, epistemic credibility, clinical utility, and operational risk exposure.</w:t>
      </w:r>
      <w:r w:rsidR="00EB3F35">
        <w:t xml:space="preserve"> </w:t>
      </w:r>
      <w:r>
        <w:br/>
        <w:t xml:space="preserve">The breast cancer demonstration illustrates that posterior probabilities alone may encourage aggressive intervention thresholds, whereas BEZ reveals that </w:t>
      </w:r>
      <w:proofErr w:type="gramStart"/>
      <w:r>
        <w:t xml:space="preserve">such </w:t>
      </w:r>
      <w:r w:rsidR="00072B6A">
        <w:t xml:space="preserve"> </w:t>
      </w:r>
      <w:r>
        <w:t>thresholds</w:t>
      </w:r>
      <w:proofErr w:type="gramEnd"/>
      <w:r>
        <w:t xml:space="preserve"> may reside in epistemically fragile or inflated regions. By explicitly mapping decisions to posterior credibility zones, BEZ supports safer threshold selection, transparent governance, and proactive mitigation of false confidence in high-stakes medical decision systems.</w:t>
      </w:r>
    </w:p>
    <w:p w14:paraId="167AB2F9" w14:textId="77777777" w:rsidR="00F42FFC" w:rsidRDefault="006A307E" w:rsidP="00080419">
      <w:pPr>
        <w:pStyle w:val="Heading1"/>
        <w:spacing w:line="276" w:lineRule="auto"/>
        <w:rPr>
          <w:rFonts w:ascii="Times New Roman" w:hAnsi="Times New Roman" w:hint="default"/>
          <w:sz w:val="24"/>
          <w:szCs w:val="24"/>
        </w:rPr>
      </w:pPr>
      <w:r>
        <w:rPr>
          <w:rStyle w:val="Strong"/>
          <w:rFonts w:ascii="Times New Roman" w:hAnsi="Times New Roman" w:hint="default"/>
          <w:b/>
          <w:bCs/>
          <w:sz w:val="24"/>
          <w:szCs w:val="24"/>
        </w:rPr>
        <w:t>7. Discussion</w:t>
      </w:r>
    </w:p>
    <w:p w14:paraId="7C30C84E" w14:textId="77777777" w:rsidR="00F42FFC" w:rsidRDefault="006A307E" w:rsidP="00F72FA6">
      <w:pPr>
        <w:pStyle w:val="NormalWeb"/>
        <w:spacing w:line="276" w:lineRule="auto"/>
        <w:jc w:val="both"/>
      </w:pPr>
      <w:r>
        <w:t xml:space="preserve">This study introduced </w:t>
      </w:r>
      <w:r w:rsidR="00F72FA6">
        <w:t xml:space="preserve">BEZ </w:t>
      </w:r>
      <w:r>
        <w:t>as a structured interpretive layer that transforms Bayesian posterior uncertainty into explicit epistemic credibility regimes for operational decision-making. Unlike conventional Bayesian reporting, which emphasizes posterior means, probabilities, and credible intervals, BEZ explicitly contextualizes operational thresholds relative to posterior dispersion, enabling decisions to be evaluated in terms of epistemic stability, fragility, and overconfidence rather than numerical magnitude alone. The simulation experiments and real-world breast cancer illustration demonstrate that epistemically meaningful distinctions may exist even when posterior point estimates appear similar, revealing latent decision risk that remains invisib</w:t>
      </w:r>
      <w:r w:rsidR="00055BE0">
        <w:t>le under traditional summaries (Gelman et al., 2013);</w:t>
      </w:r>
      <w:r w:rsidR="00055BE0" w:rsidRPr="00055BE0">
        <w:t xml:space="preserve"> </w:t>
      </w:r>
      <w:r w:rsidR="00055BE0">
        <w:t>Morey et al., 2016</w:t>
      </w:r>
      <w:r>
        <w:t>).</w:t>
      </w:r>
    </w:p>
    <w:p w14:paraId="76814DF8" w14:textId="77777777" w:rsidR="00F42FFC" w:rsidRDefault="006A307E" w:rsidP="00607325">
      <w:pPr>
        <w:pStyle w:val="NormalWeb"/>
        <w:spacing w:line="276" w:lineRule="auto"/>
        <w:jc w:val="both"/>
      </w:pPr>
      <w:r>
        <w:t xml:space="preserve">A central empirical observation from the simulation study is that epistemic classification is not monotonic with sample size or posterior concentration. In the stable-knowledge scenario, increasing data volume progressively tightened posterior dispersion, causing a previously acceptable operational threshold to migrate from the Trusted zone into the Recessive zone as epistemic alignment diminished. This illustrates a subtle but important phenomenon: fixed operational thresholds may become epistemically misaligned as knowledge stabilizes, even when numerical </w:t>
      </w:r>
      <w:r>
        <w:lastRenderedPageBreak/>
        <w:t>accuracy improves. Such dynamics echo long-standing warnings in exploratory and inferential statistics regarding the fragility of rigid thresholds and the dangers of overinterpretin</w:t>
      </w:r>
      <w:r w:rsidR="004F0C1D">
        <w:t xml:space="preserve">g apparent numerical stability </w:t>
      </w:r>
      <w:r w:rsidR="00376B46">
        <w:t xml:space="preserve">(Wasserstein &amp; Lazar, </w:t>
      </w:r>
      <w:proofErr w:type="gramStart"/>
      <w:r w:rsidR="00376B46">
        <w:t>2016</w:t>
      </w:r>
      <w:r w:rsidR="004F0C1D">
        <w:t>;</w:t>
      </w:r>
      <w:r w:rsidR="00607325">
        <w:t>Tukey</w:t>
      </w:r>
      <w:proofErr w:type="gramEnd"/>
      <w:r w:rsidR="00607325">
        <w:t>, 1977</w:t>
      </w:r>
      <w:r>
        <w:t>).</w:t>
      </w:r>
    </w:p>
    <w:p w14:paraId="59992A30" w14:textId="2FCC39E7" w:rsidR="00F42FFC" w:rsidRDefault="006A307E" w:rsidP="001652EC">
      <w:pPr>
        <w:pStyle w:val="NormalWeb"/>
        <w:spacing w:line="276" w:lineRule="auto"/>
        <w:jc w:val="both"/>
      </w:pPr>
      <w:r>
        <w:t>The moderate-uncertainty scenario further demonstrates that epistemic credibility depends not only on dispersion magnitude but on alignment between the operational value and posterior belief. Despite relatively wide uncertainty at small sample sizes, thresholds remained within the Trusted zone when centered appropriately, supporting conditional operational stability.</w:t>
      </w:r>
      <w:r w:rsidR="00E30103" w:rsidRPr="00E30103">
        <w:t xml:space="preserve"> </w:t>
      </w:r>
      <w:r w:rsidR="00E30103" w:rsidRPr="00C04A7D">
        <w:rPr>
          <w:highlight w:val="yellow"/>
        </w:rPr>
        <w:t>This observation aligns with recent advances in evidential generative modeling, which have explored how small</w:t>
      </w:r>
      <w:r w:rsidR="00E30103" w:rsidRPr="00C04A7D">
        <w:rPr>
          <w:highlight w:val="yellow"/>
        </w:rPr>
        <w:noBreakHyphen/>
        <w:t xml:space="preserve">sample fragility can be mitigated through synthetic augmentation and uncertainty quantification. As noted in Section 3.6, </w:t>
      </w:r>
      <w:r w:rsidR="00E30103" w:rsidRPr="00C04A7D">
        <w:rPr>
          <w:rStyle w:val="Emphasis"/>
          <w:highlight w:val="yellow"/>
        </w:rPr>
        <w:t>Epistemic Generative Adversarial Networks</w:t>
      </w:r>
      <w:r w:rsidR="00E30103" w:rsidRPr="00C04A7D">
        <w:rPr>
          <w:highlight w:val="yellow"/>
        </w:rPr>
        <w:t xml:space="preserve"> (Mubashar &amp; </w:t>
      </w:r>
      <w:proofErr w:type="spellStart"/>
      <w:r w:rsidR="00E30103" w:rsidRPr="00C04A7D">
        <w:rPr>
          <w:highlight w:val="yellow"/>
        </w:rPr>
        <w:t>Cuzzolin</w:t>
      </w:r>
      <w:proofErr w:type="spellEnd"/>
      <w:r w:rsidR="00E30103" w:rsidRPr="00C04A7D">
        <w:rPr>
          <w:highlight w:val="yellow"/>
        </w:rPr>
        <w:t>, 2026) provide one such approach, embedding Dempster</w:t>
      </w:r>
      <w:r w:rsidR="00E30103" w:rsidRPr="00C04A7D">
        <w:rPr>
          <w:highlight w:val="yellow"/>
        </w:rPr>
        <w:noBreakHyphen/>
        <w:t>Shafer reasoning into GAN architectures to improve diversity and quantify epistemic uncertainty. While these generative tools address data scarcity, BEZ’s role remains complementary: it provides a governance</w:t>
      </w:r>
      <w:r w:rsidR="00E30103" w:rsidRPr="00C04A7D">
        <w:rPr>
          <w:highlight w:val="yellow"/>
        </w:rPr>
        <w:noBreakHyphen/>
        <w:t>oriented calibration of thresholds relative to posterior dispersion, ensuring that credibility assessments remain transparent regardless of how posterior samples are obtained.</w:t>
      </w:r>
      <w:r>
        <w:t xml:space="preserve"> Conversely, the fragile scenario highlights how high posterior means can coexist with epistemically weak credibility when dispersion remains large, reinforcing the danger of interpreting posterior magnitude in isolation. These behaviors collectively validate BEZ as a mechanism for separating numerical confidence from epistemic reliability, a distinction frequently emphasized in philosophical critiques of statistical inference </w:t>
      </w:r>
      <w:r w:rsidR="001652EC">
        <w:t>(</w:t>
      </w:r>
      <w:proofErr w:type="spellStart"/>
      <w:r w:rsidR="001652EC">
        <w:t>Gigerenzer</w:t>
      </w:r>
      <w:proofErr w:type="spellEnd"/>
      <w:r w:rsidR="001652EC">
        <w:t xml:space="preserve"> et al., 2004;</w:t>
      </w:r>
      <w:r w:rsidR="001652EC" w:rsidRPr="001652EC">
        <w:t xml:space="preserve"> </w:t>
      </w:r>
      <w:r w:rsidR="001652EC">
        <w:t>Romeijn, 2017)</w:t>
      </w:r>
      <w:r w:rsidR="00E30103">
        <w:t>.</w:t>
      </w:r>
    </w:p>
    <w:p w14:paraId="63F46075" w14:textId="77777777" w:rsidR="00F42FFC" w:rsidRDefault="006A307E" w:rsidP="001652EC">
      <w:pPr>
        <w:pStyle w:val="NormalWeb"/>
        <w:spacing w:line="276" w:lineRule="auto"/>
        <w:jc w:val="both"/>
      </w:pPr>
      <w:r>
        <w:t xml:space="preserve">The real-world breast cancer demonstration provides a clinically intuitive illustration of these principles. Although a posterior mean malignancy probability of approximately 0.72 might traditionally justify aggressive intervention, BEZ reveals that thresholds such as 0.95 lie in the Inflated zone, representing overconfident extrapolation beyond posterior support. In contrast, thresholds derived directly from posterior dispersion (e.g., 0.64–0.80) occupy the Trusted zone and exhibit epistemically stable behavior. This distinction has direct clinical relevance: overly aggressive thresholds increase the risk of miscalibration, unnecessary harm, or missed diagnoses when posterior uncertainty is underestimated. Similar concerns regarding the operational misuse of probabilistic confidence have been raised in both Bayesian epistemology and applied decision theory </w:t>
      </w:r>
      <w:r w:rsidR="001652EC">
        <w:t>(Howson &amp; Urbach, 2006; Joyce, 2005;</w:t>
      </w:r>
      <w:r w:rsidR="001652EC" w:rsidRPr="001652EC">
        <w:t xml:space="preserve"> </w:t>
      </w:r>
      <w:r w:rsidR="001652EC">
        <w:t>(Joyce, 2005</w:t>
      </w:r>
      <w:r>
        <w:t>).</w:t>
      </w:r>
    </w:p>
    <w:p w14:paraId="31254D5C" w14:textId="77777777" w:rsidR="00F42FFC" w:rsidRDefault="006A307E" w:rsidP="00F5121E">
      <w:pPr>
        <w:pStyle w:val="NormalWeb"/>
        <w:spacing w:line="276" w:lineRule="auto"/>
        <w:jc w:val="both"/>
      </w:pPr>
      <w:r>
        <w:t xml:space="preserve">Beyond threshold interpretation, the integration of Posterior Zone-Balanced Error (PZBE), Net Benefit stratification, and Expected Diagnostic Cost demonstrates how epistemic zoning can be extended into multidimensional performance governance. The synthetic illustrations show that errors and costs occurring in Inflated zones </w:t>
      </w:r>
      <w:r>
        <w:lastRenderedPageBreak/>
        <w:t xml:space="preserve">contribute disproportionately to epistemic risk even when classical accuracy metrics remain favorable. Similarly, Net Benefit stability degrades as thresholds migrate into fragile epistemic regions, despite superficially acceptable discrimination. This complements contemporary efforts in probabilistic machine learning to quantify uncertainty and calibration, which remain largely quantitative and lack categorical governance mechanisms </w:t>
      </w:r>
      <w:r w:rsidR="00F5121E">
        <w:t>(Kendall &amp; Gal, 2017;</w:t>
      </w:r>
      <w:r w:rsidR="00F5121E" w:rsidRPr="00F5121E">
        <w:t xml:space="preserve"> </w:t>
      </w:r>
      <w:r w:rsidR="00F5121E">
        <w:t>(Gal &amp; Ghahramani, 2016</w:t>
      </w:r>
      <w:r>
        <w:t>).</w:t>
      </w:r>
    </w:p>
    <w:p w14:paraId="7F1588A0" w14:textId="77777777" w:rsidR="00F42FFC" w:rsidRDefault="006A307E" w:rsidP="004251A2">
      <w:pPr>
        <w:pStyle w:val="NormalWeb"/>
        <w:spacing w:line="276" w:lineRule="auto"/>
        <w:jc w:val="both"/>
      </w:pPr>
      <w:r>
        <w:t>Importantly, BEZ complements rather than replaces Bayesian decision theory. Whereas classical Bayesian optimization focuses on expected utility under fixed loss assumptions, BEZ introduces a credibility filter that qualifies whether a decision should be executed autonomously, conditionally, or deferred for recalibration. This layered structure aligns naturally with safety-critical deployment pipelines, regulatory audit requirements, and adaptive governance frameworks for intelligent systems, where transparency and epistemic accountabili</w:t>
      </w:r>
      <w:r w:rsidR="004251A2">
        <w:t>ty are increasingly emphasized (Wasserstein &amp; Lazar, 2016; Otsuka, 2023</w:t>
      </w:r>
      <w:r>
        <w:t>).</w:t>
      </w:r>
    </w:p>
    <w:p w14:paraId="782769E4" w14:textId="77777777" w:rsidR="00F42FFC" w:rsidRDefault="006A307E" w:rsidP="004453E8">
      <w:pPr>
        <w:pStyle w:val="NormalWeb"/>
        <w:spacing w:line="276" w:lineRule="auto"/>
        <w:jc w:val="both"/>
      </w:pPr>
      <w:r>
        <w:t xml:space="preserve">From a broader methodological perspective, BEZ operationalizes longstanding philosophical concerns regarding the conflation of numerical confidence with epistemic reliability. While prior work has highlighted the importance of coherent belief updating and probabilistic rationality </w:t>
      </w:r>
      <w:r w:rsidR="00916FEA">
        <w:t xml:space="preserve">(Howson &amp; Urbach, </w:t>
      </w:r>
      <w:proofErr w:type="gramStart"/>
      <w:r w:rsidR="00916FEA">
        <w:t>2006;Joyce</w:t>
      </w:r>
      <w:proofErr w:type="gramEnd"/>
      <w:r w:rsidR="00916FEA">
        <w:t>, 2005</w:t>
      </w:r>
      <w:r>
        <w:t xml:space="preserve">), few approaches provide explicit computational mechanisms for translating posterior uncertainty into actionable credibility states. </w:t>
      </w:r>
      <w:r w:rsidR="004453E8">
        <w:t>By formalizing epistemic zones directly in posterior space, BEZ bridges the gap between probabilistic inference and reliability-aware decision interpretation, translating earlier conceptual critiques into a concrete and operational statistical framework (</w:t>
      </w:r>
      <w:proofErr w:type="spellStart"/>
      <w:r w:rsidR="004453E8">
        <w:t>Gigerenzer</w:t>
      </w:r>
      <w:proofErr w:type="spellEnd"/>
      <w:r w:rsidR="004453E8">
        <w:t xml:space="preserve"> et al., 2004; Romeijn, 2017).</w:t>
      </w:r>
    </w:p>
    <w:p w14:paraId="1B165521" w14:textId="77777777" w:rsidR="00F42FFC" w:rsidRDefault="006A307E" w:rsidP="00080419">
      <w:pPr>
        <w:pStyle w:val="NormalWeb"/>
        <w:spacing w:line="276" w:lineRule="auto"/>
        <w:jc w:val="both"/>
      </w:pPr>
      <w:r>
        <w:t>Collectively, these findings support the central claim that posterior probabilities alone are insufficient for safe and interpretable decision-making in high-stakes environments. Epistemic context, stability, and credibility must be explicitly encoded to prevent false confidence and fragile automation. BEZ provides a scalable and transparent mechanism for achieving this goal, enabling adaptive threshold design, epistemically weighted performance evaluation, and proactive risk mitigation across clinical, regulatory, and algorithmic decision systems.</w:t>
      </w:r>
    </w:p>
    <w:p w14:paraId="42CC8BDC" w14:textId="77777777" w:rsidR="00FE4C48" w:rsidRPr="004572E7" w:rsidRDefault="00FE4C48" w:rsidP="004572E7">
      <w:pPr>
        <w:pStyle w:val="Heading3"/>
        <w:spacing w:line="276" w:lineRule="auto"/>
        <w:jc w:val="both"/>
        <w:rPr>
          <w:rFonts w:asciiTheme="majorBidi" w:hAnsiTheme="majorBidi" w:cstheme="majorBidi" w:hint="default"/>
          <w:sz w:val="24"/>
          <w:szCs w:val="24"/>
        </w:rPr>
      </w:pPr>
      <w:r w:rsidRPr="004572E7">
        <w:rPr>
          <w:rStyle w:val="Strong"/>
          <w:rFonts w:asciiTheme="majorBidi" w:hAnsiTheme="majorBidi" w:cstheme="majorBidi" w:hint="default"/>
          <w:b/>
          <w:bCs/>
          <w:sz w:val="24"/>
          <w:szCs w:val="24"/>
        </w:rPr>
        <w:t>7.1 Relation to Prior Zonal Interpretations</w:t>
      </w:r>
    </w:p>
    <w:p w14:paraId="3C1E4B97" w14:textId="77777777" w:rsidR="00FE4C48" w:rsidRPr="004572E7" w:rsidRDefault="00FE4C48" w:rsidP="004572E7">
      <w:pPr>
        <w:pStyle w:val="NormalWeb"/>
        <w:spacing w:line="276" w:lineRule="auto"/>
        <w:jc w:val="both"/>
        <w:rPr>
          <w:rFonts w:asciiTheme="majorBidi" w:hAnsiTheme="majorBidi" w:cstheme="majorBidi"/>
        </w:rPr>
      </w:pPr>
      <w:r w:rsidRPr="004572E7">
        <w:rPr>
          <w:rFonts w:asciiTheme="majorBidi" w:hAnsiTheme="majorBidi" w:cstheme="majorBidi"/>
        </w:rPr>
        <w:t xml:space="preserve">A zonal perspective on statistical interpretation can be conceptually understood as categorizing inferential outputs into regions reflecting differing levels of evidential credibility. While such perspectives are not formally established within classical statistical frameworks, longstanding concerns regarding the interpretation of uncertainty, overconfidence, and the limitations of numerical summaries have been widely discussed (Gelman et al., 2013; </w:t>
      </w:r>
      <w:proofErr w:type="spellStart"/>
      <w:r w:rsidRPr="004572E7">
        <w:rPr>
          <w:rFonts w:asciiTheme="majorBidi" w:hAnsiTheme="majorBidi" w:cstheme="majorBidi"/>
        </w:rPr>
        <w:t>Gigerenzer</w:t>
      </w:r>
      <w:proofErr w:type="spellEnd"/>
      <w:r w:rsidRPr="004572E7">
        <w:rPr>
          <w:rFonts w:asciiTheme="majorBidi" w:hAnsiTheme="majorBidi" w:cstheme="majorBidi"/>
        </w:rPr>
        <w:t xml:space="preserve"> et al., 2004).</w:t>
      </w:r>
    </w:p>
    <w:p w14:paraId="7146C36F" w14:textId="77777777" w:rsidR="00FE4C48" w:rsidRPr="004572E7" w:rsidRDefault="00FE4C48" w:rsidP="004572E7">
      <w:pPr>
        <w:pStyle w:val="NormalWeb"/>
        <w:spacing w:line="276" w:lineRule="auto"/>
        <w:jc w:val="both"/>
        <w:rPr>
          <w:rFonts w:asciiTheme="majorBidi" w:hAnsiTheme="majorBidi" w:cstheme="majorBidi"/>
        </w:rPr>
      </w:pPr>
      <w:r w:rsidRPr="004572E7">
        <w:rPr>
          <w:rFonts w:asciiTheme="majorBidi" w:hAnsiTheme="majorBidi" w:cstheme="majorBidi"/>
        </w:rPr>
        <w:lastRenderedPageBreak/>
        <w:t>The present framework extends this general idea by formalizing epistemic zoning directly within posterior space. By standardizing operational decision values relative to posterior dispersion, Bayesian Epistemic Zoning (BEZ) provides a principled mechanism for translating probabilistic uncertainty into structured credibility states. In contrast to prior approaches that remain descriptive or context-specific, BEZ introduces a unified and model-agnostic formulation that enables direct linkage between posterior uncertainty and operational decision thresholds.</w:t>
      </w:r>
    </w:p>
    <w:p w14:paraId="42C46286" w14:textId="77777777" w:rsidR="00FE4C48" w:rsidRPr="004572E7" w:rsidRDefault="004572E7" w:rsidP="004572E7">
      <w:pPr>
        <w:pStyle w:val="NormalWeb"/>
        <w:spacing w:line="276" w:lineRule="auto"/>
        <w:jc w:val="both"/>
        <w:rPr>
          <w:rFonts w:asciiTheme="majorBidi" w:hAnsiTheme="majorBidi" w:cstheme="majorBidi"/>
        </w:rPr>
      </w:pPr>
      <w:r>
        <w:t>This perspective is conceptually consistent with earlier exploratory work on zonal interpretations, although such approaches have remained preliminary and have not been formally integrated into Bayesian posterior inference (Raham, 2025a, 2025b).</w:t>
      </w:r>
      <w:r w:rsidR="00FE4C48" w:rsidRPr="004572E7">
        <w:rPr>
          <w:rFonts w:asciiTheme="majorBidi" w:hAnsiTheme="majorBidi" w:cstheme="majorBidi"/>
        </w:rPr>
        <w:t xml:space="preserve"> By embedding epistemic zoning within posterior standardization, BEZ allows credibility classification to function not only as an interpretive concept but as a practical tool for uncertainty-aware decision evaluation, thereby bridging probabilistic inference and credibility-aware statistical governance.</w:t>
      </w:r>
      <w:r>
        <w:rPr>
          <w:rFonts w:asciiTheme="majorBidi" w:hAnsiTheme="majorBidi" w:cstheme="majorBidi"/>
        </w:rPr>
        <w:t xml:space="preserve"> </w:t>
      </w:r>
    </w:p>
    <w:p w14:paraId="0304896C" w14:textId="77777777" w:rsidR="00A8517F" w:rsidRDefault="00A8517F" w:rsidP="00D85097">
      <w:pPr>
        <w:pStyle w:val="Heading2"/>
        <w:jc w:val="both"/>
        <w:rPr>
          <w:rFonts w:asciiTheme="majorBidi" w:hAnsiTheme="majorBidi" w:cstheme="majorBidi" w:hint="default"/>
          <w:sz w:val="24"/>
          <w:szCs w:val="24"/>
        </w:rPr>
      </w:pPr>
      <w:r w:rsidRPr="00A8517F">
        <w:rPr>
          <w:rFonts w:asciiTheme="majorBidi" w:hAnsiTheme="majorBidi" w:cstheme="majorBidi" w:hint="default"/>
          <w:sz w:val="24"/>
          <w:szCs w:val="24"/>
        </w:rPr>
        <w:t>8. Implications for AI Governance and Regulatory Oversight</w:t>
      </w:r>
      <w:r>
        <w:rPr>
          <w:rFonts w:asciiTheme="majorBidi" w:hAnsiTheme="majorBidi" w:cstheme="majorBidi" w:hint="default"/>
          <w:sz w:val="24"/>
          <w:szCs w:val="24"/>
        </w:rPr>
        <w:t xml:space="preserve"> </w:t>
      </w:r>
    </w:p>
    <w:p w14:paraId="6018A66F" w14:textId="4FA4ECC4" w:rsidR="00A8517F" w:rsidRPr="0093055B" w:rsidRDefault="0093055B" w:rsidP="00A8517F">
      <w:pPr>
        <w:pStyle w:val="Heading1"/>
        <w:jc w:val="both"/>
        <w:rPr>
          <w:rFonts w:asciiTheme="majorBidi" w:hAnsiTheme="majorBidi" w:cstheme="majorBidi" w:hint="default"/>
          <w:b w:val="0"/>
          <w:bCs w:val="0"/>
          <w:sz w:val="24"/>
          <w:szCs w:val="24"/>
        </w:rPr>
      </w:pPr>
      <w:r w:rsidRPr="0093055B">
        <w:rPr>
          <w:rFonts w:asciiTheme="majorBidi" w:hAnsiTheme="majorBidi" w:cstheme="majorBidi" w:hint="default"/>
          <w:b w:val="0"/>
          <w:bCs w:val="0"/>
          <w:sz w:val="24"/>
          <w:szCs w:val="24"/>
        </w:rPr>
        <w:t>The Posterior Epistemic Zoning (PEZ) framework has direct implications for the governance of AI systems, particularly in high</w:t>
      </w:r>
      <w:r w:rsidRPr="0093055B">
        <w:rPr>
          <w:rFonts w:asciiTheme="majorBidi" w:hAnsiTheme="majorBidi" w:cstheme="majorBidi" w:hint="default"/>
          <w:b w:val="0"/>
          <w:bCs w:val="0"/>
          <w:sz w:val="24"/>
          <w:szCs w:val="24"/>
        </w:rPr>
        <w:noBreakHyphen/>
        <w:t xml:space="preserve">stakes contexts where probabilistic model outputs are converted into operational actions through fixed decision thresholds. </w:t>
      </w:r>
      <w:r w:rsidRPr="0018738E">
        <w:rPr>
          <w:rFonts w:asciiTheme="majorBidi" w:hAnsiTheme="majorBidi" w:cstheme="majorBidi" w:hint="default"/>
          <w:b w:val="0"/>
          <w:bCs w:val="0"/>
          <w:sz w:val="24"/>
          <w:szCs w:val="24"/>
          <w:highlight w:val="yellow"/>
        </w:rPr>
        <w:t>In practice, PEZ can be implemented in real</w:t>
      </w:r>
      <w:r w:rsidRPr="0018738E">
        <w:rPr>
          <w:rFonts w:asciiTheme="majorBidi" w:hAnsiTheme="majorBidi" w:cstheme="majorBidi" w:hint="default"/>
          <w:b w:val="0"/>
          <w:bCs w:val="0"/>
          <w:sz w:val="24"/>
          <w:szCs w:val="24"/>
          <w:highlight w:val="yellow"/>
        </w:rPr>
        <w:noBreakHyphen/>
        <w:t>time applications such as clinical monitoring systems, autonomous decision support, and reliability</w:t>
      </w:r>
      <w:r w:rsidRPr="0018738E">
        <w:rPr>
          <w:rFonts w:asciiTheme="majorBidi" w:hAnsiTheme="majorBidi" w:cstheme="majorBidi" w:hint="default"/>
          <w:b w:val="0"/>
          <w:bCs w:val="0"/>
          <w:sz w:val="24"/>
          <w:szCs w:val="24"/>
          <w:highlight w:val="yellow"/>
        </w:rPr>
        <w:noBreakHyphen/>
        <w:t xml:space="preserve">aware control platforms, where zoning provides structured guidance for translating posterior uncertainty into safe and accountable operational </w:t>
      </w:r>
      <w:proofErr w:type="spellStart"/>
      <w:r w:rsidRPr="0018738E">
        <w:rPr>
          <w:rFonts w:asciiTheme="majorBidi" w:hAnsiTheme="majorBidi" w:cstheme="majorBidi" w:hint="default"/>
          <w:b w:val="0"/>
          <w:bCs w:val="0"/>
          <w:sz w:val="24"/>
          <w:szCs w:val="24"/>
          <w:highlight w:val="yellow"/>
        </w:rPr>
        <w:t>rules</w:t>
      </w:r>
      <w:r w:rsidRPr="0093055B">
        <w:rPr>
          <w:rFonts w:asciiTheme="majorBidi" w:hAnsiTheme="majorBidi" w:cstheme="majorBidi" w:hint="default"/>
          <w:b w:val="0"/>
          <w:bCs w:val="0"/>
          <w:sz w:val="24"/>
          <w:szCs w:val="24"/>
        </w:rPr>
        <w:t>.</w:t>
      </w:r>
      <w:r w:rsidR="00A8517F" w:rsidRPr="0093055B">
        <w:rPr>
          <w:rFonts w:asciiTheme="majorBidi" w:hAnsiTheme="majorBidi" w:cstheme="majorBidi" w:hint="default"/>
          <w:b w:val="0"/>
          <w:bCs w:val="0"/>
          <w:sz w:val="24"/>
          <w:szCs w:val="24"/>
        </w:rPr>
        <w:t>In</w:t>
      </w:r>
      <w:proofErr w:type="spellEnd"/>
      <w:r w:rsidR="00A8517F" w:rsidRPr="0093055B">
        <w:rPr>
          <w:rFonts w:asciiTheme="majorBidi" w:hAnsiTheme="majorBidi" w:cstheme="majorBidi" w:hint="default"/>
          <w:b w:val="0"/>
          <w:bCs w:val="0"/>
          <w:sz w:val="24"/>
          <w:szCs w:val="24"/>
        </w:rPr>
        <w:t xml:space="preserve"> many deployed systems, thresholds such as probability ≥ 0.5 or predefined clinical and financial risk cutoffs are treated as stable decision rules, even when underlying model uncertainty varies across time, subpopulations, or deployment environments. When posterior variance increases due to distributional shift, limited data, or contextual heterogeneity, static thresholds may inadvertently amplify decision risk. Under such conditions, actions taken at fixed cutoffs may occur within regions of heightened epistemic fragility.</w:t>
      </w:r>
    </w:p>
    <w:p w14:paraId="2CB5E4FE" w14:textId="77777777" w:rsidR="00A8517F" w:rsidRPr="00A8517F" w:rsidRDefault="00A8517F" w:rsidP="00FE5AB4">
      <w:pPr>
        <w:pStyle w:val="Heading1"/>
        <w:jc w:val="both"/>
        <w:rPr>
          <w:rFonts w:asciiTheme="majorBidi" w:hAnsiTheme="majorBidi" w:cstheme="majorBidi" w:hint="default"/>
          <w:b w:val="0"/>
          <w:bCs w:val="0"/>
          <w:sz w:val="24"/>
          <w:szCs w:val="24"/>
        </w:rPr>
      </w:pPr>
      <w:r w:rsidRPr="0093055B">
        <w:rPr>
          <w:rFonts w:asciiTheme="majorBidi" w:hAnsiTheme="majorBidi" w:cstheme="majorBidi" w:hint="default"/>
          <w:b w:val="0"/>
          <w:bCs w:val="0"/>
          <w:sz w:val="24"/>
          <w:szCs w:val="24"/>
        </w:rPr>
        <w:t>PEZ introduces a structured mechanism for evaluating the stability of operational thresholds relative to posterior dispersion. By expressing decision limits in standardized posterior units, such as</w:t>
      </w:r>
      <w:r w:rsidRPr="00A8517F">
        <w:rPr>
          <w:rFonts w:asciiTheme="majorBidi" w:hAnsiTheme="majorBidi" w:cstheme="majorBidi" w:hint="default"/>
          <w:b w:val="0"/>
          <w:bCs w:val="0"/>
          <w:sz w:val="24"/>
          <w:szCs w:val="24"/>
        </w:rPr>
        <w:t xml:space="preserve"> </w:t>
      </w:r>
      <w:r w:rsidRPr="00A8517F">
        <w:rPr>
          <w:rStyle w:val="katex-mathml"/>
          <w:rFonts w:asciiTheme="majorBidi" w:hAnsiTheme="majorBidi" w:cstheme="majorBidi" w:hint="default"/>
          <w:b w:val="0"/>
          <w:bCs w:val="0"/>
          <w:sz w:val="24"/>
          <w:szCs w:val="24"/>
        </w:rPr>
        <w:t>x=</w:t>
      </w:r>
      <w:proofErr w:type="spellStart"/>
      <w:r w:rsidRPr="00A8517F">
        <w:rPr>
          <w:rStyle w:val="katex-mathml"/>
          <w:rFonts w:asciiTheme="majorBidi" w:hAnsiTheme="majorBidi" w:cstheme="majorBidi" w:hint="default"/>
          <w:b w:val="0"/>
          <w:bCs w:val="0"/>
          <w:sz w:val="24"/>
          <w:szCs w:val="24"/>
        </w:rPr>
        <w:t>μ±kσ</w:t>
      </w:r>
      <w:r w:rsidRPr="00FE5AB4">
        <w:rPr>
          <w:rStyle w:val="katex-mathml"/>
          <w:rFonts w:asciiTheme="majorBidi" w:hAnsiTheme="majorBidi" w:cstheme="majorBidi" w:hint="default"/>
          <w:b w:val="0"/>
          <w:bCs w:val="0"/>
          <w:sz w:val="24"/>
          <w:szCs w:val="24"/>
          <w:vertAlign w:val="subscript"/>
        </w:rPr>
        <w:t>post</w:t>
      </w:r>
      <w:proofErr w:type="spellEnd"/>
      <w:r w:rsidR="00FE5AB4" w:rsidRPr="00A8517F">
        <w:rPr>
          <w:rStyle w:val="vlist-s"/>
          <w:rFonts w:asciiTheme="majorBidi" w:hAnsiTheme="majorBidi" w:cstheme="majorBidi" w:hint="default"/>
          <w:b w:val="0"/>
          <w:bCs w:val="0"/>
          <w:sz w:val="24"/>
          <w:szCs w:val="24"/>
        </w:rPr>
        <w:t xml:space="preserve"> </w:t>
      </w:r>
      <w:r w:rsidRPr="00A8517F">
        <w:rPr>
          <w:rStyle w:val="vlist-s"/>
          <w:rFonts w:asciiTheme="majorBidi" w:hAnsiTheme="majorBidi" w:cstheme="majorBidi" w:hint="default"/>
          <w:b w:val="0"/>
          <w:bCs w:val="0"/>
          <w:sz w:val="24"/>
          <w:szCs w:val="24"/>
        </w:rPr>
        <w:t>​</w:t>
      </w:r>
      <w:r w:rsidRPr="00A8517F">
        <w:rPr>
          <w:rFonts w:asciiTheme="majorBidi" w:hAnsiTheme="majorBidi" w:cstheme="majorBidi" w:hint="default"/>
          <w:b w:val="0"/>
          <w:bCs w:val="0"/>
          <w:sz w:val="24"/>
          <w:szCs w:val="24"/>
        </w:rPr>
        <w:t>, the framework enables classification of operational actions into credibility-defined zones. This allows systematic assessment of whether decisions are executed within epistemically stable regions or under variance-sensitive conditions. Rather than relying solely on aggregate performance metrics, such as accuracy or AUC, PEZ makes the relationship between uncertainty and action explicit at the point of decision execution.</w:t>
      </w:r>
    </w:p>
    <w:p w14:paraId="591EA7A2"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 xml:space="preserve">From an audit perspective, this zoning mechanism can support retrospective and prospective evaluation of AI systems. Decisions that occur outside dispersion-calibrated credibility regions can be flagged for additional review, validation, or abstention. The framework also enables identification of subgroup-specific instability where posterior variance differs across demographic or contextual strata. In this way, </w:t>
      </w:r>
      <w:r w:rsidRPr="00A8517F">
        <w:rPr>
          <w:rFonts w:asciiTheme="majorBidi" w:hAnsiTheme="majorBidi" w:cstheme="majorBidi" w:hint="default"/>
          <w:b w:val="0"/>
          <w:bCs w:val="0"/>
          <w:sz w:val="24"/>
          <w:szCs w:val="24"/>
        </w:rPr>
        <w:lastRenderedPageBreak/>
        <w:t>PEZ contributes a structured layer of uncertainty-aware oversight that complements conventional validation procedures.</w:t>
      </w:r>
    </w:p>
    <w:p w14:paraId="0811D702"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The framework also has implications for AI documentation practices. Contemporary governance approaches increasingly emphasize model transparency through structured reporting mechanisms, including system impact assessments and model documentation templates. PEZ offers a principled way to extend such documentation beyond descriptive uncertainty summaries by explicitly linking posterior dispersion to operational admissibility. Reporting zone classifications of deployed thresholds provides stakeholders with interpretable information regarding the epistemic conditions under which automated decisions were made.</w:t>
      </w:r>
    </w:p>
    <w:p w14:paraId="2F722372"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A further contribution lies in the mitigation of threshold arbitrariness. Many operational cutoffs are inherited from convention rather than derived from model-specific uncertainty characteristics. By calibrating admissible thresholds to posterior dispersion, PEZ replaces static numerical conventions with variance-proportional decision boundaries. This dispersion-aligned formulation reduces overconfidence risk under variance inflation and supports adaptive recalibration as deployment conditions evolve.</w:t>
      </w:r>
    </w:p>
    <w:p w14:paraId="48C69D56"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These features align with emerging principles in AI governance that emphasize transparency, proportionality, accountability, and risk mitigation. By formalizing the connection between posterior uncertainty and operational decision limits, PEZ provides a governance-compatible interpretive layer that bridges statistical inference and regulatory oversight. Rather than redefining optimal decision rules, the framework offers a structured mechanism for evaluating when and under what epistemic conditions automated actions are executed.</w:t>
      </w:r>
    </w:p>
    <w:p w14:paraId="068ECCAE" w14:textId="77777777" w:rsidR="00F42FFC" w:rsidRPr="00A8517F" w:rsidRDefault="00A8517F" w:rsidP="00A8517F">
      <w:pPr>
        <w:pStyle w:val="Heading1"/>
        <w:spacing w:line="276" w:lineRule="auto"/>
        <w:jc w:val="both"/>
        <w:rPr>
          <w:rFonts w:asciiTheme="majorBidi" w:hAnsiTheme="majorBidi" w:cstheme="majorBidi" w:hint="default"/>
          <w:sz w:val="24"/>
          <w:szCs w:val="24"/>
        </w:rPr>
      </w:pPr>
      <w:r w:rsidRPr="00A8517F">
        <w:rPr>
          <w:rStyle w:val="Strong"/>
          <w:rFonts w:asciiTheme="majorBidi" w:hAnsiTheme="majorBidi" w:cstheme="majorBidi" w:hint="default"/>
          <w:b/>
          <w:bCs/>
          <w:sz w:val="24"/>
          <w:szCs w:val="24"/>
        </w:rPr>
        <w:t>9</w:t>
      </w:r>
      <w:r w:rsidR="006A307E" w:rsidRPr="00A8517F">
        <w:rPr>
          <w:rStyle w:val="Strong"/>
          <w:rFonts w:asciiTheme="majorBidi" w:hAnsiTheme="majorBidi" w:cstheme="majorBidi" w:hint="default"/>
          <w:b/>
          <w:bCs/>
          <w:sz w:val="24"/>
          <w:szCs w:val="24"/>
        </w:rPr>
        <w:t>. Limitations</w:t>
      </w:r>
    </w:p>
    <w:p w14:paraId="2F4ED9EC" w14:textId="77777777" w:rsidR="00F42FFC" w:rsidRPr="00A8517F" w:rsidRDefault="006A307E" w:rsidP="00F72FA6">
      <w:pPr>
        <w:pStyle w:val="NormalWeb"/>
        <w:spacing w:line="276" w:lineRule="auto"/>
        <w:jc w:val="both"/>
        <w:rPr>
          <w:rFonts w:asciiTheme="majorBidi" w:hAnsiTheme="majorBidi" w:cstheme="majorBidi"/>
        </w:rPr>
      </w:pPr>
      <w:r w:rsidRPr="00A8517F">
        <w:rPr>
          <w:rFonts w:asciiTheme="majorBidi" w:hAnsiTheme="majorBidi" w:cstheme="majorBidi"/>
        </w:rPr>
        <w:t xml:space="preserve">Despite its conceptual and operational advantages, </w:t>
      </w:r>
      <w:r w:rsidR="00F72FA6">
        <w:t>BEZ</w:t>
      </w:r>
      <w:r w:rsidR="00F72FA6" w:rsidRPr="00A8517F">
        <w:rPr>
          <w:rFonts w:asciiTheme="majorBidi" w:hAnsiTheme="majorBidi" w:cstheme="majorBidi"/>
        </w:rPr>
        <w:t xml:space="preserve"> </w:t>
      </w:r>
      <w:r w:rsidRPr="00A8517F">
        <w:rPr>
          <w:rFonts w:asciiTheme="majorBidi" w:hAnsiTheme="majorBidi" w:cstheme="majorBidi"/>
        </w:rPr>
        <w:t>has several limitations that warrant careful consideration.</w:t>
      </w:r>
    </w:p>
    <w:p w14:paraId="7F0AFABD"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First, BEZ relies on the posterior mean and posterior standard deviation as summary representations of epistemic uncertainty. While these quantities are well-defined and computationally convenient, they may not fully capture complex posterior structures such as multimodality, heavy tails, or strong skewness. In such cases, a single dispersion measure may underestimate localized epistemic risk, and alternative robust or quantile-based standardization schemes may be required.</w:t>
      </w:r>
    </w:p>
    <w:p w14:paraId="634213DA"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Second, the current zoning thresholds (±1σ and ±2σ) are motivated by standardized uncertainty partitions rather than domain-specific utility optimization. Although these partitions provide interpretable and scale-invariant credibility categories, their optimality for specific clinical, regulatory, or economic contexts remains an empirical question. Future work should investigate adaptive or domain-calibrated zoning boundaries.</w:t>
      </w:r>
    </w:p>
    <w:p w14:paraId="79008150"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lastRenderedPageBreak/>
        <w:t>Third, BEZ evaluates epistemic credibility relative to posterior uncertainty but does not explicitly model structural uncertainty arising from model misspecification, unobserved confounding, or dataset shift. While posterior dispersion may partially reflect such effects, explicit robustness diagnostics, sensitivity analysis, and model validation procedures remain necessary complements.</w:t>
      </w:r>
    </w:p>
    <w:p w14:paraId="236DC237"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Fourth, the framework assumes that an operational decision variable can be meaningfully mapped onto the posterior parameter space. In highly multivariate or hierarchical models, defining a single actionable scalar may require additional dimensionality reduction, aggregation strategies, or decision modeling assumptions.</w:t>
      </w:r>
    </w:p>
    <w:p w14:paraId="44C07E0A"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Fifth, the current validation focuses primarily on simulation and illustrative real-world examples rather than large-scale prospective deployment studies. Empirical evidence regarding long-term stability, practitioner adoption, regulatory interpretability, and real-world operational impact remains to be established.</w:t>
      </w:r>
    </w:p>
    <w:p w14:paraId="27B0191B"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Finally, BEZ introduces an additional interpretive layer on top of Bayesian inference, which may increase cognitive and computational complexity in workflows where rapid decision throughput is required. Dedicated tooling, visualization standards, and automation pipelines will be necessary to support scalable and user-friendly deployment.</w:t>
      </w:r>
    </w:p>
    <w:p w14:paraId="29BFE1A0"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These limitations do not undermine the utility of BEZ; rather, they delineate clear directions for methodological refinement, empirical validation, and domain-specific calibration.</w:t>
      </w:r>
    </w:p>
    <w:p w14:paraId="413F6F2C" w14:textId="77777777" w:rsidR="00F42FFC" w:rsidRPr="00A8517F" w:rsidRDefault="00A8517F" w:rsidP="00A8517F">
      <w:pPr>
        <w:pStyle w:val="NormalWeb"/>
        <w:spacing w:line="276" w:lineRule="auto"/>
        <w:jc w:val="both"/>
        <w:rPr>
          <w:rFonts w:asciiTheme="majorBidi" w:hAnsiTheme="majorBidi" w:cstheme="majorBidi"/>
          <w:b/>
          <w:bCs/>
        </w:rPr>
      </w:pPr>
      <w:r w:rsidRPr="00A8517F">
        <w:rPr>
          <w:rFonts w:asciiTheme="majorBidi" w:hAnsiTheme="majorBidi" w:cstheme="majorBidi"/>
          <w:b/>
          <w:bCs/>
        </w:rPr>
        <w:t>10</w:t>
      </w:r>
      <w:r w:rsidR="006A307E" w:rsidRPr="00A8517F">
        <w:rPr>
          <w:rFonts w:asciiTheme="majorBidi" w:hAnsiTheme="majorBidi" w:cstheme="majorBidi"/>
          <w:b/>
          <w:bCs/>
        </w:rPr>
        <w:t xml:space="preserve">.Conclusions </w:t>
      </w:r>
    </w:p>
    <w:p w14:paraId="3998BFBB" w14:textId="77777777" w:rsidR="00A8517F" w:rsidRPr="00A8517F" w:rsidRDefault="00A8517F" w:rsidP="00B00E13">
      <w:pPr>
        <w:spacing w:line="276" w:lineRule="auto"/>
        <w:jc w:val="both"/>
        <w:rPr>
          <w:rFonts w:asciiTheme="majorBidi" w:eastAsia="Times New Roman" w:hAnsiTheme="majorBidi" w:cstheme="majorBidi"/>
          <w:sz w:val="24"/>
          <w:szCs w:val="24"/>
          <w:lang w:eastAsia="en-US"/>
        </w:rPr>
      </w:pPr>
      <w:r w:rsidRPr="00A8517F">
        <w:rPr>
          <w:rFonts w:asciiTheme="majorBidi" w:eastAsia="Times New Roman" w:hAnsiTheme="majorBidi" w:cstheme="majorBidi"/>
          <w:sz w:val="24"/>
          <w:szCs w:val="24"/>
          <w:lang w:eastAsia="en-US"/>
        </w:rPr>
        <w:t xml:space="preserve">This study introduces Bayesian </w:t>
      </w:r>
      <w:r w:rsidR="00F72FA6">
        <w:rPr>
          <w:rFonts w:ascii="Times New Roman" w:hAnsi="Times New Roman"/>
          <w:sz w:val="24"/>
          <w:szCs w:val="24"/>
        </w:rPr>
        <w:t>BEZ</w:t>
      </w:r>
      <w:r w:rsidR="00F72FA6" w:rsidRPr="00A8517F">
        <w:rPr>
          <w:rFonts w:asciiTheme="majorBidi" w:eastAsia="Times New Roman" w:hAnsiTheme="majorBidi" w:cstheme="majorBidi"/>
          <w:sz w:val="24"/>
          <w:szCs w:val="24"/>
          <w:lang w:eastAsia="en-US"/>
        </w:rPr>
        <w:t xml:space="preserve"> </w:t>
      </w:r>
      <w:r w:rsidRPr="00A8517F">
        <w:rPr>
          <w:rFonts w:asciiTheme="majorBidi" w:eastAsia="Times New Roman" w:hAnsiTheme="majorBidi" w:cstheme="majorBidi"/>
          <w:sz w:val="24"/>
          <w:szCs w:val="24"/>
          <w:lang w:eastAsia="en-US"/>
        </w:rPr>
        <w:t xml:space="preserve">as a structured governance layer for uncertainty-aware decision-making in Bayesian systems. Rather than relying solely on posterior means or credible intervals, the framework translates posterior dispersion into explicit epistemic guidance by classifying operational decisions into </w:t>
      </w:r>
      <w:r w:rsidRPr="00B46DF2">
        <w:rPr>
          <w:rFonts w:asciiTheme="majorBidi" w:eastAsia="Times New Roman" w:hAnsiTheme="majorBidi" w:cstheme="majorBidi"/>
          <w:sz w:val="24"/>
          <w:szCs w:val="24"/>
          <w:lang w:eastAsia="en-US"/>
        </w:rPr>
        <w:t xml:space="preserve">interpretable </w:t>
      </w:r>
      <w:r w:rsidR="00B46DF2" w:rsidRPr="00B46DF2">
        <w:rPr>
          <w:rFonts w:asciiTheme="majorBidi" w:hAnsiTheme="majorBidi" w:cstheme="majorBidi"/>
          <w:sz w:val="24"/>
          <w:szCs w:val="24"/>
        </w:rPr>
        <w:t>PEZs</w:t>
      </w:r>
      <w:r w:rsidRPr="00B46DF2">
        <w:rPr>
          <w:rFonts w:asciiTheme="majorBidi" w:eastAsia="Times New Roman" w:hAnsiTheme="majorBidi" w:cstheme="majorBidi"/>
          <w:sz w:val="24"/>
          <w:szCs w:val="24"/>
          <w:lang w:eastAsia="en-US"/>
        </w:rPr>
        <w:t>—</w:t>
      </w:r>
      <w:r w:rsidRPr="00A8517F">
        <w:rPr>
          <w:rFonts w:asciiTheme="majorBidi" w:eastAsia="Times New Roman" w:hAnsiTheme="majorBidi" w:cstheme="majorBidi"/>
          <w:sz w:val="24"/>
          <w:szCs w:val="24"/>
          <w:lang w:eastAsia="en-US"/>
        </w:rPr>
        <w:t>Trusted, Plausible, Inflated, and Recessive. These zones make visible the stability, fragility, and potential overconfidence of automated decisions, particularly in contexts where probabilistic outputs are directly converted into action.</w:t>
      </w:r>
    </w:p>
    <w:p w14:paraId="34002D1F" w14:textId="77777777" w:rsidR="00A8517F" w:rsidRPr="00A8517F" w:rsidRDefault="00A8517F" w:rsidP="00B00E13">
      <w:pPr>
        <w:spacing w:line="276" w:lineRule="auto"/>
        <w:jc w:val="both"/>
        <w:rPr>
          <w:rFonts w:asciiTheme="majorBidi" w:eastAsia="Times New Roman" w:hAnsiTheme="majorBidi" w:cstheme="majorBidi"/>
          <w:sz w:val="24"/>
          <w:szCs w:val="24"/>
          <w:lang w:eastAsia="en-US"/>
        </w:rPr>
      </w:pPr>
      <w:r w:rsidRPr="00A8517F">
        <w:rPr>
          <w:rFonts w:asciiTheme="majorBidi" w:eastAsia="Times New Roman" w:hAnsiTheme="majorBidi" w:cstheme="majorBidi"/>
          <w:sz w:val="24"/>
          <w:szCs w:val="24"/>
          <w:lang w:eastAsia="en-US"/>
        </w:rPr>
        <w:t xml:space="preserve">Through simulation experiments and real-world demonstrations, we show that numerically similar posterior estimates can correspond to markedly different epistemic risk profiles once dispersion is considered. This distinction is especially relevant in high-stakes AI applications, where static thresholds may obscure uncertainty-sensitive vulnerabilities. The proposed inverse zoning mechanism replaces arbitrary operational cutoffs with credibility-calibrated decision bounds </w:t>
      </w:r>
      <w:r w:rsidRPr="00A8517F">
        <w:rPr>
          <w:rFonts w:asciiTheme="majorBidi" w:eastAsia="Times New Roman" w:hAnsiTheme="majorBidi" w:cstheme="majorBidi"/>
          <w:sz w:val="24"/>
          <w:szCs w:val="24"/>
          <w:lang w:eastAsia="en-US"/>
        </w:rPr>
        <w:lastRenderedPageBreak/>
        <w:t>derived from posterior variance, enabling adaptive thresholding grounded in epistemic conditions rather than convention.</w:t>
      </w:r>
    </w:p>
    <w:p w14:paraId="05CFBCFB" w14:textId="77777777" w:rsidR="00A8517F" w:rsidRDefault="00A8517F" w:rsidP="00B00E13">
      <w:pPr>
        <w:spacing w:line="276" w:lineRule="auto"/>
        <w:jc w:val="both"/>
        <w:rPr>
          <w:rFonts w:asciiTheme="majorBidi" w:eastAsia="Times New Roman" w:hAnsiTheme="majorBidi" w:cstheme="majorBidi"/>
          <w:sz w:val="24"/>
          <w:szCs w:val="24"/>
          <w:lang w:eastAsia="en-US"/>
        </w:rPr>
      </w:pPr>
      <w:r w:rsidRPr="00A8517F">
        <w:rPr>
          <w:rFonts w:asciiTheme="majorBidi" w:eastAsia="Times New Roman" w:hAnsiTheme="majorBidi" w:cstheme="majorBidi"/>
          <w:sz w:val="24"/>
          <w:szCs w:val="24"/>
          <w:lang w:eastAsia="en-US"/>
        </w:rPr>
        <w:t>BEZ is model-agnostic, computationally lightweight, and compatible with existing Bayesian workflows, facilitating integration into AI audit pipelines and documentation practices. By linking posterior uncertainty directly to operational admissibility, the framework supports transparency, proportionality, and uncertainty-aware oversight. Complementary zone-based performance metrics, including Zone-Balanced Error (ZBE), Net Benefit, and Expected Diagnostic Cost, further enable evaluation of decision safety across epistemic regimes, aligning predictive accuracy with accountability and reliability considerations.</w:t>
      </w:r>
    </w:p>
    <w:p w14:paraId="59A4CE5B" w14:textId="051CCC8E" w:rsidR="00B00E13" w:rsidRPr="00B00E13" w:rsidRDefault="00B00E13" w:rsidP="00B00E13">
      <w:pPr>
        <w:spacing w:line="276" w:lineRule="auto"/>
        <w:jc w:val="both"/>
        <w:rPr>
          <w:rFonts w:ascii="Times New Roman" w:eastAsia="Times New Roman" w:hAnsi="Times New Roman"/>
          <w:sz w:val="24"/>
          <w:szCs w:val="24"/>
          <w:lang w:eastAsia="en-US"/>
        </w:rPr>
      </w:pPr>
      <w:r w:rsidRPr="00B00E13">
        <w:rPr>
          <w:rFonts w:ascii="Times New Roman" w:eastAsia="Times New Roman" w:hAnsi="Times New Roman"/>
          <w:sz w:val="24"/>
          <w:szCs w:val="24"/>
          <w:highlight w:val="yellow"/>
          <w:lang w:eastAsia="en-US"/>
        </w:rPr>
        <w:t>Beyond methodological innovation, BEZ highlights important policy analysis implications. By situating multiple threshold levels within epistemic zones, the framework provides regulators, clinicians, and policymakers with a structured way to distinguish between thresholds that remain operationally credible and those that become fragile under uncertainty. This governance</w:t>
      </w:r>
      <w:r w:rsidRPr="00B00E13">
        <w:rPr>
          <w:rFonts w:ascii="Times New Roman" w:eastAsia="Times New Roman" w:hAnsi="Times New Roman"/>
          <w:sz w:val="24"/>
          <w:szCs w:val="24"/>
          <w:highlight w:val="yellow"/>
          <w:lang w:eastAsia="en-US"/>
        </w:rPr>
        <w:noBreakHyphen/>
        <w:t>oriented calibration ensures that decision rules are not only statistically defensible but also transparently aligned with epistemic stability. In this way, BEZ advances uncertainty analysis from a purely statistical exercise to a policy</w:t>
      </w:r>
      <w:r w:rsidRPr="00B00E13">
        <w:rPr>
          <w:rFonts w:ascii="Times New Roman" w:eastAsia="Times New Roman" w:hAnsi="Times New Roman"/>
          <w:sz w:val="24"/>
          <w:szCs w:val="24"/>
          <w:highlight w:val="yellow"/>
          <w:lang w:eastAsia="en-US"/>
        </w:rPr>
        <w:noBreakHyphen/>
        <w:t>relevant tool, supporting evidence</w:t>
      </w:r>
      <w:r w:rsidRPr="00B00E13">
        <w:rPr>
          <w:rFonts w:ascii="Times New Roman" w:eastAsia="Times New Roman" w:hAnsi="Times New Roman"/>
          <w:sz w:val="24"/>
          <w:szCs w:val="24"/>
          <w:highlight w:val="yellow"/>
          <w:lang w:eastAsia="en-US"/>
        </w:rPr>
        <w:noBreakHyphen/>
        <w:t>based threshold setting across domains where multiple cut</w:t>
      </w:r>
      <w:r w:rsidRPr="00B00E13">
        <w:rPr>
          <w:rFonts w:ascii="Times New Roman" w:eastAsia="Times New Roman" w:hAnsi="Times New Roman"/>
          <w:sz w:val="24"/>
          <w:szCs w:val="24"/>
          <w:highlight w:val="yellow"/>
          <w:lang w:eastAsia="en-US"/>
        </w:rPr>
        <w:noBreakHyphen/>
        <w:t>offs are standard practice.</w:t>
      </w:r>
    </w:p>
    <w:p w14:paraId="0EE16ABF"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Availability of Data and Materials</w:t>
      </w:r>
    </w:p>
    <w:p w14:paraId="78C8D143" w14:textId="77777777" w:rsidR="00F42FFC" w:rsidRDefault="006A307E" w:rsidP="00080419">
      <w:pPr>
        <w:pStyle w:val="NormalWeb"/>
        <w:spacing w:line="276" w:lineRule="auto"/>
        <w:jc w:val="both"/>
      </w:pPr>
      <w:r>
        <w:t xml:space="preserve">All synthetic datasets generated during the current study are reproducible from the methods described in the manuscript. The real-world dataset used for illustration is publicly available as the </w:t>
      </w:r>
      <w:r>
        <w:rPr>
          <w:rStyle w:val="Strong"/>
        </w:rPr>
        <w:t>Breast Cancer Wisconsin (Diagnostic) Dataset</w:t>
      </w:r>
      <w:r>
        <w:t xml:space="preserve"> originally compiled by Wolberg, Street, and Mangasarian (1995) and hosted by the UCI </w:t>
      </w:r>
      <w:r w:rsidRPr="005A4CCF">
        <w:rPr>
          <w:b/>
          <w:bCs/>
        </w:rPr>
        <w:t>Machine Learning Repository:</w:t>
      </w:r>
      <w:r w:rsidRPr="005A4CCF">
        <w:rPr>
          <w:b/>
          <w:bCs/>
        </w:rPr>
        <w:br/>
      </w:r>
      <w:hyperlink r:id="rId9" w:tgtFrame="_new" w:history="1">
        <w:r>
          <w:rPr>
            <w:rStyle w:val="Hyperlink"/>
          </w:rPr>
          <w:t>https://archive.ics.uci.edu/ml/datasets/Breast+Cancer+Wisconsin+(Diagnostic)</w:t>
        </w:r>
      </w:hyperlink>
    </w:p>
    <w:p w14:paraId="4B10FA2A"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Competing Interests</w:t>
      </w:r>
    </w:p>
    <w:p w14:paraId="1303124D" w14:textId="796CF7EB" w:rsidR="00287795" w:rsidRDefault="006A307E" w:rsidP="005A4CCF">
      <w:pPr>
        <w:pStyle w:val="NormalWeb"/>
        <w:spacing w:line="276" w:lineRule="auto"/>
        <w:jc w:val="both"/>
        <w:rPr>
          <w:rStyle w:val="Strong"/>
          <w:b w:val="0"/>
          <w:bCs w:val="0"/>
        </w:rPr>
      </w:pPr>
      <w:r>
        <w:t>The author declares no competing interests.</w:t>
      </w:r>
    </w:p>
    <w:p w14:paraId="43B97F9D" w14:textId="74F91762" w:rsidR="00F42FFC" w:rsidRDefault="006A307E" w:rsidP="00080419">
      <w:pPr>
        <w:pStyle w:val="Heading1"/>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Innovation Statement</w:t>
      </w:r>
    </w:p>
    <w:p w14:paraId="3E617BC9" w14:textId="77777777" w:rsidR="00F42FFC" w:rsidRDefault="006A307E" w:rsidP="00080419">
      <w:pPr>
        <w:pStyle w:val="NormalWeb"/>
        <w:spacing w:line="276" w:lineRule="auto"/>
        <w:jc w:val="both"/>
      </w:pPr>
      <w:r>
        <w:t xml:space="preserve">This work introduces </w:t>
      </w:r>
      <w:r>
        <w:rPr>
          <w:rStyle w:val="Strong"/>
        </w:rPr>
        <w:t>Bayesian Epistemic Zoning (BEZ)</w:t>
      </w:r>
      <w:r>
        <w:t xml:space="preserve"> as a novel interpretive framework that transforms Bayesian posterior uncertainty into structured epistemic credibility zones governing operational decision thresholds. Unlike conventional Bayesian reporting, which relies on continuous posterior summaries and fixed probability cutoffs, BEZ establishes a categorical epistemic layer that explicitly distinguishes stable, conditional, fragile, and overconfident decision regions.</w:t>
      </w:r>
    </w:p>
    <w:p w14:paraId="3CD6937B" w14:textId="77777777" w:rsidR="00F42FFC" w:rsidRDefault="006A307E" w:rsidP="00080419">
      <w:pPr>
        <w:pStyle w:val="NormalWeb"/>
        <w:spacing w:line="276" w:lineRule="auto"/>
        <w:jc w:val="both"/>
      </w:pPr>
      <w:r>
        <w:lastRenderedPageBreak/>
        <w:t>Key innovations include:</w:t>
      </w:r>
      <w:r>
        <w:br/>
        <w:t>(1) formal standardization of operational thresholds relative to posterior dispersion to derive reproducible epistemic credibility zones;</w:t>
      </w:r>
      <w:r>
        <w:br/>
        <w:t>(2) inverse mapping of epistemic constraints into adaptive, posterior-grounded decision thresholds, replacing arbitrary cutoffs;</w:t>
      </w:r>
      <w:r>
        <w:br/>
        <w:t>(3) epistemically weighted performance metrics, including Posterior Zone-Balanced Error (P-ZBE), zone-stratified Net Benefit, and Expected Diagnostic Cost; and</w:t>
      </w:r>
      <w:r>
        <w:br/>
        <w:t>(4) a model-agnostic, computationally lightweight architecture compatible with existing Bayesian workflows and high-stakes decision pipelines.</w:t>
      </w:r>
    </w:p>
    <w:p w14:paraId="0EE497C6" w14:textId="64ED5A2F" w:rsidR="00E330A0" w:rsidRDefault="00CC27CB" w:rsidP="00080419">
      <w:pPr>
        <w:pStyle w:val="NormalWeb"/>
        <w:spacing w:line="276" w:lineRule="auto"/>
        <w:jc w:val="both"/>
      </w:pPr>
      <w:r>
        <w:t>Collectively, BEZ provides a principled bridge between probabilistic inference and structured decision interpretation, enabling transparent calibration of confidence, prevention of overconfident extrapolation, and adaptive assessment of decision stability across applied domains.</w:t>
      </w:r>
    </w:p>
    <w:p w14:paraId="646FF724" w14:textId="77777777" w:rsidR="005A4CCF" w:rsidRDefault="005A4CCF" w:rsidP="005A4CCF">
      <w:pPr>
        <w:pStyle w:val="NormalWeb"/>
        <w:spacing w:line="276" w:lineRule="auto"/>
        <w:jc w:val="both"/>
        <w:rPr>
          <w:rStyle w:val="Strong"/>
        </w:rPr>
      </w:pPr>
      <w:r>
        <w:rPr>
          <w:rStyle w:val="Strong"/>
        </w:rPr>
        <w:t>Acknowledgment</w:t>
      </w:r>
    </w:p>
    <w:p w14:paraId="00A9B424" w14:textId="45DC1692" w:rsidR="00030ABD" w:rsidRDefault="005A4CCF" w:rsidP="009A748B">
      <w:pPr>
        <w:pStyle w:val="NormalWeb"/>
        <w:spacing w:line="276" w:lineRule="auto"/>
        <w:jc w:val="both"/>
      </w:pPr>
      <w:r>
        <w:rPr>
          <w:rStyle w:val="Strong"/>
        </w:rPr>
        <w:t xml:space="preserve"> </w:t>
      </w:r>
      <w:r>
        <w:t>The authors acknowledge that generative AI technologies, including Large Language Models (ChatGPT and Copilot), were used to assist in the drafting, editing, and refinement of this manuscript. These tools were employed to support language clarity, structural organization, and reviewer</w:t>
      </w:r>
      <w:r>
        <w:noBreakHyphen/>
        <w:t>friendly phrasing. All scientific content, data analysis, and interpretations remain the responsibility of the authors, who verified and validated the accuracy of the manuscript. The use of AI was limited to editorial assistance and did not replace the authors’ intellectual contribution, methodological design, or policy analysis framing.</w:t>
      </w:r>
    </w:p>
    <w:p w14:paraId="6DA6B3B9" w14:textId="77777777" w:rsidR="00DD3E96" w:rsidRPr="00DD3E96" w:rsidRDefault="00DD3E96" w:rsidP="00DD3E96">
      <w:pPr>
        <w:pStyle w:val="NormalWeb"/>
        <w:spacing w:line="276" w:lineRule="auto"/>
        <w:jc w:val="both"/>
        <w:rPr>
          <w:b/>
          <w:bCs/>
        </w:rPr>
      </w:pPr>
      <w:r w:rsidRPr="00DD3E96">
        <w:rPr>
          <w:b/>
          <w:bCs/>
        </w:rPr>
        <w:t>Disclaimer</w:t>
      </w:r>
    </w:p>
    <w:p w14:paraId="2F49C535" w14:textId="13787B9C" w:rsidR="00DD3E96" w:rsidRDefault="00DD3E96" w:rsidP="00DD3E96">
      <w:pPr>
        <w:pStyle w:val="NormalWeb"/>
        <w:spacing w:line="276" w:lineRule="auto"/>
        <w:jc w:val="both"/>
      </w:pPr>
      <w:r>
        <w:t>This paper is an extended version of a preprint document of the same author.</w:t>
      </w:r>
    </w:p>
    <w:p w14:paraId="3C1F459D" w14:textId="53D27AB3" w:rsidR="00DD3E96" w:rsidRDefault="00DD3E96" w:rsidP="00DD3E96">
      <w:pPr>
        <w:pStyle w:val="NormalWeb"/>
        <w:spacing w:line="276" w:lineRule="auto"/>
        <w:jc w:val="both"/>
      </w:pPr>
      <w:r>
        <w:t>The</w:t>
      </w:r>
      <w:r>
        <w:t xml:space="preserve"> </w:t>
      </w:r>
      <w:r>
        <w:t>preprint</w:t>
      </w:r>
      <w:r>
        <w:t xml:space="preserve"> </w:t>
      </w:r>
      <w:r>
        <w:t xml:space="preserve">document is available in this link: </w:t>
      </w:r>
      <w:hyperlink r:id="rId10" w:history="1">
        <w:r w:rsidRPr="0060761A">
          <w:rPr>
            <w:rStyle w:val="Hyperlink"/>
          </w:rPr>
          <w:t>file:///C:/Users/Editor%20Acc%20101/Downloads/Uncertainty-Calibrated_Decision_Thresholds_in_Baye.pdf</w:t>
        </w:r>
      </w:hyperlink>
      <w:r>
        <w:t xml:space="preserve"> </w:t>
      </w:r>
    </w:p>
    <w:p w14:paraId="0728A58E" w14:textId="43A6594D" w:rsidR="00DD3E96" w:rsidRDefault="00DD3E96" w:rsidP="00DD3E96">
      <w:pPr>
        <w:pStyle w:val="NormalWeb"/>
        <w:spacing w:line="276" w:lineRule="auto"/>
        <w:jc w:val="both"/>
      </w:pPr>
      <w:r>
        <w:t>[As per journal policy, preprint article can be published as a journal article, provided it is not published in any other journal]</w:t>
      </w:r>
    </w:p>
    <w:p w14:paraId="6C044907" w14:textId="77777777" w:rsidR="00DD3E96" w:rsidRPr="00DD3E96" w:rsidRDefault="00DD3E96" w:rsidP="00DD3E96">
      <w:pPr>
        <w:pStyle w:val="NormalWeb"/>
        <w:spacing w:line="276" w:lineRule="auto"/>
        <w:jc w:val="both"/>
        <w:rPr>
          <w:b/>
          <w:bCs/>
        </w:rPr>
      </w:pPr>
      <w:r w:rsidRPr="00DD3E96">
        <w:rPr>
          <w:b/>
          <w:bCs/>
        </w:rPr>
        <w:t>Disclaimer (Artificial intelligence)</w:t>
      </w:r>
    </w:p>
    <w:p w14:paraId="0973236E" w14:textId="7B7275DE" w:rsidR="00DD3E96" w:rsidRDefault="00DD3E96" w:rsidP="00DD3E96">
      <w:pPr>
        <w:pStyle w:val="NormalWeb"/>
        <w:spacing w:line="276" w:lineRule="auto"/>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729F4258" w14:textId="77777777" w:rsidR="00F42FFC" w:rsidRDefault="006A307E" w:rsidP="00080419">
      <w:pPr>
        <w:pStyle w:val="NormalWeb"/>
        <w:spacing w:line="276" w:lineRule="auto"/>
        <w:jc w:val="both"/>
        <w:rPr>
          <w:b/>
          <w:bCs/>
        </w:rPr>
      </w:pPr>
      <w:r>
        <w:rPr>
          <w:b/>
          <w:bCs/>
        </w:rPr>
        <w:t xml:space="preserve">References </w:t>
      </w:r>
    </w:p>
    <w:p w14:paraId="62C12BBE" w14:textId="77777777" w:rsidR="00622AD3" w:rsidRDefault="00622AD3" w:rsidP="00F87D43">
      <w:pPr>
        <w:pStyle w:val="NormalWeb"/>
        <w:spacing w:line="276" w:lineRule="auto"/>
        <w:jc w:val="both"/>
      </w:pPr>
      <w:proofErr w:type="spellStart"/>
      <w:r>
        <w:lastRenderedPageBreak/>
        <w:t>Begoli</w:t>
      </w:r>
      <w:proofErr w:type="spellEnd"/>
      <w:r>
        <w:t xml:space="preserve">, E., Bhattacharya, T., &amp; </w:t>
      </w:r>
      <w:proofErr w:type="spellStart"/>
      <w:r>
        <w:t>Kusnezov</w:t>
      </w:r>
      <w:proofErr w:type="spellEnd"/>
      <w:r>
        <w:t xml:space="preserve">, D. (2019). The need for uncertainty quantification in machine-assisted medical decision making. </w:t>
      </w:r>
      <w:r>
        <w:rPr>
          <w:rStyle w:val="Emphasis"/>
        </w:rPr>
        <w:t>Nature Machine Intelligence</w:t>
      </w:r>
      <w:r>
        <w:t xml:space="preserve">, 1, 20–23. </w:t>
      </w:r>
      <w:hyperlink r:id="rId11" w:tgtFrame="_new" w:history="1">
        <w:r>
          <w:rPr>
            <w:rStyle w:val="Hyperlink"/>
          </w:rPr>
          <w:t>https://doi.org/10.1038/s42256-018-0004-1</w:t>
        </w:r>
      </w:hyperlink>
    </w:p>
    <w:p w14:paraId="27B808F1" w14:textId="77777777" w:rsidR="00622AD3" w:rsidRDefault="00622AD3" w:rsidP="00F87D43">
      <w:pPr>
        <w:pStyle w:val="NormalWeb"/>
        <w:spacing w:line="276" w:lineRule="auto"/>
        <w:jc w:val="both"/>
      </w:pPr>
      <w:r>
        <w:t xml:space="preserve">Casella, G., &amp; Berger, R. L. (2002). </w:t>
      </w:r>
      <w:r>
        <w:rPr>
          <w:rStyle w:val="Emphasis"/>
        </w:rPr>
        <w:t>Statistical inference</w:t>
      </w:r>
      <w:r>
        <w:t xml:space="preserve"> (2nd ed.). Duxbury Press.</w:t>
      </w:r>
    </w:p>
    <w:p w14:paraId="5A3BD520" w14:textId="77777777" w:rsidR="00622AD3" w:rsidRDefault="00622AD3" w:rsidP="00F87D43">
      <w:pPr>
        <w:pStyle w:val="NormalWeb"/>
        <w:spacing w:line="276" w:lineRule="auto"/>
        <w:jc w:val="both"/>
      </w:pPr>
      <w:r>
        <w:t xml:space="preserve">Der </w:t>
      </w:r>
      <w:proofErr w:type="spellStart"/>
      <w:r>
        <w:t>Kiureghian</w:t>
      </w:r>
      <w:proofErr w:type="spellEnd"/>
      <w:r>
        <w:t xml:space="preserve">, A., &amp; Ditlevsen, O. (2009). Aleatory or epistemic? Does it matter? </w:t>
      </w:r>
      <w:r>
        <w:rPr>
          <w:rStyle w:val="Emphasis"/>
        </w:rPr>
        <w:t>Structural Safety</w:t>
      </w:r>
      <w:r>
        <w:t xml:space="preserve">, 31(2), 105–112. </w:t>
      </w:r>
      <w:hyperlink r:id="rId12" w:tgtFrame="_new" w:history="1">
        <w:r>
          <w:rPr>
            <w:rStyle w:val="Hyperlink"/>
          </w:rPr>
          <w:t>https://doi.org/10.1016/j.strusafe.2008.06.020</w:t>
        </w:r>
      </w:hyperlink>
    </w:p>
    <w:p w14:paraId="446C02B8" w14:textId="77777777" w:rsidR="00622AD3" w:rsidRDefault="00622AD3" w:rsidP="00F87D43">
      <w:pPr>
        <w:pStyle w:val="NormalWeb"/>
        <w:spacing w:line="276" w:lineRule="auto"/>
        <w:jc w:val="both"/>
      </w:pPr>
      <w:r>
        <w:t xml:space="preserve">Gal, Y., &amp; Ghahramani, Z. (2016). Dropout as a Bayesian approximation: Representing model uncertainty in deep learning. In </w:t>
      </w:r>
      <w:r>
        <w:rPr>
          <w:rStyle w:val="Emphasis"/>
        </w:rPr>
        <w:t>Proceedings of the 33rd International Conference on Machine Learning (ICML)</w:t>
      </w:r>
      <w:r>
        <w:t xml:space="preserve">. </w:t>
      </w:r>
      <w:hyperlink r:id="rId13" w:tgtFrame="_new" w:history="1">
        <w:r>
          <w:rPr>
            <w:rStyle w:val="Hyperlink"/>
          </w:rPr>
          <w:t>https://doi.org/10.48550/arXiv.1506.02142</w:t>
        </w:r>
      </w:hyperlink>
    </w:p>
    <w:p w14:paraId="7EB11B5D" w14:textId="77777777" w:rsidR="00622AD3" w:rsidRDefault="00622AD3" w:rsidP="00F87D43">
      <w:pPr>
        <w:pStyle w:val="NormalWeb"/>
        <w:spacing w:line="276" w:lineRule="auto"/>
        <w:jc w:val="both"/>
      </w:pPr>
      <w:r>
        <w:t xml:space="preserve">Gelman, A., Carlin, J. B., Stern, H. S., Dunson, D. B., </w:t>
      </w:r>
      <w:proofErr w:type="spellStart"/>
      <w:r>
        <w:t>Vehtari</w:t>
      </w:r>
      <w:proofErr w:type="spellEnd"/>
      <w:r>
        <w:t xml:space="preserve">, A., &amp; Rubin, D. B. (2013). </w:t>
      </w:r>
      <w:r>
        <w:rPr>
          <w:rStyle w:val="Emphasis"/>
        </w:rPr>
        <w:t>Bayesian data analysis</w:t>
      </w:r>
      <w:r>
        <w:t xml:space="preserve"> (3rd ed.). CRC Press. </w:t>
      </w:r>
      <w:hyperlink r:id="rId14" w:tgtFrame="_new" w:history="1">
        <w:r>
          <w:rPr>
            <w:rStyle w:val="Hyperlink"/>
          </w:rPr>
          <w:t>https://doi.org/10.1201/b16018</w:t>
        </w:r>
      </w:hyperlink>
    </w:p>
    <w:p w14:paraId="6B73CCC6" w14:textId="77777777" w:rsidR="00622AD3" w:rsidRDefault="00622AD3" w:rsidP="00F87D43">
      <w:pPr>
        <w:pStyle w:val="NormalWeb"/>
        <w:spacing w:line="276" w:lineRule="auto"/>
        <w:jc w:val="both"/>
      </w:pPr>
      <w:r>
        <w:t xml:space="preserve">Gigerenzer, G., Krauss, S., &amp; </w:t>
      </w:r>
      <w:proofErr w:type="spellStart"/>
      <w:r>
        <w:t>Vitouch</w:t>
      </w:r>
      <w:proofErr w:type="spellEnd"/>
      <w:r>
        <w:t xml:space="preserve">, O. (2004). The null ritual: What you always wanted to know about significance testing but were afraid to ask. In D. Kaplan (Ed.), </w:t>
      </w:r>
      <w:r>
        <w:rPr>
          <w:rStyle w:val="Emphasis"/>
        </w:rPr>
        <w:t>The Sage handbook of quantitative methodology for the social sciences</w:t>
      </w:r>
      <w:r>
        <w:t xml:space="preserve"> (pp. 391–408). Sage. </w:t>
      </w:r>
      <w:hyperlink r:id="rId15" w:tgtFrame="_new" w:history="1">
        <w:r>
          <w:rPr>
            <w:rStyle w:val="Hyperlink"/>
          </w:rPr>
          <w:t>https://doi.org/10.4135/9781412986311.n21</w:t>
        </w:r>
      </w:hyperlink>
    </w:p>
    <w:p w14:paraId="5483A9DC" w14:textId="77777777" w:rsidR="00622AD3" w:rsidRDefault="00622AD3" w:rsidP="00F87D43">
      <w:pPr>
        <w:pStyle w:val="NormalWeb"/>
        <w:spacing w:line="276" w:lineRule="auto"/>
        <w:jc w:val="both"/>
      </w:pPr>
      <w:r>
        <w:t xml:space="preserve">Howson, C., &amp; Urbach, P. (2006). </w:t>
      </w:r>
      <w:r>
        <w:rPr>
          <w:rStyle w:val="Emphasis"/>
        </w:rPr>
        <w:t>Scientific reasoning: The Bayesian approach</w:t>
      </w:r>
      <w:r>
        <w:t xml:space="preserve"> (3rd ed.). Open Court.</w:t>
      </w:r>
    </w:p>
    <w:p w14:paraId="5A184658" w14:textId="77777777" w:rsidR="00622AD3" w:rsidRDefault="00622AD3" w:rsidP="00F87D43">
      <w:pPr>
        <w:pStyle w:val="NormalWeb"/>
        <w:spacing w:line="276" w:lineRule="auto"/>
        <w:jc w:val="both"/>
      </w:pPr>
      <w:r>
        <w:t xml:space="preserve">Joyce, J. M. (2005). How probabilities reflect evidence. </w:t>
      </w:r>
      <w:r>
        <w:rPr>
          <w:rStyle w:val="Emphasis"/>
        </w:rPr>
        <w:t>Philosophical Perspectives</w:t>
      </w:r>
      <w:r>
        <w:t>, 19(1), 153–178. https://doi.org/10.1111/j.1520-8583.2005.00061.x</w:t>
      </w:r>
    </w:p>
    <w:p w14:paraId="704F8D9C" w14:textId="77777777" w:rsidR="00622AD3" w:rsidRDefault="00622AD3" w:rsidP="00F87D43">
      <w:pPr>
        <w:pStyle w:val="NormalWeb"/>
        <w:spacing w:line="276" w:lineRule="auto"/>
        <w:jc w:val="both"/>
      </w:pPr>
      <w:r>
        <w:t xml:space="preserve">Kendall, A., &amp; Gal, Y. (2017). What uncertainties do we need in Bayesian deep learning for computer vision? In </w:t>
      </w:r>
      <w:r>
        <w:rPr>
          <w:rStyle w:val="Emphasis"/>
        </w:rPr>
        <w:t>Advances in Neural Information Processing Systems (</w:t>
      </w:r>
      <w:proofErr w:type="spellStart"/>
      <w:r>
        <w:rPr>
          <w:rStyle w:val="Emphasis"/>
        </w:rPr>
        <w:t>NeurIPS</w:t>
      </w:r>
      <w:proofErr w:type="spellEnd"/>
      <w:r>
        <w:rPr>
          <w:rStyle w:val="Emphasis"/>
        </w:rPr>
        <w:t>)</w:t>
      </w:r>
      <w:r>
        <w:t xml:space="preserve">. </w:t>
      </w:r>
      <w:hyperlink r:id="rId16" w:tgtFrame="_new" w:history="1">
        <w:r>
          <w:rPr>
            <w:rStyle w:val="Hyperlink"/>
          </w:rPr>
          <w:t>https://doi.org/10.48550/arXiv.1703.04977</w:t>
        </w:r>
      </w:hyperlink>
    </w:p>
    <w:p w14:paraId="36F88C3D" w14:textId="77777777" w:rsidR="00622AD3" w:rsidRDefault="00622AD3" w:rsidP="00F87D43">
      <w:pPr>
        <w:pStyle w:val="NormalWeb"/>
        <w:spacing w:line="276" w:lineRule="auto"/>
        <w:jc w:val="both"/>
        <w:rPr>
          <w:rStyle w:val="Hyperlink"/>
        </w:rPr>
      </w:pPr>
      <w:r>
        <w:t xml:space="preserve">Morey, R. D., Hoekstra, R., </w:t>
      </w:r>
      <w:proofErr w:type="spellStart"/>
      <w:r>
        <w:t>Rouder</w:t>
      </w:r>
      <w:proofErr w:type="spellEnd"/>
      <w:r>
        <w:t xml:space="preserve">, J. N., Lee, M. D., &amp; </w:t>
      </w:r>
      <w:proofErr w:type="spellStart"/>
      <w:r>
        <w:t>Wagenmakers</w:t>
      </w:r>
      <w:proofErr w:type="spellEnd"/>
      <w:r>
        <w:t xml:space="preserve">, E.-J. (2016). The fallacy of placing confidence in confidence intervals. </w:t>
      </w:r>
      <w:r>
        <w:rPr>
          <w:rStyle w:val="Emphasis"/>
        </w:rPr>
        <w:t>Psychonomic Bulletin &amp; Review</w:t>
      </w:r>
      <w:r>
        <w:t xml:space="preserve">, 23(1), 103–123. </w:t>
      </w:r>
      <w:hyperlink r:id="rId17" w:tgtFrame="_new" w:history="1">
        <w:r>
          <w:rPr>
            <w:rStyle w:val="Hyperlink"/>
          </w:rPr>
          <w:t>https://doi.org/10.3758/s13423-015-0947-8</w:t>
        </w:r>
      </w:hyperlink>
    </w:p>
    <w:p w14:paraId="5B7B4855" w14:textId="77777777" w:rsidR="00205FE2" w:rsidRPr="009D4679" w:rsidRDefault="00205FE2" w:rsidP="00205FE2">
      <w:pPr>
        <w:pStyle w:val="NormalWeb"/>
        <w:spacing w:line="276" w:lineRule="auto"/>
        <w:jc w:val="both"/>
        <w:rPr>
          <w:highlight w:val="yellow"/>
        </w:rPr>
      </w:pPr>
      <w:r w:rsidRPr="009D4679">
        <w:rPr>
          <w:highlight w:val="yellow"/>
        </w:rPr>
        <w:t xml:space="preserve">Mubashar, M., &amp; </w:t>
      </w:r>
      <w:proofErr w:type="spellStart"/>
      <w:r w:rsidRPr="009D4679">
        <w:rPr>
          <w:highlight w:val="yellow"/>
        </w:rPr>
        <w:t>Cuzzolin</w:t>
      </w:r>
      <w:proofErr w:type="spellEnd"/>
      <w:r w:rsidRPr="009D4679">
        <w:rPr>
          <w:highlight w:val="yellow"/>
        </w:rPr>
        <w:t xml:space="preserve">, F. (2026, March). </w:t>
      </w:r>
      <w:r w:rsidRPr="009D4679">
        <w:rPr>
          <w:rStyle w:val="Emphasis"/>
          <w:highlight w:val="yellow"/>
        </w:rPr>
        <w:t>Epistemic Generative Adversarial Networks</w:t>
      </w:r>
      <w:r w:rsidRPr="009D4679">
        <w:rPr>
          <w:highlight w:val="yellow"/>
        </w:rPr>
        <w:t xml:space="preserve">. </w:t>
      </w:r>
      <w:proofErr w:type="spellStart"/>
      <w:r w:rsidRPr="009D4679">
        <w:rPr>
          <w:highlight w:val="yellow"/>
        </w:rPr>
        <w:t>arXiv</w:t>
      </w:r>
      <w:proofErr w:type="spellEnd"/>
      <w:r w:rsidRPr="009D4679">
        <w:rPr>
          <w:highlight w:val="yellow"/>
        </w:rPr>
        <w:t xml:space="preserve"> preprint arXiv:2603.18348.</w:t>
      </w:r>
    </w:p>
    <w:p w14:paraId="58ABE2B4" w14:textId="2392DD97" w:rsidR="00205FE2" w:rsidRPr="00205FE2" w:rsidRDefault="00205FE2" w:rsidP="00205FE2">
      <w:pPr>
        <w:pStyle w:val="NormalWeb"/>
        <w:spacing w:line="276" w:lineRule="auto"/>
        <w:jc w:val="both"/>
        <w:rPr>
          <w:color w:val="2E74B5" w:themeColor="accent1" w:themeShade="BF"/>
          <w:u w:val="single"/>
        </w:rPr>
      </w:pPr>
      <w:r w:rsidRPr="009D4679">
        <w:rPr>
          <w:color w:val="2E74B5" w:themeColor="accent1" w:themeShade="BF"/>
          <w:highlight w:val="yellow"/>
          <w:u w:val="single"/>
        </w:rPr>
        <w:t>https://doi.org/10.48550/arXiv.2603.18348</w:t>
      </w:r>
    </w:p>
    <w:p w14:paraId="7828CFA8" w14:textId="77777777" w:rsidR="00622AD3" w:rsidRDefault="00622AD3" w:rsidP="00F87D43">
      <w:pPr>
        <w:pStyle w:val="NormalWeb"/>
        <w:spacing w:line="276" w:lineRule="auto"/>
        <w:jc w:val="both"/>
      </w:pPr>
      <w:r>
        <w:t xml:space="preserve">Otsuka, J. (2023). </w:t>
      </w:r>
      <w:r>
        <w:rPr>
          <w:rStyle w:val="Emphasis"/>
        </w:rPr>
        <w:t>Thinking about statistics: The philosophical foundations</w:t>
      </w:r>
      <w:r>
        <w:t xml:space="preserve">. Routledge. </w:t>
      </w:r>
      <w:hyperlink r:id="rId18" w:tgtFrame="_new" w:history="1">
        <w:r>
          <w:rPr>
            <w:rStyle w:val="Hyperlink"/>
          </w:rPr>
          <w:t>https://doi.org/10.4324/9781003262206</w:t>
        </w:r>
      </w:hyperlink>
    </w:p>
    <w:p w14:paraId="50B35585" w14:textId="77777777" w:rsidR="00622AD3" w:rsidRDefault="00622AD3" w:rsidP="004572E7">
      <w:pPr>
        <w:pStyle w:val="NormalWeb"/>
        <w:spacing w:line="276" w:lineRule="auto"/>
        <w:jc w:val="both"/>
      </w:pPr>
      <w:r>
        <w:lastRenderedPageBreak/>
        <w:t xml:space="preserve">Raham, T. F. (2025a). Zonal statistics – Beyond the boundaries of classical inference. SSRN Working Paper No. 5608617. </w:t>
      </w:r>
      <w:hyperlink r:id="rId19" w:tgtFrame="_new" w:history="1">
        <w:r>
          <w:rPr>
            <w:rStyle w:val="Hyperlink"/>
          </w:rPr>
          <w:t>https://ssrn.com/abstract=5608617</w:t>
        </w:r>
      </w:hyperlink>
    </w:p>
    <w:p w14:paraId="0AE4A1F7" w14:textId="77777777" w:rsidR="00622AD3" w:rsidRDefault="00622AD3" w:rsidP="00F87D43">
      <w:pPr>
        <w:pStyle w:val="NormalWeb"/>
        <w:spacing w:line="276" w:lineRule="auto"/>
        <w:jc w:val="both"/>
      </w:pPr>
      <w:r>
        <w:t xml:space="preserve">Raham, T. F. (2025b). </w:t>
      </w:r>
      <w:r>
        <w:rPr>
          <w:rStyle w:val="Emphasis"/>
        </w:rPr>
        <w:t>Ontological and methodological foundational core constructs—Robust adjusted mean and robust adjusted mean interval in epistemic zonal statistics</w:t>
      </w:r>
      <w:r>
        <w:t>. EZEF Research Publications. ISBN: 1230009446779</w:t>
      </w:r>
    </w:p>
    <w:p w14:paraId="0026419F" w14:textId="77777777" w:rsidR="00622AD3" w:rsidRDefault="00622AD3" w:rsidP="00F87D43">
      <w:pPr>
        <w:pStyle w:val="NormalWeb"/>
        <w:spacing w:line="276" w:lineRule="auto"/>
        <w:jc w:val="both"/>
      </w:pPr>
      <w:r>
        <w:t xml:space="preserve">Romeijn, J. W. (2017). Philosophy of statistics. In E. N. Zalta (Ed.), </w:t>
      </w:r>
      <w:r>
        <w:rPr>
          <w:rStyle w:val="Emphasis"/>
        </w:rPr>
        <w:t>The Stanford Encyclopedia of Philosophy</w:t>
      </w:r>
      <w:r>
        <w:t xml:space="preserve">. </w:t>
      </w:r>
      <w:hyperlink r:id="rId20" w:tgtFrame="_new" w:history="1">
        <w:r>
          <w:rPr>
            <w:rStyle w:val="Hyperlink"/>
          </w:rPr>
          <w:t>https://plato.stanford.edu/entries/statistics/</w:t>
        </w:r>
      </w:hyperlink>
    </w:p>
    <w:p w14:paraId="56B02FC6" w14:textId="77777777" w:rsidR="00622AD3" w:rsidRDefault="00622AD3" w:rsidP="00F87D43">
      <w:pPr>
        <w:pStyle w:val="NormalWeb"/>
        <w:spacing w:line="276" w:lineRule="auto"/>
        <w:jc w:val="both"/>
      </w:pPr>
      <w:r>
        <w:t xml:space="preserve">Tukey, J. W. (1977). </w:t>
      </w:r>
      <w:r>
        <w:rPr>
          <w:rStyle w:val="Emphasis"/>
        </w:rPr>
        <w:t>Exploratory data analysis</w:t>
      </w:r>
      <w:r>
        <w:t>. Addison-Wesley.</w:t>
      </w:r>
    </w:p>
    <w:p w14:paraId="4025B5EB" w14:textId="77777777" w:rsidR="00622AD3" w:rsidRDefault="00622AD3" w:rsidP="00F87D43">
      <w:pPr>
        <w:pStyle w:val="NormalWeb"/>
        <w:spacing w:line="276" w:lineRule="auto"/>
        <w:jc w:val="both"/>
      </w:pPr>
      <w:r>
        <w:t xml:space="preserve">Wasserstein, R. L., &amp; Lazar, N. A. (2016). The ASA statement on p-values: Context, process, and purpose. </w:t>
      </w:r>
      <w:r>
        <w:rPr>
          <w:rStyle w:val="Emphasis"/>
        </w:rPr>
        <w:t>The American Statistician</w:t>
      </w:r>
      <w:r>
        <w:t xml:space="preserve">, 70(2), 129–133. </w:t>
      </w:r>
      <w:hyperlink r:id="rId21" w:tgtFrame="_new" w:history="1">
        <w:r>
          <w:rPr>
            <w:rStyle w:val="Hyperlink"/>
          </w:rPr>
          <w:t>https://doi.org/10.1080/00031305.2016.1154108</w:t>
        </w:r>
      </w:hyperlink>
    </w:p>
    <w:p w14:paraId="01C0CB52" w14:textId="77777777" w:rsidR="00622AD3" w:rsidRDefault="00622AD3" w:rsidP="00F87D43">
      <w:pPr>
        <w:pStyle w:val="NormalWeb"/>
        <w:spacing w:line="276" w:lineRule="auto"/>
        <w:jc w:val="both"/>
      </w:pPr>
      <w:r>
        <w:t xml:space="preserve">Wolberg, W. H., Street, W. N., &amp; Mangasarian, O. L. (1995). </w:t>
      </w:r>
      <w:r>
        <w:rPr>
          <w:rStyle w:val="Emphasis"/>
        </w:rPr>
        <w:t>Breast cancer Wisconsin (diagnostic) data set</w:t>
      </w:r>
      <w:r>
        <w:t>. UCI Machine Learning Repository.</w:t>
      </w:r>
      <w:r>
        <w:br/>
      </w:r>
      <w:hyperlink r:id="rId22" w:tgtFrame="_new" w:history="1">
        <w:r>
          <w:rPr>
            <w:rStyle w:val="Hyperlink"/>
          </w:rPr>
          <w:t>https://archive.ics.uci.edu/ml/datasets/Breast+Cancer+Wisconsin+(Diagnostic)</w:t>
        </w:r>
      </w:hyperlink>
    </w:p>
    <w:p w14:paraId="5C44BF30" w14:textId="77777777" w:rsidR="00622AD3" w:rsidRDefault="00622AD3" w:rsidP="00622AD3">
      <w:pPr>
        <w:pStyle w:val="NormalWeb"/>
        <w:ind w:left="1400" w:right="1400" w:hanging="1400"/>
      </w:pPr>
    </w:p>
    <w:p w14:paraId="54676955" w14:textId="77777777" w:rsidR="00622AD3" w:rsidRDefault="00622AD3" w:rsidP="00B910E9">
      <w:pPr>
        <w:pStyle w:val="NormalWeb"/>
      </w:pPr>
    </w:p>
    <w:p w14:paraId="1E40CB01" w14:textId="77777777" w:rsidR="000A5513" w:rsidRDefault="000A5513" w:rsidP="000A5513">
      <w:pPr>
        <w:pStyle w:val="3"/>
      </w:pPr>
      <w:r>
        <w:rPr>
          <w:noProof/>
        </w:rPr>
        <w:drawing>
          <wp:inline distT="0" distB="0" distL="0" distR="0" wp14:anchorId="39E03731" wp14:editId="69B22F56">
            <wp:extent cx="304800" cy="304800"/>
            <wp:effectExtent l="0" t="0" r="0" b="0"/>
            <wp:docPr id="5" name="صورة 5" descr="C:\Users\ZBOOK\AppData\Local\Temp\ksohtml2455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OOK\AppData\Local\Temp\ksohtml24556\wps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6B8B922" w14:textId="77777777" w:rsidR="000A5513" w:rsidRDefault="000A5513" w:rsidP="000A5513">
      <w:pPr>
        <w:pStyle w:val="3"/>
      </w:pPr>
      <w:r>
        <w:rPr>
          <w:noProof/>
        </w:rPr>
        <w:lastRenderedPageBreak/>
        <w:drawing>
          <wp:inline distT="0" distB="0" distL="0" distR="0" wp14:anchorId="73CEDC97" wp14:editId="61F191B4">
            <wp:extent cx="304800" cy="304800"/>
            <wp:effectExtent l="0" t="0" r="0" b="0"/>
            <wp:docPr id="2" name="صورة 2" descr="C:\Users\ZBOOK\AppData\Local\Temp\ksohtml2455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BOOK\AppData\Local\Temp\ksohtml24556\wps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noProof/>
        </w:rPr>
        <w:drawing>
          <wp:inline distT="0" distB="0" distL="0" distR="0" wp14:anchorId="0B6F822E" wp14:editId="4FE1E5BE">
            <wp:extent cx="5275580" cy="3429000"/>
            <wp:effectExtent l="0" t="0" r="1270" b="0"/>
            <wp:docPr id="3" name="صورة 3" descr="C:\Users\ZBOOK\AppData\Local\Temp\ksohtml2455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BOOK\AppData\Local\Temp\ksohtml24556\wps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5580" cy="3429000"/>
                    </a:xfrm>
                    <a:prstGeom prst="rect">
                      <a:avLst/>
                    </a:prstGeom>
                    <a:noFill/>
                    <a:ln>
                      <a:noFill/>
                    </a:ln>
                  </pic:spPr>
                </pic:pic>
              </a:graphicData>
            </a:graphic>
          </wp:inline>
        </w:drawing>
      </w:r>
      <w:r>
        <w:t xml:space="preserve"> </w:t>
      </w:r>
    </w:p>
    <w:p w14:paraId="67A32A09" w14:textId="77777777" w:rsidR="000A5513" w:rsidRDefault="000A5513" w:rsidP="000A5513">
      <w:pPr>
        <w:pStyle w:val="3"/>
        <w:jc w:val="both"/>
        <w:rPr>
          <w:rFonts w:ascii="Times New Roman" w:hAnsi="Times New Roman"/>
          <w:i/>
          <w:iCs/>
          <w:sz w:val="22"/>
          <w:szCs w:val="22"/>
        </w:rPr>
      </w:pPr>
      <w:r>
        <w:rPr>
          <w:rStyle w:val="15"/>
          <w:rFonts w:eastAsia="SimSun"/>
          <w:i/>
          <w:iCs/>
          <w:sz w:val="22"/>
          <w:szCs w:val="22"/>
        </w:rPr>
        <w:t>Figure 1. Dispersion-calibrated credibility classification of operational thresholds.</w:t>
      </w:r>
      <w:r>
        <w:rPr>
          <w:rFonts w:ascii="Times New Roman" w:eastAsia="SimSun" w:hAnsi="Times New Roman"/>
          <w:i/>
          <w:iCs/>
          <w:sz w:val="22"/>
          <w:szCs w:val="22"/>
        </w:rPr>
        <w:br/>
        <w:t xml:space="preserve">The posterior distribution is partitioned according to the standardized distance between an operational value and the posterior mean, </w:t>
      </w:r>
      <w:proofErr w:type="spellStart"/>
      <w:r>
        <w:rPr>
          <w:rFonts w:ascii="Times New Roman" w:eastAsia="SimSun" w:hAnsi="Times New Roman"/>
          <w:i/>
          <w:iCs/>
          <w:sz w:val="22"/>
          <w:szCs w:val="22"/>
        </w:rPr>
        <w:t>Zpost</w:t>
      </w:r>
      <w:proofErr w:type="spellEnd"/>
      <w:r>
        <w:rPr>
          <w:rFonts w:ascii="Times New Roman" w:eastAsia="SimSun" w:hAnsi="Times New Roman"/>
          <w:i/>
          <w:iCs/>
          <w:sz w:val="22"/>
          <w:szCs w:val="22"/>
        </w:rPr>
        <w:t>​=(x−μ)/</w:t>
      </w:r>
      <w:proofErr w:type="spellStart"/>
      <w:r>
        <w:rPr>
          <w:rFonts w:ascii="Times New Roman" w:eastAsia="SimSun" w:hAnsi="Times New Roman"/>
          <w:i/>
          <w:iCs/>
          <w:sz w:val="22"/>
          <w:szCs w:val="22"/>
        </w:rPr>
        <w:t>σ</w:t>
      </w:r>
      <w:r>
        <w:rPr>
          <w:rFonts w:ascii="Times New Roman" w:eastAsia="SimSun" w:hAnsi="Times New Roman"/>
          <w:i/>
          <w:iCs/>
          <w:sz w:val="22"/>
          <w:szCs w:val="22"/>
          <w:vertAlign w:val="subscript"/>
        </w:rPr>
        <w:t>post</w:t>
      </w:r>
      <w:proofErr w:type="spellEnd"/>
      <w:r>
        <w:rPr>
          <w:rFonts w:ascii="Times New Roman" w:eastAsia="SimSun" w:hAnsi="Times New Roman"/>
          <w:i/>
          <w:iCs/>
          <w:sz w:val="22"/>
          <w:szCs w:val="22"/>
        </w:rPr>
        <w:t>​. Regions are defined by dispersion-calibrated boundaries at ±1 and ±2 posterior standard deviations. The central region (red) represents dispersion-aligned and operationally stable decisions, the adjacent green regions indicate moderate alignment under increased uncertainty, and the outer blue and purple regions reflect insufficient support or overextension relative to posterior evidence. The figure illustrates how decision admissibility depends on threshold placement relative to posterior dispersion rather than posterior magnitude alone.</w:t>
      </w:r>
    </w:p>
    <w:p w14:paraId="79908F8E" w14:textId="6B91D0E1" w:rsidR="00F42FFC" w:rsidRPr="00A21390" w:rsidRDefault="00F80B33" w:rsidP="00F80B33">
      <w:pPr>
        <w:pStyle w:val="3"/>
        <w:jc w:val="left"/>
      </w:pPr>
      <w:r>
        <w:rPr>
          <w:noProof/>
        </w:rPr>
        <w:lastRenderedPageBreak/>
        <w:drawing>
          <wp:inline distT="0" distB="0" distL="0" distR="0" wp14:anchorId="7F58587E" wp14:editId="7B3387A7">
            <wp:extent cx="5274310" cy="3515520"/>
            <wp:effectExtent l="0" t="0" r="2540" b="8890"/>
            <wp:docPr id="7" name="صورة 7" descr="C:\Users\ZBOOK\Downloads\Copilot_20260407_212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BOOK\Downloads\Copilot_20260407_21205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4310" cy="3515520"/>
                    </a:xfrm>
                    <a:prstGeom prst="rect">
                      <a:avLst/>
                    </a:prstGeom>
                    <a:noFill/>
                    <a:ln>
                      <a:noFill/>
                    </a:ln>
                  </pic:spPr>
                </pic:pic>
              </a:graphicData>
            </a:graphic>
          </wp:inline>
        </w:drawing>
      </w:r>
      <w:r w:rsidRPr="00F80B33">
        <w:rPr>
          <w:rFonts w:ascii="Times New Roman" w:hAnsi="Times New Roman"/>
          <w:sz w:val="22"/>
          <w:szCs w:val="22"/>
        </w:rPr>
        <w:t>This bar chart summarizes the proportion of cases classified into the four credibility zones. The Trusted Region (red) represents the central zone around the posterior mean, while the Plausible Regions (green) include both the lower and upper sides flanking the trusted core. The Recessive (blue) and Inflated (purple) regions capture the tails of the distribution.</w:t>
      </w:r>
    </w:p>
    <w:sectPr w:rsidR="00F42FFC" w:rsidRPr="00A21390">
      <w:headerReference w:type="even" r:id="rId26"/>
      <w:headerReference w:type="default" r:id="rId27"/>
      <w:footerReference w:type="default" r:id="rId28"/>
      <w:headerReference w:type="first" r:id="rId2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BCD7" w14:textId="77777777" w:rsidR="00D263D6" w:rsidRDefault="00D263D6">
      <w:pPr>
        <w:spacing w:before="0" w:after="0"/>
      </w:pPr>
      <w:r>
        <w:separator/>
      </w:r>
    </w:p>
  </w:endnote>
  <w:endnote w:type="continuationSeparator" w:id="0">
    <w:p w14:paraId="16FCE1B1" w14:textId="77777777" w:rsidR="00D263D6" w:rsidRDefault="00D263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2B1" w14:textId="77777777" w:rsidR="00622AD3" w:rsidRDefault="00622AD3">
    <w:pPr>
      <w:pStyle w:val="Footer"/>
    </w:pPr>
    <w:r>
      <w:rPr>
        <w:noProof/>
        <w:lang w:eastAsia="en-US"/>
      </w:rPr>
      <mc:AlternateContent>
        <mc:Choice Requires="wps">
          <w:drawing>
            <wp:anchor distT="0" distB="0" distL="114300" distR="114300" simplePos="0" relativeHeight="251659264" behindDoc="0" locked="0" layoutInCell="1" allowOverlap="1" wp14:anchorId="064D9000" wp14:editId="6899F4DD">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553AA35" w14:textId="77777777" w:rsidR="00622AD3" w:rsidRDefault="00622AD3">
                          <w:pPr>
                            <w:pStyle w:val="Footer"/>
                          </w:pPr>
                          <w:r>
                            <w:fldChar w:fldCharType="begin"/>
                          </w:r>
                          <w:r>
                            <w:instrText xml:space="preserve"> PAGE  \* MERGEFORMAT </w:instrText>
                          </w:r>
                          <w:r>
                            <w:fldChar w:fldCharType="separate"/>
                          </w:r>
                          <w:r w:rsidR="0018738E">
                            <w:rPr>
                              <w:noProof/>
                            </w:rPr>
                            <w:t>21</w:t>
                          </w:r>
                          <w:r>
                            <w:fldChar w:fldCharType="end"/>
                          </w:r>
                        </w:p>
                      </w:txbxContent>
                    </wps:txbx>
                    <wps:bodyPr vert="horz" wrap="none" lIns="0" tIns="0" rIns="0" bIns="0" anchor="t" anchorCtr="0">
                      <a:spAutoFit/>
                    </wps:bodyPr>
                  </wps:wsp>
                </a:graphicData>
              </a:graphic>
            </wp:anchor>
          </w:drawing>
        </mc:Choice>
        <mc:Fallback>
          <w:pict>
            <v:shapetype w14:anchorId="064D9000"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7553AA35" w14:textId="77777777" w:rsidR="00622AD3" w:rsidRDefault="00622AD3">
                    <w:pPr>
                      <w:pStyle w:val="Footer"/>
                    </w:pPr>
                    <w:r>
                      <w:fldChar w:fldCharType="begin"/>
                    </w:r>
                    <w:r>
                      <w:instrText xml:space="preserve"> PAGE  \* MERGEFORMAT </w:instrText>
                    </w:r>
                    <w:r>
                      <w:fldChar w:fldCharType="separate"/>
                    </w:r>
                    <w:r w:rsidR="0018738E">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8243" w14:textId="77777777" w:rsidR="00D263D6" w:rsidRDefault="00D263D6">
      <w:pPr>
        <w:spacing w:before="0" w:after="0"/>
      </w:pPr>
      <w:r>
        <w:separator/>
      </w:r>
    </w:p>
  </w:footnote>
  <w:footnote w:type="continuationSeparator" w:id="0">
    <w:p w14:paraId="7CCA35C9" w14:textId="77777777" w:rsidR="00D263D6" w:rsidRDefault="00D263D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5B8E" w14:textId="368EDC59" w:rsidR="00287795" w:rsidRDefault="00000000">
    <w:pPr>
      <w:pStyle w:val="Header"/>
    </w:pPr>
    <w:r>
      <w:rPr>
        <w:noProof/>
      </w:rPr>
      <w:pict w14:anchorId="3F8A4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4985" o:spid="_x0000_s1026"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4956" w14:textId="77777777" w:rsidR="006A0278" w:rsidRPr="006A0278" w:rsidRDefault="006A0278" w:rsidP="009D2E43">
    <w:pPr>
      <w:ind w:left="720"/>
      <w:jc w:val="left"/>
      <w:rPr>
        <w:rFonts w:ascii="Times New Roman" w:eastAsia="Times New Roman" w:hAnsi="Times New Roman"/>
        <w:sz w:val="24"/>
        <w:szCs w:val="24"/>
        <w:lang w:eastAsia="en-US"/>
      </w:rPr>
    </w:pPr>
    <w:r w:rsidRPr="00565DB1">
      <w:rPr>
        <w:rFonts w:ascii="Times New Roman" w:eastAsia="Times New Roman" w:hAnsi="Times New Roman"/>
        <w:i/>
        <w:iCs/>
        <w:sz w:val="24"/>
        <w:szCs w:val="24"/>
        <w:highlight w:val="yellow"/>
        <w:lang w:eastAsia="en-US"/>
      </w:rPr>
      <w:t>Credibility Zones and Safe Decision Rules in Bayesian AI Systems</w:t>
    </w:r>
  </w:p>
  <w:p w14:paraId="0A0F33BA" w14:textId="67EEFF3A" w:rsidR="00287795" w:rsidRPr="006A0278" w:rsidRDefault="00287795" w:rsidP="006A0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5680" w14:textId="17C2D4E5" w:rsidR="00287795" w:rsidRDefault="00000000">
    <w:pPr>
      <w:pStyle w:val="Header"/>
    </w:pPr>
    <w:r>
      <w:rPr>
        <w:noProof/>
      </w:rPr>
      <w:pict w14:anchorId="11AC3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4984" o:spid="_x0000_s1025"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223328C2"/>
    <w:multiLevelType w:val="multilevel"/>
    <w:tmpl w:val="C282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7020C"/>
    <w:multiLevelType w:val="multilevel"/>
    <w:tmpl w:val="77AE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C49D3"/>
    <w:multiLevelType w:val="multilevel"/>
    <w:tmpl w:val="D67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917623">
    <w:abstractNumId w:val="9"/>
  </w:num>
  <w:num w:numId="2" w16cid:durableId="741751805">
    <w:abstractNumId w:val="7"/>
  </w:num>
  <w:num w:numId="3" w16cid:durableId="32271844">
    <w:abstractNumId w:val="6"/>
  </w:num>
  <w:num w:numId="4" w16cid:durableId="2143378393">
    <w:abstractNumId w:val="5"/>
  </w:num>
  <w:num w:numId="5" w16cid:durableId="1741324009">
    <w:abstractNumId w:val="4"/>
  </w:num>
  <w:num w:numId="6" w16cid:durableId="1024937744">
    <w:abstractNumId w:val="8"/>
  </w:num>
  <w:num w:numId="7" w16cid:durableId="1708022118">
    <w:abstractNumId w:val="3"/>
  </w:num>
  <w:num w:numId="8" w16cid:durableId="2092847343">
    <w:abstractNumId w:val="2"/>
  </w:num>
  <w:num w:numId="9" w16cid:durableId="1471823368">
    <w:abstractNumId w:val="1"/>
  </w:num>
  <w:num w:numId="10" w16cid:durableId="670915609">
    <w:abstractNumId w:val="0"/>
  </w:num>
  <w:num w:numId="11" w16cid:durableId="1290474944">
    <w:abstractNumId w:val="11"/>
  </w:num>
  <w:num w:numId="12" w16cid:durableId="123890396">
    <w:abstractNumId w:val="12"/>
  </w:num>
  <w:num w:numId="13" w16cid:durableId="1932203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5C"/>
    <w:rsid w:val="00022202"/>
    <w:rsid w:val="00030ABD"/>
    <w:rsid w:val="00050A31"/>
    <w:rsid w:val="00051682"/>
    <w:rsid w:val="00055BE0"/>
    <w:rsid w:val="000716D2"/>
    <w:rsid w:val="00071AAB"/>
    <w:rsid w:val="000725BE"/>
    <w:rsid w:val="00072B6A"/>
    <w:rsid w:val="00080419"/>
    <w:rsid w:val="00082461"/>
    <w:rsid w:val="000933C6"/>
    <w:rsid w:val="000A5513"/>
    <w:rsid w:val="000B4A5D"/>
    <w:rsid w:val="000B76C4"/>
    <w:rsid w:val="000C5610"/>
    <w:rsid w:val="000C7FB0"/>
    <w:rsid w:val="000D4919"/>
    <w:rsid w:val="000E6552"/>
    <w:rsid w:val="000F3A4F"/>
    <w:rsid w:val="000F59AC"/>
    <w:rsid w:val="001137FD"/>
    <w:rsid w:val="001364FE"/>
    <w:rsid w:val="001368DD"/>
    <w:rsid w:val="00147DB3"/>
    <w:rsid w:val="001518A5"/>
    <w:rsid w:val="001652EC"/>
    <w:rsid w:val="00170095"/>
    <w:rsid w:val="00170E4F"/>
    <w:rsid w:val="001724D2"/>
    <w:rsid w:val="001743F4"/>
    <w:rsid w:val="0018738E"/>
    <w:rsid w:val="00187C33"/>
    <w:rsid w:val="001936B7"/>
    <w:rsid w:val="001947E9"/>
    <w:rsid w:val="00196AB1"/>
    <w:rsid w:val="001F4851"/>
    <w:rsid w:val="00201333"/>
    <w:rsid w:val="00205FE2"/>
    <w:rsid w:val="00210FA7"/>
    <w:rsid w:val="00216417"/>
    <w:rsid w:val="00216A83"/>
    <w:rsid w:val="0025531F"/>
    <w:rsid w:val="0026631D"/>
    <w:rsid w:val="00287795"/>
    <w:rsid w:val="002A1EE5"/>
    <w:rsid w:val="002C2F53"/>
    <w:rsid w:val="002C6F24"/>
    <w:rsid w:val="002F1DEC"/>
    <w:rsid w:val="00311D45"/>
    <w:rsid w:val="0033518C"/>
    <w:rsid w:val="003437C2"/>
    <w:rsid w:val="00343A27"/>
    <w:rsid w:val="00350593"/>
    <w:rsid w:val="00376B46"/>
    <w:rsid w:val="00377186"/>
    <w:rsid w:val="003A1C03"/>
    <w:rsid w:val="00414627"/>
    <w:rsid w:val="004251A2"/>
    <w:rsid w:val="00425D63"/>
    <w:rsid w:val="00426D20"/>
    <w:rsid w:val="00427798"/>
    <w:rsid w:val="004453E8"/>
    <w:rsid w:val="004572E7"/>
    <w:rsid w:val="004643D8"/>
    <w:rsid w:val="00466E20"/>
    <w:rsid w:val="00471A57"/>
    <w:rsid w:val="00483D89"/>
    <w:rsid w:val="00497C24"/>
    <w:rsid w:val="004A16A9"/>
    <w:rsid w:val="004C7BA5"/>
    <w:rsid w:val="004E123A"/>
    <w:rsid w:val="004E7628"/>
    <w:rsid w:val="004F073C"/>
    <w:rsid w:val="004F0C1D"/>
    <w:rsid w:val="004F48F2"/>
    <w:rsid w:val="005037F6"/>
    <w:rsid w:val="005149B1"/>
    <w:rsid w:val="005647F2"/>
    <w:rsid w:val="00565DB1"/>
    <w:rsid w:val="005662D1"/>
    <w:rsid w:val="00573A09"/>
    <w:rsid w:val="005A4526"/>
    <w:rsid w:val="005A4CCF"/>
    <w:rsid w:val="005A5CED"/>
    <w:rsid w:val="005C0E10"/>
    <w:rsid w:val="005C1B16"/>
    <w:rsid w:val="005C2856"/>
    <w:rsid w:val="005E53D0"/>
    <w:rsid w:val="006002EB"/>
    <w:rsid w:val="00607325"/>
    <w:rsid w:val="006128EF"/>
    <w:rsid w:val="00622AD3"/>
    <w:rsid w:val="006264B4"/>
    <w:rsid w:val="00643033"/>
    <w:rsid w:val="00644CC3"/>
    <w:rsid w:val="00661468"/>
    <w:rsid w:val="006649F0"/>
    <w:rsid w:val="0067245D"/>
    <w:rsid w:val="0068470E"/>
    <w:rsid w:val="00684740"/>
    <w:rsid w:val="00695DCD"/>
    <w:rsid w:val="006A0278"/>
    <w:rsid w:val="006A05CC"/>
    <w:rsid w:val="006A1914"/>
    <w:rsid w:val="006A307E"/>
    <w:rsid w:val="006A35A7"/>
    <w:rsid w:val="006D0461"/>
    <w:rsid w:val="006D0810"/>
    <w:rsid w:val="006E6FFB"/>
    <w:rsid w:val="007034A3"/>
    <w:rsid w:val="00705066"/>
    <w:rsid w:val="007152D7"/>
    <w:rsid w:val="007341C9"/>
    <w:rsid w:val="00735619"/>
    <w:rsid w:val="00737130"/>
    <w:rsid w:val="00746C14"/>
    <w:rsid w:val="00755C90"/>
    <w:rsid w:val="007732BD"/>
    <w:rsid w:val="007A444A"/>
    <w:rsid w:val="007C2C59"/>
    <w:rsid w:val="007E3625"/>
    <w:rsid w:val="00801F23"/>
    <w:rsid w:val="00815C6E"/>
    <w:rsid w:val="00837632"/>
    <w:rsid w:val="00845C8B"/>
    <w:rsid w:val="0085640F"/>
    <w:rsid w:val="008567AA"/>
    <w:rsid w:val="00860585"/>
    <w:rsid w:val="00892712"/>
    <w:rsid w:val="008A680A"/>
    <w:rsid w:val="008B0BB0"/>
    <w:rsid w:val="008C34AD"/>
    <w:rsid w:val="008D3F8E"/>
    <w:rsid w:val="008E6C4B"/>
    <w:rsid w:val="008F18C0"/>
    <w:rsid w:val="00907648"/>
    <w:rsid w:val="00916FEA"/>
    <w:rsid w:val="0093055B"/>
    <w:rsid w:val="00930FDE"/>
    <w:rsid w:val="00941482"/>
    <w:rsid w:val="00970356"/>
    <w:rsid w:val="00984C93"/>
    <w:rsid w:val="00987CE1"/>
    <w:rsid w:val="0099405C"/>
    <w:rsid w:val="009A3B0D"/>
    <w:rsid w:val="009A651E"/>
    <w:rsid w:val="009A748B"/>
    <w:rsid w:val="009C600F"/>
    <w:rsid w:val="009D2E43"/>
    <w:rsid w:val="009D3723"/>
    <w:rsid w:val="009D4679"/>
    <w:rsid w:val="009E04F2"/>
    <w:rsid w:val="009F3784"/>
    <w:rsid w:val="009F4E57"/>
    <w:rsid w:val="009F77F7"/>
    <w:rsid w:val="00A03B7B"/>
    <w:rsid w:val="00A11C1E"/>
    <w:rsid w:val="00A200C9"/>
    <w:rsid w:val="00A21390"/>
    <w:rsid w:val="00A250D5"/>
    <w:rsid w:val="00A32F56"/>
    <w:rsid w:val="00A36028"/>
    <w:rsid w:val="00A478E1"/>
    <w:rsid w:val="00A71F99"/>
    <w:rsid w:val="00A73464"/>
    <w:rsid w:val="00A75D32"/>
    <w:rsid w:val="00A8517F"/>
    <w:rsid w:val="00A91424"/>
    <w:rsid w:val="00AA2C77"/>
    <w:rsid w:val="00AA4725"/>
    <w:rsid w:val="00AB6DDC"/>
    <w:rsid w:val="00AC3FB9"/>
    <w:rsid w:val="00AC702A"/>
    <w:rsid w:val="00AD226F"/>
    <w:rsid w:val="00AF4AFA"/>
    <w:rsid w:val="00AF6839"/>
    <w:rsid w:val="00B00E13"/>
    <w:rsid w:val="00B02AE1"/>
    <w:rsid w:val="00B10C8F"/>
    <w:rsid w:val="00B13A52"/>
    <w:rsid w:val="00B24CF4"/>
    <w:rsid w:val="00B26993"/>
    <w:rsid w:val="00B456C5"/>
    <w:rsid w:val="00B4570C"/>
    <w:rsid w:val="00B465F1"/>
    <w:rsid w:val="00B46DF2"/>
    <w:rsid w:val="00B5208C"/>
    <w:rsid w:val="00B61CEA"/>
    <w:rsid w:val="00B660CD"/>
    <w:rsid w:val="00B74876"/>
    <w:rsid w:val="00B7489E"/>
    <w:rsid w:val="00B8630D"/>
    <w:rsid w:val="00B910E9"/>
    <w:rsid w:val="00B95509"/>
    <w:rsid w:val="00BB7C2B"/>
    <w:rsid w:val="00BC1664"/>
    <w:rsid w:val="00BC2546"/>
    <w:rsid w:val="00BE5E85"/>
    <w:rsid w:val="00BF206B"/>
    <w:rsid w:val="00C02DA9"/>
    <w:rsid w:val="00C04A7D"/>
    <w:rsid w:val="00C05085"/>
    <w:rsid w:val="00C0536F"/>
    <w:rsid w:val="00C07359"/>
    <w:rsid w:val="00C1593D"/>
    <w:rsid w:val="00C26CF4"/>
    <w:rsid w:val="00C30802"/>
    <w:rsid w:val="00C40CA9"/>
    <w:rsid w:val="00C56C7E"/>
    <w:rsid w:val="00C776A4"/>
    <w:rsid w:val="00C82346"/>
    <w:rsid w:val="00C84F5F"/>
    <w:rsid w:val="00C85212"/>
    <w:rsid w:val="00C92E0B"/>
    <w:rsid w:val="00CA2C6C"/>
    <w:rsid w:val="00CA5BF2"/>
    <w:rsid w:val="00CC0600"/>
    <w:rsid w:val="00CC27CB"/>
    <w:rsid w:val="00CC78AC"/>
    <w:rsid w:val="00CF7953"/>
    <w:rsid w:val="00D07232"/>
    <w:rsid w:val="00D10245"/>
    <w:rsid w:val="00D21BDD"/>
    <w:rsid w:val="00D230FD"/>
    <w:rsid w:val="00D263D6"/>
    <w:rsid w:val="00D276E7"/>
    <w:rsid w:val="00D354E3"/>
    <w:rsid w:val="00D51781"/>
    <w:rsid w:val="00D65F07"/>
    <w:rsid w:val="00D85097"/>
    <w:rsid w:val="00D92BB7"/>
    <w:rsid w:val="00DA5A11"/>
    <w:rsid w:val="00DC76D2"/>
    <w:rsid w:val="00DC7B20"/>
    <w:rsid w:val="00DD30ED"/>
    <w:rsid w:val="00DD3E96"/>
    <w:rsid w:val="00E069CD"/>
    <w:rsid w:val="00E075A3"/>
    <w:rsid w:val="00E1253F"/>
    <w:rsid w:val="00E1679E"/>
    <w:rsid w:val="00E30103"/>
    <w:rsid w:val="00E330A0"/>
    <w:rsid w:val="00E550DE"/>
    <w:rsid w:val="00E64C21"/>
    <w:rsid w:val="00E66A5D"/>
    <w:rsid w:val="00EB3F35"/>
    <w:rsid w:val="00EC24C6"/>
    <w:rsid w:val="00EF2933"/>
    <w:rsid w:val="00EF756F"/>
    <w:rsid w:val="00F03A87"/>
    <w:rsid w:val="00F05146"/>
    <w:rsid w:val="00F1115D"/>
    <w:rsid w:val="00F11F12"/>
    <w:rsid w:val="00F1299B"/>
    <w:rsid w:val="00F1417D"/>
    <w:rsid w:val="00F248D5"/>
    <w:rsid w:val="00F3513C"/>
    <w:rsid w:val="00F42FFC"/>
    <w:rsid w:val="00F465C5"/>
    <w:rsid w:val="00F5121E"/>
    <w:rsid w:val="00F5180D"/>
    <w:rsid w:val="00F51B21"/>
    <w:rsid w:val="00F51D87"/>
    <w:rsid w:val="00F72FA6"/>
    <w:rsid w:val="00F80B33"/>
    <w:rsid w:val="00F8455C"/>
    <w:rsid w:val="00F87D43"/>
    <w:rsid w:val="00F96B9C"/>
    <w:rsid w:val="00FE4C48"/>
    <w:rsid w:val="00FE5AB4"/>
    <w:rsid w:val="01D72119"/>
    <w:rsid w:val="040C6F62"/>
    <w:rsid w:val="058C2F21"/>
    <w:rsid w:val="073B09FA"/>
    <w:rsid w:val="0C29403A"/>
    <w:rsid w:val="0D0A307E"/>
    <w:rsid w:val="115B4135"/>
    <w:rsid w:val="122E786C"/>
    <w:rsid w:val="1B0B6850"/>
    <w:rsid w:val="1B624F52"/>
    <w:rsid w:val="1C417326"/>
    <w:rsid w:val="1D7C41EF"/>
    <w:rsid w:val="1E7E79B3"/>
    <w:rsid w:val="21A97C58"/>
    <w:rsid w:val="2A4609EB"/>
    <w:rsid w:val="2AFC4D78"/>
    <w:rsid w:val="2BC419E8"/>
    <w:rsid w:val="2DFB41F7"/>
    <w:rsid w:val="2E8A4587"/>
    <w:rsid w:val="32F36B48"/>
    <w:rsid w:val="352F0D04"/>
    <w:rsid w:val="368112A2"/>
    <w:rsid w:val="3695405F"/>
    <w:rsid w:val="36966290"/>
    <w:rsid w:val="377A5CE2"/>
    <w:rsid w:val="379C154A"/>
    <w:rsid w:val="37B02769"/>
    <w:rsid w:val="3C8729B7"/>
    <w:rsid w:val="3CB90B07"/>
    <w:rsid w:val="3DA8265D"/>
    <w:rsid w:val="3DFF7C27"/>
    <w:rsid w:val="4049186F"/>
    <w:rsid w:val="40E61109"/>
    <w:rsid w:val="4111534F"/>
    <w:rsid w:val="414A1A9D"/>
    <w:rsid w:val="41A21FC6"/>
    <w:rsid w:val="426A21CB"/>
    <w:rsid w:val="427965F0"/>
    <w:rsid w:val="42BF799F"/>
    <w:rsid w:val="4391237C"/>
    <w:rsid w:val="44DC7787"/>
    <w:rsid w:val="470F59C5"/>
    <w:rsid w:val="47E52CA5"/>
    <w:rsid w:val="49FD1AB6"/>
    <w:rsid w:val="4A8158F8"/>
    <w:rsid w:val="4EAA3A25"/>
    <w:rsid w:val="53BC636D"/>
    <w:rsid w:val="587E693B"/>
    <w:rsid w:val="5A4C5AFD"/>
    <w:rsid w:val="5F2D4536"/>
    <w:rsid w:val="609964D5"/>
    <w:rsid w:val="61C62F2B"/>
    <w:rsid w:val="659E25C0"/>
    <w:rsid w:val="67EC3DAC"/>
    <w:rsid w:val="685123B5"/>
    <w:rsid w:val="690F7082"/>
    <w:rsid w:val="6A6248C6"/>
    <w:rsid w:val="6A734076"/>
    <w:rsid w:val="6CCE17B1"/>
    <w:rsid w:val="6CF26A3F"/>
    <w:rsid w:val="704D0F6E"/>
    <w:rsid w:val="720A551A"/>
    <w:rsid w:val="73015CA1"/>
    <w:rsid w:val="738D3920"/>
    <w:rsid w:val="746D05C0"/>
    <w:rsid w:val="755A5196"/>
    <w:rsid w:val="7894637F"/>
    <w:rsid w:val="78F52C76"/>
    <w:rsid w:val="7B3307AF"/>
    <w:rsid w:val="7C0D255B"/>
    <w:rsid w:val="7CC131A3"/>
    <w:rsid w:val="7D8D73C0"/>
    <w:rsid w:val="7E930A57"/>
    <w:rsid w:val="7FE82E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2A1F9"/>
  <w15:docId w15:val="{93C12F97-2BBC-41A6-B5AC-397B25B2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toc 5" w:qFormat="1"/>
    <w:lsdException w:name="toc 6" w:qFormat="1"/>
    <w:lsdException w:name="toc 7" w:qFormat="1"/>
    <w:lsdException w:name="toc 8" w:qFormat="1"/>
    <w:lsdException w:name="toc 9" w:qFormat="1"/>
    <w:lsdException w:name="footer" w:qFormat="1"/>
    <w:lsdException w:name="caption" w:semiHidden="1" w:unhideWhenUsed="1" w:qFormat="1"/>
    <w:lsdException w:name="envelope return" w:qFormat="1"/>
    <w:lsdException w:name="annotation reference" w:qFormat="1"/>
    <w:lsdException w:name="line number" w:qFormat="1"/>
    <w:lsdException w:name="toa heading" w:qFormat="1"/>
    <w:lsdException w:name="List" w:qFormat="1"/>
    <w:lsdException w:name="List Number 4" w:qFormat="1"/>
    <w:lsdException w:name="Title" w:qFormat="1"/>
    <w:lsdException w:name="Closing" w:qFormat="1"/>
    <w:lsdException w:name="Default Paragraph Font" w:semiHidden="1" w:qFormat="1"/>
    <w:lsdException w:name="Subtitle" w:qFormat="1"/>
    <w:lsdException w:name="Date" w:qFormat="1"/>
    <w:lsdException w:name="Body Text First Indent 2" w:qFormat="1"/>
    <w:lsdException w:name="Body Text 2" w:qFormat="1"/>
    <w:lsdException w:name="Body Text 3" w:qFormat="1"/>
    <w:lsdException w:name="Body Text Indent 3" w:qFormat="1"/>
    <w:lsdException w:name="Block Text" w:qFormat="1"/>
    <w:lsdException w:name="Followed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qFormat="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lsdException w:name="Table Web 2" w:semiHidden="1" w:unhideWhenUsed="1"/>
    <w:lsdException w:name="Table Web 3" w:semiHidden="1" w:unhideWhenUsed="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00" w:beforeAutospacing="1" w:after="100" w:afterAutospacing="1"/>
      <w:jc w:val="right"/>
    </w:pPr>
    <w:rPr>
      <w:rFonts w:ascii="Calibri" w:eastAsia="DengXian" w:hAnsi="Calibri"/>
      <w:lang w:eastAsia="zh-CN"/>
    </w:rPr>
  </w:style>
  <w:style w:type="paragraph" w:styleId="Heading1">
    <w:name w:val="heading 1"/>
    <w:basedOn w:val="Normal"/>
    <w:next w:val="Normal"/>
    <w:qFormat/>
    <w:pPr>
      <w:spacing w:before="0" w:after="0"/>
      <w:jc w:val="left"/>
      <w:outlineLvl w:val="0"/>
    </w:pPr>
    <w:rPr>
      <w:rFonts w:ascii="SimSun" w:eastAsia="SimSun" w:hAnsi="SimSun" w:hint="eastAsia"/>
      <w:b/>
      <w:bCs/>
      <w:kern w:val="44"/>
      <w:sz w:val="48"/>
      <w:szCs w:val="48"/>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qFormat/>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uiPriority w:val="20"/>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00" w:beforeAutospacing="1" w:after="100" w:afterAutospacing="1"/>
      <w:jc w:val="right"/>
    </w:pPr>
    <w:rPr>
      <w:rFonts w:ascii="Courier New" w:eastAsia="DengXian"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uiPriority w:val="99"/>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uiPriority w:val="22"/>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
    <w:name w:val="جدول عادي1"/>
    <w:semiHidden/>
    <w:pPr>
      <w:spacing w:after="200" w:line="276" w:lineRule="auto"/>
    </w:pPr>
    <w:rPr>
      <w:rFonts w:ascii="Calibri" w:hAnsi="Calibri" w:cs="Arial" w:hint="eastAsia"/>
      <w:sz w:val="22"/>
      <w:szCs w:val="22"/>
    </w:rPr>
    <w:tblPr>
      <w:tblCellMar>
        <w:top w:w="0" w:type="dxa"/>
        <w:left w:w="108" w:type="dxa"/>
        <w:bottom w:w="0" w:type="dxa"/>
        <w:right w:w="108" w:type="dxa"/>
      </w:tblCellMar>
    </w:tblPr>
  </w:style>
  <w:style w:type="character" w:customStyle="1" w:styleId="2Char">
    <w:name w:val="عنوان 2 Char"/>
    <w:rPr>
      <w:rFonts w:ascii="Calibri" w:eastAsia="MS Gothic" w:hAnsi="Calibri" w:cs="Times New Roman" w:hint="default"/>
      <w:b/>
      <w:bCs/>
      <w:color w:val="4F81BD"/>
      <w:sz w:val="26"/>
      <w:szCs w:val="26"/>
    </w:rPr>
  </w:style>
  <w:style w:type="character" w:customStyle="1" w:styleId="1Char">
    <w:name w:val="عنوان 1 Char"/>
    <w:rPr>
      <w:rFonts w:ascii="Calibri" w:eastAsia="MS Gothic" w:hAnsi="Calibri" w:cs="Times New Roman" w:hint="default"/>
      <w:b/>
      <w:bCs/>
      <w:color w:val="365F91"/>
      <w:sz w:val="28"/>
      <w:szCs w:val="28"/>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paragraph" w:customStyle="1" w:styleId="10">
    <w:name w:val="عادي1"/>
    <w:rsid w:val="00DA5A11"/>
    <w:pPr>
      <w:spacing w:before="100" w:beforeAutospacing="1" w:after="100" w:afterAutospacing="1"/>
      <w:jc w:val="right"/>
    </w:pPr>
    <w:rPr>
      <w:rFonts w:ascii="Calibri" w:eastAsia="Times New Roman" w:hAnsi="Calibri"/>
      <w:sz w:val="24"/>
      <w:szCs w:val="24"/>
    </w:rPr>
  </w:style>
  <w:style w:type="paragraph" w:customStyle="1" w:styleId="11">
    <w:name w:val="عادي (ويب)1"/>
    <w:basedOn w:val="Normal"/>
    <w:semiHidden/>
    <w:rsid w:val="00DA5A11"/>
    <w:pPr>
      <w:jc w:val="left"/>
    </w:pPr>
    <w:rPr>
      <w:rFonts w:ascii="Times New Roman" w:eastAsia="Times New Roman" w:hAnsi="Times New Roman"/>
      <w:sz w:val="24"/>
      <w:szCs w:val="24"/>
      <w:lang w:eastAsia="en-US"/>
    </w:rPr>
  </w:style>
  <w:style w:type="character" w:customStyle="1" w:styleId="15">
    <w:name w:val="15"/>
    <w:basedOn w:val="DefaultParagraphFont"/>
    <w:rsid w:val="00DA5A11"/>
    <w:rPr>
      <w:rFonts w:ascii="Times New Roman" w:hAnsi="Times New Roman" w:cs="Times New Roman" w:hint="default"/>
      <w:b/>
      <w:sz w:val="24"/>
      <w:szCs w:val="24"/>
    </w:rPr>
  </w:style>
  <w:style w:type="paragraph" w:customStyle="1" w:styleId="2">
    <w:name w:val="عادي (ويب)2"/>
    <w:basedOn w:val="Normal"/>
    <w:rsid w:val="00CA5BF2"/>
    <w:pPr>
      <w:jc w:val="left"/>
    </w:pPr>
    <w:rPr>
      <w:sz w:val="24"/>
      <w:szCs w:val="24"/>
      <w:lang w:eastAsia="en-US"/>
    </w:rPr>
  </w:style>
  <w:style w:type="paragraph" w:customStyle="1" w:styleId="20">
    <w:name w:val="عادي2"/>
    <w:rsid w:val="00F03A87"/>
    <w:pPr>
      <w:spacing w:before="100" w:beforeAutospacing="1" w:after="100" w:afterAutospacing="1"/>
      <w:jc w:val="right"/>
    </w:pPr>
    <w:rPr>
      <w:rFonts w:ascii="Calibri" w:eastAsia="DengXian" w:hAnsi="Calibri"/>
      <w:sz w:val="24"/>
      <w:szCs w:val="24"/>
    </w:rPr>
  </w:style>
  <w:style w:type="character" w:customStyle="1" w:styleId="katex-mathml">
    <w:name w:val="katex-mathml"/>
    <w:basedOn w:val="DefaultParagraphFont"/>
    <w:rsid w:val="008D3F8E"/>
  </w:style>
  <w:style w:type="character" w:customStyle="1" w:styleId="mord">
    <w:name w:val="mord"/>
    <w:basedOn w:val="DefaultParagraphFont"/>
    <w:rsid w:val="008D3F8E"/>
  </w:style>
  <w:style w:type="character" w:customStyle="1" w:styleId="vlist-s">
    <w:name w:val="vlist-s"/>
    <w:basedOn w:val="DefaultParagraphFont"/>
    <w:rsid w:val="008D3F8E"/>
  </w:style>
  <w:style w:type="character" w:customStyle="1" w:styleId="mopen">
    <w:name w:val="mopen"/>
    <w:basedOn w:val="DefaultParagraphFont"/>
    <w:rsid w:val="008D3F8E"/>
  </w:style>
  <w:style w:type="character" w:customStyle="1" w:styleId="mbin">
    <w:name w:val="mbin"/>
    <w:basedOn w:val="DefaultParagraphFont"/>
    <w:rsid w:val="008D3F8E"/>
  </w:style>
  <w:style w:type="character" w:customStyle="1" w:styleId="mclose">
    <w:name w:val="mclose"/>
    <w:basedOn w:val="DefaultParagraphFont"/>
    <w:rsid w:val="008D3F8E"/>
  </w:style>
  <w:style w:type="character" w:customStyle="1" w:styleId="mrel">
    <w:name w:val="mrel"/>
    <w:basedOn w:val="DefaultParagraphFont"/>
    <w:rsid w:val="008D3F8E"/>
  </w:style>
  <w:style w:type="character" w:customStyle="1" w:styleId="mpunct">
    <w:name w:val="mpunct"/>
    <w:basedOn w:val="DefaultParagraphFont"/>
    <w:rsid w:val="008D3F8E"/>
  </w:style>
  <w:style w:type="paragraph" w:customStyle="1" w:styleId="3">
    <w:name w:val="عادي3"/>
    <w:rsid w:val="00D230FD"/>
    <w:pPr>
      <w:spacing w:before="100" w:beforeAutospacing="1" w:after="100" w:afterAutospacing="1"/>
      <w:jc w:val="right"/>
    </w:pPr>
    <w:rPr>
      <w:rFonts w:ascii="Calibri" w:eastAsia="DengXian" w:hAnsi="Calibri"/>
      <w:sz w:val="24"/>
      <w:szCs w:val="24"/>
    </w:rPr>
  </w:style>
  <w:style w:type="character" w:customStyle="1" w:styleId="UnresolvedMention1">
    <w:name w:val="Unresolved Mention1"/>
    <w:basedOn w:val="DefaultParagraphFont"/>
    <w:uiPriority w:val="99"/>
    <w:semiHidden/>
    <w:unhideWhenUsed/>
    <w:rsid w:val="00A73464"/>
    <w:rPr>
      <w:color w:val="605E5C"/>
      <w:shd w:val="clear" w:color="auto" w:fill="E1DFDD"/>
    </w:rPr>
  </w:style>
  <w:style w:type="character" w:styleId="UnresolvedMention">
    <w:name w:val="Unresolved Mention"/>
    <w:basedOn w:val="DefaultParagraphFont"/>
    <w:uiPriority w:val="99"/>
    <w:semiHidden/>
    <w:unhideWhenUsed/>
    <w:rsid w:val="00DD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5920">
      <w:bodyDiv w:val="1"/>
      <w:marLeft w:val="0"/>
      <w:marRight w:val="0"/>
      <w:marTop w:val="0"/>
      <w:marBottom w:val="0"/>
      <w:divBdr>
        <w:top w:val="none" w:sz="0" w:space="0" w:color="auto"/>
        <w:left w:val="none" w:sz="0" w:space="0" w:color="auto"/>
        <w:bottom w:val="none" w:sz="0" w:space="0" w:color="auto"/>
        <w:right w:val="none" w:sz="0" w:space="0" w:color="auto"/>
      </w:divBdr>
    </w:div>
    <w:div w:id="145903005">
      <w:bodyDiv w:val="1"/>
      <w:marLeft w:val="0"/>
      <w:marRight w:val="0"/>
      <w:marTop w:val="0"/>
      <w:marBottom w:val="0"/>
      <w:divBdr>
        <w:top w:val="none" w:sz="0" w:space="0" w:color="auto"/>
        <w:left w:val="none" w:sz="0" w:space="0" w:color="auto"/>
        <w:bottom w:val="none" w:sz="0" w:space="0" w:color="auto"/>
        <w:right w:val="none" w:sz="0" w:space="0" w:color="auto"/>
      </w:divBdr>
    </w:div>
    <w:div w:id="201015577">
      <w:bodyDiv w:val="1"/>
      <w:marLeft w:val="0"/>
      <w:marRight w:val="0"/>
      <w:marTop w:val="0"/>
      <w:marBottom w:val="0"/>
      <w:divBdr>
        <w:top w:val="none" w:sz="0" w:space="0" w:color="auto"/>
        <w:left w:val="none" w:sz="0" w:space="0" w:color="auto"/>
        <w:bottom w:val="none" w:sz="0" w:space="0" w:color="auto"/>
        <w:right w:val="none" w:sz="0" w:space="0" w:color="auto"/>
      </w:divBdr>
    </w:div>
    <w:div w:id="214859633">
      <w:bodyDiv w:val="1"/>
      <w:marLeft w:val="0"/>
      <w:marRight w:val="0"/>
      <w:marTop w:val="0"/>
      <w:marBottom w:val="0"/>
      <w:divBdr>
        <w:top w:val="none" w:sz="0" w:space="0" w:color="auto"/>
        <w:left w:val="none" w:sz="0" w:space="0" w:color="auto"/>
        <w:bottom w:val="none" w:sz="0" w:space="0" w:color="auto"/>
        <w:right w:val="none" w:sz="0" w:space="0" w:color="auto"/>
      </w:divBdr>
    </w:div>
    <w:div w:id="262497793">
      <w:bodyDiv w:val="1"/>
      <w:marLeft w:val="0"/>
      <w:marRight w:val="0"/>
      <w:marTop w:val="0"/>
      <w:marBottom w:val="0"/>
      <w:divBdr>
        <w:top w:val="none" w:sz="0" w:space="0" w:color="auto"/>
        <w:left w:val="none" w:sz="0" w:space="0" w:color="auto"/>
        <w:bottom w:val="none" w:sz="0" w:space="0" w:color="auto"/>
        <w:right w:val="none" w:sz="0" w:space="0" w:color="auto"/>
      </w:divBdr>
    </w:div>
    <w:div w:id="281034993">
      <w:bodyDiv w:val="1"/>
      <w:marLeft w:val="0"/>
      <w:marRight w:val="0"/>
      <w:marTop w:val="0"/>
      <w:marBottom w:val="0"/>
      <w:divBdr>
        <w:top w:val="none" w:sz="0" w:space="0" w:color="auto"/>
        <w:left w:val="none" w:sz="0" w:space="0" w:color="auto"/>
        <w:bottom w:val="none" w:sz="0" w:space="0" w:color="auto"/>
        <w:right w:val="none" w:sz="0" w:space="0" w:color="auto"/>
      </w:divBdr>
    </w:div>
    <w:div w:id="374621459">
      <w:bodyDiv w:val="1"/>
      <w:marLeft w:val="0"/>
      <w:marRight w:val="0"/>
      <w:marTop w:val="0"/>
      <w:marBottom w:val="0"/>
      <w:divBdr>
        <w:top w:val="none" w:sz="0" w:space="0" w:color="auto"/>
        <w:left w:val="none" w:sz="0" w:space="0" w:color="auto"/>
        <w:bottom w:val="none" w:sz="0" w:space="0" w:color="auto"/>
        <w:right w:val="none" w:sz="0" w:space="0" w:color="auto"/>
      </w:divBdr>
    </w:div>
    <w:div w:id="436217402">
      <w:bodyDiv w:val="1"/>
      <w:marLeft w:val="0"/>
      <w:marRight w:val="0"/>
      <w:marTop w:val="0"/>
      <w:marBottom w:val="0"/>
      <w:divBdr>
        <w:top w:val="none" w:sz="0" w:space="0" w:color="auto"/>
        <w:left w:val="none" w:sz="0" w:space="0" w:color="auto"/>
        <w:bottom w:val="none" w:sz="0" w:space="0" w:color="auto"/>
        <w:right w:val="none" w:sz="0" w:space="0" w:color="auto"/>
      </w:divBdr>
    </w:div>
    <w:div w:id="513960100">
      <w:bodyDiv w:val="1"/>
      <w:marLeft w:val="0"/>
      <w:marRight w:val="0"/>
      <w:marTop w:val="0"/>
      <w:marBottom w:val="0"/>
      <w:divBdr>
        <w:top w:val="none" w:sz="0" w:space="0" w:color="auto"/>
        <w:left w:val="none" w:sz="0" w:space="0" w:color="auto"/>
        <w:bottom w:val="none" w:sz="0" w:space="0" w:color="auto"/>
        <w:right w:val="none" w:sz="0" w:space="0" w:color="auto"/>
      </w:divBdr>
    </w:div>
    <w:div w:id="530072881">
      <w:bodyDiv w:val="1"/>
      <w:marLeft w:val="0"/>
      <w:marRight w:val="0"/>
      <w:marTop w:val="0"/>
      <w:marBottom w:val="0"/>
      <w:divBdr>
        <w:top w:val="none" w:sz="0" w:space="0" w:color="auto"/>
        <w:left w:val="none" w:sz="0" w:space="0" w:color="auto"/>
        <w:bottom w:val="none" w:sz="0" w:space="0" w:color="auto"/>
        <w:right w:val="none" w:sz="0" w:space="0" w:color="auto"/>
      </w:divBdr>
    </w:div>
    <w:div w:id="534656749">
      <w:bodyDiv w:val="1"/>
      <w:marLeft w:val="0"/>
      <w:marRight w:val="0"/>
      <w:marTop w:val="0"/>
      <w:marBottom w:val="0"/>
      <w:divBdr>
        <w:top w:val="none" w:sz="0" w:space="0" w:color="auto"/>
        <w:left w:val="none" w:sz="0" w:space="0" w:color="auto"/>
        <w:bottom w:val="none" w:sz="0" w:space="0" w:color="auto"/>
        <w:right w:val="none" w:sz="0" w:space="0" w:color="auto"/>
      </w:divBdr>
    </w:div>
    <w:div w:id="590889970">
      <w:bodyDiv w:val="1"/>
      <w:marLeft w:val="0"/>
      <w:marRight w:val="0"/>
      <w:marTop w:val="0"/>
      <w:marBottom w:val="0"/>
      <w:divBdr>
        <w:top w:val="none" w:sz="0" w:space="0" w:color="auto"/>
        <w:left w:val="none" w:sz="0" w:space="0" w:color="auto"/>
        <w:bottom w:val="none" w:sz="0" w:space="0" w:color="auto"/>
        <w:right w:val="none" w:sz="0" w:space="0" w:color="auto"/>
      </w:divBdr>
    </w:div>
    <w:div w:id="624390495">
      <w:bodyDiv w:val="1"/>
      <w:marLeft w:val="0"/>
      <w:marRight w:val="0"/>
      <w:marTop w:val="0"/>
      <w:marBottom w:val="0"/>
      <w:divBdr>
        <w:top w:val="none" w:sz="0" w:space="0" w:color="auto"/>
        <w:left w:val="none" w:sz="0" w:space="0" w:color="auto"/>
        <w:bottom w:val="none" w:sz="0" w:space="0" w:color="auto"/>
        <w:right w:val="none" w:sz="0" w:space="0" w:color="auto"/>
      </w:divBdr>
    </w:div>
    <w:div w:id="684406005">
      <w:bodyDiv w:val="1"/>
      <w:marLeft w:val="0"/>
      <w:marRight w:val="0"/>
      <w:marTop w:val="0"/>
      <w:marBottom w:val="0"/>
      <w:divBdr>
        <w:top w:val="none" w:sz="0" w:space="0" w:color="auto"/>
        <w:left w:val="none" w:sz="0" w:space="0" w:color="auto"/>
        <w:bottom w:val="none" w:sz="0" w:space="0" w:color="auto"/>
        <w:right w:val="none" w:sz="0" w:space="0" w:color="auto"/>
      </w:divBdr>
    </w:div>
    <w:div w:id="711853028">
      <w:bodyDiv w:val="1"/>
      <w:marLeft w:val="0"/>
      <w:marRight w:val="0"/>
      <w:marTop w:val="0"/>
      <w:marBottom w:val="0"/>
      <w:divBdr>
        <w:top w:val="none" w:sz="0" w:space="0" w:color="auto"/>
        <w:left w:val="none" w:sz="0" w:space="0" w:color="auto"/>
        <w:bottom w:val="none" w:sz="0" w:space="0" w:color="auto"/>
        <w:right w:val="none" w:sz="0" w:space="0" w:color="auto"/>
      </w:divBdr>
    </w:div>
    <w:div w:id="798651141">
      <w:bodyDiv w:val="1"/>
      <w:marLeft w:val="0"/>
      <w:marRight w:val="0"/>
      <w:marTop w:val="0"/>
      <w:marBottom w:val="0"/>
      <w:divBdr>
        <w:top w:val="none" w:sz="0" w:space="0" w:color="auto"/>
        <w:left w:val="none" w:sz="0" w:space="0" w:color="auto"/>
        <w:bottom w:val="none" w:sz="0" w:space="0" w:color="auto"/>
        <w:right w:val="none" w:sz="0" w:space="0" w:color="auto"/>
      </w:divBdr>
    </w:div>
    <w:div w:id="893856697">
      <w:bodyDiv w:val="1"/>
      <w:marLeft w:val="0"/>
      <w:marRight w:val="0"/>
      <w:marTop w:val="0"/>
      <w:marBottom w:val="0"/>
      <w:divBdr>
        <w:top w:val="none" w:sz="0" w:space="0" w:color="auto"/>
        <w:left w:val="none" w:sz="0" w:space="0" w:color="auto"/>
        <w:bottom w:val="none" w:sz="0" w:space="0" w:color="auto"/>
        <w:right w:val="none" w:sz="0" w:space="0" w:color="auto"/>
      </w:divBdr>
    </w:div>
    <w:div w:id="967784114">
      <w:bodyDiv w:val="1"/>
      <w:marLeft w:val="0"/>
      <w:marRight w:val="0"/>
      <w:marTop w:val="0"/>
      <w:marBottom w:val="0"/>
      <w:divBdr>
        <w:top w:val="none" w:sz="0" w:space="0" w:color="auto"/>
        <w:left w:val="none" w:sz="0" w:space="0" w:color="auto"/>
        <w:bottom w:val="none" w:sz="0" w:space="0" w:color="auto"/>
        <w:right w:val="none" w:sz="0" w:space="0" w:color="auto"/>
      </w:divBdr>
    </w:div>
    <w:div w:id="1098283762">
      <w:bodyDiv w:val="1"/>
      <w:marLeft w:val="0"/>
      <w:marRight w:val="0"/>
      <w:marTop w:val="0"/>
      <w:marBottom w:val="0"/>
      <w:divBdr>
        <w:top w:val="none" w:sz="0" w:space="0" w:color="auto"/>
        <w:left w:val="none" w:sz="0" w:space="0" w:color="auto"/>
        <w:bottom w:val="none" w:sz="0" w:space="0" w:color="auto"/>
        <w:right w:val="none" w:sz="0" w:space="0" w:color="auto"/>
      </w:divBdr>
    </w:div>
    <w:div w:id="1122117034">
      <w:bodyDiv w:val="1"/>
      <w:marLeft w:val="0"/>
      <w:marRight w:val="0"/>
      <w:marTop w:val="0"/>
      <w:marBottom w:val="0"/>
      <w:divBdr>
        <w:top w:val="none" w:sz="0" w:space="0" w:color="auto"/>
        <w:left w:val="none" w:sz="0" w:space="0" w:color="auto"/>
        <w:bottom w:val="none" w:sz="0" w:space="0" w:color="auto"/>
        <w:right w:val="none" w:sz="0" w:space="0" w:color="auto"/>
      </w:divBdr>
    </w:div>
    <w:div w:id="1219053525">
      <w:bodyDiv w:val="1"/>
      <w:marLeft w:val="0"/>
      <w:marRight w:val="0"/>
      <w:marTop w:val="0"/>
      <w:marBottom w:val="0"/>
      <w:divBdr>
        <w:top w:val="none" w:sz="0" w:space="0" w:color="auto"/>
        <w:left w:val="none" w:sz="0" w:space="0" w:color="auto"/>
        <w:bottom w:val="none" w:sz="0" w:space="0" w:color="auto"/>
        <w:right w:val="none" w:sz="0" w:space="0" w:color="auto"/>
      </w:divBdr>
    </w:div>
    <w:div w:id="1288656059">
      <w:bodyDiv w:val="1"/>
      <w:marLeft w:val="0"/>
      <w:marRight w:val="0"/>
      <w:marTop w:val="0"/>
      <w:marBottom w:val="0"/>
      <w:divBdr>
        <w:top w:val="none" w:sz="0" w:space="0" w:color="auto"/>
        <w:left w:val="none" w:sz="0" w:space="0" w:color="auto"/>
        <w:bottom w:val="none" w:sz="0" w:space="0" w:color="auto"/>
        <w:right w:val="none" w:sz="0" w:space="0" w:color="auto"/>
      </w:divBdr>
      <w:divsChild>
        <w:div w:id="1407415576">
          <w:marLeft w:val="0"/>
          <w:marRight w:val="0"/>
          <w:marTop w:val="0"/>
          <w:marBottom w:val="0"/>
          <w:divBdr>
            <w:top w:val="none" w:sz="0" w:space="0" w:color="auto"/>
            <w:left w:val="none" w:sz="0" w:space="0" w:color="auto"/>
            <w:bottom w:val="none" w:sz="0" w:space="0" w:color="auto"/>
            <w:right w:val="none" w:sz="0" w:space="0" w:color="auto"/>
          </w:divBdr>
          <w:divsChild>
            <w:div w:id="1441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278">
      <w:bodyDiv w:val="1"/>
      <w:marLeft w:val="0"/>
      <w:marRight w:val="0"/>
      <w:marTop w:val="0"/>
      <w:marBottom w:val="0"/>
      <w:divBdr>
        <w:top w:val="none" w:sz="0" w:space="0" w:color="auto"/>
        <w:left w:val="none" w:sz="0" w:space="0" w:color="auto"/>
        <w:bottom w:val="none" w:sz="0" w:space="0" w:color="auto"/>
        <w:right w:val="none" w:sz="0" w:space="0" w:color="auto"/>
      </w:divBdr>
    </w:div>
    <w:div w:id="1329989097">
      <w:bodyDiv w:val="1"/>
      <w:marLeft w:val="0"/>
      <w:marRight w:val="0"/>
      <w:marTop w:val="0"/>
      <w:marBottom w:val="0"/>
      <w:divBdr>
        <w:top w:val="none" w:sz="0" w:space="0" w:color="auto"/>
        <w:left w:val="none" w:sz="0" w:space="0" w:color="auto"/>
        <w:bottom w:val="none" w:sz="0" w:space="0" w:color="auto"/>
        <w:right w:val="none" w:sz="0" w:space="0" w:color="auto"/>
      </w:divBdr>
    </w:div>
    <w:div w:id="1337071806">
      <w:bodyDiv w:val="1"/>
      <w:marLeft w:val="0"/>
      <w:marRight w:val="0"/>
      <w:marTop w:val="0"/>
      <w:marBottom w:val="0"/>
      <w:divBdr>
        <w:top w:val="none" w:sz="0" w:space="0" w:color="auto"/>
        <w:left w:val="none" w:sz="0" w:space="0" w:color="auto"/>
        <w:bottom w:val="none" w:sz="0" w:space="0" w:color="auto"/>
        <w:right w:val="none" w:sz="0" w:space="0" w:color="auto"/>
      </w:divBdr>
    </w:div>
    <w:div w:id="1355964899">
      <w:bodyDiv w:val="1"/>
      <w:marLeft w:val="0"/>
      <w:marRight w:val="0"/>
      <w:marTop w:val="0"/>
      <w:marBottom w:val="0"/>
      <w:divBdr>
        <w:top w:val="none" w:sz="0" w:space="0" w:color="auto"/>
        <w:left w:val="none" w:sz="0" w:space="0" w:color="auto"/>
        <w:bottom w:val="none" w:sz="0" w:space="0" w:color="auto"/>
        <w:right w:val="none" w:sz="0" w:space="0" w:color="auto"/>
      </w:divBdr>
    </w:div>
    <w:div w:id="1407456539">
      <w:bodyDiv w:val="1"/>
      <w:marLeft w:val="0"/>
      <w:marRight w:val="0"/>
      <w:marTop w:val="0"/>
      <w:marBottom w:val="0"/>
      <w:divBdr>
        <w:top w:val="none" w:sz="0" w:space="0" w:color="auto"/>
        <w:left w:val="none" w:sz="0" w:space="0" w:color="auto"/>
        <w:bottom w:val="none" w:sz="0" w:space="0" w:color="auto"/>
        <w:right w:val="none" w:sz="0" w:space="0" w:color="auto"/>
      </w:divBdr>
    </w:div>
    <w:div w:id="1429304600">
      <w:bodyDiv w:val="1"/>
      <w:marLeft w:val="0"/>
      <w:marRight w:val="0"/>
      <w:marTop w:val="0"/>
      <w:marBottom w:val="0"/>
      <w:divBdr>
        <w:top w:val="none" w:sz="0" w:space="0" w:color="auto"/>
        <w:left w:val="none" w:sz="0" w:space="0" w:color="auto"/>
        <w:bottom w:val="none" w:sz="0" w:space="0" w:color="auto"/>
        <w:right w:val="none" w:sz="0" w:space="0" w:color="auto"/>
      </w:divBdr>
    </w:div>
    <w:div w:id="1507935751">
      <w:bodyDiv w:val="1"/>
      <w:marLeft w:val="0"/>
      <w:marRight w:val="0"/>
      <w:marTop w:val="0"/>
      <w:marBottom w:val="0"/>
      <w:divBdr>
        <w:top w:val="none" w:sz="0" w:space="0" w:color="auto"/>
        <w:left w:val="none" w:sz="0" w:space="0" w:color="auto"/>
        <w:bottom w:val="none" w:sz="0" w:space="0" w:color="auto"/>
        <w:right w:val="none" w:sz="0" w:space="0" w:color="auto"/>
      </w:divBdr>
    </w:div>
    <w:div w:id="1570535873">
      <w:bodyDiv w:val="1"/>
      <w:marLeft w:val="0"/>
      <w:marRight w:val="0"/>
      <w:marTop w:val="0"/>
      <w:marBottom w:val="0"/>
      <w:divBdr>
        <w:top w:val="none" w:sz="0" w:space="0" w:color="auto"/>
        <w:left w:val="none" w:sz="0" w:space="0" w:color="auto"/>
        <w:bottom w:val="none" w:sz="0" w:space="0" w:color="auto"/>
        <w:right w:val="none" w:sz="0" w:space="0" w:color="auto"/>
      </w:divBdr>
    </w:div>
    <w:div w:id="1610625747">
      <w:bodyDiv w:val="1"/>
      <w:marLeft w:val="0"/>
      <w:marRight w:val="0"/>
      <w:marTop w:val="0"/>
      <w:marBottom w:val="0"/>
      <w:divBdr>
        <w:top w:val="none" w:sz="0" w:space="0" w:color="auto"/>
        <w:left w:val="none" w:sz="0" w:space="0" w:color="auto"/>
        <w:bottom w:val="none" w:sz="0" w:space="0" w:color="auto"/>
        <w:right w:val="none" w:sz="0" w:space="0" w:color="auto"/>
      </w:divBdr>
    </w:div>
    <w:div w:id="1612056653">
      <w:bodyDiv w:val="1"/>
      <w:marLeft w:val="0"/>
      <w:marRight w:val="0"/>
      <w:marTop w:val="0"/>
      <w:marBottom w:val="0"/>
      <w:divBdr>
        <w:top w:val="none" w:sz="0" w:space="0" w:color="auto"/>
        <w:left w:val="none" w:sz="0" w:space="0" w:color="auto"/>
        <w:bottom w:val="none" w:sz="0" w:space="0" w:color="auto"/>
        <w:right w:val="none" w:sz="0" w:space="0" w:color="auto"/>
      </w:divBdr>
    </w:div>
    <w:div w:id="1680043251">
      <w:bodyDiv w:val="1"/>
      <w:marLeft w:val="0"/>
      <w:marRight w:val="0"/>
      <w:marTop w:val="0"/>
      <w:marBottom w:val="0"/>
      <w:divBdr>
        <w:top w:val="none" w:sz="0" w:space="0" w:color="auto"/>
        <w:left w:val="none" w:sz="0" w:space="0" w:color="auto"/>
        <w:bottom w:val="none" w:sz="0" w:space="0" w:color="auto"/>
        <w:right w:val="none" w:sz="0" w:space="0" w:color="auto"/>
      </w:divBdr>
    </w:div>
    <w:div w:id="1705668472">
      <w:bodyDiv w:val="1"/>
      <w:marLeft w:val="0"/>
      <w:marRight w:val="0"/>
      <w:marTop w:val="0"/>
      <w:marBottom w:val="0"/>
      <w:divBdr>
        <w:top w:val="none" w:sz="0" w:space="0" w:color="auto"/>
        <w:left w:val="none" w:sz="0" w:space="0" w:color="auto"/>
        <w:bottom w:val="none" w:sz="0" w:space="0" w:color="auto"/>
        <w:right w:val="none" w:sz="0" w:space="0" w:color="auto"/>
      </w:divBdr>
    </w:div>
    <w:div w:id="1725136135">
      <w:bodyDiv w:val="1"/>
      <w:marLeft w:val="0"/>
      <w:marRight w:val="0"/>
      <w:marTop w:val="0"/>
      <w:marBottom w:val="0"/>
      <w:divBdr>
        <w:top w:val="none" w:sz="0" w:space="0" w:color="auto"/>
        <w:left w:val="none" w:sz="0" w:space="0" w:color="auto"/>
        <w:bottom w:val="none" w:sz="0" w:space="0" w:color="auto"/>
        <w:right w:val="none" w:sz="0" w:space="0" w:color="auto"/>
      </w:divBdr>
    </w:div>
    <w:div w:id="1749645059">
      <w:bodyDiv w:val="1"/>
      <w:marLeft w:val="0"/>
      <w:marRight w:val="0"/>
      <w:marTop w:val="0"/>
      <w:marBottom w:val="0"/>
      <w:divBdr>
        <w:top w:val="none" w:sz="0" w:space="0" w:color="auto"/>
        <w:left w:val="none" w:sz="0" w:space="0" w:color="auto"/>
        <w:bottom w:val="none" w:sz="0" w:space="0" w:color="auto"/>
        <w:right w:val="none" w:sz="0" w:space="0" w:color="auto"/>
      </w:divBdr>
    </w:div>
    <w:div w:id="1757435826">
      <w:bodyDiv w:val="1"/>
      <w:marLeft w:val="0"/>
      <w:marRight w:val="0"/>
      <w:marTop w:val="0"/>
      <w:marBottom w:val="0"/>
      <w:divBdr>
        <w:top w:val="none" w:sz="0" w:space="0" w:color="auto"/>
        <w:left w:val="none" w:sz="0" w:space="0" w:color="auto"/>
        <w:bottom w:val="none" w:sz="0" w:space="0" w:color="auto"/>
        <w:right w:val="none" w:sz="0" w:space="0" w:color="auto"/>
      </w:divBdr>
    </w:div>
    <w:div w:id="1829636393">
      <w:bodyDiv w:val="1"/>
      <w:marLeft w:val="0"/>
      <w:marRight w:val="0"/>
      <w:marTop w:val="0"/>
      <w:marBottom w:val="0"/>
      <w:divBdr>
        <w:top w:val="none" w:sz="0" w:space="0" w:color="auto"/>
        <w:left w:val="none" w:sz="0" w:space="0" w:color="auto"/>
        <w:bottom w:val="none" w:sz="0" w:space="0" w:color="auto"/>
        <w:right w:val="none" w:sz="0" w:space="0" w:color="auto"/>
      </w:divBdr>
    </w:div>
    <w:div w:id="1884318951">
      <w:bodyDiv w:val="1"/>
      <w:marLeft w:val="0"/>
      <w:marRight w:val="0"/>
      <w:marTop w:val="0"/>
      <w:marBottom w:val="0"/>
      <w:divBdr>
        <w:top w:val="none" w:sz="0" w:space="0" w:color="auto"/>
        <w:left w:val="none" w:sz="0" w:space="0" w:color="auto"/>
        <w:bottom w:val="none" w:sz="0" w:space="0" w:color="auto"/>
        <w:right w:val="none" w:sz="0" w:space="0" w:color="auto"/>
      </w:divBdr>
    </w:div>
    <w:div w:id="1934971124">
      <w:bodyDiv w:val="1"/>
      <w:marLeft w:val="0"/>
      <w:marRight w:val="0"/>
      <w:marTop w:val="0"/>
      <w:marBottom w:val="0"/>
      <w:divBdr>
        <w:top w:val="none" w:sz="0" w:space="0" w:color="auto"/>
        <w:left w:val="none" w:sz="0" w:space="0" w:color="auto"/>
        <w:bottom w:val="none" w:sz="0" w:space="0" w:color="auto"/>
        <w:right w:val="none" w:sz="0" w:space="0" w:color="auto"/>
      </w:divBdr>
    </w:div>
    <w:div w:id="2029718480">
      <w:bodyDiv w:val="1"/>
      <w:marLeft w:val="0"/>
      <w:marRight w:val="0"/>
      <w:marTop w:val="0"/>
      <w:marBottom w:val="0"/>
      <w:divBdr>
        <w:top w:val="none" w:sz="0" w:space="0" w:color="auto"/>
        <w:left w:val="none" w:sz="0" w:space="0" w:color="auto"/>
        <w:bottom w:val="none" w:sz="0" w:space="0" w:color="auto"/>
        <w:right w:val="none" w:sz="0" w:space="0" w:color="auto"/>
      </w:divBdr>
    </w:div>
    <w:div w:id="2061005724">
      <w:bodyDiv w:val="1"/>
      <w:marLeft w:val="0"/>
      <w:marRight w:val="0"/>
      <w:marTop w:val="0"/>
      <w:marBottom w:val="0"/>
      <w:divBdr>
        <w:top w:val="none" w:sz="0" w:space="0" w:color="auto"/>
        <w:left w:val="none" w:sz="0" w:space="0" w:color="auto"/>
        <w:bottom w:val="none" w:sz="0" w:space="0" w:color="auto"/>
        <w:right w:val="none" w:sz="0" w:space="0" w:color="auto"/>
      </w:divBdr>
    </w:div>
    <w:div w:id="212646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square.com/article/rs-8991228/latest" TargetMode="External"/><Relationship Id="rId13" Type="http://schemas.openxmlformats.org/officeDocument/2006/relationships/hyperlink" Target="https://doi.org/10.48550/arXiv.1506.02142" TargetMode="External"/><Relationship Id="rId18" Type="http://schemas.openxmlformats.org/officeDocument/2006/relationships/hyperlink" Target="https://doi.org/10.4324/978100326220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00031305.2016.1154108" TargetMode="External"/><Relationship Id="rId7" Type="http://schemas.openxmlformats.org/officeDocument/2006/relationships/endnotes" Target="endnotes.xml"/><Relationship Id="rId12" Type="http://schemas.openxmlformats.org/officeDocument/2006/relationships/hyperlink" Target="https://doi.org/10.1016/j.strusafe.2008.06.020" TargetMode="External"/><Relationship Id="rId17" Type="http://schemas.openxmlformats.org/officeDocument/2006/relationships/hyperlink" Target="https://doi.org/10.3758/s13423-015-0947-8"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48550/arXiv.1703.04977" TargetMode="External"/><Relationship Id="rId20" Type="http://schemas.openxmlformats.org/officeDocument/2006/relationships/hyperlink" Target="https://plato.stanford.edu/entries/statistic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2256-018-0004-1"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4135/9781412986311.n21"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hyperlink" Target="file:///C:/Users/Editor%20Acc%20101/Downloads/Uncertainty-Calibrated_Decision_Thresholds_in_Baye.pdf" TargetMode="External"/><Relationship Id="rId19" Type="http://schemas.openxmlformats.org/officeDocument/2006/relationships/hyperlink" Target="https://ssrn.com/abstract=56086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rchive.ics.uci.edu/ml/datasets/Breast+Cancer+Wisconsin+(Diagnostic)" TargetMode="External"/><Relationship Id="rId14" Type="http://schemas.openxmlformats.org/officeDocument/2006/relationships/hyperlink" Target="https://doi.org/10.1201/b16018" TargetMode="External"/><Relationship Id="rId22" Type="http://schemas.openxmlformats.org/officeDocument/2006/relationships/hyperlink" Target="https://archive.ics.uci.edu/ml/datasets/Breast+Cancer+Wisconsin+(Diagnostic)"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9643</Words>
  <Characters>54971</Characters>
  <Application>Microsoft Office Word</Application>
  <DocSecurity>0</DocSecurity>
  <Lines>458</Lines>
  <Paragraphs>128</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64486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ZBOOK</dc:creator>
  <cp:lastModifiedBy>Editor Acc 101</cp:lastModifiedBy>
  <cp:revision>31</cp:revision>
  <dcterms:created xsi:type="dcterms:W3CDTF">2026-04-06T17:50:00Z</dcterms:created>
  <dcterms:modified xsi:type="dcterms:W3CDTF">2026-04-09T07:47:00Z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0D6FB8582EB2413DBD32B0025491AE13_13</vt:lpwstr>
  </property>
</Properties>
</file>