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85521E" w:rsidRDefault="0085521E" w:rsidP="00FC7BB6">
      <w:pPr>
        <w:jc w:val="right"/>
        <w:rPr>
          <w:rFonts w:ascii="Times New Roman" w:hAnsi="Times New Roman"/>
          <w:b/>
          <w:sz w:val="36"/>
          <w:szCs w:val="36"/>
        </w:rPr>
      </w:pPr>
      <w:r w:rsidRPr="0085521E">
        <w:rPr>
          <w:rFonts w:ascii="Times New Roman" w:hAnsi="Times New Roman"/>
          <w:b/>
          <w:sz w:val="36"/>
          <w:szCs w:val="36"/>
        </w:rPr>
        <w:t xml:space="preserve">Original Research Article </w:t>
      </w:r>
    </w:p>
    <w:p w:rsidR="002D56A2" w:rsidRDefault="002D56A2" w:rsidP="00FC7BB6">
      <w:pPr>
        <w:jc w:val="right"/>
        <w:rPr>
          <w:rFonts w:ascii="Times New Roman" w:hAnsi="Times New Roman"/>
          <w:b/>
          <w:sz w:val="36"/>
          <w:szCs w:val="36"/>
        </w:rPr>
      </w:pPr>
    </w:p>
    <w:p w:rsidR="00FC7BB6" w:rsidRPr="00FC7BB6" w:rsidRDefault="00FC7BB6" w:rsidP="00FC7BB6">
      <w:pPr>
        <w:jc w:val="right"/>
        <w:rPr>
          <w:rFonts w:ascii="Times New Roman" w:hAnsi="Times New Roman"/>
          <w:b/>
          <w:sz w:val="36"/>
          <w:szCs w:val="36"/>
        </w:rPr>
      </w:pPr>
      <w:r w:rsidRPr="00FC7BB6">
        <w:rPr>
          <w:rFonts w:ascii="Times New Roman" w:hAnsi="Times New Roman"/>
          <w:b/>
          <w:sz w:val="36"/>
          <w:szCs w:val="36"/>
        </w:rPr>
        <w:t>A Panel Ve</w:t>
      </w:r>
      <w:r>
        <w:rPr>
          <w:rFonts w:ascii="Times New Roman" w:hAnsi="Times New Roman"/>
          <w:b/>
          <w:sz w:val="36"/>
          <w:szCs w:val="36"/>
        </w:rPr>
        <w:t>ctor Error Correction Modeling of the Impacts of Demographic Indicators on Human Development i</w:t>
      </w:r>
      <w:r w:rsidRPr="00FC7BB6">
        <w:rPr>
          <w:rFonts w:ascii="Times New Roman" w:hAnsi="Times New Roman"/>
          <w:b/>
          <w:sz w:val="36"/>
          <w:szCs w:val="36"/>
        </w:rPr>
        <w:t>n Nigeria</w:t>
      </w:r>
    </w:p>
    <w:p w:rsidR="00A258C3" w:rsidRPr="00790ADA" w:rsidRDefault="00A258C3" w:rsidP="00441B6F">
      <w:pPr>
        <w:pStyle w:val="Author"/>
        <w:spacing w:line="240" w:lineRule="auto"/>
        <w:jc w:val="both"/>
        <w:rPr>
          <w:rFonts w:ascii="Arial" w:hAnsi="Arial" w:cs="Arial"/>
          <w:sz w:val="36"/>
        </w:rPr>
      </w:pPr>
    </w:p>
    <w:p w:rsidR="004E6B0B" w:rsidRPr="004E6B0B" w:rsidRDefault="004E6B0B" w:rsidP="004E6B0B">
      <w:pPr>
        <w:jc w:val="right"/>
        <w:rPr>
          <w:rFonts w:ascii="Arial" w:hAnsi="Arial" w:cs="Arial"/>
        </w:rPr>
      </w:pPr>
    </w:p>
    <w:p w:rsidR="004E6B0B" w:rsidRPr="00FA5B71" w:rsidRDefault="004E6B0B" w:rsidP="00FA5B71">
      <w:pPr>
        <w:jc w:val="right"/>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FB352D" w:rsidP="00441B6F">
      <w:pPr>
        <w:pStyle w:val="Copyright"/>
        <w:spacing w:after="0" w:line="240" w:lineRule="auto"/>
        <w:jc w:val="both"/>
        <w:rPr>
          <w:rFonts w:ascii="Arial" w:hAnsi="Arial" w:cs="Arial"/>
        </w:rPr>
        <w:sectPr w:rsidR="00B01FCD" w:rsidRPr="00FB3A86" w:rsidSect="009A0D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790ADA" w:rsidRPr="00FB3A86" w:rsidRDefault="00B01FCD" w:rsidP="00AD5C35">
      <w:pPr>
        <w:pStyle w:val="AbstHead"/>
        <w:spacing w:after="0"/>
        <w:jc w:val="center"/>
        <w:rPr>
          <w:rFonts w:ascii="Arial" w:hAnsi="Arial" w:cs="Arial"/>
        </w:rPr>
      </w:pPr>
      <w:r w:rsidRPr="00FB3A86">
        <w:rPr>
          <w:rFonts w:ascii="Arial" w:hAnsi="Arial" w:cs="Arial"/>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AD5C35" w:rsidTr="001E44FE">
        <w:tc>
          <w:tcPr>
            <w:tcW w:w="9576" w:type="dxa"/>
            <w:shd w:val="clear" w:color="auto" w:fill="F2F2F2"/>
          </w:tcPr>
          <w:p w:rsidR="00505F06" w:rsidRPr="00AD5C35" w:rsidRDefault="00AD5C35" w:rsidP="00AD5C35">
            <w:pPr>
              <w:spacing w:before="100" w:beforeAutospacing="1"/>
              <w:jc w:val="both"/>
              <w:rPr>
                <w:rFonts w:ascii="Arial" w:hAnsi="Arial" w:cs="Arial"/>
              </w:rPr>
            </w:pPr>
            <w:r w:rsidRPr="00AD5C35">
              <w:rPr>
                <w:rFonts w:ascii="Arial" w:hAnsi="Arial" w:cs="Arial"/>
              </w:rPr>
              <w:t>This study examined the impact of key demographic indicators on human development in Nigeria using an advanced panel econometric framework. Annual panel data covering the period 1994-2024 across Nigeria’s six geopolitical regions were employed to analyze how life expectancy at birth (LEB), fertility rate (FR), urbanization rate (UR), dependency ratio (DR), and female labour force participation (FLP) influence the Human Development Index (HDI). The study employed descriptive statistics, first- and second-generation panel unit root tests, Johansen Fisher panel cointegration tests, Dynamic Panel Fully Modified Ordinary Least Squares (FMOLS), Panel Vector Error Correction Models (VECM), and Dumitrescu–Hurlin as well as panel pairwise Granger causality tests. Descriptive statistics revealed considerable volatility and non-stationary behaviour in the level series of all variables. However, stationarity was achieved after first differencing, indicating integration of order one, I(1). This was confirmed by both first-generation (IPS) and second-generation (CCE-ADF) unit root tests. The Johansen Fisher panel cointegration results provided strong evidence of a stable long-run equilibrium relationship between HDI and the demographic variables. Long-run estimates obtained through dynamic panel FMOLS showed that life expectancy at birth and female labour force participation exert significant positive effects on human development, while fertility rate, urbanization rate, and dependency ratio have negative long-run impacts. These findings highlight the growth-enhancing role of improved health outcomes and women’s economic participation, alongside the development constraints imposed by high fertility, demographic dependency, and unplanned urban expansion. Short-run dynamics analyzed through the Panel VECM revealed that increases in life expectancy and female labour participation immediately enhance HDI, whereas higher fertility and dependency ratios reduce human development in the short term. Urbanization exhibited mixed effects, with negative contemporaneous impacts but positive lagged effects, suggesting that rapid urban growth initially strains infrastructure and social services but contributes to development once adjustment occurs. The error-correction term was negative and highly significant, indicating a strong annual convergence speed of about 70% toward long-run equilibrium. Finally, Dumitrescu-Hurlin panel causality tests revealed strong unidirectional causality from all demographic indicators to HDI, alongside bidirectional causality between HDI and both life expectancy and female labour force participation. The study concluded that demographic factors played a critical and enduring role in shaping Nigeria’s human development path and recommended improvement in health investment, gender-inclusive labour policies, fertility reduction, strategic urban planning, and effective management of demographic dependency for sustainable development.</w:t>
            </w:r>
          </w:p>
        </w:tc>
      </w:tr>
    </w:tbl>
    <w:p w:rsidR="00636EB2" w:rsidRDefault="00636EB2" w:rsidP="00441B6F">
      <w:pPr>
        <w:pStyle w:val="Body"/>
        <w:spacing w:after="0"/>
        <w:rPr>
          <w:rFonts w:ascii="Arial" w:hAnsi="Arial" w:cs="Arial"/>
          <w:i/>
        </w:rPr>
      </w:pPr>
    </w:p>
    <w:p w:rsidR="0024282C" w:rsidRDefault="00A24E7E" w:rsidP="00441B6F">
      <w:pPr>
        <w:pStyle w:val="Body"/>
        <w:spacing w:after="0"/>
        <w:rPr>
          <w:rFonts w:ascii="Arial" w:hAnsi="Arial" w:cs="Arial"/>
          <w:i/>
          <w:sz w:val="18"/>
        </w:rPr>
      </w:pPr>
      <w:r>
        <w:rPr>
          <w:rFonts w:ascii="Arial" w:hAnsi="Arial" w:cs="Arial"/>
          <w:i/>
        </w:rPr>
        <w:lastRenderedPageBreak/>
        <w:t xml:space="preserve">Keywords: </w:t>
      </w:r>
      <w:r w:rsidR="00FC7BB6">
        <w:rPr>
          <w:rFonts w:ascii="Arial" w:hAnsi="Arial" w:cs="Arial"/>
          <w:i/>
        </w:rPr>
        <w:t xml:space="preserve">Demographic Indicator, Panel Modeling, Vector Error Correction, Johansen Fisher Cointegration, Granger Causality, Nigeria. </w:t>
      </w:r>
    </w:p>
    <w:p w:rsidR="00505F06" w:rsidRPr="00A24E7E" w:rsidRDefault="00505F06" w:rsidP="00441B6F">
      <w:pPr>
        <w:pStyle w:val="Body"/>
        <w:spacing w:after="0"/>
        <w:rPr>
          <w:rFonts w:ascii="Arial" w:hAnsi="Arial" w:cs="Arial"/>
          <w:i/>
        </w:rPr>
      </w:pPr>
    </w:p>
    <w:p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FA5B71" w:rsidRPr="00FA5B71" w:rsidRDefault="00FA5B71" w:rsidP="00FA5B71">
      <w:pPr>
        <w:spacing w:before="100" w:beforeAutospacing="1"/>
        <w:jc w:val="both"/>
        <w:rPr>
          <w:rFonts w:ascii="Arial" w:hAnsi="Arial" w:cs="Arial"/>
        </w:rPr>
      </w:pPr>
      <w:r w:rsidRPr="00FA5B71">
        <w:rPr>
          <w:rFonts w:ascii="Arial" w:hAnsi="Arial" w:cs="Arial"/>
        </w:rPr>
        <w:t>The global population has undergone profound demographic transformations characterized by rapid population growth, declining fertility and mortality rates, and significant changes in age structure. Historically, it took more than 50,000 years for the world population to reach one billion; however, the twentieth century witnessed an unprecedented acceleration in population growth, with billions added within a few decades. Although the global population growth rate has declined from over 2 percent in the 1960s to approximately 1 percent in recent years, projections suggest that the world population will exceed nine billion in the coming decades. These demographic transitions have far-reaching implications for economic performance, social welfare, and human development outcomes across countries (Figueiras et al., 2020).</w:t>
      </w:r>
    </w:p>
    <w:p w:rsidR="00FA5B71" w:rsidRPr="00FA5B71" w:rsidRDefault="00FA5B71" w:rsidP="00FA5B71">
      <w:pPr>
        <w:spacing w:before="100" w:beforeAutospacing="1"/>
        <w:jc w:val="both"/>
        <w:rPr>
          <w:rFonts w:ascii="Arial" w:hAnsi="Arial" w:cs="Arial"/>
        </w:rPr>
      </w:pPr>
      <w:r w:rsidRPr="00FA5B71">
        <w:rPr>
          <w:rFonts w:ascii="Arial" w:hAnsi="Arial" w:cs="Arial"/>
        </w:rPr>
        <w:t>Despite improvements in global income levels, life expectancy, and educational attainment, rapid population growth continues to pose substantial challenges, particularly in developing regions. Increasing population pressure intensifies the demand for employment opportunities, healthcare services, education, housing, and basic infrastructure, while also contributing to environmental degradation. A significant proportion of the global population resides in developing countries, where future population growth is expected to be concentrated. This demographic pattern highlights the importance of understanding how population dynamics interact with development processes, especially in low- and middle-income economies (Balcı</w:t>
      </w:r>
      <w:r w:rsidR="00FF267E">
        <w:rPr>
          <w:rFonts w:ascii="Arial" w:hAnsi="Arial" w:cs="Arial"/>
        </w:rPr>
        <w:t xml:space="preserve"> </w:t>
      </w:r>
      <w:r w:rsidRPr="00FA5B71">
        <w:rPr>
          <w:rFonts w:ascii="Arial" w:hAnsi="Arial" w:cs="Arial"/>
        </w:rPr>
        <w:t>&amp;</w:t>
      </w:r>
      <w:r w:rsidR="00FF267E">
        <w:rPr>
          <w:rFonts w:ascii="Arial" w:hAnsi="Arial" w:cs="Arial"/>
        </w:rPr>
        <w:t xml:space="preserve"> </w:t>
      </w:r>
      <w:r w:rsidRPr="00FA5B71">
        <w:rPr>
          <w:rFonts w:ascii="Arial" w:hAnsi="Arial" w:cs="Arial"/>
        </w:rPr>
        <w:t>Özcan, 2019).</w:t>
      </w:r>
    </w:p>
    <w:p w:rsidR="00FA5B71" w:rsidRPr="00FA5B71" w:rsidRDefault="00FA5B71" w:rsidP="00FA5B71">
      <w:pPr>
        <w:spacing w:before="100" w:beforeAutospacing="1"/>
        <w:jc w:val="both"/>
        <w:rPr>
          <w:rFonts w:ascii="Arial" w:hAnsi="Arial" w:cs="Arial"/>
        </w:rPr>
      </w:pPr>
      <w:r w:rsidRPr="00FA5B71">
        <w:rPr>
          <w:rFonts w:ascii="Arial" w:hAnsi="Arial" w:cs="Arial"/>
        </w:rPr>
        <w:t>Demographic transitions manifest differently across countries, resulting in varied development trajectories. While many developed economies are experiencing declining population growth and aging populations, several countries in Sub-Saharan Africa continue to experience high fertility rates and youthful age structures. Nigeria represents a prominent example of this trend and is projected to become one of the most populous countries in the world in the coming decades. A rapidly expanding working-age population has the potential to generate a demographic dividend, whereby increased labour supply and productivity can stimulate economic growth and improve human development outcomes if supported by adequate investments in education, healthcare, and employment creation (Adeyemi &amp;</w:t>
      </w:r>
      <w:r w:rsidR="00FF267E">
        <w:rPr>
          <w:rFonts w:ascii="Arial" w:hAnsi="Arial" w:cs="Arial"/>
        </w:rPr>
        <w:t xml:space="preserve"> </w:t>
      </w:r>
      <w:r w:rsidRPr="00FA5B71">
        <w:rPr>
          <w:rFonts w:ascii="Arial" w:hAnsi="Arial" w:cs="Arial"/>
        </w:rPr>
        <w:t>Ogunsola, 2016).</w:t>
      </w:r>
    </w:p>
    <w:p w:rsidR="00FA5B71" w:rsidRPr="00FA5B71" w:rsidRDefault="00FA5B71" w:rsidP="00FA5B71">
      <w:pPr>
        <w:spacing w:before="100" w:beforeAutospacing="1"/>
        <w:jc w:val="both"/>
        <w:rPr>
          <w:rFonts w:ascii="Arial" w:hAnsi="Arial" w:cs="Arial"/>
        </w:rPr>
      </w:pPr>
      <w:r w:rsidRPr="00FA5B71">
        <w:rPr>
          <w:rFonts w:ascii="Arial" w:hAnsi="Arial" w:cs="Arial"/>
        </w:rPr>
        <w:t>One of the key demographic indicators used in analyzing population dynamics is the dependency ratio, which measures the proportion of dependents relative to the working-age population. A declining dependency ratio can stimulate economic growth by increasing labour participation, productivity, and savings, while a rising dependency ratio may impose fiscal burdens on governments and households. Current projections indicate that, unlike many developed regions experiencing rising dependency ratios due to aging populations, Africa is expected to witness declining dependency ratios in the future. This trend presents a potential demographic window of opportunity for improving human development outcomes, provided that effective policies are implemented to harness this demographic advantage (Aksentijević</w:t>
      </w:r>
      <w:r w:rsidR="00FF267E">
        <w:rPr>
          <w:rFonts w:ascii="Arial" w:hAnsi="Arial" w:cs="Arial"/>
        </w:rPr>
        <w:t xml:space="preserve"> </w:t>
      </w:r>
      <w:r w:rsidRPr="00FA5B71">
        <w:rPr>
          <w:rFonts w:ascii="Arial" w:hAnsi="Arial" w:cs="Arial"/>
        </w:rPr>
        <w:t>&amp;</w:t>
      </w:r>
      <w:r w:rsidR="00FF267E">
        <w:rPr>
          <w:rFonts w:ascii="Arial" w:hAnsi="Arial" w:cs="Arial"/>
        </w:rPr>
        <w:t xml:space="preserve"> </w:t>
      </w:r>
      <w:r w:rsidRPr="00FA5B71">
        <w:rPr>
          <w:rFonts w:ascii="Arial" w:hAnsi="Arial" w:cs="Arial"/>
        </w:rPr>
        <w:t>Ježić, 2017).</w:t>
      </w:r>
    </w:p>
    <w:p w:rsidR="00FA5B71" w:rsidRPr="00FA5B71" w:rsidRDefault="00FA5B71" w:rsidP="00FA5B71">
      <w:pPr>
        <w:spacing w:before="100" w:beforeAutospacing="1"/>
        <w:jc w:val="both"/>
        <w:rPr>
          <w:rFonts w:ascii="Arial" w:hAnsi="Arial" w:cs="Arial"/>
        </w:rPr>
      </w:pPr>
      <w:r w:rsidRPr="00FA5B71">
        <w:rPr>
          <w:rFonts w:ascii="Arial" w:hAnsi="Arial" w:cs="Arial"/>
        </w:rPr>
        <w:t xml:space="preserve">However, demographic changes have not automatically translated into improvements in human development outcomes in many developing countries, including Nigeria. Human development, as defined by the United Nations Development Programme, emphasizes expanding people’s capabilities and opportunities in health, education, and living standards </w:t>
      </w:r>
      <w:r w:rsidRPr="00FA5B71">
        <w:rPr>
          <w:rFonts w:ascii="Arial" w:hAnsi="Arial" w:cs="Arial"/>
        </w:rPr>
        <w:lastRenderedPageBreak/>
        <w:t>rather than focusing solely on economic growth (UNDP, 2023). Despite its abundant natural and human resources, Nigeria continues to perform poorly in key human development indicators and ranks low on the Human Development Index. Persistent challenges such as high illiteracy rates, inadequate healthcare systems, and widespread poverty highlight the disconnect between demographic expansion and improvements in human well-being (Onyedinefu, 2022; Singh &amp;</w:t>
      </w:r>
      <w:r w:rsidR="00FF267E">
        <w:rPr>
          <w:rFonts w:ascii="Arial" w:hAnsi="Arial" w:cs="Arial"/>
        </w:rPr>
        <w:t xml:space="preserve"> </w:t>
      </w:r>
      <w:r w:rsidRPr="00FA5B71">
        <w:rPr>
          <w:rFonts w:ascii="Arial" w:hAnsi="Arial" w:cs="Arial"/>
        </w:rPr>
        <w:t>Kamra, 2016).</w:t>
      </w:r>
    </w:p>
    <w:p w:rsidR="00FA5B71" w:rsidRPr="00FA5B71" w:rsidRDefault="00FA5B71" w:rsidP="00FA5B71">
      <w:pPr>
        <w:spacing w:before="100" w:beforeAutospacing="1"/>
        <w:jc w:val="both"/>
        <w:rPr>
          <w:rFonts w:ascii="Arial" w:eastAsiaTheme="minorHAnsi" w:hAnsi="Arial" w:cs="Arial"/>
          <w:b/>
        </w:rPr>
      </w:pPr>
      <w:r w:rsidRPr="00FA5B71">
        <w:rPr>
          <w:rFonts w:ascii="Arial" w:hAnsi="Arial" w:cs="Arial"/>
        </w:rPr>
        <w:t>Although several studies have explored the relationship between demographic variables and development outcomes, empirical findings remain mixed and often inconclusive. Many existing studies rely on static econometric methods that fail to capture the complex dynamic interactions and long-run relationships among demographic indicators and human development. Furthermore, Nigeria exhibits substantial regional heterogeneity in demographic structures and socio-economic conditions across its states and geopolitical zones. To address these gaps, this study employs a Panel Vector Error Correction Model (PVECM) to examine both the short-run and long-run effects of selected demographic indicators—urbanization rate, dependency ratio, female labour force participation rate, fertility rate, and life expectancy—on the Human Development Index across Nigeria. Using panel data covering the period 1994–2024 and incorporating cross-sectional and temporal variations, the study provides a comprehensive and policy-relevant analysis that can guide evidence-based and region-specific strategies for improving human development outcomes in Nigeria (Baltagi, 2008).</w:t>
      </w:r>
    </w:p>
    <w:p w:rsidR="00FA5B71" w:rsidRPr="00FA5B71" w:rsidRDefault="00FA5B71" w:rsidP="00FA5B71">
      <w:pPr>
        <w:pStyle w:val="NormalWeb"/>
        <w:spacing w:after="0" w:afterAutospacing="0"/>
        <w:jc w:val="both"/>
        <w:rPr>
          <w:rFonts w:ascii="Arial" w:hAnsi="Arial" w:cs="Arial"/>
          <w:sz w:val="20"/>
          <w:szCs w:val="20"/>
        </w:rPr>
      </w:pPr>
      <w:r w:rsidRPr="00FA5B71">
        <w:rPr>
          <w:rFonts w:ascii="Arial" w:hAnsi="Arial" w:cs="Arial"/>
          <w:sz w:val="20"/>
          <w:szCs w:val="20"/>
        </w:rPr>
        <w:t>Empirical studies linking demographic indicators, human development, and economic performance particularly in Nigeria remain limited and fragmented. Much of the existing literature focuses on the nexus between human capital components (education, health, income) and economic growth rather than directly modeling demographic indicators and human development outcomes. Early studies such as Isola and Alani (2012) and Adeyemi and Ogunsola (2016) provide strong evidence that human capital development proxied by education, life expectancy, and literacy positively influences economic growth in Nigeria. These studies generally report long-run relationships and, in some cases, bidirectional causality between human capital and growth. However, their reliance on single-equation or static time-series frameworks limits their ability to capture feedback effects and dynamic interactions inherent in demographic and human development processes.</w:t>
      </w:r>
    </w:p>
    <w:p w:rsidR="00FA5B71" w:rsidRPr="00FA5B71" w:rsidRDefault="00FA5B71" w:rsidP="00FA5B71">
      <w:pPr>
        <w:pStyle w:val="NormalWeb"/>
        <w:spacing w:after="0" w:afterAutospacing="0"/>
        <w:jc w:val="both"/>
        <w:rPr>
          <w:rFonts w:ascii="Arial" w:hAnsi="Arial" w:cs="Arial"/>
          <w:sz w:val="20"/>
          <w:szCs w:val="20"/>
        </w:rPr>
      </w:pPr>
      <w:r w:rsidRPr="00FA5B71">
        <w:rPr>
          <w:rFonts w:ascii="Arial" w:hAnsi="Arial" w:cs="Arial"/>
          <w:sz w:val="20"/>
          <w:szCs w:val="20"/>
        </w:rPr>
        <w:t>A substantial body of Nigerian literature has examined income inequality, poverty, and economic growth using time-series econometric techniques such as OLS, ARDL, ECM, VAR, and Granger causality tests (Ade-omonijo, 2021; Chinonye, 2022; Omolua</w:t>
      </w:r>
      <w:r w:rsidR="00FF267E">
        <w:rPr>
          <w:rFonts w:ascii="Arial" w:hAnsi="Arial" w:cs="Arial"/>
          <w:sz w:val="20"/>
          <w:szCs w:val="20"/>
        </w:rPr>
        <w:t xml:space="preserve"> </w:t>
      </w:r>
      <w:r w:rsidRPr="00FA5B71">
        <w:rPr>
          <w:rFonts w:ascii="Arial" w:hAnsi="Arial" w:cs="Arial"/>
          <w:sz w:val="20"/>
          <w:szCs w:val="20"/>
        </w:rPr>
        <w:t>&amp;</w:t>
      </w:r>
      <w:r w:rsidR="00FF267E">
        <w:rPr>
          <w:rFonts w:ascii="Arial" w:hAnsi="Arial" w:cs="Arial"/>
          <w:sz w:val="20"/>
          <w:szCs w:val="20"/>
        </w:rPr>
        <w:t xml:space="preserve"> </w:t>
      </w:r>
      <w:r w:rsidRPr="00FA5B71">
        <w:rPr>
          <w:rFonts w:ascii="Arial" w:hAnsi="Arial" w:cs="Arial"/>
          <w:sz w:val="20"/>
          <w:szCs w:val="20"/>
        </w:rPr>
        <w:t>Tamunowariye, 2021). Findings from these studies are mixed: while some report negative effects of income inequality and poverty on economic growth, others find positive or statistically insignificant relationships. Similar inconsistencies are observed in cross-country and regional studies (Manyeki</w:t>
      </w:r>
      <w:r w:rsidR="00FF267E">
        <w:rPr>
          <w:rFonts w:ascii="Arial" w:hAnsi="Arial" w:cs="Arial"/>
          <w:sz w:val="20"/>
          <w:szCs w:val="20"/>
        </w:rPr>
        <w:t xml:space="preserve"> </w:t>
      </w:r>
      <w:r w:rsidRPr="00FA5B71">
        <w:rPr>
          <w:rFonts w:ascii="Arial" w:hAnsi="Arial" w:cs="Arial"/>
          <w:sz w:val="20"/>
          <w:szCs w:val="20"/>
        </w:rPr>
        <w:t>&amp;</w:t>
      </w:r>
      <w:r w:rsidR="00FF267E">
        <w:rPr>
          <w:rFonts w:ascii="Arial" w:hAnsi="Arial" w:cs="Arial"/>
          <w:sz w:val="20"/>
          <w:szCs w:val="20"/>
        </w:rPr>
        <w:t xml:space="preserve"> </w:t>
      </w:r>
      <w:r w:rsidRPr="00FA5B71">
        <w:rPr>
          <w:rFonts w:ascii="Arial" w:hAnsi="Arial" w:cs="Arial"/>
          <w:sz w:val="20"/>
          <w:szCs w:val="20"/>
        </w:rPr>
        <w:t>Balázs, 2020; Ramirez et al., 2017), suggesting that the growth effects of inequality and poverty are context-specific and sensitive to model specification. Importantly, most of these studies focus on GDP growth rather than human development indicators such as HDI, thereby limiting their relevance for broader development analysis.</w:t>
      </w:r>
    </w:p>
    <w:p w:rsidR="00FA5B71" w:rsidRPr="00FA5B71" w:rsidRDefault="00FA5B71" w:rsidP="00FA5B71">
      <w:pPr>
        <w:pStyle w:val="NormalWeb"/>
        <w:spacing w:after="0" w:afterAutospacing="0"/>
        <w:jc w:val="both"/>
        <w:rPr>
          <w:rFonts w:ascii="Arial" w:hAnsi="Arial" w:cs="Arial"/>
          <w:sz w:val="20"/>
          <w:szCs w:val="20"/>
        </w:rPr>
      </w:pPr>
      <w:r w:rsidRPr="00FA5B71">
        <w:rPr>
          <w:rFonts w:ascii="Arial" w:hAnsi="Arial" w:cs="Arial"/>
          <w:sz w:val="20"/>
          <w:szCs w:val="20"/>
        </w:rPr>
        <w:t>Health- and education-focused studies further underscore the importance of demographic-related variables for development outcomes. Research on education expenditure and enrolment generally confirms positive long-run effects on economic growth and human capital formation, although issues of funding instability, policy inconsistency, and governance failures weaken these impacts (Aighokhan</w:t>
      </w:r>
      <w:r w:rsidR="00FF267E">
        <w:rPr>
          <w:rFonts w:ascii="Arial" w:hAnsi="Arial" w:cs="Arial"/>
          <w:sz w:val="20"/>
          <w:szCs w:val="20"/>
        </w:rPr>
        <w:t xml:space="preserve"> </w:t>
      </w:r>
      <w:r w:rsidRPr="00FA5B71">
        <w:rPr>
          <w:rFonts w:ascii="Arial" w:hAnsi="Arial" w:cs="Arial"/>
          <w:i/>
          <w:sz w:val="20"/>
          <w:szCs w:val="20"/>
        </w:rPr>
        <w:t>et al</w:t>
      </w:r>
      <w:r w:rsidRPr="00FA5B71">
        <w:rPr>
          <w:rFonts w:ascii="Arial" w:hAnsi="Arial" w:cs="Arial"/>
          <w:sz w:val="20"/>
          <w:szCs w:val="20"/>
        </w:rPr>
        <w:t xml:space="preserve">., 2015; Omojimite, 2019; Lawal &amp; Wahab, 2018). Similarly, studies on health expenditure and life expectancy report positive but often </w:t>
      </w:r>
      <w:r w:rsidRPr="00FA5B71">
        <w:rPr>
          <w:rFonts w:ascii="Arial" w:hAnsi="Arial" w:cs="Arial"/>
          <w:sz w:val="20"/>
          <w:szCs w:val="20"/>
        </w:rPr>
        <w:lastRenderedPageBreak/>
        <w:t>weak or indirect effects on economic growth, with causality patterns varying across countries and time periods (Ibikunle, 2019; Ogungbenle</w:t>
      </w:r>
      <w:r w:rsidR="00FF267E">
        <w:rPr>
          <w:rFonts w:ascii="Arial" w:hAnsi="Arial" w:cs="Arial"/>
          <w:sz w:val="20"/>
          <w:szCs w:val="20"/>
        </w:rPr>
        <w:t xml:space="preserve"> </w:t>
      </w:r>
      <w:r w:rsidRPr="00FA5B71">
        <w:rPr>
          <w:rFonts w:ascii="Arial" w:hAnsi="Arial" w:cs="Arial"/>
          <w:i/>
          <w:sz w:val="20"/>
          <w:szCs w:val="20"/>
        </w:rPr>
        <w:t>et al</w:t>
      </w:r>
      <w:r w:rsidRPr="00FA5B71">
        <w:rPr>
          <w:rFonts w:ascii="Arial" w:hAnsi="Arial" w:cs="Arial"/>
          <w:sz w:val="20"/>
          <w:szCs w:val="20"/>
        </w:rPr>
        <w:t>., 2022; Bedir, 2016). These mixed results suggest that health and education investments influence development largely through complex transmission mechanisms that are not adequately captured by static models.</w:t>
      </w:r>
    </w:p>
    <w:p w:rsidR="00FA5B71" w:rsidRPr="00FA5B71" w:rsidRDefault="00FA5B71" w:rsidP="00FA5B71">
      <w:pPr>
        <w:pStyle w:val="NormalWeb"/>
        <w:spacing w:after="0" w:afterAutospacing="0"/>
        <w:jc w:val="both"/>
        <w:rPr>
          <w:rFonts w:ascii="Arial" w:hAnsi="Arial" w:cs="Arial"/>
          <w:sz w:val="20"/>
          <w:szCs w:val="20"/>
        </w:rPr>
      </w:pPr>
      <w:r w:rsidRPr="00FA5B71">
        <w:rPr>
          <w:rFonts w:ascii="Arial" w:hAnsi="Arial" w:cs="Arial"/>
          <w:sz w:val="20"/>
          <w:szCs w:val="20"/>
        </w:rPr>
        <w:t>More recent studies have explicitly examined population dynamics and demographic structure in relation to economic growth in Nigeria. Findings from VECM, VAR, and ARDL-based studies indicate the existence of long-run relationships between population growth, age structure, fertility, and economic performance, with education emerging as a critical channel for realizing the demographic dividend (Borji</w:t>
      </w:r>
      <w:r w:rsidR="00FF267E">
        <w:rPr>
          <w:rFonts w:ascii="Arial" w:hAnsi="Arial" w:cs="Arial"/>
          <w:sz w:val="20"/>
          <w:szCs w:val="20"/>
        </w:rPr>
        <w:t xml:space="preserve"> </w:t>
      </w:r>
      <w:r w:rsidRPr="00FA5B71">
        <w:rPr>
          <w:rFonts w:ascii="Arial" w:hAnsi="Arial" w:cs="Arial"/>
          <w:i/>
          <w:sz w:val="20"/>
          <w:szCs w:val="20"/>
        </w:rPr>
        <w:t>et al</w:t>
      </w:r>
      <w:r w:rsidRPr="00FA5B71">
        <w:rPr>
          <w:rFonts w:ascii="Arial" w:hAnsi="Arial" w:cs="Arial"/>
          <w:sz w:val="20"/>
          <w:szCs w:val="20"/>
        </w:rPr>
        <w:t>., 2019; Ademola, 2019; Sakiru</w:t>
      </w:r>
      <w:r w:rsidR="00FF267E">
        <w:rPr>
          <w:rFonts w:ascii="Arial" w:hAnsi="Arial" w:cs="Arial"/>
          <w:sz w:val="20"/>
          <w:szCs w:val="20"/>
        </w:rPr>
        <w:t xml:space="preserve"> </w:t>
      </w:r>
      <w:r w:rsidRPr="00FA5B71">
        <w:rPr>
          <w:rFonts w:ascii="Arial" w:hAnsi="Arial" w:cs="Arial"/>
          <w:i/>
          <w:sz w:val="20"/>
          <w:szCs w:val="20"/>
        </w:rPr>
        <w:t>et al</w:t>
      </w:r>
      <w:r w:rsidRPr="00FA5B71">
        <w:rPr>
          <w:rFonts w:ascii="Arial" w:hAnsi="Arial" w:cs="Arial"/>
          <w:sz w:val="20"/>
          <w:szCs w:val="20"/>
        </w:rPr>
        <w:t>., 2017). Nonetheless, these studies predominantly focus on growth outcomes and treat demographic variables as exogenous, without adequately accounting for their endogenous interaction with human development indicators. Moreover, most analyses are conducted at the national level, ignoring significant sub-national heterogeneity across Nigeria’s states and geopolitical zones.</w:t>
      </w:r>
    </w:p>
    <w:p w:rsidR="00FA5B71" w:rsidRPr="00FA5B71" w:rsidRDefault="00FA5B71" w:rsidP="00FA5B71">
      <w:pPr>
        <w:pStyle w:val="NormalWeb"/>
        <w:spacing w:after="0" w:afterAutospacing="0"/>
        <w:jc w:val="both"/>
        <w:rPr>
          <w:rFonts w:ascii="Arial" w:hAnsi="Arial" w:cs="Arial"/>
          <w:sz w:val="20"/>
          <w:szCs w:val="20"/>
        </w:rPr>
      </w:pPr>
      <w:r w:rsidRPr="00FA5B71">
        <w:rPr>
          <w:rFonts w:ascii="Arial" w:hAnsi="Arial" w:cs="Arial"/>
          <w:sz w:val="20"/>
          <w:szCs w:val="20"/>
        </w:rPr>
        <w:t>Overall, the empirical literature reveals three major gaps. First, there is a scarcity of studies directly modeling the dynamic relationship between demographic indicators and human development in Nigeria. Second, existing studies rely heavily on static or single-equation approaches that fail to capture short-run adjustments, long-run equilibrium relationships, and feedback effects. Third, limited attention is given to panel-based and sub-national analyses that account for regional heterogeneity. These gaps justify the adoption of a Panel Vector Error Correction Model (PVECM) in the present study to simultaneously examine the short-run dynamics, long-run relationships, and causal interactions between demographic indicators and human development across Nigeria.</w:t>
      </w:r>
    </w:p>
    <w:p w:rsidR="00790ADA" w:rsidRPr="00FA5B71"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F30DF6" w:rsidRPr="00F30DF6" w:rsidRDefault="00F30DF6" w:rsidP="00F30DF6">
      <w:pPr>
        <w:pStyle w:val="NormalWeb"/>
        <w:spacing w:before="0" w:beforeAutospacing="0" w:after="0" w:afterAutospacing="0"/>
        <w:jc w:val="both"/>
        <w:rPr>
          <w:rFonts w:ascii="Arial" w:hAnsi="Arial" w:cs="Arial"/>
          <w:b/>
          <w:sz w:val="20"/>
          <w:szCs w:val="20"/>
        </w:rPr>
      </w:pPr>
      <w:r w:rsidRPr="00F30DF6">
        <w:rPr>
          <w:rFonts w:ascii="Arial" w:hAnsi="Arial" w:cs="Arial"/>
          <w:b/>
          <w:caps/>
          <w:sz w:val="20"/>
          <w:szCs w:val="20"/>
        </w:rPr>
        <w:t xml:space="preserve">2.1 </w:t>
      </w:r>
      <w:r w:rsidRPr="00F30DF6">
        <w:rPr>
          <w:rFonts w:ascii="Arial" w:hAnsi="Arial" w:cs="Arial"/>
          <w:b/>
          <w:sz w:val="20"/>
          <w:szCs w:val="20"/>
        </w:rPr>
        <w:t>Data Source</w:t>
      </w:r>
    </w:p>
    <w:p w:rsidR="00F30DF6" w:rsidRDefault="00F30DF6" w:rsidP="00F30DF6">
      <w:pPr>
        <w:pStyle w:val="NormalWeb"/>
        <w:spacing w:before="0" w:beforeAutospacing="0" w:after="0" w:afterAutospacing="0"/>
        <w:jc w:val="both"/>
      </w:pPr>
      <w:r w:rsidRPr="00F30DF6">
        <w:rPr>
          <w:rFonts w:ascii="Arial" w:hAnsi="Arial" w:cs="Arial"/>
          <w:sz w:val="20"/>
          <w:szCs w:val="20"/>
        </w:rPr>
        <w:t>The data utilized in this study are demographic indicators as independent variables and Human Development Index (HDI) as dependent variable. The demographic indicators are Life Expectancy at Birth (LEB), Fertility Rate (FR), Urbanization Rate (UR), Female Labour Force Participation Rate (FLP) and Dependency Ratio (DR). The data is obtained from National Bureau Statistics (NBS), World Bank, Harmonized Nigeria Living Standard Survey (HNLSS), Nigerian Demographic and Health Survey (NDHSS) and National Population Commission (NPC) and spanned from 1994 to 2024.</w:t>
      </w:r>
    </w:p>
    <w:p w:rsidR="00F30DF6" w:rsidRPr="00F30DF6" w:rsidRDefault="00F30DF6" w:rsidP="00F30DF6">
      <w:pPr>
        <w:pStyle w:val="NormalWeb"/>
        <w:spacing w:before="0" w:beforeAutospacing="0" w:after="0" w:afterAutospacing="0"/>
        <w:jc w:val="both"/>
        <w:rPr>
          <w:rFonts w:ascii="Arial" w:hAnsi="Arial" w:cs="Arial"/>
          <w:b/>
          <w:sz w:val="20"/>
          <w:szCs w:val="20"/>
        </w:rPr>
      </w:pPr>
      <w:r w:rsidRPr="00F30DF6">
        <w:rPr>
          <w:rFonts w:ascii="Arial" w:hAnsi="Arial" w:cs="Arial"/>
          <w:b/>
          <w:sz w:val="20"/>
          <w:szCs w:val="20"/>
        </w:rPr>
        <w:t>2.2 Preliminary Tests</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The following preliminary test are employed in this study.</w:t>
      </w:r>
    </w:p>
    <w:p w:rsidR="00F30DF6" w:rsidRPr="00F30DF6" w:rsidRDefault="00F30DF6" w:rsidP="00F30DF6">
      <w:pPr>
        <w:pStyle w:val="NormalWeb"/>
        <w:spacing w:before="0" w:beforeAutospacing="0" w:after="0" w:afterAutospacing="0"/>
        <w:jc w:val="both"/>
        <w:rPr>
          <w:rFonts w:ascii="Arial" w:hAnsi="Arial" w:cs="Arial"/>
          <w:b/>
          <w:sz w:val="20"/>
          <w:szCs w:val="20"/>
        </w:rPr>
      </w:pPr>
      <w:r w:rsidRPr="00F30DF6">
        <w:rPr>
          <w:rFonts w:ascii="Arial" w:hAnsi="Arial" w:cs="Arial"/>
          <w:b/>
          <w:sz w:val="20"/>
          <w:szCs w:val="20"/>
        </w:rPr>
        <w:t>2.2.1 Im, Pesaran and Shin (IPS) panel unit root test</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The Im, Pesaran and Shin (IPS) panel unit root test is one of the first generation unit root test (Im, Pesaran and Shin, 2003). It is designed to determine whether a panel of time-series variables contains a unit root. Unlike the Levin–Lin–Chu (LLC) test, which imposes a homogeneous autoregressive coefficient across panel units, the IPS test allows for heterogeneous autoregressive processes, making it suitable for empirical studies involving diverse cross-sectional units.</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The IPS test is estimated using the following individual Augmented Dickey–Fuller (ADF) regressions for each cross-sectional unit </w:t>
      </w:r>
      <m:oMath>
        <m:r>
          <w:rPr>
            <w:rStyle w:val="katex-mathml"/>
            <w:rFonts w:ascii="Cambria Math" w:hAnsi="Cambria Math" w:cs="Arial"/>
            <w:sz w:val="20"/>
            <w:szCs w:val="20"/>
          </w:rPr>
          <m:t>i</m:t>
        </m:r>
        <m:r>
          <w:rPr>
            <w:rStyle w:val="katex-mathml"/>
            <w:rFonts w:ascii="Cambria Math" w:hAnsi="Arial" w:cs="Arial"/>
            <w:sz w:val="20"/>
            <w:szCs w:val="20"/>
          </w:rPr>
          <m:t>=1,2,</m:t>
        </m:r>
        <m:r>
          <w:rPr>
            <w:rStyle w:val="katex-mathml"/>
            <w:rFonts w:ascii="Cambria Math" w:hAnsi="Arial" w:cs="Arial"/>
            <w:sz w:val="20"/>
            <w:szCs w:val="20"/>
          </w:rPr>
          <m:t>…</m:t>
        </m:r>
        <m:r>
          <w:rPr>
            <w:rStyle w:val="katex-mathml"/>
            <w:rFonts w:ascii="Cambria Math" w:hAnsi="Arial" w:cs="Arial"/>
            <w:sz w:val="20"/>
            <w:szCs w:val="20"/>
          </w:rPr>
          <m:t>,</m:t>
        </m:r>
        <m:r>
          <w:rPr>
            <w:rStyle w:val="katex-mathml"/>
            <w:rFonts w:ascii="Cambria Math" w:hAnsi="Cambria Math" w:cs="Arial"/>
            <w:sz w:val="20"/>
            <w:szCs w:val="20"/>
          </w:rPr>
          <m:t>N</m:t>
        </m:r>
      </m:oMath>
      <w:r w:rsidRPr="00F30DF6">
        <w:rPr>
          <w:rFonts w:ascii="Arial" w:hAnsi="Arial" w:cs="Arial"/>
          <w:sz w:val="20"/>
          <w:szCs w:val="20"/>
        </w:rPr>
        <w:t xml:space="preserve"> over time </w:t>
      </w:r>
      <m:oMath>
        <m:r>
          <w:rPr>
            <w:rStyle w:val="katex-mathml"/>
            <w:rFonts w:ascii="Cambria Math" w:hAnsi="Cambria Math" w:cs="Arial"/>
            <w:sz w:val="20"/>
            <w:szCs w:val="20"/>
          </w:rPr>
          <m:t>t</m:t>
        </m:r>
        <m:r>
          <w:rPr>
            <w:rStyle w:val="katex-mathml"/>
            <w:rFonts w:ascii="Cambria Math" w:hAnsi="Arial" w:cs="Arial"/>
            <w:sz w:val="20"/>
            <w:szCs w:val="20"/>
          </w:rPr>
          <m:t>=1,2,</m:t>
        </m:r>
        <m:r>
          <w:rPr>
            <w:rStyle w:val="katex-mathml"/>
            <w:rFonts w:ascii="Cambria Math" w:hAnsi="Arial" w:cs="Arial"/>
            <w:sz w:val="20"/>
            <w:szCs w:val="20"/>
          </w:rPr>
          <m:t>…</m:t>
        </m:r>
        <m:r>
          <w:rPr>
            <w:rStyle w:val="katex-mathml"/>
            <w:rFonts w:ascii="Cambria Math" w:hAnsi="Arial" w:cs="Arial"/>
            <w:sz w:val="20"/>
            <w:szCs w:val="20"/>
          </w:rPr>
          <m:t>,</m:t>
        </m:r>
        <m:r>
          <w:rPr>
            <w:rStyle w:val="katex-mathml"/>
            <w:rFonts w:ascii="Cambria Math" w:hAnsi="Cambria Math" w:cs="Arial"/>
            <w:sz w:val="20"/>
            <w:szCs w:val="20"/>
          </w:rPr>
          <m:t>T</m:t>
        </m:r>
      </m:oMath>
      <w:r w:rsidRPr="00F30DF6">
        <w:rPr>
          <w:rFonts w:ascii="Arial" w:hAnsi="Arial" w:cs="Arial"/>
          <w:sz w:val="20"/>
          <w:szCs w:val="20"/>
        </w:rPr>
        <w:t xml:space="preserve"> given in Equation (1) as shown:</w:t>
      </w:r>
    </w:p>
    <w:p w:rsidR="00F30DF6" w:rsidRPr="00F30DF6" w:rsidRDefault="00F30DF6" w:rsidP="00F30DF6">
      <w:pPr>
        <w:pStyle w:val="NormalWeb"/>
        <w:spacing w:before="0" w:beforeAutospacing="0" w:after="0" w:afterAutospacing="0"/>
        <w:ind w:left="2160" w:firstLine="720"/>
        <w:jc w:val="both"/>
        <w:rPr>
          <w:rFonts w:ascii="Arial" w:hAnsi="Arial" w:cs="Arial"/>
          <w:sz w:val="20"/>
          <w:szCs w:val="20"/>
        </w:rPr>
      </w:pPr>
      <m:oMath>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sub>
        </m:sSub>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r>
              <w:rPr>
                <w:rFonts w:ascii="Cambria Math" w:hAnsi="Arial" w:cs="Arial"/>
                <w:sz w:val="20"/>
                <w:szCs w:val="20"/>
              </w:rPr>
              <m:t>-</m:t>
            </m:r>
            <m:r>
              <w:rPr>
                <w:rFonts w:ascii="Cambria Math" w:hAnsi="Arial" w:cs="Arial"/>
                <w:sz w:val="20"/>
                <w:szCs w:val="20"/>
              </w:rPr>
              <m:t>1</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sSub>
              <m:sSubPr>
                <m:ctrlPr>
                  <w:rPr>
                    <w:rFonts w:ascii="Cambria Math" w:hAnsi="Arial"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sup>
          <m:e>
            <m:sSub>
              <m:sSubPr>
                <m:ctrlPr>
                  <w:rPr>
                    <w:rFonts w:ascii="Cambria Math" w:hAnsi="Arial" w:cs="Arial"/>
                    <w:i/>
                    <w:sz w:val="20"/>
                    <w:szCs w:val="20"/>
                  </w:rPr>
                </m:ctrlPr>
              </m:sSubPr>
              <m:e>
                <m:r>
                  <w:rPr>
                    <w:rFonts w:ascii="Cambria Math" w:hAnsi="Cambria Math" w:cs="Arial"/>
                    <w:sz w:val="20"/>
                    <w:szCs w:val="20"/>
                  </w:rPr>
                  <m:t>γ</m:t>
                </m:r>
              </m:e>
              <m:sub>
                <m:r>
                  <w:rPr>
                    <w:rFonts w:ascii="Cambria Math" w:hAnsi="Cambria Math" w:cs="Arial"/>
                    <w:sz w:val="20"/>
                    <w:szCs w:val="20"/>
                  </w:rPr>
                  <m:t>ij</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r>
                  <w:rPr>
                    <w:rFonts w:ascii="Arial" w:hAnsi="Arial" w:cs="Arial"/>
                    <w:sz w:val="20"/>
                    <w:szCs w:val="20"/>
                  </w:rPr>
                  <m:t>-</m:t>
                </m:r>
                <m:r>
                  <w:rPr>
                    <w:rFonts w:ascii="Cambria Math" w:hAnsi="Cambria Math" w:cs="Arial"/>
                    <w:sz w:val="20"/>
                    <w:szCs w:val="20"/>
                  </w:rPr>
                  <m:t>j</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it</m:t>
                </m:r>
              </m:sub>
            </m:sSub>
          </m:e>
        </m:nary>
      </m:oMath>
      <w:r w:rsidRPr="00F30DF6">
        <w:rPr>
          <w:rFonts w:ascii="Arial" w:hAnsi="Arial" w:cs="Arial"/>
          <w:sz w:val="20"/>
          <w:szCs w:val="20"/>
        </w:rPr>
        <w:tab/>
        <w:t xml:space="preserve">           (1)</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oMath>
      <w:r w:rsidRPr="00F30DF6">
        <w:rPr>
          <w:rFonts w:ascii="Arial" w:hAnsi="Arial" w:cs="Arial"/>
          <w:sz w:val="20"/>
          <w:szCs w:val="20"/>
        </w:rPr>
        <w:t xml:space="preserve"> is the variable of interest, </w:t>
      </w:r>
      <m:oMath>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r>
              <w:rPr>
                <w:rFonts w:ascii="Cambria Math" w:hAnsi="Arial" w:cs="Arial"/>
                <w:sz w:val="20"/>
                <w:szCs w:val="20"/>
              </w:rPr>
              <m:t>-</m:t>
            </m:r>
            <m:r>
              <w:rPr>
                <w:rFonts w:ascii="Cambria Math" w:hAnsi="Arial" w:cs="Arial"/>
                <w:sz w:val="20"/>
                <w:szCs w:val="20"/>
              </w:rPr>
              <m:t>1</m:t>
            </m:r>
          </m:sub>
        </m:sSub>
      </m:oMath>
      <w:r w:rsidRPr="00F30DF6">
        <w:rPr>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oMath>
      <w:r w:rsidRPr="00F30DF6">
        <w:rPr>
          <w:rFonts w:ascii="Arial" w:hAnsi="Arial" w:cs="Arial"/>
          <w:sz w:val="20"/>
          <w:szCs w:val="20"/>
        </w:rPr>
        <w:t xml:space="preserve"> is the individual fixed effects, </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sub>
        </m:sSub>
      </m:oMath>
      <w:r w:rsidRPr="00F30DF6">
        <w:rPr>
          <w:rFonts w:ascii="Arial" w:hAnsi="Arial" w:cs="Arial"/>
          <w:sz w:val="20"/>
          <w:szCs w:val="20"/>
        </w:rPr>
        <w:t xml:space="preserve"> is the autoregressive coefficient, </w:t>
      </w:r>
      <m:oMath>
        <m:sSub>
          <m:sSubPr>
            <m:ctrlPr>
              <w:rPr>
                <w:rFonts w:ascii="Cambria Math" w:hAnsi="Arial"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oMath>
      <w:r w:rsidRPr="00F30DF6">
        <w:rPr>
          <w:rFonts w:ascii="Arial" w:hAnsi="Arial" w:cs="Arial"/>
          <w:sz w:val="20"/>
          <w:szCs w:val="20"/>
        </w:rPr>
        <w:t xml:space="preserve"> is the lag length chosen for each unit and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it</m:t>
            </m:r>
          </m:sub>
        </m:sSub>
      </m:oMath>
      <w:r w:rsidRPr="00F30DF6">
        <w:rPr>
          <w:rFonts w:ascii="Arial" w:hAnsi="Arial" w:cs="Arial"/>
          <w:sz w:val="20"/>
          <w:szCs w:val="20"/>
        </w:rPr>
        <w:t xml:space="preserve">is the white noise error term. The IPS framework permits </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j</m:t>
            </m:r>
          </m:sub>
        </m:sSub>
        <m:r>
          <w:rPr>
            <w:rFonts w:ascii="Cambria Math" w:hAnsi="Cambria Math" w:cs="Arial"/>
            <w:sz w:val="20"/>
            <w:szCs w:val="20"/>
          </w:rPr>
          <m:t>∀i</m:t>
        </m:r>
        <m:r>
          <w:rPr>
            <w:rFonts w:ascii="Cambria Math" w:hAnsi="Arial" w:cs="Arial"/>
            <w:sz w:val="20"/>
            <w:szCs w:val="20"/>
          </w:rPr>
          <m:t>≠</m:t>
        </m:r>
        <m:r>
          <w:rPr>
            <w:rFonts w:ascii="Cambria Math" w:hAnsi="Cambria Math" w:cs="Arial"/>
            <w:sz w:val="20"/>
            <w:szCs w:val="20"/>
          </w:rPr>
          <m:t>j</m:t>
        </m:r>
      </m:oMath>
      <w:r w:rsidRPr="00F30DF6">
        <w:rPr>
          <w:rFonts w:ascii="Arial" w:hAnsi="Arial" w:cs="Arial"/>
          <w:sz w:val="20"/>
          <w:szCs w:val="20"/>
        </w:rPr>
        <w:t>allowing heterogeneous unit root behaviour across individuals.</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lastRenderedPageBreak/>
        <w:t xml:space="preserve">The IPS test examines whether </w:t>
      </w:r>
      <w:r w:rsidRPr="00F30DF6">
        <w:rPr>
          <w:rStyle w:val="Emphasis"/>
          <w:rFonts w:ascii="Arial" w:hAnsi="Arial" w:cs="Arial"/>
          <w:sz w:val="20"/>
          <w:szCs w:val="20"/>
        </w:rPr>
        <w:t>all</w:t>
      </w:r>
      <w:r w:rsidRPr="00F30DF6">
        <w:rPr>
          <w:rFonts w:ascii="Arial" w:hAnsi="Arial" w:cs="Arial"/>
          <w:sz w:val="20"/>
          <w:szCs w:val="20"/>
        </w:rPr>
        <w:t xml:space="preserve"> (null) or </w:t>
      </w:r>
      <w:r w:rsidRPr="00F30DF6">
        <w:rPr>
          <w:rStyle w:val="Emphasis"/>
          <w:rFonts w:ascii="Arial" w:hAnsi="Arial" w:cs="Arial"/>
          <w:sz w:val="20"/>
          <w:szCs w:val="20"/>
        </w:rPr>
        <w:t>at least one</w:t>
      </w:r>
      <w:r w:rsidRPr="00F30DF6">
        <w:rPr>
          <w:rFonts w:ascii="Arial" w:hAnsi="Arial" w:cs="Arial"/>
          <w:sz w:val="20"/>
          <w:szCs w:val="20"/>
        </w:rPr>
        <w:t xml:space="preserve"> (alternative) cross-sectional units are stationary.</w:t>
      </w:r>
    </w:p>
    <w:p w:rsidR="00F30DF6" w:rsidRPr="00F30DF6" w:rsidRDefault="00FB352D"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sub>
        </m:sSub>
        <m:r>
          <w:rPr>
            <w:rFonts w:ascii="Cambria Math" w:hAnsi="Arial" w:cs="Arial"/>
            <w:sz w:val="20"/>
            <w:szCs w:val="20"/>
          </w:rPr>
          <m:t>=0</m:t>
        </m:r>
      </m:oMath>
      <w:r w:rsidR="00F30DF6" w:rsidRPr="00F30DF6">
        <w:rPr>
          <w:rFonts w:ascii="Arial" w:hAnsi="Arial" w:cs="Arial"/>
          <w:sz w:val="20"/>
          <w:szCs w:val="20"/>
        </w:rPr>
        <w:t xml:space="preserve"> for all </w:t>
      </w:r>
      <m:oMath>
        <m:r>
          <w:rPr>
            <w:rFonts w:ascii="Cambria Math" w:hAnsi="Cambria Math" w:cs="Arial"/>
            <w:sz w:val="20"/>
            <w:szCs w:val="20"/>
          </w:rPr>
          <m:t>i</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 xml:space="preserve">, </m:t>
        </m:r>
        <m:r>
          <w:rPr>
            <w:rFonts w:ascii="Cambria Math" w:hAnsi="Cambria Math" w:cs="Arial"/>
            <w:sz w:val="20"/>
            <w:szCs w:val="20"/>
          </w:rPr>
          <m:t>N</m:t>
        </m:r>
      </m:oMath>
      <w:r w:rsidR="00F30DF6" w:rsidRPr="00F30DF6">
        <w:rPr>
          <w:rFonts w:ascii="Arial" w:hAnsi="Arial" w:cs="Arial"/>
          <w:sz w:val="20"/>
          <w:szCs w:val="20"/>
        </w:rPr>
        <w:t xml:space="preserve"> (Unit root for all panels) versus</w:t>
      </w:r>
    </w:p>
    <w:p w:rsidR="00F30DF6" w:rsidRPr="00F30DF6" w:rsidRDefault="00FB352D"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1</m:t>
            </m:r>
          </m:sub>
        </m:sSub>
        <m:r>
          <w:rPr>
            <w:rFonts w:ascii="Cambria Math" w:hAnsi="Arial" w:cs="Arial"/>
            <w:sz w:val="20"/>
            <w:szCs w:val="20"/>
          </w:rPr>
          <m:t>:</m:t>
        </m:r>
        <m:d>
          <m:dPr>
            <m:begChr m:val="{"/>
            <m:endChr m:val=""/>
            <m:ctrlPr>
              <w:rPr>
                <w:rFonts w:ascii="Cambria Math" w:hAnsi="Arial" w:cs="Arial"/>
                <w:i/>
                <w:sz w:val="20"/>
                <w:szCs w:val="20"/>
              </w:rPr>
            </m:ctrlPr>
          </m:dPr>
          <m:e>
            <m:eqArr>
              <m:eqArrPr>
                <m:ctrlPr>
                  <w:rPr>
                    <w:rFonts w:ascii="Cambria Math" w:hAnsi="Arial" w:cs="Arial"/>
                    <w:i/>
                    <w:sz w:val="20"/>
                    <w:szCs w:val="20"/>
                  </w:rPr>
                </m:ctrlPr>
              </m:eqArrPr>
              <m:e>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sub>
                </m:sSub>
                <m:r>
                  <w:rPr>
                    <w:rFonts w:ascii="Cambria Math" w:hAnsi="Arial" w:cs="Arial"/>
                    <w:sz w:val="20"/>
                    <w:szCs w:val="20"/>
                  </w:rPr>
                  <m:t xml:space="preserve">&lt;0  </m:t>
                </m:r>
                <m:r>
                  <m:rPr>
                    <m:sty m:val="p"/>
                  </m:rPr>
                  <w:rPr>
                    <w:rFonts w:ascii="Cambria Math" w:hAnsi="Arial" w:cs="Arial"/>
                    <w:sz w:val="20"/>
                    <w:szCs w:val="20"/>
                  </w:rPr>
                  <m:t xml:space="preserve">for at least some </m:t>
                </m:r>
                <m:r>
                  <w:rPr>
                    <w:rFonts w:ascii="Cambria Math" w:hAnsi="Cambria Math" w:cs="Arial"/>
                    <w:sz w:val="20"/>
                    <w:szCs w:val="20"/>
                  </w:rPr>
                  <m:t>i</m:t>
                </m:r>
              </m:e>
              <m:e>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sub>
                </m:sSub>
                <m:r>
                  <w:rPr>
                    <w:rFonts w:ascii="Cambria Math" w:hAnsi="Arial" w:cs="Arial"/>
                    <w:sz w:val="20"/>
                    <w:szCs w:val="20"/>
                  </w:rPr>
                  <m:t xml:space="preserve">=0  </m:t>
                </m:r>
                <m:r>
                  <m:rPr>
                    <m:sty m:val="p"/>
                  </m:rPr>
                  <w:rPr>
                    <w:rFonts w:ascii="Cambria Math" w:hAnsi="Arial" w:cs="Arial"/>
                    <w:sz w:val="20"/>
                    <w:szCs w:val="20"/>
                  </w:rPr>
                  <m:t>for the remaining units</m:t>
                </m:r>
              </m:e>
            </m:eqArr>
          </m:e>
        </m:d>
      </m:oMath>
      <w:r w:rsidR="00F30DF6" w:rsidRPr="00F30DF6">
        <w:rPr>
          <w:rFonts w:ascii="Arial" w:hAnsi="Arial" w:cs="Arial"/>
          <w:sz w:val="20"/>
          <w:szCs w:val="20"/>
        </w:rPr>
        <w:t xml:space="preserve">  (Some units are stationary) </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This alternative is heterogeneous, meaning only a fraction of the panels must be stationary.</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The individual ADF </w:t>
      </w:r>
      <m:oMath>
        <m:r>
          <w:rPr>
            <w:rFonts w:ascii="Cambria Math" w:hAnsi="Cambria Math" w:cs="Arial"/>
            <w:sz w:val="20"/>
            <w:szCs w:val="20"/>
          </w:rPr>
          <m:t>t</m:t>
        </m:r>
        <m:r>
          <w:rPr>
            <w:rFonts w:ascii="Arial" w:hAnsi="Arial" w:cs="Arial"/>
            <w:sz w:val="20"/>
            <w:szCs w:val="20"/>
          </w:rPr>
          <m:t>-</m:t>
        </m:r>
      </m:oMath>
      <w:r w:rsidRPr="00F30DF6">
        <w:rPr>
          <w:rFonts w:ascii="Arial" w:hAnsi="Arial" w:cs="Arial"/>
          <w:sz w:val="20"/>
          <w:szCs w:val="20"/>
        </w:rPr>
        <w:t xml:space="preserve">statistic for each cross-sectional unit </w:t>
      </w:r>
      <m:oMath>
        <m:r>
          <w:rPr>
            <w:rFonts w:ascii="Cambria Math" w:hAnsi="Cambria Math" w:cs="Arial"/>
            <w:sz w:val="20"/>
            <w:szCs w:val="20"/>
          </w:rPr>
          <m:t>i</m:t>
        </m:r>
      </m:oMath>
      <w:r w:rsidRPr="00F30DF6">
        <w:rPr>
          <w:rFonts w:ascii="Arial" w:hAnsi="Arial" w:cs="Arial"/>
          <w:sz w:val="20"/>
          <w:szCs w:val="20"/>
        </w:rPr>
        <w:t>, is estimated as given in Equation (2).</w:t>
      </w:r>
    </w:p>
    <w:p w:rsidR="00F30DF6" w:rsidRPr="00F30DF6" w:rsidRDefault="00FB352D" w:rsidP="00F30DF6">
      <w:pPr>
        <w:pStyle w:val="NormalWeb"/>
        <w:spacing w:before="0" w:beforeAutospacing="0" w:after="0" w:afterAutospacing="0"/>
        <w:ind w:left="2880" w:firstLine="72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iT</m:t>
            </m:r>
          </m:sub>
        </m:sSub>
        <m:r>
          <w:rPr>
            <w:rFonts w:ascii="Cambria Math" w:hAnsi="Arial" w:cs="Arial"/>
            <w:sz w:val="20"/>
            <w:szCs w:val="20"/>
          </w:rPr>
          <m:t>=</m:t>
        </m:r>
        <m:f>
          <m:fPr>
            <m:ctrlPr>
              <w:rPr>
                <w:rFonts w:ascii="Cambria Math" w:hAnsi="Arial" w:cs="Arial"/>
                <w:i/>
                <w:sz w:val="20"/>
                <w:szCs w:val="20"/>
              </w:rPr>
            </m:ctrlPr>
          </m:fPr>
          <m:num>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β</m:t>
                    </m:r>
                  </m:e>
                </m:acc>
              </m:e>
              <m:sub>
                <m:r>
                  <w:rPr>
                    <w:rFonts w:ascii="Cambria Math" w:hAnsi="Cambria Math" w:cs="Arial"/>
                    <w:sz w:val="20"/>
                    <w:szCs w:val="20"/>
                  </w:rPr>
                  <m:t>i</m:t>
                </m:r>
              </m:sub>
            </m:sSub>
          </m:num>
          <m:den>
            <m:r>
              <m:rPr>
                <m:sty m:val="p"/>
              </m:rPr>
              <w:rPr>
                <w:rFonts w:ascii="Cambria Math" w:hAnsi="Arial" w:cs="Arial"/>
                <w:sz w:val="20"/>
                <w:szCs w:val="20"/>
              </w:rPr>
              <m:t>SE</m:t>
            </m:r>
            <m:d>
              <m:dPr>
                <m:ctrlPr>
                  <w:rPr>
                    <w:rFonts w:ascii="Cambria Math" w:hAnsi="Arial" w:cs="Arial"/>
                    <w:i/>
                    <w:sz w:val="20"/>
                    <w:szCs w:val="20"/>
                  </w:rPr>
                </m:ctrlPr>
              </m:dPr>
              <m:e>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β</m:t>
                        </m:r>
                      </m:e>
                    </m:acc>
                  </m:e>
                  <m:sub>
                    <m:r>
                      <w:rPr>
                        <w:rFonts w:ascii="Cambria Math" w:hAnsi="Cambria Math" w:cs="Arial"/>
                        <w:sz w:val="20"/>
                        <w:szCs w:val="20"/>
                      </w:rPr>
                      <m:t>i</m:t>
                    </m:r>
                  </m:sub>
                </m:sSub>
              </m:e>
            </m:d>
          </m:den>
        </m:f>
      </m:oMath>
      <w:r w:rsidR="00F30DF6" w:rsidRPr="00F30DF6">
        <w:rPr>
          <w:rFonts w:ascii="Arial" w:hAnsi="Arial" w:cs="Arial"/>
          <w:sz w:val="20"/>
          <w:szCs w:val="20"/>
        </w:rPr>
        <w:tab/>
      </w:r>
      <w:r w:rsidR="00F30DF6" w:rsidRPr="00F30DF6">
        <w:rPr>
          <w:rFonts w:ascii="Arial" w:hAnsi="Arial" w:cs="Arial"/>
          <w:sz w:val="20"/>
          <w:szCs w:val="20"/>
        </w:rPr>
        <w:tab/>
      </w:r>
      <w:r w:rsidR="00F30DF6" w:rsidRPr="00F30DF6">
        <w:rPr>
          <w:rFonts w:ascii="Arial" w:hAnsi="Arial" w:cs="Arial"/>
          <w:sz w:val="20"/>
          <w:szCs w:val="20"/>
        </w:rPr>
        <w:tab/>
      </w:r>
      <w:r w:rsidR="00F30DF6" w:rsidRPr="00F30DF6">
        <w:rPr>
          <w:rFonts w:ascii="Arial" w:hAnsi="Arial" w:cs="Arial"/>
          <w:sz w:val="20"/>
          <w:szCs w:val="20"/>
        </w:rPr>
        <w:tab/>
        <w:t xml:space="preserve">           (2)</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The cross-sectional average of ADF statistic is computed as given in Equation (3):</w:t>
      </w:r>
    </w:p>
    <w:p w:rsidR="00F30DF6" w:rsidRPr="00F30DF6" w:rsidRDefault="00FB352D" w:rsidP="00F30DF6">
      <w:pPr>
        <w:pStyle w:val="NormalWeb"/>
        <w:spacing w:before="0" w:beforeAutospacing="0" w:after="0" w:afterAutospacing="0"/>
        <w:ind w:left="2880" w:firstLine="720"/>
        <w:jc w:val="both"/>
        <w:rPr>
          <w:rFonts w:ascii="Arial" w:hAnsi="Arial" w:cs="Arial"/>
          <w:sz w:val="20"/>
          <w:szCs w:val="20"/>
        </w:rPr>
      </w:pPr>
      <m:oMath>
        <m:sSub>
          <m:sSubPr>
            <m:ctrlPr>
              <w:rPr>
                <w:rFonts w:ascii="Cambria Math" w:hAnsi="Arial" w:cs="Arial"/>
                <w:i/>
                <w:sz w:val="20"/>
                <w:szCs w:val="20"/>
              </w:rPr>
            </m:ctrlPr>
          </m:sSubPr>
          <m:e>
            <m:acc>
              <m:accPr>
                <m:chr m:val="̅"/>
                <m:ctrlPr>
                  <w:rPr>
                    <w:rFonts w:ascii="Cambria Math" w:hAnsi="Arial" w:cs="Arial"/>
                    <w:i/>
                    <w:sz w:val="20"/>
                    <w:szCs w:val="20"/>
                  </w:rPr>
                </m:ctrlPr>
              </m:accPr>
              <m:e>
                <m:r>
                  <w:rPr>
                    <w:rFonts w:ascii="Cambria Math" w:hAnsi="Cambria Math" w:cs="Arial"/>
                    <w:sz w:val="20"/>
                    <w:szCs w:val="20"/>
                  </w:rPr>
                  <m:t>t</m:t>
                </m:r>
              </m:e>
            </m:acc>
          </m:e>
          <m:sub>
            <m:r>
              <w:rPr>
                <w:rFonts w:ascii="Cambria Math" w:hAnsi="Cambria Math" w:cs="Arial"/>
                <w:sz w:val="20"/>
                <w:szCs w:val="20"/>
              </w:rPr>
              <m:t>NT</m:t>
            </m:r>
          </m:sub>
        </m:sSub>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N</m:t>
            </m:r>
          </m:den>
        </m:f>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N</m:t>
            </m:r>
          </m:sup>
          <m:e>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iT</m:t>
                </m:r>
              </m:sub>
            </m:sSub>
          </m:e>
        </m:nary>
      </m:oMath>
      <w:r w:rsidR="00F30DF6" w:rsidRPr="00F30DF6">
        <w:rPr>
          <w:rFonts w:ascii="Arial" w:hAnsi="Arial" w:cs="Arial"/>
          <w:sz w:val="20"/>
          <w:szCs w:val="20"/>
        </w:rPr>
        <w:tab/>
      </w:r>
      <w:r w:rsidR="00F30DF6" w:rsidRPr="00F30DF6">
        <w:rPr>
          <w:rFonts w:ascii="Arial" w:hAnsi="Arial" w:cs="Arial"/>
          <w:sz w:val="20"/>
          <w:szCs w:val="20"/>
        </w:rPr>
        <w:tab/>
      </w:r>
      <w:r w:rsidR="00F30DF6" w:rsidRPr="00F30DF6">
        <w:rPr>
          <w:rFonts w:ascii="Arial" w:hAnsi="Arial" w:cs="Arial"/>
          <w:sz w:val="20"/>
          <w:szCs w:val="20"/>
        </w:rPr>
        <w:tab/>
        <w:t>(3)</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Im, Pesaran and Shin (2003) show that the </w:t>
      </w:r>
      <m:oMath>
        <m:sSub>
          <m:sSubPr>
            <m:ctrlPr>
              <w:rPr>
                <w:rFonts w:ascii="Cambria Math" w:hAnsi="Arial" w:cs="Arial"/>
                <w:i/>
                <w:sz w:val="20"/>
                <w:szCs w:val="20"/>
              </w:rPr>
            </m:ctrlPr>
          </m:sSubPr>
          <m:e>
            <m:r>
              <w:rPr>
                <w:rFonts w:ascii="Cambria Math" w:hAnsi="Cambria Math" w:cs="Arial"/>
                <w:sz w:val="20"/>
                <w:szCs w:val="20"/>
              </w:rPr>
              <m:t>Z</m:t>
            </m:r>
          </m:e>
          <m:sub>
            <m:r>
              <w:rPr>
                <w:rFonts w:ascii="Cambria Math" w:hAnsi="Cambria Math" w:cs="Arial"/>
                <w:sz w:val="20"/>
                <w:szCs w:val="20"/>
              </w:rPr>
              <m:t>NT</m:t>
            </m:r>
          </m:sub>
        </m:sSub>
      </m:oMath>
      <w:r w:rsidRPr="00F30DF6">
        <w:rPr>
          <w:rFonts w:ascii="Arial" w:hAnsi="Arial" w:cs="Arial"/>
          <w:sz w:val="20"/>
          <w:szCs w:val="20"/>
        </w:rPr>
        <w:t xml:space="preserve"> is given as shown in Equation (4).</w:t>
      </w:r>
    </w:p>
    <w:p w:rsidR="00F30DF6" w:rsidRPr="00F30DF6" w:rsidRDefault="00FB352D" w:rsidP="00F30DF6">
      <w:pPr>
        <w:pStyle w:val="NormalWeb"/>
        <w:spacing w:before="0" w:beforeAutospacing="0" w:after="0" w:afterAutospacing="0"/>
        <w:ind w:left="2160" w:firstLine="72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Z</m:t>
            </m:r>
          </m:e>
          <m:sub>
            <m:r>
              <w:rPr>
                <w:rFonts w:ascii="Cambria Math" w:hAnsi="Cambria Math" w:cs="Arial"/>
                <w:sz w:val="20"/>
                <w:szCs w:val="20"/>
              </w:rPr>
              <m:t>NT</m:t>
            </m:r>
          </m:sub>
        </m:sSub>
        <m:r>
          <w:rPr>
            <w:rFonts w:ascii="Cambria Math" w:hAnsi="Arial" w:cs="Arial"/>
            <w:sz w:val="20"/>
            <w:szCs w:val="20"/>
          </w:rPr>
          <m:t>=</m:t>
        </m:r>
        <m:f>
          <m:fPr>
            <m:ctrlPr>
              <w:rPr>
                <w:rFonts w:ascii="Cambria Math" w:hAnsi="Arial" w:cs="Arial"/>
                <w:i/>
                <w:sz w:val="20"/>
                <w:szCs w:val="20"/>
              </w:rPr>
            </m:ctrlPr>
          </m:fPr>
          <m:num>
            <m:rad>
              <m:radPr>
                <m:degHide m:val="on"/>
                <m:ctrlPr>
                  <w:rPr>
                    <w:rFonts w:ascii="Cambria Math" w:hAnsi="Arial" w:cs="Arial"/>
                    <w:i/>
                    <w:sz w:val="20"/>
                    <w:szCs w:val="20"/>
                  </w:rPr>
                </m:ctrlPr>
              </m:radPr>
              <m:deg/>
              <m:e>
                <m:r>
                  <w:rPr>
                    <w:rFonts w:ascii="Cambria Math" w:hAnsi="Cambria Math" w:cs="Arial"/>
                    <w:sz w:val="20"/>
                    <w:szCs w:val="20"/>
                  </w:rPr>
                  <m:t>N</m:t>
                </m:r>
              </m:e>
            </m:rad>
            <m:d>
              <m:dPr>
                <m:ctrlPr>
                  <w:rPr>
                    <w:rFonts w:ascii="Cambria Math" w:hAnsi="Arial" w:cs="Arial"/>
                    <w:i/>
                    <w:sz w:val="20"/>
                    <w:szCs w:val="20"/>
                  </w:rPr>
                </m:ctrlPr>
              </m:dPr>
              <m:e>
                <m:sSub>
                  <m:sSubPr>
                    <m:ctrlPr>
                      <w:rPr>
                        <w:rFonts w:ascii="Cambria Math" w:hAnsi="Arial" w:cs="Arial"/>
                        <w:i/>
                        <w:sz w:val="20"/>
                        <w:szCs w:val="20"/>
                      </w:rPr>
                    </m:ctrlPr>
                  </m:sSubPr>
                  <m:e>
                    <m:acc>
                      <m:accPr>
                        <m:chr m:val="̅"/>
                        <m:ctrlPr>
                          <w:rPr>
                            <w:rFonts w:ascii="Cambria Math" w:hAnsi="Arial" w:cs="Arial"/>
                            <w:i/>
                            <w:sz w:val="20"/>
                            <w:szCs w:val="20"/>
                          </w:rPr>
                        </m:ctrlPr>
                      </m:accPr>
                      <m:e>
                        <m:r>
                          <w:rPr>
                            <w:rFonts w:ascii="Cambria Math" w:hAnsi="Cambria Math" w:cs="Arial"/>
                            <w:sz w:val="20"/>
                            <w:szCs w:val="20"/>
                          </w:rPr>
                          <m:t>t</m:t>
                        </m:r>
                      </m:e>
                    </m:acc>
                  </m:e>
                  <m:sub>
                    <m:r>
                      <w:rPr>
                        <w:rFonts w:ascii="Cambria Math" w:hAnsi="Cambria Math" w:cs="Arial"/>
                        <w:sz w:val="20"/>
                        <w:szCs w:val="20"/>
                      </w:rPr>
                      <m:t>NT</m:t>
                    </m:r>
                  </m:sub>
                </m:sSub>
                <m:r>
                  <w:rPr>
                    <w:rFonts w:ascii="Arial" w:hAnsi="Arial" w:cs="Arial"/>
                    <w:sz w:val="20"/>
                    <w:szCs w:val="20"/>
                  </w:rPr>
                  <m:t>-</m:t>
                </m:r>
                <m:r>
                  <w:rPr>
                    <w:rFonts w:ascii="Cambria Math" w:hAnsi="Cambria Math" w:cs="Arial"/>
                    <w:sz w:val="20"/>
                    <w:szCs w:val="20"/>
                  </w:rPr>
                  <m:t>E</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iT</m:t>
                        </m:r>
                      </m:sub>
                    </m:sSub>
                  </m:e>
                  <m:e>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e>
                </m:d>
              </m:e>
            </m:d>
          </m:num>
          <m:den>
            <m:rad>
              <m:radPr>
                <m:degHide m:val="on"/>
                <m:ctrlPr>
                  <w:rPr>
                    <w:rFonts w:ascii="Cambria Math" w:hAnsi="Arial" w:cs="Arial"/>
                    <w:i/>
                    <w:sz w:val="20"/>
                    <w:szCs w:val="20"/>
                  </w:rPr>
                </m:ctrlPr>
              </m:radPr>
              <m:deg/>
              <m:e>
                <m:r>
                  <w:rPr>
                    <w:rFonts w:ascii="Cambria Math" w:hAnsi="Cambria Math" w:cs="Arial"/>
                    <w:sz w:val="20"/>
                    <w:szCs w:val="20"/>
                  </w:rPr>
                  <m:t>Var</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iT</m:t>
                        </m:r>
                      </m:sub>
                    </m:sSub>
                  </m:e>
                  <m:e>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e>
                </m:d>
              </m:e>
            </m:rad>
          </m:den>
        </m:f>
      </m:oMath>
      <w:r w:rsidR="00F30DF6" w:rsidRPr="00F30DF6">
        <w:rPr>
          <w:rFonts w:ascii="Arial" w:hAnsi="Arial" w:cs="Arial"/>
          <w:sz w:val="20"/>
          <w:szCs w:val="20"/>
        </w:rPr>
        <w:tab/>
      </w:r>
      <w:r w:rsidR="00F30DF6" w:rsidRPr="00F30DF6">
        <w:rPr>
          <w:rFonts w:ascii="Arial" w:hAnsi="Arial" w:cs="Arial"/>
          <w:sz w:val="20"/>
          <w:szCs w:val="20"/>
        </w:rPr>
        <w:tab/>
      </w:r>
      <w:r w:rsidR="00F30DF6" w:rsidRPr="00F30DF6">
        <w:rPr>
          <w:rFonts w:ascii="Arial" w:hAnsi="Arial" w:cs="Arial"/>
          <w:sz w:val="20"/>
          <w:szCs w:val="20"/>
        </w:rPr>
        <w:tab/>
        <w:t>(4)</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Under the null hypothesis and as </w:t>
      </w:r>
      <m:oMath>
        <m:r>
          <w:rPr>
            <w:rStyle w:val="katex-mathml"/>
            <w:rFonts w:ascii="Cambria Math" w:hAnsi="Cambria Math" w:cs="Arial"/>
            <w:sz w:val="20"/>
            <w:szCs w:val="20"/>
          </w:rPr>
          <m:t>N</m:t>
        </m:r>
        <m:r>
          <w:rPr>
            <w:rStyle w:val="katex-mathml"/>
            <w:rFonts w:ascii="Cambria Math" w:hAnsi="Arial" w:cs="Arial"/>
            <w:sz w:val="20"/>
            <w:szCs w:val="20"/>
          </w:rPr>
          <m:t>,</m:t>
        </m:r>
        <m:r>
          <w:rPr>
            <w:rStyle w:val="katex-mathml"/>
            <w:rFonts w:ascii="Cambria Math" w:hAnsi="Cambria Math" w:cs="Arial"/>
            <w:sz w:val="20"/>
            <w:szCs w:val="20"/>
          </w:rPr>
          <m:t>T</m:t>
        </m:r>
        <m:r>
          <w:rPr>
            <w:rStyle w:val="katex-mathml"/>
            <w:rFonts w:ascii="Cambria Math" w:hAnsi="Arial" w:cs="Arial"/>
            <w:sz w:val="20"/>
            <w:szCs w:val="20"/>
          </w:rPr>
          <m:t>→∞</m:t>
        </m:r>
      </m:oMath>
      <w:r w:rsidRPr="00F30DF6">
        <w:rPr>
          <w:rStyle w:val="katex-mathml"/>
          <w:rFonts w:ascii="Arial" w:hAnsi="Arial" w:cs="Arial"/>
          <w:sz w:val="20"/>
          <w:szCs w:val="20"/>
        </w:rPr>
        <w:t xml:space="preserve">: </w:t>
      </w:r>
      <m:oMath>
        <m:sSub>
          <m:sSubPr>
            <m:ctrlPr>
              <w:rPr>
                <w:rFonts w:ascii="Cambria Math" w:hAnsi="Arial" w:cs="Arial"/>
                <w:i/>
                <w:sz w:val="20"/>
                <w:szCs w:val="20"/>
              </w:rPr>
            </m:ctrlPr>
          </m:sSubPr>
          <m:e>
            <m:r>
              <w:rPr>
                <w:rStyle w:val="katex-mathml"/>
                <w:rFonts w:ascii="Cambria Math" w:hAnsi="Cambria Math" w:cs="Arial"/>
                <w:sz w:val="20"/>
                <w:szCs w:val="20"/>
              </w:rPr>
              <m:t>Z</m:t>
            </m:r>
          </m:e>
          <m:sub>
            <m:r>
              <w:rPr>
                <w:rStyle w:val="katex-mathml"/>
                <w:rFonts w:ascii="Cambria Math" w:hAnsi="Cambria Math" w:cs="Arial"/>
                <w:sz w:val="20"/>
                <w:szCs w:val="20"/>
              </w:rPr>
              <m:t>NT</m:t>
            </m:r>
          </m:sub>
        </m:sSub>
        <m:box>
          <m:boxPr>
            <m:opEmu m:val="on"/>
            <m:ctrlPr>
              <w:rPr>
                <w:rFonts w:ascii="Cambria Math" w:hAnsi="Arial" w:cs="Arial"/>
                <w:i/>
                <w:sz w:val="20"/>
                <w:szCs w:val="20"/>
              </w:rPr>
            </m:ctrlPr>
          </m:boxPr>
          <m:e>
            <m:groupChr>
              <m:groupChrPr>
                <m:chr m:val="→"/>
                <m:vertJc m:val="bot"/>
                <m:ctrlPr>
                  <w:rPr>
                    <w:rFonts w:ascii="Cambria Math" w:hAnsi="Arial" w:cs="Arial"/>
                    <w:i/>
                    <w:sz w:val="20"/>
                    <w:szCs w:val="20"/>
                  </w:rPr>
                </m:ctrlPr>
              </m:groupChrPr>
              <m:e>
                <m:r>
                  <w:rPr>
                    <w:rStyle w:val="katex-mathml"/>
                    <w:rFonts w:ascii="Cambria Math" w:hAnsi="Cambria Math" w:cs="Arial"/>
                    <w:sz w:val="20"/>
                    <w:szCs w:val="20"/>
                  </w:rPr>
                  <m:t>d</m:t>
                </m:r>
              </m:e>
            </m:groupChr>
          </m:e>
        </m:box>
        <m:r>
          <w:rPr>
            <w:rStyle w:val="katex-mathml"/>
            <w:rFonts w:ascii="Cambria Math" w:hAnsi="Cambria Math" w:cs="Arial"/>
            <w:sz w:val="20"/>
            <w:szCs w:val="20"/>
          </w:rPr>
          <m:t>N</m:t>
        </m:r>
        <m:r>
          <w:rPr>
            <w:rStyle w:val="katex-mathml"/>
            <w:rFonts w:ascii="Cambria Math" w:hAnsi="Arial" w:cs="Arial"/>
            <w:sz w:val="20"/>
            <w:szCs w:val="20"/>
          </w:rPr>
          <m:t>(0, 1)</m:t>
        </m:r>
      </m:oMath>
      <w:r w:rsidRPr="00F30DF6">
        <w:rPr>
          <w:rStyle w:val="katex-mathml"/>
          <w:rFonts w:ascii="Arial" w:hAnsi="Arial" w:cs="Arial"/>
          <w:sz w:val="20"/>
          <w:szCs w:val="20"/>
        </w:rPr>
        <w:t xml:space="preserve">. </w:t>
      </w:r>
      <w:r w:rsidRPr="00F30DF6">
        <w:rPr>
          <w:rFonts w:ascii="Arial" w:hAnsi="Arial" w:cs="Arial"/>
          <w:sz w:val="20"/>
          <w:szCs w:val="20"/>
        </w:rPr>
        <w:t xml:space="preserve">The values of </w:t>
      </w:r>
      <m:oMath>
        <m:r>
          <w:rPr>
            <w:rFonts w:ascii="Cambria Math" w:hAnsi="Cambria Math" w:cs="Arial"/>
            <w:sz w:val="20"/>
            <w:szCs w:val="20"/>
          </w:rPr>
          <m:t>E</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iT</m:t>
                </m:r>
              </m:sub>
            </m:sSub>
          </m:e>
          <m:e>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e>
        </m:d>
      </m:oMath>
      <w:r w:rsidRPr="00F30DF6">
        <w:rPr>
          <w:rFonts w:ascii="Arial" w:hAnsi="Arial" w:cs="Arial"/>
          <w:sz w:val="20"/>
          <w:szCs w:val="20"/>
        </w:rPr>
        <w:t xml:space="preserve"> and </w:t>
      </w:r>
      <m:oMath>
        <m:r>
          <w:rPr>
            <w:rFonts w:ascii="Cambria Math" w:hAnsi="Cambria Math" w:cs="Arial"/>
            <w:sz w:val="20"/>
            <w:szCs w:val="20"/>
          </w:rPr>
          <m:t>Var</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iT</m:t>
                </m:r>
              </m:sub>
            </m:sSub>
          </m:e>
          <m:e>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e>
        </m:d>
      </m:oMath>
      <w:r w:rsidRPr="00F30DF6">
        <w:rPr>
          <w:rFonts w:ascii="Arial" w:hAnsi="Arial" w:cs="Arial"/>
          <w:sz w:val="20"/>
          <w:szCs w:val="20"/>
        </w:rPr>
        <w:t xml:space="preserve"> are provided in IPS simulation tables.</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b/>
          <w:sz w:val="20"/>
          <w:szCs w:val="20"/>
        </w:rPr>
        <w:t>Decision Rule:</w:t>
      </w:r>
      <w:r w:rsidRPr="00F30DF6">
        <w:rPr>
          <w:rFonts w:ascii="Arial" w:hAnsi="Arial" w:cs="Arial"/>
          <w:sz w:val="20"/>
          <w:szCs w:val="20"/>
        </w:rPr>
        <w:t xml:space="preserve"> Using the standardized statistic </w:t>
      </w:r>
      <m:oMath>
        <m:sSub>
          <m:sSubPr>
            <m:ctrlPr>
              <w:rPr>
                <w:rFonts w:ascii="Cambria Math" w:hAnsi="Arial" w:cs="Arial"/>
                <w:i/>
                <w:sz w:val="20"/>
                <w:szCs w:val="20"/>
              </w:rPr>
            </m:ctrlPr>
          </m:sSubPr>
          <m:e>
            <m:r>
              <w:rPr>
                <w:rFonts w:ascii="Cambria Math" w:hAnsi="Cambria Math" w:cs="Arial"/>
                <w:sz w:val="20"/>
                <w:szCs w:val="20"/>
              </w:rPr>
              <m:t>Z</m:t>
            </m:r>
          </m:e>
          <m:sub>
            <m:r>
              <w:rPr>
                <w:rFonts w:ascii="Cambria Math" w:hAnsi="Cambria Math" w:cs="Arial"/>
                <w:sz w:val="20"/>
                <w:szCs w:val="20"/>
              </w:rPr>
              <m:t>NT</m:t>
            </m:r>
          </m:sub>
        </m:sSub>
      </m:oMath>
      <w:r w:rsidRPr="00F30DF6">
        <w:rPr>
          <w:rFonts w:ascii="Arial" w:hAnsi="Arial" w:cs="Arial"/>
          <w:sz w:val="20"/>
          <w:szCs w:val="20"/>
        </w:rPr>
        <w:t xml:space="preserve">, we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F30DF6">
        <w:rPr>
          <w:rFonts w:ascii="Arial" w:hAnsi="Arial" w:cs="Arial"/>
          <w:sz w:val="20"/>
          <w:szCs w:val="20"/>
        </w:rPr>
        <w:t xml:space="preserve"> if </w:t>
      </w:r>
      <m:oMath>
        <m:sSub>
          <m:sSubPr>
            <m:ctrlPr>
              <w:rPr>
                <w:rFonts w:ascii="Cambria Math" w:hAnsi="Arial" w:cs="Arial"/>
                <w:i/>
                <w:sz w:val="20"/>
                <w:szCs w:val="20"/>
              </w:rPr>
            </m:ctrlPr>
          </m:sSubPr>
          <m:e>
            <m:r>
              <w:rPr>
                <w:rFonts w:ascii="Cambria Math" w:hAnsi="Cambria Math" w:cs="Arial"/>
                <w:sz w:val="20"/>
                <w:szCs w:val="20"/>
              </w:rPr>
              <m:t>Z</m:t>
            </m:r>
          </m:e>
          <m:sub>
            <m:r>
              <w:rPr>
                <w:rFonts w:ascii="Cambria Math" w:hAnsi="Cambria Math" w:cs="Arial"/>
                <w:sz w:val="20"/>
                <w:szCs w:val="20"/>
              </w:rPr>
              <m:t>NT</m:t>
            </m:r>
          </m:sub>
        </m:sSub>
        <m:r>
          <w:rPr>
            <w:rFonts w:ascii="Cambria Math" w:hAnsi="Arial" w:cs="Arial"/>
            <w:sz w:val="20"/>
            <w:szCs w:val="20"/>
          </w:rPr>
          <m:t>&lt;</m:t>
        </m:r>
        <m:sSub>
          <m:sSubPr>
            <m:ctrlPr>
              <w:rPr>
                <w:rFonts w:ascii="Cambria Math" w:hAnsi="Arial" w:cs="Arial"/>
                <w:i/>
                <w:sz w:val="20"/>
                <w:szCs w:val="20"/>
              </w:rPr>
            </m:ctrlPr>
          </m:sSubPr>
          <m:e>
            <m:r>
              <w:rPr>
                <w:rFonts w:ascii="Cambria Math" w:hAnsi="Cambria Math" w:cs="Arial"/>
                <w:sz w:val="20"/>
                <w:szCs w:val="20"/>
              </w:rPr>
              <m:t>Z</m:t>
            </m:r>
          </m:e>
          <m:sub>
            <m:r>
              <w:rPr>
                <w:rFonts w:ascii="Cambria Math" w:hAnsi="Cambria Math" w:cs="Arial"/>
                <w:sz w:val="20"/>
                <w:szCs w:val="20"/>
              </w:rPr>
              <m:t>α</m:t>
            </m:r>
          </m:sub>
        </m:sSub>
      </m:oMath>
      <w:r w:rsidRPr="00F30DF6">
        <w:rPr>
          <w:rFonts w:ascii="Arial" w:hAnsi="Arial" w:cs="Arial"/>
          <w:sz w:val="20"/>
          <w:szCs w:val="20"/>
        </w:rPr>
        <w:t xml:space="preserve"> for a one-sided test, typically </w:t>
      </w:r>
      <m:oMath>
        <m:sSub>
          <m:sSubPr>
            <m:ctrlPr>
              <w:rPr>
                <w:rFonts w:ascii="Cambria Math" w:hAnsi="Arial" w:cs="Arial"/>
                <w:i/>
                <w:sz w:val="20"/>
                <w:szCs w:val="20"/>
              </w:rPr>
            </m:ctrlPr>
          </m:sSubPr>
          <m:e>
            <m:r>
              <w:rPr>
                <w:rFonts w:ascii="Cambria Math" w:hAnsi="Cambria Math" w:cs="Arial"/>
                <w:sz w:val="20"/>
                <w:szCs w:val="20"/>
              </w:rPr>
              <m:t>Z</m:t>
            </m:r>
          </m:e>
          <m:sub>
            <m:r>
              <w:rPr>
                <w:rFonts w:ascii="Cambria Math" w:hAnsi="Arial" w:cs="Arial"/>
                <w:sz w:val="20"/>
                <w:szCs w:val="20"/>
              </w:rPr>
              <m:t>0.05</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 xml:space="preserve">1.645. </m:t>
        </m:r>
      </m:oMath>
      <w:r w:rsidRPr="00F30DF6">
        <w:rPr>
          <w:rStyle w:val="katex-mathml"/>
          <w:rFonts w:ascii="Arial" w:hAnsi="Arial" w:cs="Arial"/>
          <w:sz w:val="20"/>
          <w:szCs w:val="20"/>
        </w:rPr>
        <w:t xml:space="preserve"> We fail to reject </w:t>
      </w:r>
      <m:oMath>
        <m:sSub>
          <m:sSubPr>
            <m:ctrlPr>
              <w:rPr>
                <w:rFonts w:ascii="Cambria Math" w:hAnsi="Arial" w:cs="Arial"/>
                <w:i/>
                <w:sz w:val="20"/>
                <w:szCs w:val="20"/>
              </w:rPr>
            </m:ctrlPr>
          </m:sSubPr>
          <m:e>
            <m:r>
              <w:rPr>
                <w:rStyle w:val="katex-mathml"/>
                <w:rFonts w:ascii="Cambria Math" w:hAnsi="Cambria Math" w:cs="Arial"/>
                <w:sz w:val="20"/>
                <w:szCs w:val="20"/>
              </w:rPr>
              <m:t>H</m:t>
            </m:r>
          </m:e>
          <m:sub>
            <m:r>
              <w:rPr>
                <w:rStyle w:val="katex-mathml"/>
                <w:rFonts w:ascii="Cambria Math" w:hAnsi="Arial" w:cs="Arial"/>
                <w:sz w:val="20"/>
                <w:szCs w:val="20"/>
              </w:rPr>
              <m:t>0</m:t>
            </m:r>
          </m:sub>
        </m:sSub>
      </m:oMath>
      <w:r w:rsidRPr="00F30DF6">
        <w:rPr>
          <w:rStyle w:val="katex-mathml"/>
          <w:rFonts w:ascii="Arial" w:hAnsi="Arial" w:cs="Arial"/>
          <w:sz w:val="20"/>
          <w:szCs w:val="20"/>
        </w:rPr>
        <w:t xml:space="preserve"> if </w:t>
      </w:r>
      <m:oMath>
        <m:sSub>
          <m:sSubPr>
            <m:ctrlPr>
              <w:rPr>
                <w:rFonts w:ascii="Cambria Math" w:hAnsi="Arial" w:cs="Arial"/>
                <w:i/>
                <w:sz w:val="20"/>
                <w:szCs w:val="20"/>
              </w:rPr>
            </m:ctrlPr>
          </m:sSubPr>
          <m:e>
            <m:r>
              <w:rPr>
                <w:rFonts w:ascii="Cambria Math" w:hAnsi="Cambria Math" w:cs="Arial"/>
                <w:sz w:val="20"/>
                <w:szCs w:val="20"/>
              </w:rPr>
              <m:t>Z</m:t>
            </m:r>
          </m:e>
          <m:sub>
            <m:r>
              <w:rPr>
                <w:rFonts w:ascii="Cambria Math" w:hAnsi="Cambria Math" w:cs="Arial"/>
                <w:sz w:val="20"/>
                <w:szCs w:val="20"/>
              </w:rPr>
              <m:t>NT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Z</m:t>
            </m:r>
          </m:e>
          <m:sub>
            <m:r>
              <w:rPr>
                <w:rFonts w:ascii="Cambria Math" w:hAnsi="Cambria Math" w:cs="Arial"/>
                <w:sz w:val="20"/>
                <w:szCs w:val="20"/>
              </w:rPr>
              <m:t>α</m:t>
            </m:r>
          </m:sub>
        </m:sSub>
        <m:r>
          <w:rPr>
            <w:rFonts w:ascii="Cambria Math" w:hAnsi="Arial" w:cs="Arial"/>
            <w:sz w:val="20"/>
            <w:szCs w:val="20"/>
          </w:rPr>
          <m:t>.</m:t>
        </m:r>
      </m:oMath>
      <w:r w:rsidRPr="00F30DF6">
        <w:rPr>
          <w:rFonts w:ascii="Arial" w:hAnsi="Arial" w:cs="Arial"/>
          <w:sz w:val="20"/>
          <w:szCs w:val="20"/>
        </w:rPr>
        <w:t xml:space="preserve"> The rejection of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F30DF6">
        <w:rPr>
          <w:rFonts w:ascii="Arial" w:hAnsi="Arial" w:cs="Arial"/>
          <w:sz w:val="20"/>
          <w:szCs w:val="20"/>
        </w:rPr>
        <w:t xml:space="preserve"> implies that at least one panel is stationary (no panel-wide unit root). Failure to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F30DF6">
        <w:rPr>
          <w:rFonts w:ascii="Arial" w:hAnsi="Arial" w:cs="Arial"/>
          <w:sz w:val="20"/>
          <w:szCs w:val="20"/>
        </w:rPr>
        <w:t xml:space="preserve"> means that all panels contain a unit root (variables are non-stationary).</w:t>
      </w:r>
    </w:p>
    <w:p w:rsidR="00F30DF6" w:rsidRPr="00F30DF6" w:rsidRDefault="00F30DF6" w:rsidP="00F30DF6">
      <w:pPr>
        <w:tabs>
          <w:tab w:val="left" w:pos="1139"/>
        </w:tabs>
        <w:jc w:val="both"/>
        <w:rPr>
          <w:rFonts w:ascii="Arial" w:hAnsi="Arial" w:cs="Arial"/>
          <w:b/>
        </w:rPr>
      </w:pPr>
      <w:r w:rsidRPr="00F30DF6">
        <w:rPr>
          <w:rFonts w:ascii="Arial" w:hAnsi="Arial" w:cs="Arial"/>
          <w:b/>
        </w:rPr>
        <w:t>2.2.2  Pesaran’s CCE (common correlated effects) approach</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Pesaran (2015) proposes a second generation unit root test called the Common Correlated Effects (CCE) estimator to account for a general multifactor error structure in heterogeneous panels. For unit-root testing the same principle is used: augment each individual regression with cross-section averages of the dependent variable and (if present) regressors to proxy the unobserved common factors.</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Consider a general heterogeneous panel model (no regressors or with exogenous regressors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oMath>
      <w:r w:rsidRPr="00F30DF6">
        <w:rPr>
          <w:rFonts w:ascii="Arial" w:hAnsi="Arial" w:cs="Arial"/>
          <w:sz w:val="20"/>
          <w:szCs w:val="20"/>
        </w:rPr>
        <w:t xml:space="preserve">. For unit-root testing of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oMath>
      <w:r w:rsidRPr="00F30DF6">
        <w:rPr>
          <w:rStyle w:val="vlist-s"/>
          <w:rFonts w:ascii="Arial" w:hAnsi="Arial" w:cs="Arial"/>
          <w:sz w:val="20"/>
          <w:szCs w:val="20"/>
        </w:rPr>
        <w:t>​</w:t>
      </w:r>
      <w:r w:rsidRPr="00F30DF6">
        <w:rPr>
          <w:rFonts w:ascii="Arial" w:hAnsi="Arial" w:cs="Arial"/>
          <w:sz w:val="20"/>
          <w:szCs w:val="20"/>
        </w:rPr>
        <w:t xml:space="preserve"> the augmented ADF (CCE-augmented) regression is given in Equation (5): </w:t>
      </w:r>
    </w:p>
    <w:p w:rsidR="00F30DF6" w:rsidRPr="00F30DF6" w:rsidRDefault="00F30DF6" w:rsidP="00F30DF6">
      <w:pPr>
        <w:pStyle w:val="NormalWeb"/>
        <w:spacing w:before="0" w:beforeAutospacing="0" w:after="0" w:afterAutospacing="0"/>
        <w:ind w:firstLine="720"/>
        <w:jc w:val="both"/>
        <w:rPr>
          <w:rFonts w:ascii="Arial" w:hAnsi="Arial" w:cs="Arial"/>
          <w:sz w:val="20"/>
          <w:szCs w:val="20"/>
        </w:rPr>
      </w:pPr>
      <m:oMath>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sub>
        </m:sSub>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m:rPr>
                <m:sty m:val="bi"/>
              </m:rPr>
              <w:rPr>
                <w:rFonts w:ascii="Cambria Math" w:hAnsi="Cambria Math" w:cs="Arial"/>
                <w:sz w:val="20"/>
                <w:szCs w:val="20"/>
              </w:rPr>
              <m:t>π</m:t>
            </m:r>
          </m:e>
          <m:sub>
            <m:r>
              <w:rPr>
                <w:rFonts w:ascii="Cambria Math" w:hAnsi="Cambria Math" w:cs="Arial"/>
                <w:sz w:val="20"/>
                <w:szCs w:val="20"/>
              </w:rPr>
              <m:t>i</m:t>
            </m:r>
          </m:sub>
          <m:sup>
            <m:r>
              <w:rPr>
                <w:rFonts w:ascii="Cambria Math" w:hAnsi="Arial" w:cs="Arial"/>
                <w:sz w:val="20"/>
                <w:szCs w:val="20"/>
              </w:rPr>
              <m:t>'</m:t>
            </m:r>
          </m:sup>
        </m:sSubSup>
        <m:sSub>
          <m:sSubPr>
            <m:ctrlPr>
              <w:rPr>
                <w:rFonts w:ascii="Cambria Math" w:hAnsi="Arial" w:cs="Arial"/>
                <w:i/>
                <w:sz w:val="20"/>
                <w:szCs w:val="20"/>
              </w:rPr>
            </m:ctrlPr>
          </m:sSubPr>
          <m:e>
            <m:acc>
              <m:accPr>
                <m:chr m:val="̅"/>
                <m:ctrlPr>
                  <w:rPr>
                    <w:rFonts w:ascii="Cambria Math" w:hAnsi="Arial" w:cs="Arial"/>
                    <w:b/>
                    <w:i/>
                    <w:sz w:val="20"/>
                    <w:szCs w:val="20"/>
                  </w:rPr>
                </m:ctrlPr>
              </m:accPr>
              <m:e>
                <m:r>
                  <m:rPr>
                    <m:sty m:val="bi"/>
                  </m:rPr>
                  <w:rPr>
                    <w:rFonts w:ascii="Cambria Math" w:hAnsi="Cambria Math" w:cs="Arial"/>
                    <w:sz w:val="20"/>
                    <w:szCs w:val="20"/>
                  </w:rPr>
                  <m:t>z</m:t>
                </m:r>
              </m:e>
            </m:acc>
          </m:e>
          <m:sub>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sSub>
              <m:sSubPr>
                <m:ctrlPr>
                  <w:rPr>
                    <w:rFonts w:ascii="Cambria Math" w:hAnsi="Arial"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sup>
          <m:e>
            <m:sSub>
              <m:sSubPr>
                <m:ctrlPr>
                  <w:rPr>
                    <w:rFonts w:ascii="Cambria Math" w:hAnsi="Arial" w:cs="Arial"/>
                    <w:i/>
                    <w:sz w:val="20"/>
                    <w:szCs w:val="20"/>
                  </w:rPr>
                </m:ctrlPr>
              </m:sSubPr>
              <m:e>
                <m:r>
                  <w:rPr>
                    <w:rFonts w:ascii="Cambria Math" w:hAnsi="Cambria Math" w:cs="Arial"/>
                    <w:sz w:val="20"/>
                    <w:szCs w:val="20"/>
                  </w:rPr>
                  <m:t>ϕ</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j</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j</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=0</m:t>
                </m:r>
              </m:sub>
              <m:sup>
                <m:r>
                  <w:rPr>
                    <w:rFonts w:ascii="Cambria Math" w:hAnsi="Cambria Math" w:cs="Arial"/>
                    <w:sz w:val="20"/>
                    <w:szCs w:val="20"/>
                  </w:rPr>
                  <m:t>q</m:t>
                </m:r>
              </m:sup>
              <m:e>
                <m:sSubSup>
                  <m:sSubSupPr>
                    <m:ctrlPr>
                      <w:rPr>
                        <w:rFonts w:ascii="Cambria Math" w:hAnsi="Arial" w:cs="Arial"/>
                        <w:i/>
                        <w:sz w:val="20"/>
                        <w:szCs w:val="20"/>
                      </w:rPr>
                    </m:ctrlPr>
                  </m:sSubSupPr>
                  <m:e>
                    <m:r>
                      <w:rPr>
                        <w:rFonts w:ascii="Cambria Math" w:hAnsi="Cambria Math" w:cs="Arial"/>
                        <w:sz w:val="20"/>
                        <w:szCs w:val="20"/>
                      </w:rPr>
                      <m:t>γ</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j</m:t>
                    </m:r>
                  </m:sub>
                  <m:sup>
                    <m:r>
                      <w:rPr>
                        <w:rFonts w:ascii="Cambria Math" w:hAnsi="Arial" w:cs="Arial"/>
                        <w:sz w:val="20"/>
                        <w:szCs w:val="20"/>
                      </w:rPr>
                      <m:t>'</m:t>
                    </m:r>
                  </m:sup>
                </m:sSubSup>
              </m:e>
            </m:nary>
            <m:r>
              <w:rPr>
                <w:rFonts w:ascii="Cambria Math" w:hAnsi="Arial" w:cs="Arial"/>
                <w:sz w:val="20"/>
                <w:szCs w:val="20"/>
              </w:rPr>
              <m:t>∆</m:t>
            </m:r>
            <m:sSub>
              <m:sSubPr>
                <m:ctrlPr>
                  <w:rPr>
                    <w:rFonts w:ascii="Cambria Math" w:hAnsi="Arial" w:cs="Arial"/>
                    <w:i/>
                    <w:sz w:val="20"/>
                    <w:szCs w:val="20"/>
                  </w:rPr>
                </m:ctrlPr>
              </m:sSubPr>
              <m:e>
                <m:acc>
                  <m:accPr>
                    <m:chr m:val="̅"/>
                    <m:ctrlPr>
                      <w:rPr>
                        <w:rFonts w:ascii="Cambria Math" w:hAnsi="Arial" w:cs="Arial"/>
                        <w:i/>
                        <w:sz w:val="20"/>
                        <w:szCs w:val="20"/>
                      </w:rPr>
                    </m:ctrlPr>
                  </m:accPr>
                  <m:e>
                    <m:r>
                      <m:rPr>
                        <m:sty m:val="bi"/>
                      </m:rPr>
                      <w:rPr>
                        <w:rFonts w:ascii="Cambria Math" w:hAnsi="Cambria Math" w:cs="Arial"/>
                        <w:sz w:val="20"/>
                        <w:szCs w:val="20"/>
                      </w:rPr>
                      <m:t>z</m:t>
                    </m:r>
                  </m:e>
                </m:acc>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j</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e>
        </m:nary>
      </m:oMath>
      <w:r w:rsidRPr="00F30DF6">
        <w:rPr>
          <w:rFonts w:ascii="Arial" w:hAnsi="Arial" w:cs="Arial"/>
          <w:sz w:val="20"/>
          <w:szCs w:val="20"/>
        </w:rPr>
        <w:t>(5)</w:t>
      </w:r>
    </w:p>
    <w:p w:rsidR="00F30DF6" w:rsidRPr="00F30DF6" w:rsidRDefault="00F30DF6" w:rsidP="00F30DF6">
      <w:pPr>
        <w:tabs>
          <w:tab w:val="left" w:pos="1139"/>
        </w:tabs>
        <w:jc w:val="both"/>
        <w:rPr>
          <w:rFonts w:ascii="Arial" w:hAnsi="Arial" w:cs="Arial"/>
        </w:rPr>
      </w:pPr>
      <w:r w:rsidRPr="00F30DF6">
        <w:rPr>
          <w:rFonts w:ascii="Arial" w:hAnsi="Arial" w:cs="Arial"/>
        </w:rPr>
        <w:t xml:space="preserve">where </w:t>
      </w:r>
      <m:oMath>
        <m:sSub>
          <m:sSubPr>
            <m:ctrlPr>
              <w:rPr>
                <w:rFonts w:ascii="Cambria Math" w:hAnsi="Arial" w:cs="Arial"/>
                <w:i/>
              </w:rPr>
            </m:ctrlPr>
          </m:sSubPr>
          <m:e>
            <m:acc>
              <m:accPr>
                <m:chr m:val="̅"/>
                <m:ctrlPr>
                  <w:rPr>
                    <w:rFonts w:ascii="Cambria Math" w:hAnsi="Arial" w:cs="Arial"/>
                    <w:b/>
                    <w:i/>
                  </w:rPr>
                </m:ctrlPr>
              </m:accPr>
              <m:e>
                <m:r>
                  <m:rPr>
                    <m:sty m:val="bi"/>
                  </m:rPr>
                  <w:rPr>
                    <w:rFonts w:ascii="Cambria Math" w:hAnsi="Cambria Math" w:cs="Arial"/>
                  </w:rPr>
                  <m:t>z</m:t>
                </m:r>
              </m:e>
            </m:acc>
          </m:e>
          <m:sub>
            <m:r>
              <w:rPr>
                <w:rFonts w:ascii="Cambria Math" w:hAnsi="Cambria Math" w:cs="Arial"/>
              </w:rPr>
              <m:t>t</m:t>
            </m:r>
          </m:sub>
        </m:sSub>
      </m:oMath>
      <w:r w:rsidRPr="00F30DF6">
        <w:rPr>
          <w:rFonts w:ascii="Arial" w:hAnsi="Arial" w:cs="Arial"/>
        </w:rPr>
        <w:t xml:space="preserve">  is a vector of cross-section averages used as factor proxies, typical choices:</w:t>
      </w:r>
    </w:p>
    <w:p w:rsidR="00F30DF6" w:rsidRPr="00F30DF6" w:rsidRDefault="00FB352D" w:rsidP="00F30DF6">
      <w:pPr>
        <w:tabs>
          <w:tab w:val="left" w:pos="1139"/>
        </w:tabs>
        <w:jc w:val="both"/>
        <w:rPr>
          <w:rFonts w:ascii="Arial" w:eastAsiaTheme="minorEastAsia" w:hAnsi="Arial" w:cs="Arial"/>
        </w:rPr>
      </w:pPr>
      <m:oMathPara>
        <m:oMath>
          <m:sSub>
            <m:sSubPr>
              <m:ctrlPr>
                <w:rPr>
                  <w:rFonts w:ascii="Cambria Math" w:hAnsi="Arial" w:cs="Arial"/>
                  <w:i/>
                </w:rPr>
              </m:ctrlPr>
            </m:sSubPr>
            <m:e>
              <m:acc>
                <m:accPr>
                  <m:chr m:val="̅"/>
                  <m:ctrlPr>
                    <w:rPr>
                      <w:rFonts w:ascii="Cambria Math" w:hAnsi="Arial" w:cs="Arial"/>
                      <w:b/>
                      <w:i/>
                    </w:rPr>
                  </m:ctrlPr>
                </m:accPr>
                <m:e>
                  <m:r>
                    <m:rPr>
                      <m:sty m:val="bi"/>
                    </m:rPr>
                    <w:rPr>
                      <w:rFonts w:ascii="Cambria Math" w:hAnsi="Cambria Math" w:cs="Arial"/>
                    </w:rPr>
                    <m:t>z</m:t>
                  </m:r>
                </m:e>
              </m:acc>
            </m:e>
            <m:sub>
              <m:r>
                <w:rPr>
                  <w:rFonts w:ascii="Cambria Math" w:hAnsi="Cambria Math" w:cs="Arial"/>
                </w:rPr>
                <m:t>t</m:t>
              </m:r>
            </m:sub>
          </m:sSub>
          <m:r>
            <w:rPr>
              <w:rFonts w:ascii="Cambria Math" w:hAnsi="Arial" w:cs="Arial"/>
            </w:rPr>
            <m:t>=</m:t>
          </m:r>
          <m:d>
            <m:dPr>
              <m:begChr m:val="["/>
              <m:endChr m:val="]"/>
              <m:ctrlPr>
                <w:rPr>
                  <w:rFonts w:ascii="Cambria Math" w:hAnsi="Arial" w:cs="Arial"/>
                  <w:i/>
                </w:rPr>
              </m:ctrlPr>
            </m:dPr>
            <m:e>
              <m:m>
                <m:mPr>
                  <m:mcs>
                    <m:mc>
                      <m:mcPr>
                        <m:count m:val="1"/>
                        <m:mcJc m:val="center"/>
                      </m:mcPr>
                    </m:mc>
                  </m:mcs>
                  <m:ctrlPr>
                    <w:rPr>
                      <w:rFonts w:ascii="Cambria Math" w:hAnsi="Arial" w:cs="Arial"/>
                      <w:i/>
                    </w:rPr>
                  </m:ctrlPr>
                </m:mPr>
                <m:mr>
                  <m:e>
                    <m:sSub>
                      <m:sSubPr>
                        <m:ctrlPr>
                          <w:rPr>
                            <w:rFonts w:ascii="Cambria Math" w:hAnsi="Arial" w:cs="Arial"/>
                            <w:i/>
                          </w:rPr>
                        </m:ctrlPr>
                      </m:sSubPr>
                      <m:e>
                        <m:acc>
                          <m:accPr>
                            <m:chr m:val="̅"/>
                            <m:ctrlPr>
                              <w:rPr>
                                <w:rFonts w:ascii="Cambria Math" w:hAnsi="Arial" w:cs="Arial"/>
                                <w:i/>
                              </w:rPr>
                            </m:ctrlPr>
                          </m:accPr>
                          <m:e>
                            <m:r>
                              <w:rPr>
                                <w:rFonts w:ascii="Cambria Math" w:hAnsi="Cambria Math" w:cs="Arial"/>
                              </w:rPr>
                              <m:t>y</m:t>
                            </m:r>
                          </m:e>
                        </m:acc>
                      </m:e>
                      <m:sub>
                        <m:r>
                          <w:rPr>
                            <w:rFonts w:ascii="Cambria Math" w:hAnsi="Cambria Math" w:cs="Arial"/>
                          </w:rPr>
                          <m:t>t</m:t>
                        </m:r>
                      </m:sub>
                    </m:sSub>
                  </m:e>
                </m:mr>
                <m:mr>
                  <m:e>
                    <m:sSub>
                      <m:sSubPr>
                        <m:ctrlPr>
                          <w:rPr>
                            <w:rFonts w:ascii="Cambria Math" w:hAnsi="Arial" w:cs="Arial"/>
                            <w:i/>
                          </w:rPr>
                        </m:ctrlPr>
                      </m:sSubPr>
                      <m:e>
                        <m:acc>
                          <m:accPr>
                            <m:chr m:val="̅"/>
                            <m:ctrlPr>
                              <w:rPr>
                                <w:rFonts w:ascii="Cambria Math" w:hAnsi="Arial" w:cs="Arial"/>
                                <w:i/>
                              </w:rPr>
                            </m:ctrlPr>
                          </m:accPr>
                          <m:e>
                            <m:r>
                              <w:rPr>
                                <w:rFonts w:ascii="Cambria Math" w:hAnsi="Cambria Math" w:cs="Arial"/>
                              </w:rPr>
                              <m:t>x</m:t>
                            </m:r>
                          </m:e>
                        </m:acc>
                      </m:e>
                      <m:sub>
                        <m:r>
                          <w:rPr>
                            <w:rFonts w:ascii="Cambria Math" w:hAnsi="Cambria Math" w:cs="Arial"/>
                          </w:rPr>
                          <m:t>t</m:t>
                        </m:r>
                      </m:sub>
                    </m:sSub>
                  </m:e>
                </m:mr>
              </m:m>
            </m:e>
          </m:d>
          <m:r>
            <w:rPr>
              <w:rFonts w:ascii="Cambria Math" w:hAnsi="Arial" w:cs="Arial"/>
            </w:rPr>
            <m:t xml:space="preserve">,  </m:t>
          </m:r>
          <m:sSub>
            <m:sSubPr>
              <m:ctrlPr>
                <w:rPr>
                  <w:rFonts w:ascii="Cambria Math" w:hAnsi="Arial" w:cs="Arial"/>
                  <w:i/>
                </w:rPr>
              </m:ctrlPr>
            </m:sSubPr>
            <m:e>
              <m:acc>
                <m:accPr>
                  <m:chr m:val="̅"/>
                  <m:ctrlPr>
                    <w:rPr>
                      <w:rFonts w:ascii="Cambria Math" w:hAnsi="Arial" w:cs="Arial"/>
                      <w:i/>
                    </w:rPr>
                  </m:ctrlPr>
                </m:accPr>
                <m:e>
                  <m:r>
                    <w:rPr>
                      <w:rFonts w:ascii="Cambria Math" w:hAnsi="Cambria Math" w:cs="Arial"/>
                    </w:rPr>
                    <m:t>x</m:t>
                  </m:r>
                </m:e>
              </m:acc>
            </m:e>
            <m:sub>
              <m:r>
                <w:rPr>
                  <w:rFonts w:ascii="Cambria Math" w:hAnsi="Cambria Math" w:cs="Arial"/>
                </w:rPr>
                <m:t>t</m:t>
              </m:r>
            </m:sub>
          </m:sSub>
          <m:r>
            <w:rPr>
              <w:rFonts w:ascii="Cambria Math" w:hAnsi="Arial" w:cs="Arial"/>
            </w:rPr>
            <m:t>=</m:t>
          </m:r>
          <m:f>
            <m:fPr>
              <m:ctrlPr>
                <w:rPr>
                  <w:rFonts w:ascii="Cambria Math" w:hAnsi="Arial" w:cs="Arial"/>
                  <w:i/>
                </w:rPr>
              </m:ctrlPr>
            </m:fPr>
            <m:num>
              <m:r>
                <w:rPr>
                  <w:rFonts w:ascii="Cambria Math" w:hAnsi="Arial" w:cs="Arial"/>
                </w:rPr>
                <m:t>1</m:t>
              </m:r>
            </m:num>
            <m:den>
              <m:r>
                <w:rPr>
                  <w:rFonts w:ascii="Cambria Math" w:hAnsi="Cambria Math" w:cs="Arial"/>
                </w:rPr>
                <m:t>N</m:t>
              </m:r>
            </m:den>
          </m:f>
          <m:nary>
            <m:naryPr>
              <m:chr m:val="∑"/>
              <m:limLoc m:val="undOvr"/>
              <m:supHide m:val="on"/>
              <m:ctrlPr>
                <w:rPr>
                  <w:rFonts w:ascii="Cambria Math" w:hAnsi="Arial" w:cs="Arial"/>
                  <w:i/>
                </w:rPr>
              </m:ctrlPr>
            </m:naryPr>
            <m:sub>
              <m:r>
                <w:rPr>
                  <w:rFonts w:ascii="Cambria Math" w:hAnsi="Cambria Math" w:cs="Arial"/>
                </w:rPr>
                <m:t>i</m:t>
              </m:r>
            </m:sub>
            <m:sup/>
            <m:e>
              <m:sSub>
                <m:sSubPr>
                  <m:ctrlPr>
                    <w:rPr>
                      <w:rFonts w:ascii="Cambria Math" w:hAnsi="Arial" w:cs="Arial"/>
                      <w:i/>
                    </w:rPr>
                  </m:ctrlPr>
                </m:sSubPr>
                <m:e>
                  <m:r>
                    <w:rPr>
                      <w:rFonts w:ascii="Cambria Math" w:hAnsi="Cambria Math" w:cs="Arial"/>
                    </w:rPr>
                    <m:t>x</m:t>
                  </m:r>
                </m:e>
                <m:sub>
                  <m:r>
                    <w:rPr>
                      <w:rFonts w:ascii="Cambria Math" w:hAnsi="Cambria Math" w:cs="Arial"/>
                    </w:rPr>
                    <m:t>i</m:t>
                  </m:r>
                  <m:r>
                    <w:rPr>
                      <w:rFonts w:ascii="Cambria Math" w:hAnsi="Arial" w:cs="Arial"/>
                    </w:rPr>
                    <m:t xml:space="preserve">, </m:t>
                  </m:r>
                  <m:r>
                    <w:rPr>
                      <w:rFonts w:ascii="Cambria Math" w:hAnsi="Cambria Math" w:cs="Arial"/>
                    </w:rPr>
                    <m:t>t</m:t>
                  </m:r>
                </m:sub>
              </m:sSub>
            </m:e>
          </m:nary>
        </m:oMath>
      </m:oMathPara>
    </w:p>
    <w:p w:rsidR="00F30DF6" w:rsidRPr="00F30DF6" w:rsidRDefault="00F30DF6" w:rsidP="00F30DF6">
      <w:pPr>
        <w:tabs>
          <w:tab w:val="left" w:pos="1139"/>
        </w:tabs>
        <w:jc w:val="both"/>
        <w:rPr>
          <w:rFonts w:ascii="Arial" w:eastAsiaTheme="minorHAnsi" w:hAnsi="Arial" w:cs="Arial"/>
        </w:rPr>
      </w:pPr>
      <m:oMath>
        <m:r>
          <w:rPr>
            <w:rFonts w:ascii="Arial" w:eastAsiaTheme="minorEastAsia" w:hAnsi="Arial" w:cs="Arial"/>
          </w:rPr>
          <m:t>∆</m:t>
        </m:r>
        <m:sSub>
          <m:sSubPr>
            <m:ctrlPr>
              <w:rPr>
                <w:rFonts w:ascii="Cambria Math" w:eastAsiaTheme="minorEastAsia" w:hAnsi="Arial" w:cs="Arial"/>
                <w:i/>
              </w:rPr>
            </m:ctrlPr>
          </m:sSubPr>
          <m:e>
            <m:acc>
              <m:accPr>
                <m:chr m:val="̅"/>
                <m:ctrlPr>
                  <w:rPr>
                    <w:rFonts w:ascii="Cambria Math" w:eastAsiaTheme="minorEastAsia" w:hAnsi="Arial" w:cs="Arial"/>
                    <w:i/>
                  </w:rPr>
                </m:ctrlPr>
              </m:accPr>
              <m:e>
                <m:r>
                  <m:rPr>
                    <m:sty m:val="bi"/>
                  </m:rPr>
                  <w:rPr>
                    <w:rFonts w:ascii="Cambria Math" w:eastAsiaTheme="minorEastAsia" w:hAnsi="Cambria Math" w:cs="Arial"/>
                  </w:rPr>
                  <m:t>z</m:t>
                </m:r>
              </m:e>
            </m:acc>
          </m:e>
          <m:sub>
            <m:r>
              <w:rPr>
                <w:rFonts w:ascii="Cambria Math" w:eastAsiaTheme="minorEastAsia" w:hAnsi="Cambria Math" w:cs="Arial"/>
              </w:rPr>
              <m:t>t</m:t>
            </m:r>
            <m:r>
              <w:rPr>
                <w:rFonts w:ascii="Arial" w:eastAsiaTheme="minorEastAsia" w:hAnsi="Arial" w:cs="Arial"/>
              </w:rPr>
              <m:t>-</m:t>
            </m:r>
            <m:r>
              <w:rPr>
                <w:rFonts w:ascii="Cambria Math" w:eastAsiaTheme="minorEastAsia" w:hAnsi="Cambria Math" w:cs="Arial"/>
              </w:rPr>
              <m:t>j</m:t>
            </m:r>
          </m:sub>
        </m:sSub>
      </m:oMath>
      <w:r w:rsidRPr="00F30DF6">
        <w:rPr>
          <w:rFonts w:ascii="Arial" w:hAnsi="Arial" w:cs="Arial"/>
        </w:rPr>
        <w:t xml:space="preserve">are lagged differences of cross-section averages, </w:t>
      </w:r>
      <m:oMath>
        <m:sSub>
          <m:sSubPr>
            <m:ctrlPr>
              <w:rPr>
                <w:rFonts w:ascii="Cambria Math" w:hAnsi="Arial" w:cs="Arial"/>
                <w:i/>
              </w:rPr>
            </m:ctrlPr>
          </m:sSubPr>
          <m:e>
            <m:r>
              <w:rPr>
                <w:rFonts w:ascii="Cambria Math" w:hAnsi="Cambria Math" w:cs="Arial"/>
              </w:rPr>
              <m:t>p</m:t>
            </m:r>
          </m:e>
          <m:sub>
            <m:r>
              <w:rPr>
                <w:rFonts w:ascii="Cambria Math" w:hAnsi="Cambria Math" w:cs="Arial"/>
              </w:rPr>
              <m:t>i</m:t>
            </m:r>
          </m:sub>
        </m:sSub>
      </m:oMath>
      <w:r w:rsidRPr="00F30DF6">
        <w:rPr>
          <w:rFonts w:ascii="Arial" w:hAnsi="Arial" w:cs="Arial"/>
        </w:rPr>
        <w:t xml:space="preserve">is the lag order for the individual ADF to soak up serial correlation, </w:t>
      </w:r>
      <m:oMath>
        <m:r>
          <w:rPr>
            <w:rStyle w:val="mord"/>
            <w:rFonts w:ascii="Cambria Math" w:hAnsi="Cambria Math" w:cs="Arial"/>
          </w:rPr>
          <m:t>q</m:t>
        </m:r>
      </m:oMath>
      <w:r w:rsidRPr="00F30DF6">
        <w:rPr>
          <w:rFonts w:ascii="Arial" w:hAnsi="Arial" w:cs="Arial"/>
        </w:rPr>
        <w:t xml:space="preserve">is a (small) number of lags for the averaged differences (often 0 or 1), </w:t>
      </w:r>
      <m:oMath>
        <m:sSub>
          <m:sSubPr>
            <m:ctrlPr>
              <w:rPr>
                <w:rFonts w:ascii="Cambria Math" w:hAnsi="Arial" w:cs="Arial"/>
                <w:i/>
              </w:rPr>
            </m:ctrlPr>
          </m:sSubPr>
          <m:e>
            <m:r>
              <w:rPr>
                <w:rFonts w:ascii="Cambria Math" w:hAnsi="Cambria Math" w:cs="Arial"/>
              </w:rPr>
              <m:t>β</m:t>
            </m:r>
          </m:e>
          <m:sub>
            <m:r>
              <w:rPr>
                <w:rFonts w:ascii="Cambria Math" w:hAnsi="Cambria Math" w:cs="Arial"/>
              </w:rPr>
              <m:t>i</m:t>
            </m:r>
          </m:sub>
        </m:sSub>
      </m:oMath>
      <w:r w:rsidRPr="00F30DF6">
        <w:rPr>
          <w:rFonts w:ascii="Arial" w:hAnsi="Arial" w:cs="Arial"/>
        </w:rPr>
        <w:t>is the parameter of interest.</w:t>
      </w:r>
    </w:p>
    <w:p w:rsidR="00F30DF6" w:rsidRPr="00F30DF6" w:rsidRDefault="00F30DF6" w:rsidP="00F30DF6">
      <w:pPr>
        <w:tabs>
          <w:tab w:val="left" w:pos="1139"/>
        </w:tabs>
        <w:jc w:val="both"/>
        <w:rPr>
          <w:rFonts w:ascii="Arial" w:hAnsi="Arial" w:cs="Arial"/>
        </w:rPr>
      </w:pPr>
      <w:r w:rsidRPr="00F30DF6">
        <w:rPr>
          <w:rFonts w:ascii="Arial" w:hAnsi="Arial" w:cs="Arial"/>
        </w:rPr>
        <w:t>The mean of individual t-statistics are computed as given in Equation (6):</w:t>
      </w:r>
    </w:p>
    <w:p w:rsidR="00F30DF6" w:rsidRPr="00F30DF6" w:rsidRDefault="00F30DF6" w:rsidP="00F30DF6">
      <w:pPr>
        <w:tabs>
          <w:tab w:val="left" w:pos="1139"/>
        </w:tabs>
        <w:jc w:val="both"/>
        <w:rPr>
          <w:rFonts w:ascii="Arial" w:hAnsi="Arial" w:cs="Arial"/>
        </w:rPr>
      </w:pP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m:oMath>
        <m:sSubSup>
          <m:sSubSupPr>
            <m:ctrlPr>
              <w:rPr>
                <w:rFonts w:ascii="Cambria Math" w:hAnsi="Arial" w:cs="Arial"/>
                <w:i/>
              </w:rPr>
            </m:ctrlPr>
          </m:sSubSupPr>
          <m:e>
            <m:acc>
              <m:accPr>
                <m:chr m:val="̅"/>
                <m:ctrlPr>
                  <w:rPr>
                    <w:rFonts w:ascii="Cambria Math" w:hAnsi="Arial" w:cs="Arial"/>
                    <w:i/>
                  </w:rPr>
                </m:ctrlPr>
              </m:accPr>
              <m:e>
                <m:r>
                  <w:rPr>
                    <w:rFonts w:ascii="Cambria Math" w:hAnsi="Cambria Math" w:cs="Arial"/>
                  </w:rPr>
                  <m:t>t</m:t>
                </m:r>
              </m:e>
            </m:acc>
          </m:e>
          <m:sub>
            <m:r>
              <w:rPr>
                <w:rFonts w:ascii="Cambria Math" w:hAnsi="Cambria Math" w:cs="Arial"/>
              </w:rPr>
              <m:t>N</m:t>
            </m:r>
          </m:sub>
          <m:sup>
            <m:r>
              <w:rPr>
                <w:rFonts w:ascii="Cambria Math" w:hAnsi="Cambria Math" w:cs="Arial"/>
              </w:rPr>
              <m:t>CCE</m:t>
            </m:r>
          </m:sup>
        </m:sSubSup>
        <m:r>
          <w:rPr>
            <w:rFonts w:ascii="Cambria Math" w:hAnsi="Arial" w:cs="Arial"/>
          </w:rPr>
          <m:t>=</m:t>
        </m:r>
        <m:f>
          <m:fPr>
            <m:ctrlPr>
              <w:rPr>
                <w:rFonts w:ascii="Cambria Math" w:hAnsi="Arial" w:cs="Arial"/>
                <w:i/>
              </w:rPr>
            </m:ctrlPr>
          </m:fPr>
          <m:num>
            <m:r>
              <w:rPr>
                <w:rFonts w:ascii="Cambria Math" w:hAnsi="Arial" w:cs="Arial"/>
              </w:rPr>
              <m:t>1</m:t>
            </m:r>
          </m:num>
          <m:den>
            <m:r>
              <w:rPr>
                <w:rFonts w:ascii="Cambria Math" w:hAnsi="Cambria Math" w:cs="Arial"/>
              </w:rPr>
              <m:t>N</m:t>
            </m:r>
          </m:den>
        </m:f>
        <m:nary>
          <m:naryPr>
            <m:chr m:val="∑"/>
            <m:limLoc m:val="undOvr"/>
            <m:ctrlPr>
              <w:rPr>
                <w:rFonts w:ascii="Cambria Math" w:hAnsi="Arial" w:cs="Arial"/>
                <w:i/>
              </w:rPr>
            </m:ctrlPr>
          </m:naryPr>
          <m:sub>
            <m:r>
              <w:rPr>
                <w:rFonts w:ascii="Cambria Math" w:hAnsi="Cambria Math" w:cs="Arial"/>
              </w:rPr>
              <m:t>i</m:t>
            </m:r>
            <m:r>
              <w:rPr>
                <w:rFonts w:ascii="Cambria Math" w:hAnsi="Arial" w:cs="Arial"/>
              </w:rPr>
              <m:t>=1</m:t>
            </m:r>
          </m:sub>
          <m:sup>
            <m:r>
              <w:rPr>
                <w:rFonts w:ascii="Cambria Math" w:hAnsi="Cambria Math" w:cs="Arial"/>
              </w:rPr>
              <m:t>N</m:t>
            </m:r>
          </m:sup>
          <m:e>
            <m:sSubSup>
              <m:sSubSupPr>
                <m:ctrlPr>
                  <w:rPr>
                    <w:rFonts w:ascii="Cambria Math" w:hAnsi="Arial" w:cs="Arial"/>
                    <w:i/>
                  </w:rPr>
                </m:ctrlPr>
              </m:sSubSupPr>
              <m:e>
                <m:r>
                  <w:rPr>
                    <w:rFonts w:ascii="Cambria Math" w:hAnsi="Cambria Math" w:cs="Arial"/>
                  </w:rPr>
                  <m:t>t</m:t>
                </m:r>
              </m:e>
              <m:sub>
                <m:r>
                  <w:rPr>
                    <w:rFonts w:ascii="Cambria Math" w:hAnsi="Cambria Math" w:cs="Arial"/>
                  </w:rPr>
                  <m:t>i</m:t>
                </m:r>
              </m:sub>
              <m:sup>
                <m:r>
                  <w:rPr>
                    <w:rFonts w:ascii="Cambria Math" w:hAnsi="Cambria Math" w:cs="Arial"/>
                  </w:rPr>
                  <m:t>CCE</m:t>
                </m:r>
              </m:sup>
            </m:sSubSup>
          </m:e>
        </m:nary>
      </m:oMath>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t xml:space="preserve">           (6)</w:t>
      </w:r>
    </w:p>
    <w:p w:rsidR="00F30DF6" w:rsidRPr="00F30DF6" w:rsidRDefault="00F30DF6" w:rsidP="00F30DF6">
      <w:pPr>
        <w:tabs>
          <w:tab w:val="left" w:pos="1139"/>
        </w:tabs>
        <w:jc w:val="both"/>
        <w:rPr>
          <w:rFonts w:ascii="Arial" w:eastAsiaTheme="minorEastAsia" w:hAnsi="Arial" w:cs="Arial"/>
        </w:rPr>
      </w:pPr>
      <w:r w:rsidRPr="00F30DF6">
        <w:rPr>
          <w:rFonts w:ascii="Arial" w:eastAsiaTheme="minorEastAsia" w:hAnsi="Arial" w:cs="Arial"/>
        </w:rPr>
        <w:t xml:space="preserve">The individual estimates, common corrected mean group (CCEMG), </w:t>
      </w:r>
      <m:oMath>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Cambria Math" w:cs="Arial"/>
              </w:rPr>
              <m:t>i</m:t>
            </m:r>
          </m:sub>
        </m:sSub>
      </m:oMath>
      <w:r w:rsidRPr="00F30DF6">
        <w:rPr>
          <w:rFonts w:ascii="Arial" w:eastAsiaTheme="minorEastAsia" w:hAnsi="Arial" w:cs="Arial"/>
        </w:rPr>
        <w:t xml:space="preserve"> are computed as given in Equation (7):</w:t>
      </w:r>
    </w:p>
    <w:p w:rsidR="00F30DF6" w:rsidRPr="00F30DF6" w:rsidRDefault="00F30DF6" w:rsidP="00F30DF6">
      <w:pPr>
        <w:tabs>
          <w:tab w:val="left" w:pos="1139"/>
        </w:tabs>
        <w:jc w:val="both"/>
        <w:rPr>
          <w:rFonts w:ascii="Arial" w:eastAsiaTheme="minorEastAsia" w:hAnsi="Arial" w:cs="Arial"/>
        </w:rPr>
      </w:pP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m:oMath>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β</m:t>
                </m:r>
              </m:e>
            </m:acc>
          </m:e>
          <m:sub>
            <m:r>
              <w:rPr>
                <w:rFonts w:ascii="Cambria Math" w:eastAsiaTheme="minorEastAsia" w:hAnsi="Cambria Math" w:cs="Arial"/>
              </w:rPr>
              <m:t>CCEMG</m:t>
            </m:r>
          </m:sub>
        </m:sSub>
        <m:r>
          <w:rPr>
            <w:rFonts w:ascii="Cambria Math" w:eastAsiaTheme="minorEastAsia" w:hAnsi="Arial" w:cs="Arial"/>
          </w:rPr>
          <m:t>=</m:t>
        </m:r>
        <m:f>
          <m:fPr>
            <m:ctrlPr>
              <w:rPr>
                <w:rFonts w:ascii="Cambria Math" w:eastAsiaTheme="minorEastAsia" w:hAnsi="Arial" w:cs="Arial"/>
                <w:i/>
              </w:rPr>
            </m:ctrlPr>
          </m:fPr>
          <m:num>
            <m:r>
              <w:rPr>
                <w:rFonts w:ascii="Cambria Math" w:eastAsiaTheme="minorEastAsia" w:hAnsi="Arial" w:cs="Arial"/>
              </w:rPr>
              <m:t>1</m:t>
            </m:r>
          </m:num>
          <m:den>
            <m:r>
              <w:rPr>
                <w:rFonts w:ascii="Cambria Math" w:eastAsiaTheme="minorEastAsia" w:hAnsi="Cambria Math" w:cs="Arial"/>
              </w:rPr>
              <m:t>N</m:t>
            </m:r>
          </m:den>
        </m:f>
        <m:nary>
          <m:naryPr>
            <m:chr m:val="∑"/>
            <m:limLoc m:val="undOvr"/>
            <m:ctrlPr>
              <w:rPr>
                <w:rFonts w:ascii="Cambria Math" w:eastAsiaTheme="minorEastAsia" w:hAnsi="Arial" w:cs="Arial"/>
                <w:i/>
              </w:rPr>
            </m:ctrlPr>
          </m:naryPr>
          <m:sub>
            <m:r>
              <w:rPr>
                <w:rFonts w:ascii="Cambria Math" w:eastAsiaTheme="minorEastAsia" w:hAnsi="Cambria Math" w:cs="Arial"/>
              </w:rPr>
              <m:t>i</m:t>
            </m:r>
            <m:r>
              <w:rPr>
                <w:rFonts w:ascii="Cambria Math" w:eastAsiaTheme="minorEastAsia" w:hAnsi="Arial" w:cs="Arial"/>
              </w:rPr>
              <m:t>=1</m:t>
            </m:r>
          </m:sub>
          <m:sup>
            <m:r>
              <w:rPr>
                <w:rFonts w:ascii="Cambria Math" w:eastAsiaTheme="minorEastAsia" w:hAnsi="Cambria Math" w:cs="Arial"/>
              </w:rPr>
              <m:t>N</m:t>
            </m:r>
          </m:sup>
          <m:e>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Cambria Math" w:cs="Arial"/>
                  </w:rPr>
                  <m:t>i</m:t>
                </m:r>
              </m:sub>
            </m:sSub>
          </m:e>
        </m:nary>
      </m:oMath>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t xml:space="preserve"> (7)</w:t>
      </w:r>
    </w:p>
    <w:p w:rsidR="00F30DF6" w:rsidRPr="00F30DF6" w:rsidRDefault="00F30DF6" w:rsidP="00F30DF6">
      <w:pPr>
        <w:tabs>
          <w:tab w:val="left" w:pos="1139"/>
        </w:tabs>
        <w:jc w:val="both"/>
        <w:rPr>
          <w:rFonts w:ascii="Arial" w:eastAsiaTheme="minorEastAsia" w:hAnsi="Arial" w:cs="Arial"/>
        </w:rPr>
      </w:pPr>
      <w:r w:rsidRPr="00F30DF6">
        <w:rPr>
          <w:rFonts w:ascii="Arial" w:eastAsiaTheme="minorEastAsia" w:hAnsi="Arial" w:cs="Arial"/>
        </w:rPr>
        <w:t>The standard error is computed as shown in Equation (8):</w:t>
      </w:r>
    </w:p>
    <w:p w:rsidR="00F30DF6" w:rsidRPr="00F30DF6" w:rsidRDefault="00F30DF6" w:rsidP="00F30DF6">
      <w:pPr>
        <w:tabs>
          <w:tab w:val="left" w:pos="1139"/>
        </w:tabs>
        <w:jc w:val="both"/>
        <w:rPr>
          <w:rFonts w:ascii="Arial" w:eastAsiaTheme="minorEastAsia" w:hAnsi="Arial" w:cs="Arial"/>
        </w:rPr>
      </w:pP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m:oMath>
        <m:r>
          <w:rPr>
            <w:rFonts w:ascii="Cambria Math" w:eastAsiaTheme="minorEastAsia" w:hAnsi="Cambria Math" w:cs="Arial"/>
          </w:rPr>
          <m:t>se</m:t>
        </m:r>
        <m:d>
          <m:dPr>
            <m:ctrlPr>
              <w:rPr>
                <w:rFonts w:ascii="Cambria Math" w:eastAsiaTheme="minorEastAsia" w:hAnsi="Arial" w:cs="Arial"/>
                <w:i/>
              </w:rPr>
            </m:ctrlPr>
          </m:dPr>
          <m:e>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β</m:t>
                    </m:r>
                  </m:e>
                </m:acc>
              </m:e>
              <m:sub>
                <m:r>
                  <w:rPr>
                    <w:rFonts w:ascii="Cambria Math" w:eastAsiaTheme="minorEastAsia" w:hAnsi="Cambria Math" w:cs="Arial"/>
                  </w:rPr>
                  <m:t>CCEMG</m:t>
                </m:r>
              </m:sub>
            </m:sSub>
          </m:e>
        </m:d>
        <m:r>
          <w:rPr>
            <w:rFonts w:ascii="Cambria Math" w:eastAsiaTheme="minorEastAsia" w:hAnsi="Arial" w:cs="Arial"/>
          </w:rPr>
          <m:t>=</m:t>
        </m:r>
        <m:rad>
          <m:radPr>
            <m:degHide m:val="on"/>
            <m:ctrlPr>
              <w:rPr>
                <w:rFonts w:ascii="Cambria Math" w:eastAsiaTheme="minorEastAsia" w:hAnsi="Arial" w:cs="Arial"/>
                <w:i/>
              </w:rPr>
            </m:ctrlPr>
          </m:radPr>
          <m:deg/>
          <m:e>
            <m:f>
              <m:fPr>
                <m:ctrlPr>
                  <w:rPr>
                    <w:rFonts w:ascii="Cambria Math" w:eastAsiaTheme="minorEastAsia" w:hAnsi="Arial" w:cs="Arial"/>
                    <w:i/>
                  </w:rPr>
                </m:ctrlPr>
              </m:fPr>
              <m:num>
                <m:r>
                  <w:rPr>
                    <w:rFonts w:ascii="Cambria Math" w:eastAsiaTheme="minorEastAsia" w:hAnsi="Arial" w:cs="Arial"/>
                  </w:rPr>
                  <m:t>1</m:t>
                </m:r>
              </m:num>
              <m:den>
                <m:sSup>
                  <m:sSupPr>
                    <m:ctrlPr>
                      <w:rPr>
                        <w:rFonts w:ascii="Cambria Math" w:eastAsiaTheme="minorEastAsia" w:hAnsi="Arial" w:cs="Arial"/>
                        <w:i/>
                      </w:rPr>
                    </m:ctrlPr>
                  </m:sSupPr>
                  <m:e>
                    <m:r>
                      <w:rPr>
                        <w:rFonts w:ascii="Cambria Math" w:eastAsiaTheme="minorEastAsia" w:hAnsi="Cambria Math" w:cs="Arial"/>
                      </w:rPr>
                      <m:t>N</m:t>
                    </m:r>
                  </m:e>
                  <m:sup>
                    <m:r>
                      <w:rPr>
                        <w:rFonts w:ascii="Cambria Math" w:eastAsiaTheme="minorEastAsia" w:hAnsi="Arial" w:cs="Arial"/>
                      </w:rPr>
                      <m:t>2</m:t>
                    </m:r>
                  </m:sup>
                </m:sSup>
              </m:den>
            </m:f>
            <m:nary>
              <m:naryPr>
                <m:chr m:val="∑"/>
                <m:limLoc m:val="undOvr"/>
                <m:ctrlPr>
                  <w:rPr>
                    <w:rFonts w:ascii="Cambria Math" w:eastAsiaTheme="minorEastAsia" w:hAnsi="Arial" w:cs="Arial"/>
                    <w:i/>
                  </w:rPr>
                </m:ctrlPr>
              </m:naryPr>
              <m:sub>
                <m:r>
                  <w:rPr>
                    <w:rFonts w:ascii="Cambria Math" w:eastAsiaTheme="minorEastAsia" w:hAnsi="Cambria Math" w:cs="Arial"/>
                  </w:rPr>
                  <m:t>i</m:t>
                </m:r>
                <m:r>
                  <w:rPr>
                    <w:rFonts w:ascii="Cambria Math" w:eastAsiaTheme="minorEastAsia" w:hAnsi="Arial" w:cs="Arial"/>
                  </w:rPr>
                  <m:t>=1</m:t>
                </m:r>
              </m:sub>
              <m:sup>
                <m:r>
                  <w:rPr>
                    <w:rFonts w:ascii="Cambria Math" w:eastAsiaTheme="minorEastAsia" w:hAnsi="Cambria Math" w:cs="Arial"/>
                  </w:rPr>
                  <m:t>N</m:t>
                </m:r>
              </m:sup>
              <m:e>
                <m:acc>
                  <m:accPr>
                    <m:ctrlPr>
                      <w:rPr>
                        <w:rFonts w:ascii="Cambria Math" w:eastAsiaTheme="minorEastAsia" w:hAnsi="Arial" w:cs="Arial"/>
                        <w:i/>
                      </w:rPr>
                    </m:ctrlPr>
                  </m:accPr>
                  <m:e>
                    <m:r>
                      <w:rPr>
                        <w:rFonts w:ascii="Cambria Math" w:eastAsiaTheme="minorEastAsia" w:hAnsi="Cambria Math" w:cs="Arial"/>
                      </w:rPr>
                      <m:t>Var</m:t>
                    </m:r>
                  </m:e>
                </m:acc>
                <m:d>
                  <m:dPr>
                    <m:ctrlPr>
                      <w:rPr>
                        <w:rFonts w:ascii="Cambria Math" w:eastAsiaTheme="minorEastAsia" w:hAnsi="Arial" w:cs="Arial"/>
                        <w:i/>
                      </w:rPr>
                    </m:ctrlPr>
                  </m:dPr>
                  <m:e>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β</m:t>
                            </m:r>
                          </m:e>
                        </m:acc>
                      </m:e>
                      <m:sub>
                        <m:r>
                          <w:rPr>
                            <w:rFonts w:ascii="Cambria Math" w:eastAsiaTheme="minorEastAsia" w:hAnsi="Cambria Math" w:cs="Arial"/>
                          </w:rPr>
                          <m:t>i</m:t>
                        </m:r>
                      </m:sub>
                    </m:sSub>
                  </m:e>
                </m:d>
              </m:e>
            </m:nary>
          </m:e>
        </m:rad>
      </m:oMath>
      <w:r w:rsidRPr="00F30DF6">
        <w:rPr>
          <w:rFonts w:ascii="Arial" w:eastAsiaTheme="minorEastAsia" w:hAnsi="Arial" w:cs="Arial"/>
        </w:rPr>
        <w:tab/>
        <w:t>(8)</w:t>
      </w:r>
    </w:p>
    <w:p w:rsidR="00F30DF6" w:rsidRPr="00F30DF6" w:rsidRDefault="00F30DF6" w:rsidP="00F30DF6">
      <w:pPr>
        <w:tabs>
          <w:tab w:val="left" w:pos="1139"/>
        </w:tabs>
        <w:jc w:val="both"/>
        <w:rPr>
          <w:rFonts w:ascii="Arial" w:eastAsiaTheme="minorHAnsi" w:hAnsi="Arial" w:cs="Arial"/>
        </w:rPr>
      </w:pPr>
      <w:r w:rsidRPr="00F30DF6">
        <w:rPr>
          <w:rFonts w:ascii="Arial" w:hAnsi="Arial" w:cs="Arial"/>
        </w:rPr>
        <w:t>Then the test statistic is computed as given by Equation (9):</w:t>
      </w:r>
    </w:p>
    <w:p w:rsidR="00F30DF6" w:rsidRPr="00F30DF6" w:rsidRDefault="00F30DF6" w:rsidP="00F30DF6">
      <w:pPr>
        <w:tabs>
          <w:tab w:val="left" w:pos="1139"/>
        </w:tabs>
        <w:jc w:val="both"/>
        <w:rPr>
          <w:rFonts w:ascii="Arial" w:eastAsiaTheme="minorEastAsia" w:hAnsi="Arial" w:cs="Arial"/>
        </w:rPr>
      </w:pP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r>
      <m:oMath>
        <m:sSub>
          <m:sSubPr>
            <m:ctrlPr>
              <w:rPr>
                <w:rFonts w:ascii="Cambria Math" w:eastAsiaTheme="minorEastAsia" w:hAnsi="Arial" w:cs="Arial"/>
                <w:i/>
              </w:rPr>
            </m:ctrlPr>
          </m:sSubPr>
          <m:e>
            <m:r>
              <w:rPr>
                <w:rFonts w:ascii="Cambria Math" w:eastAsiaTheme="minorEastAsia" w:hAnsi="Cambria Math" w:cs="Arial"/>
              </w:rPr>
              <m:t>t</m:t>
            </m:r>
          </m:e>
          <m:sub>
            <m:r>
              <w:rPr>
                <w:rFonts w:ascii="Cambria Math" w:eastAsiaTheme="minorEastAsia" w:hAnsi="Cambria Math" w:cs="Arial"/>
              </w:rPr>
              <m:t>CCEMG</m:t>
            </m:r>
          </m:sub>
        </m:sSub>
        <m:r>
          <w:rPr>
            <w:rFonts w:ascii="Cambria Math" w:eastAsiaTheme="minorEastAsia" w:hAnsi="Arial" w:cs="Arial"/>
          </w:rPr>
          <m:t>=</m:t>
        </m:r>
        <m:f>
          <m:fPr>
            <m:ctrlPr>
              <w:rPr>
                <w:rFonts w:ascii="Cambria Math" w:eastAsiaTheme="minorEastAsia" w:hAnsi="Arial" w:cs="Arial"/>
                <w:i/>
              </w:rPr>
            </m:ctrlPr>
          </m:fPr>
          <m:num>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β</m:t>
                    </m:r>
                  </m:e>
                </m:acc>
              </m:e>
              <m:sub>
                <m:r>
                  <w:rPr>
                    <w:rFonts w:ascii="Cambria Math" w:eastAsiaTheme="minorEastAsia" w:hAnsi="Cambria Math" w:cs="Arial"/>
                  </w:rPr>
                  <m:t>CCEMG</m:t>
                </m:r>
              </m:sub>
            </m:sSub>
          </m:num>
          <m:den>
            <m:r>
              <w:rPr>
                <w:rFonts w:ascii="Cambria Math" w:eastAsiaTheme="minorEastAsia" w:hAnsi="Cambria Math" w:cs="Arial"/>
              </w:rPr>
              <m:t>se</m:t>
            </m:r>
            <m:d>
              <m:dPr>
                <m:ctrlPr>
                  <w:rPr>
                    <w:rFonts w:ascii="Cambria Math" w:eastAsiaTheme="minorEastAsia" w:hAnsi="Arial" w:cs="Arial"/>
                    <w:i/>
                  </w:rPr>
                </m:ctrlPr>
              </m:dPr>
              <m:e>
                <m:sSub>
                  <m:sSubPr>
                    <m:ctrlPr>
                      <w:rPr>
                        <w:rFonts w:ascii="Cambria Math" w:eastAsiaTheme="minorEastAsia" w:hAnsi="Arial" w:cs="Arial"/>
                        <w:i/>
                      </w:rPr>
                    </m:ctrlPr>
                  </m:sSubPr>
                  <m:e>
                    <m:acc>
                      <m:accPr>
                        <m:ctrlPr>
                          <w:rPr>
                            <w:rFonts w:ascii="Cambria Math" w:eastAsiaTheme="minorEastAsia" w:hAnsi="Arial" w:cs="Arial"/>
                            <w:i/>
                          </w:rPr>
                        </m:ctrlPr>
                      </m:accPr>
                      <m:e>
                        <m:r>
                          <w:rPr>
                            <w:rFonts w:ascii="Cambria Math" w:eastAsiaTheme="minorEastAsia" w:hAnsi="Cambria Math" w:cs="Arial"/>
                          </w:rPr>
                          <m:t>β</m:t>
                        </m:r>
                      </m:e>
                    </m:acc>
                  </m:e>
                  <m:sub>
                    <m:r>
                      <w:rPr>
                        <w:rFonts w:ascii="Cambria Math" w:eastAsiaTheme="minorEastAsia" w:hAnsi="Cambria Math" w:cs="Arial"/>
                      </w:rPr>
                      <m:t>CCEMG</m:t>
                    </m:r>
                  </m:sub>
                </m:sSub>
              </m:e>
            </m:d>
          </m:den>
        </m:f>
      </m:oMath>
      <w:r w:rsidRPr="00F30DF6">
        <w:rPr>
          <w:rFonts w:ascii="Arial" w:eastAsiaTheme="minorEastAsia" w:hAnsi="Arial" w:cs="Arial"/>
        </w:rPr>
        <w:tab/>
      </w:r>
      <w:r w:rsidRPr="00F30DF6">
        <w:rPr>
          <w:rFonts w:ascii="Arial" w:eastAsiaTheme="minorEastAsia" w:hAnsi="Arial" w:cs="Arial"/>
        </w:rPr>
        <w:tab/>
      </w:r>
      <w:r w:rsidRPr="00F30DF6">
        <w:rPr>
          <w:rFonts w:ascii="Arial" w:eastAsiaTheme="minorEastAsia" w:hAnsi="Arial" w:cs="Arial"/>
        </w:rPr>
        <w:tab/>
        <w:t xml:space="preserve">           (9)</w:t>
      </w:r>
    </w:p>
    <w:p w:rsidR="00F30DF6" w:rsidRPr="00F30DF6" w:rsidRDefault="00F30DF6" w:rsidP="00F30DF6">
      <w:pPr>
        <w:tabs>
          <w:tab w:val="left" w:pos="1139"/>
        </w:tabs>
        <w:jc w:val="both"/>
        <w:rPr>
          <w:rFonts w:ascii="Arial" w:eastAsiaTheme="minorEastAsia" w:hAnsi="Arial" w:cs="Arial"/>
        </w:rPr>
      </w:pPr>
      <w:r w:rsidRPr="00F30DF6">
        <w:rPr>
          <w:rFonts w:ascii="Arial" w:eastAsiaTheme="minorEastAsia" w:hAnsi="Arial" w:cs="Arial"/>
        </w:rPr>
        <w:t>The test checks the following pair of hypothesis:</w:t>
      </w:r>
    </w:p>
    <w:p w:rsidR="00F30DF6" w:rsidRPr="00F30DF6" w:rsidRDefault="00FB352D" w:rsidP="00F30DF6">
      <w:pPr>
        <w:tabs>
          <w:tab w:val="left" w:pos="1139"/>
        </w:tabs>
        <w:jc w:val="both"/>
        <w:rPr>
          <w:rFonts w:ascii="Arial" w:eastAsiaTheme="minorEastAsia" w:hAnsi="Arial" w:cs="Arial"/>
        </w:rPr>
      </w:pPr>
      <m:oMath>
        <m:sSub>
          <m:sSubPr>
            <m:ctrlPr>
              <w:rPr>
                <w:rFonts w:ascii="Cambria Math" w:eastAsiaTheme="minorEastAsia" w:hAnsi="Arial" w:cs="Arial"/>
                <w:i/>
              </w:rPr>
            </m:ctrlPr>
          </m:sSubPr>
          <m:e>
            <m:r>
              <w:rPr>
                <w:rFonts w:ascii="Cambria Math" w:eastAsiaTheme="minorEastAsia" w:hAnsi="Cambria Math" w:cs="Arial"/>
              </w:rPr>
              <m:t>H</m:t>
            </m:r>
          </m:e>
          <m:sub>
            <m:r>
              <w:rPr>
                <w:rFonts w:ascii="Cambria Math" w:eastAsiaTheme="minorEastAsia" w:hAnsi="Arial" w:cs="Arial"/>
              </w:rPr>
              <m:t>0</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Cambria Math" w:cs="Arial"/>
              </w:rPr>
              <m:t>i</m:t>
            </m:r>
          </m:sub>
        </m:sSub>
        <m:r>
          <w:rPr>
            <w:rFonts w:ascii="Cambria Math" w:eastAsiaTheme="minorEastAsia" w:hAnsi="Arial" w:cs="Arial"/>
          </w:rPr>
          <m:t>=0</m:t>
        </m:r>
      </m:oMath>
      <w:r w:rsidR="00F30DF6" w:rsidRPr="00F30DF6">
        <w:rPr>
          <w:rFonts w:ascii="Arial" w:eastAsiaTheme="minorEastAsia" w:hAnsi="Arial" w:cs="Arial"/>
        </w:rPr>
        <w:t xml:space="preserve"> for all </w:t>
      </w:r>
      <m:oMath>
        <m:r>
          <w:rPr>
            <w:rFonts w:ascii="Cambria Math" w:eastAsiaTheme="minorEastAsia" w:hAnsi="Cambria Math" w:cs="Arial"/>
          </w:rPr>
          <m:t>i</m:t>
        </m:r>
      </m:oMath>
      <w:r w:rsidR="00F30DF6" w:rsidRPr="00F30DF6">
        <w:rPr>
          <w:rFonts w:ascii="Arial" w:eastAsiaTheme="minorEastAsia" w:hAnsi="Arial" w:cs="Arial"/>
        </w:rPr>
        <w:t xml:space="preserve"> (</w:t>
      </w:r>
      <w:r w:rsidR="00F30DF6" w:rsidRPr="00F30DF6">
        <w:rPr>
          <w:rFonts w:ascii="Arial" w:hAnsi="Arial" w:cs="Arial"/>
        </w:rPr>
        <w:t>panel contains unit roots</w:t>
      </w:r>
      <w:r w:rsidR="00F30DF6" w:rsidRPr="00F30DF6">
        <w:rPr>
          <w:rFonts w:ascii="Arial" w:eastAsiaTheme="minorEastAsia" w:hAnsi="Arial" w:cs="Arial"/>
        </w:rPr>
        <w:t>)</w:t>
      </w:r>
    </w:p>
    <w:p w:rsidR="00F30DF6" w:rsidRPr="00F30DF6" w:rsidRDefault="00FB352D" w:rsidP="00F30DF6">
      <w:pPr>
        <w:jc w:val="both"/>
        <w:rPr>
          <w:rFonts w:ascii="Arial" w:hAnsi="Arial" w:cs="Arial"/>
        </w:rPr>
      </w:pPr>
      <m:oMath>
        <m:sSub>
          <m:sSubPr>
            <m:ctrlPr>
              <w:rPr>
                <w:rFonts w:ascii="Cambria Math" w:eastAsiaTheme="minorEastAsia" w:hAnsi="Arial" w:cs="Arial"/>
                <w:i/>
              </w:rPr>
            </m:ctrlPr>
          </m:sSubPr>
          <m:e>
            <m:r>
              <w:rPr>
                <w:rFonts w:ascii="Cambria Math" w:eastAsiaTheme="minorEastAsia" w:hAnsi="Cambria Math" w:cs="Arial"/>
              </w:rPr>
              <m:t>H</m:t>
            </m:r>
          </m:e>
          <m:sub>
            <m:r>
              <w:rPr>
                <w:rFonts w:ascii="Cambria Math" w:eastAsiaTheme="minorEastAsia" w:hAnsi="Arial" w:cs="Arial"/>
              </w:rPr>
              <m:t>1</m:t>
            </m:r>
          </m:sub>
        </m:sSub>
        <m:r>
          <w:rPr>
            <w:rFonts w:ascii="Cambria Math" w:eastAsiaTheme="minorEastAsia" w:hAnsi="Arial" w:cs="Arial"/>
          </w:rPr>
          <m:t xml:space="preserve">: </m:t>
        </m:r>
        <m:sSub>
          <m:sSubPr>
            <m:ctrlPr>
              <w:rPr>
                <w:rFonts w:ascii="Cambria Math" w:eastAsiaTheme="minorEastAsia" w:hAnsi="Arial" w:cs="Arial"/>
                <w:i/>
              </w:rPr>
            </m:ctrlPr>
          </m:sSubPr>
          <m:e>
            <m:r>
              <w:rPr>
                <w:rFonts w:ascii="Cambria Math" w:eastAsiaTheme="minorEastAsia" w:hAnsi="Cambria Math" w:cs="Arial"/>
              </w:rPr>
              <m:t>β</m:t>
            </m:r>
          </m:e>
          <m:sub>
            <m:r>
              <w:rPr>
                <w:rFonts w:ascii="Cambria Math" w:eastAsiaTheme="minorEastAsia" w:hAnsi="Cambria Math" w:cs="Arial"/>
              </w:rPr>
              <m:t>i</m:t>
            </m:r>
          </m:sub>
        </m:sSub>
        <m:r>
          <w:rPr>
            <w:rFonts w:ascii="Cambria Math" w:eastAsiaTheme="minorEastAsia" w:hAnsi="Arial" w:cs="Arial"/>
          </w:rPr>
          <m:t>&lt;0</m:t>
        </m:r>
      </m:oMath>
      <w:r w:rsidR="00F30DF6" w:rsidRPr="00F30DF6">
        <w:rPr>
          <w:rFonts w:ascii="Arial" w:eastAsiaTheme="minorEastAsia" w:hAnsi="Arial" w:cs="Arial"/>
        </w:rPr>
        <w:t xml:space="preserve"> for at least some </w:t>
      </w:r>
      <m:oMath>
        <m:r>
          <w:rPr>
            <w:rFonts w:ascii="Cambria Math" w:eastAsiaTheme="minorEastAsia" w:hAnsi="Cambria Math" w:cs="Arial"/>
          </w:rPr>
          <m:t>i</m:t>
        </m:r>
      </m:oMath>
      <w:r w:rsidR="00F30DF6" w:rsidRPr="00F30DF6">
        <w:rPr>
          <w:rFonts w:ascii="Arial" w:hAnsi="Arial" w:cs="Arial"/>
        </w:rPr>
        <w:t>(at least some series are stationary after CCE control).​</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b/>
          <w:sz w:val="20"/>
          <w:szCs w:val="20"/>
        </w:rPr>
        <w:lastRenderedPageBreak/>
        <w:t>Decision rules:</w:t>
      </w:r>
      <w:r w:rsidRPr="00F30DF6">
        <w:rPr>
          <w:rFonts w:ascii="Arial" w:hAnsi="Arial" w:cs="Arial"/>
          <w:sz w:val="20"/>
          <w:szCs w:val="20"/>
        </w:rPr>
        <w:t xml:space="preserve"> For mean-t approach,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F30DF6">
        <w:rPr>
          <w:rFonts w:ascii="Arial" w:hAnsi="Arial" w:cs="Arial"/>
          <w:sz w:val="20"/>
          <w:szCs w:val="20"/>
        </w:rPr>
        <w:t xml:space="preserve"> if </w:t>
      </w:r>
      <m:oMath>
        <m:sSubSup>
          <m:sSubSupPr>
            <m:ctrlPr>
              <w:rPr>
                <w:rFonts w:ascii="Cambria Math" w:hAnsi="Arial" w:cs="Arial"/>
                <w:i/>
                <w:sz w:val="20"/>
                <w:szCs w:val="20"/>
              </w:rPr>
            </m:ctrlPr>
          </m:sSubSupPr>
          <m:e>
            <m:acc>
              <m:accPr>
                <m:chr m:val="̅"/>
                <m:ctrlPr>
                  <w:rPr>
                    <w:rFonts w:ascii="Cambria Math" w:hAnsi="Arial" w:cs="Arial"/>
                    <w:i/>
                    <w:sz w:val="20"/>
                    <w:szCs w:val="20"/>
                  </w:rPr>
                </m:ctrlPr>
              </m:accPr>
              <m:e>
                <m:r>
                  <w:rPr>
                    <w:rFonts w:ascii="Cambria Math" w:hAnsi="Cambria Math" w:cs="Arial"/>
                    <w:sz w:val="20"/>
                    <w:szCs w:val="20"/>
                  </w:rPr>
                  <m:t>t</m:t>
                </m:r>
              </m:e>
            </m:acc>
          </m:e>
          <m:sub>
            <m:r>
              <w:rPr>
                <w:rFonts w:ascii="Cambria Math" w:hAnsi="Cambria Math" w:cs="Arial"/>
                <w:sz w:val="20"/>
                <w:szCs w:val="20"/>
              </w:rPr>
              <m:t>N</m:t>
            </m:r>
          </m:sub>
          <m:sup>
            <m:r>
              <w:rPr>
                <w:rFonts w:ascii="Cambria Math" w:hAnsi="Cambria Math" w:cs="Arial"/>
                <w:sz w:val="20"/>
                <w:szCs w:val="20"/>
              </w:rPr>
              <m:t>CCE</m:t>
            </m:r>
          </m:sup>
        </m:sSubSup>
      </m:oMath>
      <w:r w:rsidRPr="00F30DF6">
        <w:rPr>
          <w:rFonts w:ascii="Arial" w:hAnsi="Arial" w:cs="Arial"/>
          <w:sz w:val="20"/>
          <w:szCs w:val="20"/>
        </w:rPr>
        <w:t xml:space="preserve"> is less than the left-tail critical value (more negative) and fail to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F30DF6">
        <w:rPr>
          <w:rFonts w:ascii="Arial" w:hAnsi="Arial" w:cs="Arial"/>
          <w:sz w:val="20"/>
          <w:szCs w:val="20"/>
        </w:rPr>
        <w:t xml:space="preserve"> if </w:t>
      </w:r>
      <m:oMath>
        <m:sSubSup>
          <m:sSubSupPr>
            <m:ctrlPr>
              <w:rPr>
                <w:rFonts w:ascii="Cambria Math" w:hAnsi="Arial" w:cs="Arial"/>
                <w:i/>
                <w:sz w:val="20"/>
                <w:szCs w:val="20"/>
              </w:rPr>
            </m:ctrlPr>
          </m:sSubSupPr>
          <m:e>
            <m:acc>
              <m:accPr>
                <m:chr m:val="̅"/>
                <m:ctrlPr>
                  <w:rPr>
                    <w:rFonts w:ascii="Cambria Math" w:hAnsi="Arial" w:cs="Arial"/>
                    <w:i/>
                    <w:sz w:val="20"/>
                    <w:szCs w:val="20"/>
                  </w:rPr>
                </m:ctrlPr>
              </m:accPr>
              <m:e>
                <m:r>
                  <w:rPr>
                    <w:rFonts w:ascii="Cambria Math" w:hAnsi="Cambria Math" w:cs="Arial"/>
                    <w:sz w:val="20"/>
                    <w:szCs w:val="20"/>
                  </w:rPr>
                  <m:t>t</m:t>
                </m:r>
              </m:e>
            </m:acc>
          </m:e>
          <m:sub>
            <m:r>
              <w:rPr>
                <w:rFonts w:ascii="Cambria Math" w:hAnsi="Cambria Math" w:cs="Arial"/>
                <w:sz w:val="20"/>
                <w:szCs w:val="20"/>
              </w:rPr>
              <m:t>N</m:t>
            </m:r>
          </m:sub>
          <m:sup>
            <m:r>
              <w:rPr>
                <w:rFonts w:ascii="Cambria Math" w:hAnsi="Cambria Math" w:cs="Arial"/>
                <w:sz w:val="20"/>
                <w:szCs w:val="20"/>
              </w:rPr>
              <m:t>CCE</m:t>
            </m:r>
          </m:sup>
        </m:sSubSup>
      </m:oMath>
      <w:r w:rsidRPr="00F30DF6">
        <w:rPr>
          <w:rFonts w:ascii="Arial" w:hAnsi="Arial" w:cs="Arial"/>
          <w:sz w:val="20"/>
          <w:szCs w:val="20"/>
        </w:rPr>
        <w:t xml:space="preserve"> is greater than the left-tail critical value. For CCEMG approach,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F30DF6">
        <w:rPr>
          <w:rFonts w:ascii="Arial" w:hAnsi="Arial" w:cs="Arial"/>
          <w:sz w:val="20"/>
          <w:szCs w:val="20"/>
        </w:rPr>
        <w:t xml:space="preserve"> if </w:t>
      </w:r>
      <m:oMath>
        <m:sSub>
          <m:sSubPr>
            <m:ctrlPr>
              <w:rPr>
                <w:rFonts w:ascii="Cambria Math" w:hAnsi="Arial" w:cs="Arial"/>
                <w:i/>
                <w:sz w:val="20"/>
                <w:szCs w:val="20"/>
              </w:rPr>
            </m:ctrlPr>
          </m:sSubPr>
          <m:e>
            <m:r>
              <w:rPr>
                <w:rFonts w:ascii="Cambria Math" w:hAnsi="Cambria Math" w:cs="Arial"/>
                <w:sz w:val="20"/>
                <w:szCs w:val="20"/>
              </w:rPr>
              <m:t>t</m:t>
            </m:r>
          </m:e>
          <m:sub>
            <m:r>
              <w:rPr>
                <w:rFonts w:ascii="Cambria Math" w:hAnsi="Cambria Math" w:cs="Arial"/>
                <w:sz w:val="20"/>
                <w:szCs w:val="20"/>
              </w:rPr>
              <m:t>CCEMG</m:t>
            </m:r>
          </m:sub>
        </m:sSub>
        <m:r>
          <w:rPr>
            <w:rFonts w:ascii="Cambria Math" w:hAnsi="Arial" w:cs="Arial"/>
            <w:sz w:val="20"/>
            <w:szCs w:val="20"/>
          </w:rPr>
          <m:t>&lt;</m:t>
        </m:r>
        <m:sSub>
          <m:sSubPr>
            <m:ctrlPr>
              <w:rPr>
                <w:rFonts w:ascii="Cambria Math" w:hAnsi="Arial" w:cs="Arial"/>
                <w:i/>
                <w:sz w:val="20"/>
                <w:szCs w:val="20"/>
              </w:rPr>
            </m:ctrlPr>
          </m:sSubPr>
          <m:e>
            <m:r>
              <w:rPr>
                <w:rFonts w:ascii="Cambria Math" w:hAnsi="Cambria Math" w:cs="Arial"/>
                <w:sz w:val="20"/>
                <w:szCs w:val="20"/>
              </w:rPr>
              <m:t>Z</m:t>
            </m:r>
          </m:e>
          <m:sub>
            <m:r>
              <w:rPr>
                <w:rFonts w:ascii="Cambria Math" w:hAnsi="Cambria Math" w:cs="Arial"/>
                <w:sz w:val="20"/>
                <w:szCs w:val="20"/>
              </w:rPr>
              <m:t>α</m:t>
            </m:r>
          </m:sub>
        </m:sSub>
      </m:oMath>
      <w:r w:rsidRPr="00F30DF6">
        <w:rPr>
          <w:rFonts w:ascii="Arial" w:hAnsi="Arial" w:cs="Arial"/>
          <w:sz w:val="20"/>
          <w:szCs w:val="20"/>
        </w:rPr>
        <w:t xml:space="preserve"> (left tail). Always report one-sided p-values (left-tailed) because the alternative is </w:t>
      </w:r>
      <m:oMath>
        <m:r>
          <w:rPr>
            <w:rFonts w:ascii="Cambria Math" w:hAnsi="Cambria Math" w:cs="Arial"/>
            <w:sz w:val="20"/>
            <w:szCs w:val="20"/>
          </w:rPr>
          <m:t>β</m:t>
        </m:r>
        <m:r>
          <w:rPr>
            <w:rFonts w:ascii="Cambria Math" w:hAnsi="Arial" w:cs="Arial"/>
            <w:sz w:val="20"/>
            <w:szCs w:val="20"/>
          </w:rPr>
          <m:t>&lt;0.</m:t>
        </m:r>
      </m:oMath>
    </w:p>
    <w:p w:rsidR="00F30DF6" w:rsidRDefault="00F30DF6" w:rsidP="00F30DF6">
      <w:pPr>
        <w:pStyle w:val="NormalWeb"/>
        <w:spacing w:before="0" w:beforeAutospacing="0" w:after="0" w:afterAutospacing="0"/>
        <w:jc w:val="both"/>
      </w:pPr>
    </w:p>
    <w:p w:rsidR="00F30DF6" w:rsidRPr="00F30DF6" w:rsidRDefault="00F30DF6" w:rsidP="00F30DF6">
      <w:pPr>
        <w:jc w:val="both"/>
        <w:rPr>
          <w:rFonts w:ascii="Arial" w:hAnsi="Arial" w:cs="Arial"/>
          <w:b/>
        </w:rPr>
      </w:pPr>
      <w:r>
        <w:rPr>
          <w:rFonts w:ascii="Arial" w:hAnsi="Arial" w:cs="Arial"/>
          <w:b/>
        </w:rPr>
        <w:t>2.</w:t>
      </w:r>
      <w:r w:rsidRPr="00F30DF6">
        <w:rPr>
          <w:rFonts w:ascii="Arial" w:hAnsi="Arial" w:cs="Arial"/>
          <w:b/>
        </w:rPr>
        <w:t>3 Johansen Fisher Panel Cointegration Test</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Johansen Fisher Panel Cointegration Test is a panel data extension of the Johansen cointegration method developed by Maddala and Wu (1999) and later adapted by others (e.g., Larsson </w:t>
      </w:r>
      <w:r w:rsidRPr="00F30DF6">
        <w:rPr>
          <w:rFonts w:ascii="Arial" w:hAnsi="Arial" w:cs="Arial"/>
          <w:i/>
          <w:sz w:val="20"/>
          <w:szCs w:val="20"/>
        </w:rPr>
        <w:t>et al</w:t>
      </w:r>
      <w:r w:rsidRPr="00F30DF6">
        <w:rPr>
          <w:rFonts w:ascii="Arial" w:hAnsi="Arial" w:cs="Arial"/>
          <w:sz w:val="20"/>
          <w:szCs w:val="20"/>
        </w:rPr>
        <w:t>., 2001). It combines individual Johansen cointegration test results across cross-sections using Fisher’s formula.</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The Johansen Fisher Panel Cointegration Test aims to determine whether there is a long-run equilibrium relationship among a set of non-stationary variables across multiple cross-sectional units (countries, regions, etc.) in a panel dataset (Johansen, 1988, 1991).</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Let the panel data structure be represented as shown in Equation (10): </w:t>
      </w:r>
    </w:p>
    <w:p w:rsidR="00F30DF6" w:rsidRPr="00F30DF6" w:rsidRDefault="00FB352D" w:rsidP="00F30DF6">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d>
            <m:dPr>
              <m:begChr m:val="["/>
              <m:endChr m:val="]"/>
              <m:ctrlPr>
                <w:rPr>
                  <w:rFonts w:ascii="Cambria Math" w:hAnsi="Arial" w:cs="Arial"/>
                  <w:i/>
                  <w:sz w:val="20"/>
                  <w:szCs w:val="20"/>
                </w:rPr>
              </m:ctrlPr>
            </m:dPr>
            <m:e>
              <m:m>
                <m:mPr>
                  <m:mcs>
                    <m:mc>
                      <m:mcPr>
                        <m:count m:val="1"/>
                        <m:mcJc m:val="center"/>
                      </m:mcPr>
                    </m:mc>
                  </m:mcs>
                  <m:ctrlPr>
                    <w:rPr>
                      <w:rFonts w:ascii="Cambria Math" w:hAnsi="Arial" w:cs="Arial"/>
                      <w:i/>
                      <w:sz w:val="20"/>
                      <w:szCs w:val="20"/>
                    </w:rPr>
                  </m:ctrlPr>
                </m:mPr>
                <m:mr>
                  <m:e>
                    <m:sSub>
                      <m:sSubPr>
                        <m:ctrlPr>
                          <w:rPr>
                            <w:rFonts w:ascii="Cambria Math" w:hAnsi="Arial" w:cs="Arial"/>
                            <w:i/>
                            <w:sz w:val="20"/>
                            <w:szCs w:val="20"/>
                          </w:rPr>
                        </m:ctrlPr>
                      </m:sSubPr>
                      <m:e>
                        <m:r>
                          <w:rPr>
                            <w:rFonts w:ascii="Cambria Math" w:hAnsi="Cambria Math" w:cs="Arial"/>
                            <w:sz w:val="20"/>
                            <w:szCs w:val="20"/>
                          </w:rPr>
                          <m:t>y</m:t>
                        </m:r>
                      </m:e>
                      <m:sub>
                        <m:r>
                          <w:rPr>
                            <w:rFonts w:ascii="Cambria Math" w:hAnsi="Arial" w:cs="Arial"/>
                            <w:sz w:val="20"/>
                            <w:szCs w:val="20"/>
                          </w:rPr>
                          <m:t>1</m:t>
                        </m:r>
                        <m:r>
                          <w:rPr>
                            <w:rFonts w:ascii="Cambria Math" w:hAnsi="Cambria Math" w:cs="Arial"/>
                            <w:sz w:val="20"/>
                            <w:szCs w:val="20"/>
                          </w:rPr>
                          <m:t>it</m:t>
                        </m:r>
                      </m:sub>
                    </m:sSub>
                  </m:e>
                </m:mr>
                <m:mr>
                  <m:e>
                    <m:sSub>
                      <m:sSubPr>
                        <m:ctrlPr>
                          <w:rPr>
                            <w:rFonts w:ascii="Cambria Math" w:hAnsi="Arial" w:cs="Arial"/>
                            <w:i/>
                            <w:sz w:val="20"/>
                            <w:szCs w:val="20"/>
                          </w:rPr>
                        </m:ctrlPr>
                      </m:sSubPr>
                      <m:e>
                        <m:r>
                          <w:rPr>
                            <w:rFonts w:ascii="Cambria Math" w:hAnsi="Cambria Math" w:cs="Arial"/>
                            <w:sz w:val="20"/>
                            <w:szCs w:val="20"/>
                          </w:rPr>
                          <m:t>y</m:t>
                        </m:r>
                      </m:e>
                      <m:sub>
                        <m:r>
                          <w:rPr>
                            <w:rFonts w:ascii="Cambria Math" w:hAnsi="Arial" w:cs="Arial"/>
                            <w:sz w:val="20"/>
                            <w:szCs w:val="20"/>
                          </w:rPr>
                          <m:t>2</m:t>
                        </m:r>
                        <m:r>
                          <w:rPr>
                            <w:rFonts w:ascii="Cambria Math" w:hAnsi="Cambria Math" w:cs="Arial"/>
                            <w:sz w:val="20"/>
                            <w:szCs w:val="20"/>
                          </w:rPr>
                          <m:t>it</m:t>
                        </m:r>
                      </m:sub>
                    </m:sSub>
                  </m:e>
                </m:mr>
                <m:mr>
                  <m:e>
                    <m:m>
                      <m:mPr>
                        <m:mcs>
                          <m:mc>
                            <m:mcPr>
                              <m:count m:val="1"/>
                              <m:mcJc m:val="center"/>
                            </m:mcPr>
                          </m:mc>
                        </m:mcs>
                        <m:ctrlPr>
                          <w:rPr>
                            <w:rFonts w:ascii="Cambria Math" w:hAnsi="Arial" w:cs="Arial"/>
                            <w:i/>
                            <w:sz w:val="20"/>
                            <w:szCs w:val="20"/>
                          </w:rPr>
                        </m:ctrlPr>
                      </m:mPr>
                      <m:mr>
                        <m:e>
                          <m:r>
                            <w:rPr>
                              <w:rFonts w:ascii="Cambria Math" w:hAnsi="Cambria Math" w:cs="Arial"/>
                              <w:sz w:val="20"/>
                              <w:szCs w:val="20"/>
                            </w:rPr>
                            <m:t>⋮</m:t>
                          </m:r>
                        </m:e>
                      </m:mr>
                      <m:mr>
                        <m:e>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kit</m:t>
                              </m:r>
                            </m:sub>
                          </m:sSub>
                        </m:e>
                      </m:mr>
                    </m:m>
                  </m:e>
                </m:mr>
              </m:m>
            </m:e>
          </m:d>
          <m:r>
            <w:rPr>
              <w:rFonts w:ascii="Cambria Math" w:hAnsi="Arial" w:cs="Arial"/>
              <w:sz w:val="20"/>
              <w:szCs w:val="20"/>
            </w:rPr>
            <m:t xml:space="preserve">,  </m:t>
          </m:r>
          <m:r>
            <w:rPr>
              <w:rFonts w:ascii="Cambria Math" w:hAnsi="Cambria Math" w:cs="Arial"/>
              <w:sz w:val="20"/>
              <w:szCs w:val="20"/>
            </w:rPr>
            <m:t>i</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 xml:space="preserve">, </m:t>
          </m:r>
          <m:r>
            <w:rPr>
              <w:rFonts w:ascii="Cambria Math" w:hAnsi="Cambria Math" w:cs="Arial"/>
              <w:sz w:val="20"/>
              <w:szCs w:val="20"/>
            </w:rPr>
            <m:t>N</m:t>
          </m:r>
          <m:r>
            <w:rPr>
              <w:rFonts w:ascii="Cambria Math" w:hAnsi="Arial" w:cs="Arial"/>
              <w:sz w:val="20"/>
              <w:szCs w:val="20"/>
            </w:rPr>
            <m:t xml:space="preserve">, </m:t>
          </m:r>
          <m:r>
            <w:rPr>
              <w:rFonts w:ascii="Cambria Math" w:hAnsi="Cambria Math" w:cs="Arial"/>
              <w:sz w:val="20"/>
              <w:szCs w:val="20"/>
            </w:rPr>
            <m:t>t</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 xml:space="preserve">, </m:t>
          </m:r>
          <m:r>
            <w:rPr>
              <w:rFonts w:ascii="Cambria Math" w:hAnsi="Cambria Math" w:cs="Arial"/>
              <w:sz w:val="20"/>
              <w:szCs w:val="20"/>
            </w:rPr>
            <m:t>T</m:t>
          </m:r>
          <m:r>
            <w:rPr>
              <w:rFonts w:ascii="Cambria Math" w:hAnsi="Arial" w:cs="Arial"/>
              <w:sz w:val="20"/>
              <w:szCs w:val="20"/>
            </w:rPr>
            <m:t xml:space="preserve">                                                        (10)</m:t>
          </m:r>
        </m:oMath>
      </m:oMathPara>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oMath>
      <w:r w:rsidRPr="00F30DF6">
        <w:rPr>
          <w:rFonts w:ascii="Arial" w:hAnsi="Arial" w:cs="Arial"/>
          <w:sz w:val="20"/>
          <w:szCs w:val="20"/>
        </w:rPr>
        <w:t xml:space="preserve"> is a vector of </w:t>
      </w:r>
      <m:oMath>
        <m:r>
          <w:rPr>
            <w:rStyle w:val="katex-mathml"/>
            <w:rFonts w:ascii="Cambria Math" w:hAnsi="Cambria Math" w:cs="Arial"/>
            <w:sz w:val="20"/>
            <w:szCs w:val="20"/>
          </w:rPr>
          <m:t>k</m:t>
        </m:r>
      </m:oMath>
      <w:r w:rsidRPr="00F30DF6">
        <w:rPr>
          <w:rFonts w:ascii="Arial" w:hAnsi="Arial" w:cs="Arial"/>
          <w:sz w:val="20"/>
          <w:szCs w:val="20"/>
        </w:rPr>
        <w:t xml:space="preserve"> non-stationary I(1) variables for cross-section </w:t>
      </w:r>
      <m:oMath>
        <m:r>
          <w:rPr>
            <w:rStyle w:val="katex-mathml"/>
            <w:rFonts w:ascii="Cambria Math" w:hAnsi="Cambria Math" w:cs="Arial"/>
            <w:sz w:val="20"/>
            <w:szCs w:val="20"/>
          </w:rPr>
          <m:t>i</m:t>
        </m:r>
      </m:oMath>
      <w:r w:rsidRPr="00F30DF6">
        <w:rPr>
          <w:rFonts w:ascii="Arial" w:hAnsi="Arial" w:cs="Arial"/>
          <w:sz w:val="20"/>
          <w:szCs w:val="20"/>
        </w:rPr>
        <w:t xml:space="preserve"> at time </w:t>
      </w:r>
      <m:oMath>
        <m:r>
          <w:rPr>
            <w:rStyle w:val="katex-mathml"/>
            <w:rFonts w:ascii="Cambria Math" w:hAnsi="Cambria Math" w:cs="Arial"/>
            <w:sz w:val="20"/>
            <w:szCs w:val="20"/>
          </w:rPr>
          <m:t>t</m:t>
        </m:r>
      </m:oMath>
      <w:r w:rsidRPr="00F30DF6">
        <w:rPr>
          <w:rStyle w:val="katex-mathml"/>
          <w:rFonts w:ascii="Arial" w:hAnsi="Arial" w:cs="Arial"/>
          <w:sz w:val="20"/>
          <w:szCs w:val="20"/>
        </w:rPr>
        <w:t xml:space="preserve">, </w:t>
      </w:r>
      <m:oMath>
        <m:r>
          <w:rPr>
            <w:rStyle w:val="mord"/>
            <w:rFonts w:ascii="Cambria Math" w:hAnsi="Cambria Math" w:cs="Arial"/>
            <w:sz w:val="20"/>
            <w:szCs w:val="20"/>
          </w:rPr>
          <m:t>N</m:t>
        </m:r>
      </m:oMath>
      <w:r w:rsidRPr="00F30DF6">
        <w:rPr>
          <w:rFonts w:ascii="Arial" w:hAnsi="Arial" w:cs="Arial"/>
          <w:sz w:val="20"/>
          <w:szCs w:val="20"/>
        </w:rPr>
        <w:t xml:space="preserve"> is the number of cross-sections (e.g., countries), </w:t>
      </w:r>
      <m:oMath>
        <m:r>
          <w:rPr>
            <w:rStyle w:val="mord"/>
            <w:rFonts w:ascii="Cambria Math" w:hAnsi="Cambria Math" w:cs="Arial"/>
            <w:sz w:val="20"/>
            <w:szCs w:val="20"/>
          </w:rPr>
          <m:t>T</m:t>
        </m:r>
      </m:oMath>
      <w:r w:rsidRPr="00F30DF6">
        <w:rPr>
          <w:rFonts w:ascii="Arial" w:hAnsi="Arial" w:cs="Arial"/>
          <w:sz w:val="20"/>
          <w:szCs w:val="20"/>
        </w:rPr>
        <w:t xml:space="preserve"> is the number of time periods. For each cross-section </w:t>
      </w:r>
      <m:oMath>
        <m:r>
          <w:rPr>
            <w:rStyle w:val="katex-mathml"/>
            <w:rFonts w:ascii="Cambria Math" w:hAnsi="Cambria Math" w:cs="Arial"/>
            <w:sz w:val="20"/>
            <w:szCs w:val="20"/>
          </w:rPr>
          <m:t>i</m:t>
        </m:r>
      </m:oMath>
      <w:r w:rsidRPr="00F30DF6">
        <w:rPr>
          <w:rFonts w:ascii="Arial" w:hAnsi="Arial" w:cs="Arial"/>
          <w:sz w:val="20"/>
          <w:szCs w:val="20"/>
        </w:rPr>
        <w:t>, the Johansen cointegration test is applied through the Johansen’s Vector Error Correction Model (VECM) is given as shown in Equation (11):</w:t>
      </w:r>
    </w:p>
    <w:p w:rsidR="00F30DF6" w:rsidRPr="00F30DF6" w:rsidRDefault="00F30DF6" w:rsidP="00F30DF6">
      <w:pPr>
        <w:pStyle w:val="NormalWeb"/>
        <w:spacing w:before="0" w:beforeAutospacing="0" w:after="0" w:afterAutospacing="0"/>
        <w:ind w:left="2160"/>
        <w:jc w:val="both"/>
        <w:rPr>
          <w:rFonts w:ascii="Arial" w:hAnsi="Arial" w:cs="Arial"/>
          <w:sz w:val="20"/>
          <w:szCs w:val="20"/>
        </w:rPr>
      </w:pPr>
      <m:oMathPara>
        <m:oMath>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Π</m:t>
              </m:r>
            </m:e>
            <m:sub>
              <m:r>
                <w:rPr>
                  <w:rFonts w:ascii="Cambria Math" w:hAnsi="Cambria Math" w:cs="Arial"/>
                  <w:sz w:val="20"/>
                  <w:szCs w:val="20"/>
                </w:rPr>
                <m:t>i</m:t>
              </m:r>
            </m:sub>
          </m:sSub>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1</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r>
                <w:rPr>
                  <w:rFonts w:ascii="Cambria Math" w:hAnsi="Cambria Math" w:cs="Arial"/>
                  <w:sz w:val="20"/>
                  <w:szCs w:val="20"/>
                </w:rPr>
                <m:t>p</m:t>
              </m:r>
              <m:r>
                <w:rPr>
                  <w:rFonts w:ascii="Cambria Math" w:hAnsi="Arial" w:cs="Arial"/>
                  <w:sz w:val="20"/>
                  <w:szCs w:val="20"/>
                </w:rPr>
                <m:t>-</m:t>
              </m:r>
              <m:r>
                <w:rPr>
                  <w:rFonts w:ascii="Cambria Math" w:hAnsi="Arial" w:cs="Arial"/>
                  <w:sz w:val="20"/>
                  <w:szCs w:val="20"/>
                </w:rPr>
                <m:t>1</m:t>
              </m:r>
            </m:sup>
            <m:e>
              <m:sSub>
                <m:sSubPr>
                  <m:ctrlPr>
                    <w:rPr>
                      <w:rFonts w:ascii="Cambria Math" w:hAnsi="Arial" w:cs="Arial"/>
                      <w:i/>
                      <w:sz w:val="20"/>
                      <w:szCs w:val="20"/>
                    </w:rPr>
                  </m:ctrlPr>
                </m:sSubPr>
                <m:e>
                  <m:r>
                    <m:rPr>
                      <m:sty m:val="bi"/>
                    </m:rPr>
                    <w:rPr>
                      <w:rFonts w:ascii="Cambria Math" w:hAnsi="Arial" w:cs="Arial"/>
                      <w:sz w:val="20"/>
                      <w:szCs w:val="20"/>
                    </w:rPr>
                    <m:t>Г</m:t>
                  </m:r>
                </m:e>
                <m:sub>
                  <m:r>
                    <w:rPr>
                      <w:rFonts w:ascii="Cambria Math" w:hAnsi="Cambria Math" w:cs="Arial"/>
                      <w:sz w:val="20"/>
                      <w:szCs w:val="20"/>
                    </w:rPr>
                    <m:t>ij</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j</m:t>
                  </m:r>
                </m:sub>
              </m:sSub>
            </m:e>
          </m:nary>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ε</m:t>
              </m:r>
            </m:e>
            <m:sub>
              <m:r>
                <w:rPr>
                  <w:rFonts w:ascii="Cambria Math" w:hAnsi="Cambria Math" w:cs="Arial"/>
                  <w:sz w:val="20"/>
                  <w:szCs w:val="20"/>
                </w:rPr>
                <m:t>it</m:t>
              </m:r>
            </m:sub>
          </m:sSub>
          <m:r>
            <w:rPr>
              <w:rFonts w:ascii="Cambria Math" w:hAnsi="Arial" w:cs="Arial"/>
              <w:sz w:val="20"/>
              <w:szCs w:val="20"/>
            </w:rPr>
            <m:t xml:space="preserve">                              (11)</m:t>
          </m:r>
        </m:oMath>
      </m:oMathPara>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where </w:t>
      </w:r>
      <m:oMath>
        <m:r>
          <w:rPr>
            <w:rFonts w:ascii="Cambria Math" w:hAnsi="Arial" w:cs="Arial"/>
            <w:sz w:val="20"/>
            <w:szCs w:val="20"/>
          </w:rPr>
          <m:t>∆</m:t>
        </m:r>
      </m:oMath>
      <w:r w:rsidRPr="00F30DF6">
        <w:rPr>
          <w:rFonts w:ascii="Arial" w:hAnsi="Arial" w:cs="Arial"/>
          <w:sz w:val="20"/>
          <w:szCs w:val="20"/>
        </w:rPr>
        <w:t xml:space="preserve"> denotes the first difference operator, </w:t>
      </w:r>
      <m:oMath>
        <m:sSub>
          <m:sSubPr>
            <m:ctrlPr>
              <w:rPr>
                <w:rFonts w:ascii="Cambria Math" w:hAnsi="Arial" w:cs="Arial"/>
                <w:i/>
                <w:sz w:val="20"/>
                <w:szCs w:val="20"/>
              </w:rPr>
            </m:ctrlPr>
          </m:sSubPr>
          <m:e>
            <m:r>
              <m:rPr>
                <m:sty m:val="bi"/>
              </m:rPr>
              <w:rPr>
                <w:rFonts w:ascii="Cambria Math" w:hAnsi="Cambria Math" w:cs="Arial"/>
                <w:sz w:val="20"/>
                <w:szCs w:val="20"/>
              </w:rPr>
              <m:t>Π</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α</m:t>
            </m:r>
          </m:e>
          <m:sub>
            <m:r>
              <w:rPr>
                <w:rFonts w:ascii="Cambria Math" w:hAnsi="Cambria Math" w:cs="Arial"/>
                <w:sz w:val="20"/>
                <w:szCs w:val="20"/>
              </w:rPr>
              <m:t>i</m:t>
            </m:r>
          </m:sub>
        </m:sSub>
        <m:sSubSup>
          <m:sSubSupPr>
            <m:ctrlPr>
              <w:rPr>
                <w:rFonts w:ascii="Cambria Math" w:hAnsi="Arial" w:cs="Arial"/>
                <w:i/>
                <w:sz w:val="20"/>
                <w:szCs w:val="20"/>
              </w:rPr>
            </m:ctrlPr>
          </m:sSubSupPr>
          <m:e>
            <m:r>
              <m:rPr>
                <m:sty m:val="bi"/>
              </m:rPr>
              <w:rPr>
                <w:rFonts w:ascii="Cambria Math" w:hAnsi="Cambria Math" w:cs="Arial"/>
                <w:sz w:val="20"/>
                <w:szCs w:val="20"/>
              </w:rPr>
              <m:t>β</m:t>
            </m:r>
          </m:e>
          <m:sub>
            <m:r>
              <w:rPr>
                <w:rFonts w:ascii="Cambria Math" w:hAnsi="Cambria Math" w:cs="Arial"/>
                <w:sz w:val="20"/>
                <w:szCs w:val="20"/>
              </w:rPr>
              <m:t>i</m:t>
            </m:r>
          </m:sub>
          <m:sup>
            <m:r>
              <w:rPr>
                <w:rFonts w:ascii="Cambria Math" w:hAnsi="Arial" w:cs="Arial"/>
                <w:sz w:val="20"/>
                <w:szCs w:val="20"/>
              </w:rPr>
              <m:t>'</m:t>
            </m:r>
          </m:sup>
        </m:sSubSup>
      </m:oMath>
      <w:r w:rsidRPr="00F30DF6">
        <w:rPr>
          <w:rFonts w:ascii="Arial" w:hAnsi="Arial" w:cs="Arial"/>
          <w:sz w:val="20"/>
          <w:szCs w:val="20"/>
        </w:rPr>
        <w:t xml:space="preserve"> where </w:t>
      </w:r>
      <m:oMath>
        <m:sSub>
          <m:sSubPr>
            <m:ctrlPr>
              <w:rPr>
                <w:rFonts w:ascii="Cambria Math" w:hAnsi="Arial" w:cs="Arial"/>
                <w:i/>
                <w:sz w:val="20"/>
                <w:szCs w:val="20"/>
              </w:rPr>
            </m:ctrlPr>
          </m:sSubPr>
          <m:e>
            <m:r>
              <m:rPr>
                <m:sty m:val="bi"/>
              </m:rPr>
              <w:rPr>
                <w:rFonts w:ascii="Cambria Math" w:hAnsi="Cambria Math" w:cs="Arial"/>
                <w:sz w:val="20"/>
                <w:szCs w:val="20"/>
              </w:rPr>
              <m:t>β</m:t>
            </m:r>
          </m:e>
          <m:sub>
            <m:r>
              <w:rPr>
                <w:rFonts w:ascii="Cambria Math" w:hAnsi="Cambria Math" w:cs="Arial"/>
                <w:sz w:val="20"/>
                <w:szCs w:val="20"/>
              </w:rPr>
              <m:t>i</m:t>
            </m:r>
          </m:sub>
        </m:sSub>
      </m:oMath>
      <w:r w:rsidRPr="00F30DF6">
        <w:rPr>
          <w:rFonts w:ascii="Arial" w:hAnsi="Arial" w:cs="Arial"/>
          <w:sz w:val="20"/>
          <w:szCs w:val="20"/>
        </w:rPr>
        <w:t xml:space="preserve"> is the cointegration vector (long-run relationship),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oMath>
      <w:r w:rsidRPr="00F30DF6">
        <w:rPr>
          <w:rFonts w:ascii="Arial" w:hAnsi="Arial" w:cs="Arial"/>
          <w:sz w:val="20"/>
          <w:szCs w:val="20"/>
        </w:rPr>
        <w:t xml:space="preserve"> is the adjustment coefficient (speed of adjustment to equilibrium), </w:t>
      </w:r>
      <m:oMath>
        <m:sSub>
          <m:sSubPr>
            <m:ctrlPr>
              <w:rPr>
                <w:rFonts w:ascii="Cambria Math" w:hAnsi="Arial" w:cs="Arial"/>
                <w:i/>
                <w:sz w:val="20"/>
                <w:szCs w:val="20"/>
              </w:rPr>
            </m:ctrlPr>
          </m:sSubPr>
          <m:e>
            <m:r>
              <m:rPr>
                <m:sty m:val="bi"/>
              </m:rPr>
              <w:rPr>
                <w:rFonts w:ascii="Cambria Math" w:hAnsi="Arial" w:cs="Arial"/>
                <w:sz w:val="20"/>
                <w:szCs w:val="20"/>
              </w:rPr>
              <m:t>Г</m:t>
            </m:r>
          </m:e>
          <m:sub>
            <m:r>
              <w:rPr>
                <w:rFonts w:ascii="Cambria Math" w:hAnsi="Cambria Math" w:cs="Arial"/>
                <w:sz w:val="20"/>
                <w:szCs w:val="20"/>
              </w:rPr>
              <m:t>ij</m:t>
            </m:r>
          </m:sub>
        </m:sSub>
      </m:oMath>
      <w:r w:rsidRPr="00F30DF6">
        <w:rPr>
          <w:rFonts w:ascii="Arial" w:hAnsi="Arial" w:cs="Arial"/>
          <w:sz w:val="20"/>
          <w:szCs w:val="20"/>
        </w:rPr>
        <w:t xml:space="preserve"> is the short-run dynamics coefficients,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it</m:t>
            </m:r>
          </m:sub>
        </m:sSub>
      </m:oMath>
      <w:r w:rsidRPr="00F30DF6">
        <w:rPr>
          <w:rFonts w:ascii="Arial" w:hAnsi="Arial" w:cs="Arial"/>
          <w:sz w:val="20"/>
          <w:szCs w:val="20"/>
        </w:rPr>
        <w:t xml:space="preserve"> is the white noise error term. For each </w:t>
      </w:r>
      <m:oMath>
        <m:r>
          <w:rPr>
            <w:rStyle w:val="katex-mathml"/>
            <w:rFonts w:ascii="Cambria Math" w:hAnsi="Cambria Math" w:cs="Arial"/>
            <w:sz w:val="20"/>
            <w:szCs w:val="20"/>
          </w:rPr>
          <m:t>i</m:t>
        </m:r>
      </m:oMath>
      <w:r w:rsidRPr="00F30DF6">
        <w:rPr>
          <w:rFonts w:ascii="Arial" w:hAnsi="Arial" w:cs="Arial"/>
          <w:sz w:val="20"/>
          <w:szCs w:val="20"/>
        </w:rPr>
        <w:t>, the Johansen test provides two statistics namely, Trace statistic and Maximum eigenvalue statistic are computed as given in Equations (12) and (13):</w:t>
      </w:r>
    </w:p>
    <w:p w:rsidR="00F30DF6" w:rsidRPr="00F30DF6" w:rsidRDefault="00FB352D" w:rsidP="00F30DF6">
      <w:pPr>
        <w:pStyle w:val="NormalWeb"/>
        <w:spacing w:before="0" w:beforeAutospacing="0" w:after="0" w:afterAutospacing="0"/>
        <w:ind w:left="2160" w:firstLine="72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Trace</m:t>
              </m:r>
            </m:e>
            <m:sub>
              <m:r>
                <w:rPr>
                  <w:rFonts w:ascii="Cambria Math" w:hAnsi="Cambria Math" w:cs="Arial"/>
                  <w:sz w:val="20"/>
                  <w:szCs w:val="20"/>
                </w:rPr>
                <m:t>i</m:t>
              </m:r>
            </m:sub>
          </m:sSub>
          <m:d>
            <m:dPr>
              <m:ctrlPr>
                <w:rPr>
                  <w:rFonts w:ascii="Cambria Math" w:hAnsi="Arial" w:cs="Arial"/>
                  <w:i/>
                  <w:sz w:val="20"/>
                  <w:szCs w:val="20"/>
                </w:rPr>
              </m:ctrlPr>
            </m:dPr>
            <m:e>
              <m:r>
                <w:rPr>
                  <w:rFonts w:ascii="Cambria Math" w:hAnsi="Cambria Math" w:cs="Arial"/>
                  <w:sz w:val="20"/>
                  <w:szCs w:val="20"/>
                </w:rPr>
                <m:t>r</m:t>
              </m:r>
            </m:e>
          </m:d>
          <m:r>
            <w:rPr>
              <w:rFonts w:ascii="Cambria Math" w:hAnsi="Arial" w:cs="Arial"/>
              <w:sz w:val="20"/>
              <w:szCs w:val="20"/>
            </w:rPr>
            <m:t>=</m:t>
          </m:r>
          <m:r>
            <w:rPr>
              <w:rFonts w:ascii="Cambria Math" w:hAnsi="Arial" w:cs="Arial"/>
              <w:sz w:val="20"/>
              <w:szCs w:val="20"/>
            </w:rPr>
            <m:t>-</m:t>
          </m:r>
          <m:r>
            <w:rPr>
              <w:rFonts w:ascii="Cambria Math" w:hAnsi="Cambria Math" w:cs="Arial"/>
              <w:sz w:val="20"/>
              <w:szCs w:val="20"/>
            </w:rPr>
            <m:t>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m:t>
              </m:r>
              <m:r>
                <w:rPr>
                  <w:rFonts w:ascii="Cambria Math" w:hAnsi="Cambria Math" w:cs="Arial"/>
                  <w:sz w:val="20"/>
                  <w:szCs w:val="20"/>
                </w:rPr>
                <m:t>r</m:t>
              </m:r>
              <m:r>
                <w:rPr>
                  <w:rFonts w:ascii="Cambria Math" w:hAnsi="Arial" w:cs="Arial"/>
                  <w:sz w:val="20"/>
                  <w:szCs w:val="20"/>
                </w:rPr>
                <m:t>+1</m:t>
              </m:r>
            </m:sub>
            <m:sup>
              <m:r>
                <w:rPr>
                  <w:rFonts w:ascii="Cambria Math" w:hAnsi="Cambria Math" w:cs="Arial"/>
                  <w:sz w:val="20"/>
                  <w:szCs w:val="20"/>
                </w:rPr>
                <m:t>k</m:t>
              </m:r>
            </m:sup>
            <m:e>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r>
                        <w:rPr>
                          <w:rFonts w:ascii="Cambria Math" w:hAnsi="Arial" w:cs="Arial"/>
                          <w:sz w:val="20"/>
                          <w:szCs w:val="20"/>
                        </w:rPr>
                        <m:t>1</m:t>
                      </m:r>
                      <m:r>
                        <w:rPr>
                          <w:rFonts w:ascii="Cambria Math" w:hAnsi="Arial" w:cs="Arial"/>
                          <w:sz w:val="20"/>
                          <w:szCs w:val="20"/>
                        </w:rPr>
                        <m:t>-</m:t>
                      </m:r>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λ</m:t>
                              </m:r>
                            </m:e>
                          </m:acc>
                        </m:e>
                        <m:sub>
                          <m:r>
                            <w:rPr>
                              <w:rFonts w:ascii="Cambria Math" w:hAnsi="Cambria Math" w:cs="Arial"/>
                              <w:sz w:val="20"/>
                              <w:szCs w:val="20"/>
                            </w:rPr>
                            <m:t>ij</m:t>
                          </m:r>
                        </m:sub>
                      </m:sSub>
                    </m:e>
                  </m:d>
                </m:e>
              </m:func>
            </m:e>
          </m:nary>
          <m:r>
            <w:rPr>
              <w:rFonts w:ascii="Cambria Math" w:hAnsi="Arial" w:cs="Arial"/>
              <w:sz w:val="20"/>
              <w:szCs w:val="20"/>
            </w:rPr>
            <m:t xml:space="preserve">                                       (12)</m:t>
          </m:r>
        </m:oMath>
      </m:oMathPara>
    </w:p>
    <w:p w:rsidR="00F30DF6" w:rsidRPr="00F30DF6" w:rsidRDefault="00FB352D" w:rsidP="00F30DF6">
      <w:pPr>
        <w:pStyle w:val="NormalWeb"/>
        <w:spacing w:before="0" w:beforeAutospacing="0" w:after="0" w:afterAutospacing="0"/>
        <w:ind w:left="2160"/>
        <w:jc w:val="both"/>
        <w:rPr>
          <w:rFonts w:ascii="Arial" w:hAnsi="Arial" w:cs="Arial"/>
          <w:sz w:val="20"/>
          <w:szCs w:val="20"/>
        </w:rPr>
      </w:pPr>
      <m:oMathPara>
        <m:oMath>
          <m:sSub>
            <m:sSubPr>
              <m:ctrlPr>
                <w:rPr>
                  <w:rFonts w:ascii="Cambria Math" w:hAnsi="Arial" w:cs="Arial"/>
                  <w:i/>
                  <w:sz w:val="20"/>
                  <w:szCs w:val="20"/>
                </w:rPr>
              </m:ctrlPr>
            </m:sSubPr>
            <m:e>
              <m:r>
                <w:rPr>
                  <w:rFonts w:ascii="Cambria Math" w:hAnsi="Cambria Math" w:cs="Arial"/>
                  <w:sz w:val="20"/>
                  <w:szCs w:val="20"/>
                </w:rPr>
                <m:t>MaxEigen</m:t>
              </m:r>
            </m:e>
            <m:sub>
              <m:r>
                <w:rPr>
                  <w:rFonts w:ascii="Cambria Math" w:hAnsi="Cambria Math" w:cs="Arial"/>
                  <w:sz w:val="20"/>
                  <w:szCs w:val="20"/>
                </w:rPr>
                <m:t>i</m:t>
              </m:r>
            </m:sub>
          </m:sSub>
          <m:d>
            <m:dPr>
              <m:ctrlPr>
                <w:rPr>
                  <w:rFonts w:ascii="Cambria Math" w:hAnsi="Arial" w:cs="Arial"/>
                  <w:i/>
                  <w:sz w:val="20"/>
                  <w:szCs w:val="20"/>
                </w:rPr>
              </m:ctrlPr>
            </m:dPr>
            <m:e>
              <m:r>
                <w:rPr>
                  <w:rFonts w:ascii="Cambria Math" w:hAnsi="Cambria Math" w:cs="Arial"/>
                  <w:sz w:val="20"/>
                  <w:szCs w:val="20"/>
                </w:rPr>
                <m:t>r</m:t>
              </m:r>
              <m:r>
                <w:rPr>
                  <w:rFonts w:ascii="Cambria Math" w:hAnsi="Arial" w:cs="Arial"/>
                  <w:sz w:val="20"/>
                  <w:szCs w:val="20"/>
                </w:rPr>
                <m:t xml:space="preserve">, </m:t>
              </m:r>
              <m:r>
                <w:rPr>
                  <w:rFonts w:ascii="Cambria Math" w:hAnsi="Cambria Math" w:cs="Arial"/>
                  <w:sz w:val="20"/>
                  <w:szCs w:val="20"/>
                </w:rPr>
                <m:t>r</m:t>
              </m:r>
              <m:r>
                <w:rPr>
                  <w:rFonts w:ascii="Cambria Math" w:hAnsi="Arial" w:cs="Arial"/>
                  <w:sz w:val="20"/>
                  <w:szCs w:val="20"/>
                </w:rPr>
                <m:t>+1</m:t>
              </m:r>
            </m:e>
          </m:d>
          <m:r>
            <w:rPr>
              <w:rFonts w:ascii="Cambria Math" w:hAnsi="Arial" w:cs="Arial"/>
              <w:sz w:val="20"/>
              <w:szCs w:val="20"/>
            </w:rPr>
            <m:t>=</m:t>
          </m:r>
          <m:r>
            <w:rPr>
              <w:rFonts w:ascii="Cambria Math" w:hAnsi="Arial" w:cs="Arial"/>
              <w:sz w:val="20"/>
              <w:szCs w:val="20"/>
            </w:rPr>
            <m:t>-</m:t>
          </m:r>
          <m:r>
            <w:rPr>
              <w:rFonts w:ascii="Cambria Math" w:hAnsi="Cambria Math" w:cs="Arial"/>
              <w:sz w:val="20"/>
              <w:szCs w:val="20"/>
            </w:rPr>
            <m:t>T</m:t>
          </m:r>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r>
                    <w:rPr>
                      <w:rFonts w:ascii="Cambria Math" w:hAnsi="Arial" w:cs="Arial"/>
                      <w:sz w:val="20"/>
                      <w:szCs w:val="20"/>
                    </w:rPr>
                    <m:t>1</m:t>
                  </m:r>
                  <m:r>
                    <w:rPr>
                      <w:rFonts w:ascii="Cambria Math" w:hAnsi="Arial" w:cs="Arial"/>
                      <w:sz w:val="20"/>
                      <w:szCs w:val="20"/>
                    </w:rPr>
                    <m:t>-</m:t>
                  </m:r>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λ</m:t>
                          </m:r>
                        </m:e>
                      </m:acc>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r</m:t>
                      </m:r>
                      <m:r>
                        <w:rPr>
                          <w:rFonts w:ascii="Cambria Math" w:hAnsi="Arial" w:cs="Arial"/>
                          <w:sz w:val="20"/>
                          <w:szCs w:val="20"/>
                        </w:rPr>
                        <m:t>+1</m:t>
                      </m:r>
                    </m:sub>
                  </m:sSub>
                </m:e>
              </m:d>
            </m:e>
          </m:func>
          <m:r>
            <w:rPr>
              <w:rFonts w:ascii="Cambria Math" w:hAnsi="Arial" w:cs="Arial"/>
              <w:sz w:val="20"/>
              <w:szCs w:val="20"/>
            </w:rPr>
            <m:t xml:space="preserve">                       (13)</m:t>
          </m:r>
        </m:oMath>
      </m:oMathPara>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where </w:t>
      </w:r>
      <m:oMath>
        <m:sSub>
          <m:sSubPr>
            <m:ctrlPr>
              <w:rPr>
                <w:rFonts w:ascii="Cambria Math" w:hAnsi="Arial" w:cs="Arial"/>
                <w:i/>
                <w:sz w:val="20"/>
                <w:szCs w:val="20"/>
              </w:rPr>
            </m:ctrlPr>
          </m:sSubPr>
          <m:e>
            <m:acc>
              <m:accPr>
                <m:ctrlPr>
                  <w:rPr>
                    <w:rFonts w:ascii="Cambria Math" w:hAnsi="Arial" w:cs="Arial"/>
                    <w:i/>
                    <w:sz w:val="20"/>
                    <w:szCs w:val="20"/>
                  </w:rPr>
                </m:ctrlPr>
              </m:accPr>
              <m:e>
                <m:r>
                  <w:rPr>
                    <w:rFonts w:ascii="Cambria Math" w:hAnsi="Cambria Math" w:cs="Arial"/>
                    <w:sz w:val="20"/>
                    <w:szCs w:val="20"/>
                  </w:rPr>
                  <m:t>λ</m:t>
                </m:r>
              </m:e>
            </m:acc>
          </m:e>
          <m:sub>
            <m:r>
              <w:rPr>
                <w:rFonts w:ascii="Cambria Math" w:hAnsi="Cambria Math" w:cs="Arial"/>
                <w:sz w:val="20"/>
                <w:szCs w:val="20"/>
              </w:rPr>
              <m:t>ij</m:t>
            </m:r>
          </m:sub>
        </m:sSub>
      </m:oMath>
      <w:r w:rsidRPr="00F30DF6">
        <w:rPr>
          <w:rFonts w:ascii="Arial" w:hAnsi="Arial" w:cs="Arial"/>
          <w:sz w:val="20"/>
          <w:szCs w:val="20"/>
        </w:rPr>
        <w:t xml:space="preserve"> are the estimated eigenvalues from the Johansen procedure for cross-section </w:t>
      </w:r>
      <m:oMath>
        <m:r>
          <w:rPr>
            <w:rStyle w:val="katex-mathml"/>
            <w:rFonts w:ascii="Cambria Math" w:hAnsi="Cambria Math" w:cs="Arial"/>
            <w:sz w:val="20"/>
            <w:szCs w:val="20"/>
          </w:rPr>
          <m:t>i</m:t>
        </m:r>
      </m:oMath>
      <w:r w:rsidRPr="00F30DF6">
        <w:rPr>
          <w:rFonts w:ascii="Arial" w:hAnsi="Arial" w:cs="Arial"/>
          <w:sz w:val="20"/>
          <w:szCs w:val="20"/>
        </w:rPr>
        <w:t xml:space="preserve">. To extend Johansen’s test to panel data, we combine the p-values of the individual Johansen tests across all </w:t>
      </w:r>
      <m:oMath>
        <m:r>
          <w:rPr>
            <w:rStyle w:val="katex-mathml"/>
            <w:rFonts w:ascii="Cambria Math" w:hAnsi="Cambria Math" w:cs="Arial"/>
            <w:sz w:val="20"/>
            <w:szCs w:val="20"/>
          </w:rPr>
          <m:t>N</m:t>
        </m:r>
      </m:oMath>
      <w:r w:rsidRPr="00F30DF6">
        <w:rPr>
          <w:rFonts w:ascii="Arial" w:hAnsi="Arial" w:cs="Arial"/>
          <w:sz w:val="20"/>
          <w:szCs w:val="20"/>
        </w:rPr>
        <w:t xml:space="preserve"> cross-sections using Fisher’s formula (Maddala and Wu, 1999) is given by Equations (14) and (15):</w:t>
      </w:r>
    </w:p>
    <w:p w:rsidR="00F30DF6" w:rsidRPr="00F30DF6" w:rsidRDefault="00FB352D" w:rsidP="00F30DF6">
      <w:pPr>
        <w:pStyle w:val="NormalWeb"/>
        <w:spacing w:before="0" w:beforeAutospacing="0" w:after="0" w:afterAutospacing="0"/>
        <w:ind w:left="2160" w:firstLine="72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Fis</m:t>
            </m:r>
            <m:r>
              <w:rPr>
                <w:rFonts w:ascii="Arial" w:hAnsi="Cambria Math" w:cs="Arial"/>
                <w:sz w:val="20"/>
                <w:szCs w:val="20"/>
              </w:rPr>
              <m:t>h</m:t>
            </m:r>
            <m:r>
              <w:rPr>
                <w:rFonts w:ascii="Cambria Math" w:hAnsi="Cambria Math" w:cs="Arial"/>
                <w:sz w:val="20"/>
                <w:szCs w:val="20"/>
              </w:rPr>
              <m:t>er</m:t>
            </m:r>
          </m:e>
          <m:sub>
            <m:r>
              <w:rPr>
                <w:rFonts w:ascii="Cambria Math" w:hAnsi="Cambria Math" w:cs="Arial"/>
                <w:sz w:val="20"/>
                <w:szCs w:val="20"/>
              </w:rPr>
              <m:t>Trace</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2</m:t>
        </m:r>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N</m:t>
            </m:r>
          </m:sup>
          <m:e>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r>
                      <w:rPr>
                        <w:rFonts w:ascii="Cambria Math" w:hAnsi="Arial" w:cs="Arial"/>
                        <w:sz w:val="20"/>
                        <w:szCs w:val="20"/>
                      </w:rPr>
                      <m:t xml:space="preserve">, </m:t>
                    </m:r>
                    <m:r>
                      <w:rPr>
                        <w:rFonts w:ascii="Cambria Math" w:hAnsi="Cambria Math" w:cs="Arial"/>
                        <w:sz w:val="20"/>
                        <w:szCs w:val="20"/>
                      </w:rPr>
                      <m:t>Trace</m:t>
                    </m:r>
                  </m:e>
                </m:d>
              </m:e>
            </m:func>
          </m:e>
        </m:nary>
      </m:oMath>
      <w:r w:rsidR="00F30DF6" w:rsidRPr="00F30DF6">
        <w:rPr>
          <w:rFonts w:ascii="Arial" w:hAnsi="Arial" w:cs="Arial"/>
          <w:sz w:val="20"/>
          <w:szCs w:val="20"/>
        </w:rPr>
        <w:tab/>
        <w:t xml:space="preserve"> (14)</w:t>
      </w:r>
    </w:p>
    <w:p w:rsidR="00F30DF6" w:rsidRPr="00F30DF6" w:rsidRDefault="00FB352D" w:rsidP="00F30DF6">
      <w:pPr>
        <w:pStyle w:val="NormalWeb"/>
        <w:spacing w:before="0" w:beforeAutospacing="0" w:after="0" w:afterAutospacing="0"/>
        <w:ind w:left="1440" w:firstLine="72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Fis</m:t>
            </m:r>
            <m:r>
              <w:rPr>
                <w:rFonts w:ascii="Arial" w:hAnsi="Cambria Math" w:cs="Arial"/>
                <w:sz w:val="20"/>
                <w:szCs w:val="20"/>
              </w:rPr>
              <m:t>h</m:t>
            </m:r>
            <m:r>
              <w:rPr>
                <w:rFonts w:ascii="Cambria Math" w:hAnsi="Cambria Math" w:cs="Arial"/>
                <w:sz w:val="20"/>
                <w:szCs w:val="20"/>
              </w:rPr>
              <m:t>er</m:t>
            </m:r>
          </m:e>
          <m:sub>
            <m:r>
              <w:rPr>
                <w:rFonts w:ascii="Cambria Math" w:hAnsi="Cambria Math" w:cs="Arial"/>
                <w:sz w:val="20"/>
                <w:szCs w:val="20"/>
              </w:rPr>
              <m:t>MaxEigen</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2</m:t>
        </m:r>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N</m:t>
            </m:r>
          </m:sup>
          <m:e>
            <m:func>
              <m:funcPr>
                <m:ctrlPr>
                  <w:rPr>
                    <w:rFonts w:ascii="Cambria Math" w:hAnsi="Arial" w:cs="Arial"/>
                    <w:i/>
                    <w:sz w:val="20"/>
                    <w:szCs w:val="20"/>
                  </w:rPr>
                </m:ctrlPr>
              </m:funcPr>
              <m:fName>
                <m:r>
                  <m:rPr>
                    <m:sty m:val="p"/>
                  </m:rPr>
                  <w:rPr>
                    <w:rFonts w:ascii="Cambria Math" w:hAnsi="Arial" w:cs="Arial"/>
                    <w:sz w:val="20"/>
                    <w:szCs w:val="20"/>
                  </w:rPr>
                  <m:t>ln</m:t>
                </m:r>
              </m:fName>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r>
                      <w:rPr>
                        <w:rFonts w:ascii="Cambria Math" w:hAnsi="Arial" w:cs="Arial"/>
                        <w:sz w:val="20"/>
                        <w:szCs w:val="20"/>
                      </w:rPr>
                      <m:t xml:space="preserve">, </m:t>
                    </m:r>
                    <m:r>
                      <w:rPr>
                        <w:rFonts w:ascii="Cambria Math" w:hAnsi="Cambria Math" w:cs="Arial"/>
                        <w:sz w:val="20"/>
                        <w:szCs w:val="20"/>
                      </w:rPr>
                      <m:t>MaxEigen</m:t>
                    </m:r>
                  </m:e>
                </m:d>
              </m:e>
            </m:func>
          </m:e>
        </m:nary>
      </m:oMath>
      <w:r w:rsidR="00F30DF6" w:rsidRPr="00F30DF6">
        <w:rPr>
          <w:rFonts w:ascii="Arial" w:hAnsi="Arial" w:cs="Arial"/>
          <w:sz w:val="20"/>
          <w:szCs w:val="20"/>
        </w:rPr>
        <w:t>(15)</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r>
          <w:rPr>
            <w:rFonts w:ascii="Cambria Math" w:hAnsi="Arial" w:cs="Arial"/>
            <w:sz w:val="20"/>
            <w:szCs w:val="20"/>
          </w:rPr>
          <m:t xml:space="preserve">, </m:t>
        </m:r>
        <m:r>
          <w:rPr>
            <w:rFonts w:ascii="Cambria Math" w:hAnsi="Cambria Math" w:cs="Arial"/>
            <w:sz w:val="20"/>
            <w:szCs w:val="20"/>
          </w:rPr>
          <m:t>Trace</m:t>
        </m:r>
      </m:oMath>
      <w:r w:rsidRPr="00F30DF6">
        <w:rPr>
          <w:rFonts w:ascii="Arial" w:hAnsi="Arial" w:cs="Arial"/>
          <w:sz w:val="20"/>
          <w:szCs w:val="20"/>
        </w:rPr>
        <w:t xml:space="preserve"> and </w:t>
      </w:r>
      <m:oMath>
        <m:sSub>
          <m:sSubPr>
            <m:ctrlPr>
              <w:rPr>
                <w:rFonts w:ascii="Cambria Math" w:hAnsi="Arial"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r>
          <w:rPr>
            <w:rFonts w:ascii="Cambria Math" w:hAnsi="Arial" w:cs="Arial"/>
            <w:sz w:val="20"/>
            <w:szCs w:val="20"/>
          </w:rPr>
          <m:t xml:space="preserve">, </m:t>
        </m:r>
        <m:r>
          <w:rPr>
            <w:rFonts w:ascii="Cambria Math" w:hAnsi="Cambria Math" w:cs="Arial"/>
            <w:sz w:val="20"/>
            <w:szCs w:val="20"/>
          </w:rPr>
          <m:t>MaxEigen</m:t>
        </m:r>
      </m:oMath>
      <w:r w:rsidRPr="00F30DF6">
        <w:rPr>
          <w:rStyle w:val="vlist-s"/>
          <w:rFonts w:ascii="Arial" w:hAnsi="Arial" w:cs="Arial"/>
          <w:sz w:val="20"/>
          <w:szCs w:val="20"/>
        </w:rPr>
        <w:t xml:space="preserve"> ​</w:t>
      </w:r>
      <w:r w:rsidRPr="00F30DF6">
        <w:rPr>
          <w:rFonts w:ascii="Arial" w:hAnsi="Arial" w:cs="Arial"/>
          <w:sz w:val="20"/>
          <w:szCs w:val="20"/>
        </w:rPr>
        <w:t xml:space="preserve"> are the p-values of the Johansen trace and maximum eigenvalue statistics for each cross-section. Under the null hypothesis (no cointegration in any cross-section), the Fisher statistics follow a chi-square distribution, </w:t>
      </w:r>
      <m:oMath>
        <m:r>
          <w:rPr>
            <w:rFonts w:ascii="Cambria Math" w:hAnsi="Cambria Math" w:cs="Arial"/>
            <w:sz w:val="20"/>
            <w:szCs w:val="20"/>
          </w:rPr>
          <m:t>Fis</m:t>
        </m:r>
        <m:r>
          <w:rPr>
            <w:rFonts w:ascii="Arial" w:hAnsi="Cambria Math" w:cs="Arial"/>
            <w:sz w:val="20"/>
            <w:szCs w:val="20"/>
          </w:rPr>
          <m:t>h</m:t>
        </m:r>
        <m:r>
          <w:rPr>
            <w:rFonts w:ascii="Cambria Math" w:hAnsi="Cambria Math" w:cs="Arial"/>
            <w:sz w:val="20"/>
            <w:szCs w:val="20"/>
          </w:rPr>
          <m:t>er</m:t>
        </m:r>
        <m:r>
          <w:rPr>
            <w:rFonts w:ascii="Cambria Math" w:hAnsi="Arial" w:cs="Arial"/>
            <w:sz w:val="20"/>
            <w:szCs w:val="20"/>
          </w:rPr>
          <m:t>~</m:t>
        </m:r>
        <m:sSubSup>
          <m:sSubSupPr>
            <m:ctrlPr>
              <w:rPr>
                <w:rFonts w:ascii="Cambria Math" w:hAnsi="Arial" w:cs="Arial"/>
                <w:i/>
                <w:sz w:val="20"/>
                <w:szCs w:val="20"/>
              </w:rPr>
            </m:ctrlPr>
          </m:sSubSupPr>
          <m:e>
            <m:r>
              <m:rPr>
                <m:scr m:val="script"/>
              </m:rPr>
              <w:rPr>
                <w:rFonts w:ascii="Cambria Math" w:hAnsi="Cambria Math" w:cs="Arial"/>
                <w:sz w:val="20"/>
                <w:szCs w:val="20"/>
              </w:rPr>
              <m:t>X</m:t>
            </m:r>
          </m:e>
          <m:sub>
            <m:r>
              <w:rPr>
                <w:rFonts w:ascii="Cambria Math" w:hAnsi="Arial" w:cs="Arial"/>
                <w:sz w:val="20"/>
                <w:szCs w:val="20"/>
              </w:rPr>
              <m:t>2</m:t>
            </m:r>
            <m:r>
              <w:rPr>
                <w:rFonts w:ascii="Cambria Math" w:hAnsi="Cambria Math" w:cs="Arial"/>
                <w:sz w:val="20"/>
                <w:szCs w:val="20"/>
              </w:rPr>
              <m:t>N</m:t>
            </m:r>
          </m:sub>
          <m:sup>
            <m:r>
              <w:rPr>
                <w:rFonts w:ascii="Cambria Math" w:hAnsi="Arial" w:cs="Arial"/>
                <w:sz w:val="20"/>
                <w:szCs w:val="20"/>
              </w:rPr>
              <m:t>2</m:t>
            </m:r>
          </m:sup>
        </m:sSubSup>
        <m:r>
          <w:rPr>
            <w:rFonts w:ascii="Cambria Math" w:hAnsi="Arial" w:cs="Arial"/>
            <w:sz w:val="20"/>
            <w:szCs w:val="20"/>
          </w:rPr>
          <m:t xml:space="preserve">. </m:t>
        </m:r>
      </m:oMath>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The test checks the following pair of hypothesis: </w:t>
      </w:r>
    </w:p>
    <w:p w:rsidR="00F30DF6" w:rsidRPr="00F30DF6" w:rsidRDefault="00FB352D"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Π</m:t>
            </m:r>
          </m:e>
          <m:sub>
            <m:r>
              <w:rPr>
                <w:rFonts w:ascii="Cambria Math" w:hAnsi="Cambria Math" w:cs="Arial"/>
                <w:sz w:val="20"/>
                <w:szCs w:val="20"/>
              </w:rPr>
              <m:t>i</m:t>
            </m:r>
          </m:sub>
        </m:sSub>
        <m:r>
          <w:rPr>
            <w:rFonts w:ascii="Cambria Math" w:hAnsi="Arial" w:cs="Arial"/>
            <w:sz w:val="20"/>
            <w:szCs w:val="20"/>
          </w:rPr>
          <m:t>=0</m:t>
        </m:r>
      </m:oMath>
      <w:r w:rsidR="00F30DF6" w:rsidRPr="00F30DF6">
        <w:rPr>
          <w:rFonts w:ascii="Arial" w:hAnsi="Arial" w:cs="Arial"/>
          <w:sz w:val="20"/>
          <w:szCs w:val="20"/>
        </w:rPr>
        <w:t xml:space="preserve"> for all </w:t>
      </w:r>
      <m:oMath>
        <m:r>
          <w:rPr>
            <w:rFonts w:ascii="Cambria Math" w:hAnsi="Cambria Math" w:cs="Arial"/>
            <w:sz w:val="20"/>
            <w:szCs w:val="20"/>
          </w:rPr>
          <m:t>i</m:t>
        </m:r>
      </m:oMath>
      <w:r w:rsidR="00F30DF6" w:rsidRPr="00F30DF6">
        <w:rPr>
          <w:rFonts w:ascii="Arial" w:hAnsi="Arial" w:cs="Arial"/>
          <w:sz w:val="20"/>
          <w:szCs w:val="20"/>
        </w:rPr>
        <w:t xml:space="preserve"> (No cointegration in any of the panel units)</w:t>
      </w:r>
    </w:p>
    <w:p w:rsidR="00F30DF6" w:rsidRPr="00F30DF6" w:rsidRDefault="00FB352D"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1</m:t>
            </m:r>
          </m:sub>
        </m:sSub>
        <m:r>
          <w:rPr>
            <w:rFonts w:ascii="Cambria Math" w:hAnsi="Arial" w:cs="Arial"/>
            <w:sz w:val="20"/>
            <w:szCs w:val="20"/>
          </w:rPr>
          <m:t xml:space="preserve">: </m:t>
        </m:r>
        <m:r>
          <m:rPr>
            <m:sty m:val="p"/>
          </m:rPr>
          <w:rPr>
            <w:rFonts w:ascii="Cambria Math" w:hAnsi="Arial" w:cs="Arial"/>
            <w:sz w:val="20"/>
            <w:szCs w:val="20"/>
          </w:rPr>
          <m:t>rank</m:t>
        </m:r>
        <m:d>
          <m:dPr>
            <m:ctrlPr>
              <w:rPr>
                <w:rFonts w:ascii="Cambria Math" w:hAnsi="Arial" w:cs="Arial"/>
                <w:sz w:val="20"/>
                <w:szCs w:val="20"/>
              </w:rPr>
            </m:ctrlPr>
          </m:dPr>
          <m:e>
            <m:sSub>
              <m:sSubPr>
                <m:ctrlPr>
                  <w:rPr>
                    <w:rFonts w:ascii="Cambria Math" w:hAnsi="Arial" w:cs="Arial"/>
                    <w:i/>
                    <w:sz w:val="20"/>
                    <w:szCs w:val="20"/>
                  </w:rPr>
                </m:ctrlPr>
              </m:sSubPr>
              <m:e>
                <m:r>
                  <w:rPr>
                    <w:rFonts w:ascii="Cambria Math" w:hAnsi="Cambria Math" w:cs="Arial"/>
                    <w:sz w:val="20"/>
                    <w:szCs w:val="20"/>
                  </w:rPr>
                  <m:t>Π</m:t>
                </m:r>
              </m:e>
              <m:sub>
                <m:r>
                  <w:rPr>
                    <w:rFonts w:ascii="Cambria Math" w:hAnsi="Cambria Math" w:cs="Arial"/>
                    <w:sz w:val="20"/>
                    <w:szCs w:val="20"/>
                  </w:rPr>
                  <m:t>i</m:t>
                </m:r>
              </m:sub>
            </m:sSub>
          </m:e>
        </m:d>
        <m:r>
          <w:rPr>
            <w:rFonts w:ascii="Cambria Math" w:hAnsi="Arial" w:cs="Arial"/>
            <w:sz w:val="20"/>
            <w:szCs w:val="20"/>
          </w:rPr>
          <m:t xml:space="preserve">&gt;0 </m:t>
        </m:r>
      </m:oMath>
      <w:r w:rsidR="00F30DF6" w:rsidRPr="00F30DF6">
        <w:rPr>
          <w:rFonts w:ascii="Arial" w:hAnsi="Arial" w:cs="Arial"/>
          <w:sz w:val="20"/>
          <w:szCs w:val="20"/>
        </w:rPr>
        <w:t xml:space="preserve"> for some </w:t>
      </w:r>
      <m:oMath>
        <m:r>
          <w:rPr>
            <w:rFonts w:ascii="Cambria Math" w:hAnsi="Cambria Math" w:cs="Arial"/>
            <w:sz w:val="20"/>
            <w:szCs w:val="20"/>
          </w:rPr>
          <m:t>i</m:t>
        </m:r>
      </m:oMath>
      <w:r w:rsidR="00F30DF6" w:rsidRPr="00F30DF6">
        <w:rPr>
          <w:rFonts w:ascii="Arial" w:hAnsi="Arial" w:cs="Arial"/>
          <w:sz w:val="20"/>
          <w:szCs w:val="20"/>
        </w:rPr>
        <w:t xml:space="preserve"> (At least one panel unit exhibits cointegration).</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If Fisher statistic </w:t>
      </w:r>
      <m:oMath>
        <m:r>
          <w:rPr>
            <w:rFonts w:ascii="Cambria Math" w:hAnsi="Arial" w:cs="Arial"/>
            <w:sz w:val="20"/>
            <w:szCs w:val="20"/>
          </w:rPr>
          <m:t>&gt;</m:t>
        </m:r>
        <m:sSubSup>
          <m:sSubSupPr>
            <m:ctrlPr>
              <w:rPr>
                <w:rFonts w:ascii="Cambria Math" w:hAnsi="Arial" w:cs="Arial"/>
                <w:i/>
                <w:sz w:val="20"/>
                <w:szCs w:val="20"/>
              </w:rPr>
            </m:ctrlPr>
          </m:sSubSupPr>
          <m:e>
            <m:r>
              <m:rPr>
                <m:scr m:val="script"/>
              </m:rPr>
              <w:rPr>
                <w:rFonts w:ascii="Cambria Math" w:hAnsi="Cambria Math" w:cs="Arial"/>
                <w:sz w:val="20"/>
                <w:szCs w:val="20"/>
              </w:rPr>
              <m:t>X</m:t>
            </m:r>
          </m:e>
          <m:sub>
            <m:r>
              <w:rPr>
                <w:rFonts w:ascii="Cambria Math" w:hAnsi="Cambria Math" w:cs="Arial"/>
                <w:sz w:val="20"/>
                <w:szCs w:val="20"/>
              </w:rPr>
              <m:t>α</m:t>
            </m:r>
            <m:r>
              <w:rPr>
                <w:rFonts w:ascii="Cambria Math" w:hAnsi="Arial" w:cs="Arial"/>
                <w:sz w:val="20"/>
                <w:szCs w:val="20"/>
              </w:rPr>
              <m:t>, 2</m:t>
            </m:r>
            <m:r>
              <w:rPr>
                <w:rFonts w:ascii="Cambria Math" w:hAnsi="Cambria Math" w:cs="Arial"/>
                <w:sz w:val="20"/>
                <w:szCs w:val="20"/>
              </w:rPr>
              <m:t>N</m:t>
            </m:r>
          </m:sub>
          <m:sup>
            <m:r>
              <w:rPr>
                <w:rFonts w:ascii="Cambria Math" w:hAnsi="Arial" w:cs="Arial"/>
                <w:sz w:val="20"/>
                <w:szCs w:val="20"/>
              </w:rPr>
              <m:t>2</m:t>
            </m:r>
          </m:sup>
        </m:sSubSup>
        <m:r>
          <w:rPr>
            <w:rFonts w:ascii="Cambria Math" w:hAnsi="Arial" w:cs="Arial"/>
            <w:sz w:val="20"/>
            <w:szCs w:val="20"/>
          </w:rPr>
          <m:t xml:space="preserve">, </m:t>
        </m:r>
      </m:oMath>
      <w:r w:rsidRPr="00F30DF6">
        <w:rPr>
          <w:rFonts w:ascii="Arial" w:hAnsi="Arial" w:cs="Arial"/>
          <w:sz w:val="20"/>
          <w:szCs w:val="20"/>
        </w:rPr>
        <w:t xml:space="preserve">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F30DF6">
        <w:rPr>
          <w:rFonts w:ascii="Arial" w:hAnsi="Arial" w:cs="Arial"/>
          <w:sz w:val="20"/>
          <w:szCs w:val="20"/>
        </w:rPr>
        <w:t xml:space="preserve"> (i.e., evidence of cointegration), otherwise fail to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r>
          <w:rPr>
            <w:rFonts w:ascii="Cambria Math" w:hAnsi="Arial" w:cs="Arial"/>
            <w:sz w:val="20"/>
            <w:szCs w:val="20"/>
          </w:rPr>
          <m:t>.</m:t>
        </m:r>
      </m:oMath>
    </w:p>
    <w:p w:rsidR="00F30DF6" w:rsidRPr="00F30DF6" w:rsidRDefault="00F30DF6" w:rsidP="00F30DF6">
      <w:pPr>
        <w:pStyle w:val="NormalWeb"/>
        <w:spacing w:before="0" w:beforeAutospacing="0" w:after="0" w:afterAutospacing="0"/>
        <w:jc w:val="both"/>
        <w:rPr>
          <w:rFonts w:ascii="Arial" w:hAnsi="Arial" w:cs="Arial"/>
          <w:b/>
          <w:sz w:val="20"/>
          <w:szCs w:val="20"/>
        </w:rPr>
      </w:pPr>
      <w:r w:rsidRPr="00F30DF6">
        <w:rPr>
          <w:rFonts w:ascii="Arial" w:hAnsi="Arial" w:cs="Arial"/>
          <w:b/>
          <w:sz w:val="20"/>
          <w:szCs w:val="20"/>
        </w:rPr>
        <w:t>2.4 Panel dynamic ordinary least squares (Panel DOLS) model</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The Panel Dynamic Fully Modified Ordinary Least Squares (Panel FMOLS) estimator is a robust econometric technique used for the estimation of long-run co-integrating relationships in panel data environments where variables are non-stationary and potentially co-integrated across cross-sectional units. Originally developed for time series analysis by Stock and </w:t>
      </w:r>
      <w:r w:rsidRPr="00F30DF6">
        <w:rPr>
          <w:rFonts w:ascii="Arial" w:hAnsi="Arial" w:cs="Arial"/>
          <w:sz w:val="20"/>
          <w:szCs w:val="20"/>
        </w:rPr>
        <w:lastRenderedPageBreak/>
        <w:t xml:space="preserve">Watson (1993), the DOLS method was later extended to panel settings by Kao and Chiang (2000) and Pedroni (2000). The key innovation of Panel DOLS lies in its ability to correct for endogeneity and serial correlation by augmenting the co-integrating regression with leads and lags of the first differences of the explanatory variables. </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Let </w:t>
      </w:r>
      <m:oMath>
        <m:r>
          <w:rPr>
            <w:rStyle w:val="katex-mathml"/>
            <w:rFonts w:ascii="Cambria Math" w:hAnsi="Cambria Math" w:cs="Arial"/>
            <w:sz w:val="20"/>
            <w:szCs w:val="20"/>
          </w:rPr>
          <m:t>i</m:t>
        </m:r>
        <m:r>
          <w:rPr>
            <w:rStyle w:val="katex-mathml"/>
            <w:rFonts w:ascii="Cambria Math" w:hAnsi="Arial" w:cs="Arial"/>
            <w:sz w:val="20"/>
            <w:szCs w:val="20"/>
          </w:rPr>
          <m:t>=1,</m:t>
        </m:r>
        <m:r>
          <w:rPr>
            <w:rStyle w:val="katex-mathml"/>
            <w:rFonts w:ascii="Cambria Math" w:hAnsi="Arial" w:cs="Arial"/>
            <w:sz w:val="20"/>
            <w:szCs w:val="20"/>
          </w:rPr>
          <m:t>…</m:t>
        </m:r>
        <m:r>
          <w:rPr>
            <w:rStyle w:val="katex-mathml"/>
            <w:rFonts w:ascii="Cambria Math" w:hAnsi="Arial" w:cs="Arial"/>
            <w:sz w:val="20"/>
            <w:szCs w:val="20"/>
          </w:rPr>
          <m:t>,</m:t>
        </m:r>
        <m:r>
          <w:rPr>
            <w:rStyle w:val="katex-mathml"/>
            <w:rFonts w:ascii="Cambria Math" w:hAnsi="Cambria Math" w:cs="Arial"/>
            <w:sz w:val="20"/>
            <w:szCs w:val="20"/>
          </w:rPr>
          <m:t>N</m:t>
        </m:r>
      </m:oMath>
      <w:r w:rsidRPr="00F30DF6">
        <w:rPr>
          <w:rFonts w:ascii="Arial" w:hAnsi="Arial" w:cs="Arial"/>
          <w:sz w:val="20"/>
          <w:szCs w:val="20"/>
        </w:rPr>
        <w:t xml:space="preserve">index cross-sectional units and </w:t>
      </w:r>
      <m:oMath>
        <m:r>
          <w:rPr>
            <w:rStyle w:val="katex-mathml"/>
            <w:rFonts w:ascii="Cambria Math" w:hAnsi="Cambria Math" w:cs="Arial"/>
            <w:sz w:val="20"/>
            <w:szCs w:val="20"/>
          </w:rPr>
          <m:t>t</m:t>
        </m:r>
        <m:r>
          <w:rPr>
            <w:rStyle w:val="katex-mathml"/>
            <w:rFonts w:ascii="Cambria Math" w:hAnsi="Arial" w:cs="Arial"/>
            <w:sz w:val="20"/>
            <w:szCs w:val="20"/>
          </w:rPr>
          <m:t>=1,</m:t>
        </m:r>
        <m:r>
          <w:rPr>
            <w:rStyle w:val="katex-mathml"/>
            <w:rFonts w:ascii="Cambria Math" w:hAnsi="Arial" w:cs="Arial"/>
            <w:sz w:val="20"/>
            <w:szCs w:val="20"/>
          </w:rPr>
          <m:t>…</m:t>
        </m:r>
        <m:r>
          <w:rPr>
            <w:rStyle w:val="katex-mathml"/>
            <w:rFonts w:ascii="Cambria Math" w:hAnsi="Arial" w:cs="Arial"/>
            <w:sz w:val="20"/>
            <w:szCs w:val="20"/>
          </w:rPr>
          <m:t>,</m:t>
        </m:r>
        <m:r>
          <w:rPr>
            <w:rStyle w:val="katex-mathml"/>
            <w:rFonts w:ascii="Cambria Math" w:hAnsi="Cambria Math" w:cs="Arial"/>
            <w:sz w:val="20"/>
            <w:szCs w:val="20"/>
          </w:rPr>
          <m:t>T</m:t>
        </m:r>
      </m:oMath>
      <w:r w:rsidRPr="00F30DF6">
        <w:rPr>
          <w:rFonts w:ascii="Arial" w:hAnsi="Arial" w:cs="Arial"/>
          <w:sz w:val="20"/>
          <w:szCs w:val="20"/>
        </w:rPr>
        <w:t xml:space="preserve"> index time. The Panel DOLS method can be developed under two major assumptions:</w:t>
      </w:r>
    </w:p>
    <w:p w:rsidR="00F30DF6" w:rsidRPr="00F30DF6" w:rsidRDefault="00F30DF6" w:rsidP="00F30DF6">
      <w:pPr>
        <w:pStyle w:val="NormalWeb"/>
        <w:numPr>
          <w:ilvl w:val="0"/>
          <w:numId w:val="32"/>
        </w:numPr>
        <w:spacing w:before="0" w:beforeAutospacing="0" w:after="0" w:afterAutospacing="0"/>
        <w:jc w:val="both"/>
        <w:rPr>
          <w:rFonts w:ascii="Arial" w:hAnsi="Arial" w:cs="Arial"/>
          <w:sz w:val="20"/>
          <w:szCs w:val="20"/>
        </w:rPr>
      </w:pPr>
      <w:r w:rsidRPr="00F30DF6">
        <w:rPr>
          <w:rFonts w:ascii="Arial" w:hAnsi="Arial" w:cs="Arial"/>
          <w:sz w:val="20"/>
          <w:szCs w:val="20"/>
        </w:rPr>
        <w:t>Homogeneous co-integrating vectors across individuals (Pedroni, 2000)</w:t>
      </w:r>
    </w:p>
    <w:p w:rsidR="00F30DF6" w:rsidRPr="00F30DF6" w:rsidRDefault="00F30DF6" w:rsidP="00F30DF6">
      <w:pPr>
        <w:pStyle w:val="NormalWeb"/>
        <w:numPr>
          <w:ilvl w:val="0"/>
          <w:numId w:val="32"/>
        </w:numPr>
        <w:spacing w:before="0" w:beforeAutospacing="0" w:after="0" w:afterAutospacing="0"/>
        <w:jc w:val="both"/>
        <w:rPr>
          <w:rFonts w:ascii="Arial" w:hAnsi="Arial" w:cs="Arial"/>
          <w:sz w:val="20"/>
          <w:szCs w:val="20"/>
        </w:rPr>
      </w:pPr>
      <w:r w:rsidRPr="00F30DF6">
        <w:rPr>
          <w:rFonts w:ascii="Arial" w:hAnsi="Arial" w:cs="Arial"/>
          <w:sz w:val="20"/>
          <w:szCs w:val="20"/>
        </w:rPr>
        <w:t>Heterogeneous co-integrating vectors (Kao, 1999)</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We now develop the detailed mathematical methodology under both frameworks.</w:t>
      </w:r>
    </w:p>
    <w:p w:rsidR="00F30DF6" w:rsidRPr="00F30DF6" w:rsidRDefault="00F30DF6" w:rsidP="00F30DF6">
      <w:pPr>
        <w:pStyle w:val="NormalWeb"/>
        <w:spacing w:before="0" w:beforeAutospacing="0" w:after="0" w:afterAutospacing="0"/>
        <w:jc w:val="both"/>
        <w:rPr>
          <w:rFonts w:ascii="Arial" w:hAnsi="Arial" w:cs="Arial"/>
          <w:sz w:val="20"/>
          <w:szCs w:val="20"/>
        </w:rPr>
      </w:pPr>
      <w:r w:rsidRPr="00F30DF6">
        <w:rPr>
          <w:rFonts w:ascii="Arial" w:hAnsi="Arial" w:cs="Arial"/>
          <w:sz w:val="20"/>
          <w:szCs w:val="20"/>
        </w:rPr>
        <w:t xml:space="preserve">For panel co-integrating regression model, let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r>
          <m:rPr>
            <m:scr m:val="double-struck"/>
          </m:rPr>
          <w:rPr>
            <w:rFonts w:ascii="Cambria Math" w:hAnsi="Cambria Math" w:cs="Arial"/>
            <w:sz w:val="20"/>
            <w:szCs w:val="20"/>
          </w:rPr>
          <m:t>∈R</m:t>
        </m:r>
      </m:oMath>
      <w:r w:rsidRPr="00F30DF6">
        <w:rPr>
          <w:rFonts w:ascii="Arial" w:hAnsi="Arial" w:cs="Arial"/>
          <w:sz w:val="20"/>
          <w:szCs w:val="20"/>
        </w:rPr>
        <w:t xml:space="preserve"> be the dependent variable, </w:t>
      </w:r>
      <m:oMath>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it</m:t>
            </m:r>
          </m:sub>
        </m:sSub>
        <m:r>
          <w:rPr>
            <w:rFonts w:ascii="Cambria Math" w:hAnsi="Arial" w:cs="Arial"/>
            <w:sz w:val="20"/>
            <w:szCs w:val="20"/>
          </w:rPr>
          <m:t>=</m:t>
        </m:r>
        <m:sSup>
          <m:sSupPr>
            <m:ctrlPr>
              <w:rPr>
                <w:rFonts w:ascii="Cambria Math" w:hAnsi="Arial" w:cs="Arial"/>
                <w:i/>
                <w:sz w:val="20"/>
                <w:szCs w:val="20"/>
              </w:rPr>
            </m:ctrlPr>
          </m:sSupPr>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1, </m:t>
                    </m:r>
                    <m:r>
                      <w:rPr>
                        <w:rFonts w:ascii="Cambria Math" w:hAnsi="Cambria Math" w:cs="Arial"/>
                        <w:sz w:val="20"/>
                        <w:szCs w:val="20"/>
                      </w:rPr>
                      <m:t>it</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2, </m:t>
                    </m:r>
                    <m:r>
                      <w:rPr>
                        <w:rFonts w:ascii="Cambria Math" w:hAnsi="Cambria Math" w:cs="Arial"/>
                        <w:sz w:val="20"/>
                        <w:szCs w:val="20"/>
                      </w:rPr>
                      <m:t>it</m:t>
                    </m:r>
                  </m:sub>
                </m:sSub>
                <m:r>
                  <w:rPr>
                    <w:rFonts w:ascii="Cambria Math" w:hAnsi="Arial" w:cs="Arial"/>
                    <w:sz w:val="20"/>
                    <w:szCs w:val="20"/>
                  </w:rPr>
                  <m:t xml:space="preserve">, </m:t>
                </m:r>
                <m:r>
                  <w:rPr>
                    <w:rFonts w:ascii="Cambria Math" w:hAnsi="Arial" w:cs="Arial"/>
                    <w:sz w:val="20"/>
                    <w:szCs w:val="20"/>
                  </w:rPr>
                  <m:t>…</m:t>
                </m:r>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k</m:t>
                    </m:r>
                    <m:r>
                      <w:rPr>
                        <w:rFonts w:ascii="Cambria Math" w:hAnsi="Arial" w:cs="Arial"/>
                        <w:sz w:val="20"/>
                        <w:szCs w:val="20"/>
                      </w:rPr>
                      <m:t xml:space="preserve">, </m:t>
                    </m:r>
                    <m:r>
                      <w:rPr>
                        <w:rFonts w:ascii="Cambria Math" w:hAnsi="Cambria Math" w:cs="Arial"/>
                        <w:sz w:val="20"/>
                        <w:szCs w:val="20"/>
                      </w:rPr>
                      <m:t>it</m:t>
                    </m:r>
                  </m:sub>
                </m:sSub>
              </m:e>
            </m:d>
          </m:e>
          <m:sup>
            <m:r>
              <w:rPr>
                <w:rFonts w:ascii="Cambria Math" w:hAnsi="Arial" w:cs="Arial"/>
                <w:sz w:val="20"/>
                <w:szCs w:val="20"/>
              </w:rPr>
              <m:t>'</m:t>
            </m:r>
          </m:sup>
        </m:sSup>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Cambria Math" w:hAnsi="Cambria Math" w:cs="Arial"/>
                <w:sz w:val="20"/>
                <w:szCs w:val="20"/>
              </w:rPr>
              <m:t>R</m:t>
            </m:r>
          </m:e>
          <m:sup>
            <m:r>
              <w:rPr>
                <w:rFonts w:ascii="Cambria Math" w:hAnsi="Cambria Math" w:cs="Arial"/>
                <w:sz w:val="20"/>
                <w:szCs w:val="20"/>
              </w:rPr>
              <m:t>k</m:t>
            </m:r>
          </m:sup>
        </m:sSup>
      </m:oMath>
      <w:r w:rsidRPr="00F30DF6">
        <w:rPr>
          <w:rFonts w:ascii="Arial" w:hAnsi="Arial" w:cs="Arial"/>
          <w:sz w:val="20"/>
          <w:szCs w:val="20"/>
        </w:rPr>
        <w:t xml:space="preserve"> be a </w:t>
      </w:r>
      <m:oMath>
        <m:r>
          <w:rPr>
            <w:rStyle w:val="mord"/>
            <w:rFonts w:ascii="Cambria Math" w:hAnsi="Cambria Math" w:cs="Arial"/>
            <w:sz w:val="20"/>
            <w:szCs w:val="20"/>
          </w:rPr>
          <m:t>k</m:t>
        </m:r>
        <m:r>
          <w:rPr>
            <w:rStyle w:val="mbin"/>
            <w:rFonts w:ascii="Cambria Math" w:hAnsi="Arial" w:cs="Arial"/>
            <w:sz w:val="20"/>
            <w:szCs w:val="20"/>
          </w:rPr>
          <m:t>×</m:t>
        </m:r>
        <m:r>
          <m:rPr>
            <m:sty m:val="p"/>
          </m:rPr>
          <w:rPr>
            <w:rStyle w:val="mord"/>
            <w:rFonts w:ascii="Cambria Math" w:hAnsi="Arial" w:cs="Arial"/>
            <w:sz w:val="20"/>
            <w:szCs w:val="20"/>
          </w:rPr>
          <m:t>1</m:t>
        </m:r>
      </m:oMath>
      <w:r w:rsidRPr="00F30DF6">
        <w:rPr>
          <w:rFonts w:ascii="Arial" w:hAnsi="Arial" w:cs="Arial"/>
          <w:sz w:val="20"/>
          <w:szCs w:val="20"/>
        </w:rPr>
        <w:t xml:space="preserve"> vector of explanatory variables. Assume all variables are integrated of order one, i.e.,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r>
          <w:rPr>
            <w:rFonts w:ascii="Cambria Math" w:hAnsi="Cambria Math" w:cs="Arial"/>
            <w:sz w:val="20"/>
            <w:szCs w:val="20"/>
          </w:rPr>
          <m:t>I</m:t>
        </m:r>
        <m:r>
          <w:rPr>
            <w:rFonts w:ascii="Cambria Math" w:hAnsi="Arial" w:cs="Arial"/>
            <w:sz w:val="20"/>
            <w:szCs w:val="20"/>
          </w:rPr>
          <m:t>(1)</m:t>
        </m:r>
      </m:oMath>
      <w:r w:rsidRPr="00F30DF6">
        <w:rPr>
          <w:rFonts w:ascii="Arial" w:hAnsi="Arial" w:cs="Arial"/>
          <w:sz w:val="20"/>
          <w:szCs w:val="20"/>
        </w:rPr>
        <w:t xml:space="preserve">, </w:t>
      </w:r>
      <m:oMath>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it</m:t>
            </m:r>
          </m:sub>
        </m:sSub>
        <m:r>
          <w:rPr>
            <w:rFonts w:ascii="Cambria Math" w:hAnsi="Arial" w:cs="Arial"/>
            <w:sz w:val="20"/>
            <w:szCs w:val="20"/>
          </w:rPr>
          <m:t>~</m:t>
        </m:r>
        <m:r>
          <w:rPr>
            <w:rFonts w:ascii="Cambria Math" w:hAnsi="Cambria Math" w:cs="Arial"/>
            <w:sz w:val="20"/>
            <w:szCs w:val="20"/>
          </w:rPr>
          <m:t>I</m:t>
        </m:r>
        <m:r>
          <w:rPr>
            <w:rFonts w:ascii="Cambria Math" w:hAnsi="Arial" w:cs="Arial"/>
            <w:sz w:val="20"/>
            <w:szCs w:val="20"/>
          </w:rPr>
          <m:t>(1)</m:t>
        </m:r>
      </m:oMath>
      <w:r w:rsidRPr="00F30DF6">
        <w:rPr>
          <w:rFonts w:ascii="Arial" w:hAnsi="Arial" w:cs="Arial"/>
          <w:sz w:val="20"/>
          <w:szCs w:val="20"/>
        </w:rPr>
        <w:t xml:space="preserve">. Further assume there exists a cointegration relationship between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oMath>
      <w:r w:rsidRPr="00F30DF6">
        <w:rPr>
          <w:rFonts w:ascii="Arial" w:hAnsi="Arial" w:cs="Arial"/>
          <w:sz w:val="20"/>
          <w:szCs w:val="20"/>
        </w:rPr>
        <w:t xml:space="preserve"> and </w:t>
      </w:r>
      <m:oMath>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it</m:t>
            </m:r>
          </m:sub>
        </m:sSub>
      </m:oMath>
      <w:r w:rsidRPr="00F30DF6">
        <w:rPr>
          <w:rStyle w:val="vlist-s"/>
          <w:rFonts w:ascii="Arial" w:hAnsi="Arial" w:cs="Arial"/>
          <w:sz w:val="20"/>
          <w:szCs w:val="20"/>
        </w:rPr>
        <w:t>​</w:t>
      </w:r>
      <w:r w:rsidRPr="00F30DF6">
        <w:rPr>
          <w:rFonts w:ascii="Arial" w:hAnsi="Arial" w:cs="Arial"/>
          <w:sz w:val="20"/>
          <w:szCs w:val="20"/>
        </w:rPr>
        <w:t xml:space="preserve">. The co-integrating model for each unit </w:t>
      </w:r>
      <m:oMath>
        <m:r>
          <w:rPr>
            <w:rStyle w:val="katex-mathml"/>
            <w:rFonts w:ascii="Cambria Math" w:hAnsi="Cambria Math" w:cs="Arial"/>
            <w:sz w:val="20"/>
            <w:szCs w:val="20"/>
          </w:rPr>
          <m:t>i</m:t>
        </m:r>
      </m:oMath>
      <w:r w:rsidRPr="00F30DF6">
        <w:rPr>
          <w:rFonts w:ascii="Arial" w:hAnsi="Arial" w:cs="Arial"/>
          <w:sz w:val="20"/>
          <w:szCs w:val="20"/>
        </w:rPr>
        <w:t xml:space="preserve"> is given in Equation (16):</w:t>
      </w:r>
    </w:p>
    <w:p w:rsidR="00F30DF6" w:rsidRPr="00D02DEE" w:rsidRDefault="00FB352D" w:rsidP="00D02DEE">
      <w:pPr>
        <w:pStyle w:val="NormalWeb"/>
        <w:spacing w:before="0" w:beforeAutospacing="0" w:after="0" w:afterAutospacing="0"/>
        <w:ind w:left="2880" w:firstLine="72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r>
          <w:rPr>
            <w:rFonts w:ascii="Cambria Math" w:hAnsi="Arial" w:cs="Arial"/>
            <w:sz w:val="20"/>
            <w:szCs w:val="20"/>
          </w:rPr>
          <m:t>+</m:t>
        </m:r>
        <m:sSubSup>
          <m:sSubSupPr>
            <m:ctrlPr>
              <w:rPr>
                <w:rFonts w:ascii="Cambria Math" w:hAnsi="Arial" w:cs="Arial"/>
                <w:i/>
                <w:sz w:val="20"/>
                <w:szCs w:val="20"/>
              </w:rPr>
            </m:ctrlPr>
          </m:sSubSupPr>
          <m:e>
            <m:r>
              <m:rPr>
                <m:sty m:val="bi"/>
              </m:rPr>
              <w:rPr>
                <w:rFonts w:ascii="Cambria Math" w:hAnsi="Cambria Math" w:cs="Arial"/>
                <w:sz w:val="20"/>
                <w:szCs w:val="20"/>
              </w:rPr>
              <m:t>x</m:t>
            </m:r>
          </m:e>
          <m:sub>
            <m:r>
              <w:rPr>
                <w:rFonts w:ascii="Cambria Math" w:hAnsi="Cambria Math" w:cs="Arial"/>
                <w:sz w:val="20"/>
                <w:szCs w:val="20"/>
              </w:rPr>
              <m:t>it</m:t>
            </m:r>
          </m:sub>
          <m:sup>
            <m:r>
              <w:rPr>
                <w:rFonts w:ascii="Arial" w:hAnsi="Arial" w:cs="Arial"/>
                <w:sz w:val="20"/>
                <w:szCs w:val="20"/>
              </w:rPr>
              <m:t>'</m:t>
            </m:r>
          </m:sup>
        </m:sSubSup>
        <m:sSub>
          <m:sSubPr>
            <m:ctrlPr>
              <w:rPr>
                <w:rFonts w:ascii="Cambria Math" w:hAnsi="Arial" w:cs="Arial"/>
                <w:i/>
                <w:sz w:val="20"/>
                <w:szCs w:val="20"/>
              </w:rPr>
            </m:ctrlPr>
          </m:sSubPr>
          <m:e>
            <m:r>
              <m:rPr>
                <m:sty m:val="bi"/>
              </m:rPr>
              <w:rPr>
                <w:rFonts w:ascii="Cambria Math" w:hAnsi="Cambria Math" w:cs="Arial"/>
                <w:sz w:val="20"/>
                <w:szCs w:val="20"/>
              </w:rPr>
              <m:t>β</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u</m:t>
            </m:r>
          </m:e>
          <m:sub>
            <m:r>
              <w:rPr>
                <w:rFonts w:ascii="Cambria Math" w:hAnsi="Cambria Math" w:cs="Arial"/>
                <w:sz w:val="20"/>
                <w:szCs w:val="20"/>
              </w:rPr>
              <m:t>it</m:t>
            </m:r>
          </m:sub>
        </m:sSub>
      </m:oMath>
      <w:r w:rsidR="00F30DF6" w:rsidRPr="00D02DEE">
        <w:rPr>
          <w:rFonts w:ascii="Arial" w:hAnsi="Arial" w:cs="Arial"/>
          <w:sz w:val="20"/>
          <w:szCs w:val="20"/>
        </w:rPr>
        <w:tab/>
      </w:r>
      <w:r w:rsidR="00F30DF6" w:rsidRPr="00D02DEE">
        <w:rPr>
          <w:rFonts w:ascii="Arial" w:hAnsi="Arial" w:cs="Arial"/>
          <w:sz w:val="20"/>
          <w:szCs w:val="20"/>
        </w:rPr>
        <w:tab/>
        <w:t xml:space="preserve"> (16)</w:t>
      </w:r>
    </w:p>
    <w:p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oMath>
      <w:r w:rsidRPr="00D02DEE">
        <w:rPr>
          <w:rFonts w:ascii="Arial" w:hAnsi="Arial" w:cs="Arial"/>
          <w:sz w:val="20"/>
          <w:szCs w:val="20"/>
        </w:rPr>
        <w:t xml:space="preserve">is the individual-specific intercept, </w:t>
      </w:r>
      <m:oMath>
        <m:sSub>
          <m:sSubPr>
            <m:ctrlPr>
              <w:rPr>
                <w:rFonts w:ascii="Cambria Math" w:hAnsi="Arial" w:cs="Arial"/>
                <w:i/>
                <w:sz w:val="20"/>
                <w:szCs w:val="20"/>
              </w:rPr>
            </m:ctrlPr>
          </m:sSubPr>
          <m:e>
            <m:r>
              <m:rPr>
                <m:sty m:val="bi"/>
              </m:rPr>
              <w:rPr>
                <w:rFonts w:ascii="Cambria Math" w:hAnsi="Cambria Math" w:cs="Arial"/>
                <w:sz w:val="20"/>
                <w:szCs w:val="20"/>
              </w:rPr>
              <m:t>β</m:t>
            </m:r>
          </m:e>
          <m:sub>
            <m:r>
              <w:rPr>
                <w:rFonts w:ascii="Cambria Math" w:hAnsi="Cambria Math" w:cs="Arial"/>
                <w:sz w:val="20"/>
                <w:szCs w:val="20"/>
              </w:rPr>
              <m:t>i</m:t>
            </m:r>
          </m:sub>
        </m:sSub>
      </m:oMath>
      <w:r w:rsidRPr="00D02DEE">
        <w:rPr>
          <w:rFonts w:ascii="Arial" w:hAnsi="Arial" w:cs="Arial"/>
          <w:sz w:val="20"/>
          <w:szCs w:val="20"/>
        </w:rPr>
        <w:t xml:space="preserve"> is cointegrating vector, </w:t>
      </w:r>
      <m:oMath>
        <m:sSub>
          <m:sSubPr>
            <m:ctrlPr>
              <w:rPr>
                <w:rFonts w:ascii="Cambria Math" w:hAnsi="Arial" w:cs="Arial"/>
                <w:i/>
                <w:sz w:val="20"/>
                <w:szCs w:val="20"/>
              </w:rPr>
            </m:ctrlPr>
          </m:sSubPr>
          <m:e>
            <m:r>
              <w:rPr>
                <w:rFonts w:ascii="Cambria Math" w:hAnsi="Cambria Math" w:cs="Arial"/>
                <w:sz w:val="20"/>
                <w:szCs w:val="20"/>
              </w:rPr>
              <m:t>u</m:t>
            </m:r>
          </m:e>
          <m:sub>
            <m:r>
              <w:rPr>
                <w:rFonts w:ascii="Cambria Math" w:hAnsi="Cambria Math" w:cs="Arial"/>
                <w:sz w:val="20"/>
                <w:szCs w:val="20"/>
              </w:rPr>
              <m:t>it</m:t>
            </m:r>
          </m:sub>
        </m:sSub>
        <m:r>
          <w:rPr>
            <w:rFonts w:ascii="Cambria Math" w:hAnsi="Arial" w:cs="Arial"/>
            <w:sz w:val="20"/>
            <w:szCs w:val="20"/>
          </w:rPr>
          <m:t>~</m:t>
        </m:r>
        <m:r>
          <w:rPr>
            <w:rFonts w:ascii="Cambria Math" w:hAnsi="Cambria Math" w:cs="Arial"/>
            <w:sz w:val="20"/>
            <w:szCs w:val="20"/>
          </w:rPr>
          <m:t>I</m:t>
        </m:r>
        <m:d>
          <m:dPr>
            <m:ctrlPr>
              <w:rPr>
                <w:rFonts w:ascii="Cambria Math" w:hAnsi="Arial" w:cs="Arial"/>
                <w:i/>
                <w:sz w:val="20"/>
                <w:szCs w:val="20"/>
              </w:rPr>
            </m:ctrlPr>
          </m:dPr>
          <m:e>
            <m:r>
              <w:rPr>
                <w:rFonts w:ascii="Cambria Math" w:hAnsi="Arial" w:cs="Arial"/>
                <w:sz w:val="20"/>
                <w:szCs w:val="20"/>
              </w:rPr>
              <m:t>0</m:t>
            </m:r>
          </m:e>
        </m:d>
      </m:oMath>
      <w:r w:rsidRPr="00D02DEE">
        <w:rPr>
          <w:rFonts w:ascii="Arial" w:hAnsi="Arial" w:cs="Arial"/>
          <w:sz w:val="20"/>
          <w:szCs w:val="20"/>
        </w:rPr>
        <w:t xml:space="preserve"> is stationary cointegrating residual. To correct for endogeneity and serial correlation, the DOLS model augments the cointegration equation with leads and lags of the first differences of </w:t>
      </w:r>
      <m:oMath>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it</m:t>
            </m:r>
          </m:sub>
        </m:sSub>
      </m:oMath>
      <w:r w:rsidRPr="00D02DEE">
        <w:rPr>
          <w:rFonts w:ascii="Arial" w:hAnsi="Arial" w:cs="Arial"/>
          <w:sz w:val="20"/>
          <w:szCs w:val="20"/>
        </w:rPr>
        <w:t xml:space="preserve"> given in Equation (17) as:</w:t>
      </w:r>
    </w:p>
    <w:p w:rsidR="00F30DF6" w:rsidRPr="00D02DEE" w:rsidRDefault="00FB352D" w:rsidP="00D02DEE">
      <w:pPr>
        <w:pStyle w:val="NormalWeb"/>
        <w:spacing w:before="0" w:beforeAutospacing="0" w:after="0" w:afterAutospacing="0"/>
        <w:ind w:left="2160" w:firstLine="72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r>
          <w:rPr>
            <w:rFonts w:ascii="Cambria Math" w:hAnsi="Arial" w:cs="Arial"/>
            <w:sz w:val="20"/>
            <w:szCs w:val="20"/>
          </w:rPr>
          <m:t>+</m:t>
        </m:r>
        <m:sSubSup>
          <m:sSubSupPr>
            <m:ctrlPr>
              <w:rPr>
                <w:rFonts w:ascii="Cambria Math" w:hAnsi="Arial" w:cs="Arial"/>
                <w:i/>
                <w:sz w:val="20"/>
                <w:szCs w:val="20"/>
              </w:rPr>
            </m:ctrlPr>
          </m:sSubSupPr>
          <m:e>
            <m:r>
              <m:rPr>
                <m:sty m:val="bi"/>
              </m:rPr>
              <w:rPr>
                <w:rFonts w:ascii="Cambria Math" w:hAnsi="Cambria Math" w:cs="Arial"/>
                <w:sz w:val="20"/>
                <w:szCs w:val="20"/>
              </w:rPr>
              <m:t>x</m:t>
            </m:r>
          </m:e>
          <m:sub>
            <m:r>
              <w:rPr>
                <w:rFonts w:ascii="Cambria Math" w:hAnsi="Cambria Math" w:cs="Arial"/>
                <w:sz w:val="20"/>
                <w:szCs w:val="20"/>
              </w:rPr>
              <m:t>it</m:t>
            </m:r>
          </m:sub>
          <m:sup>
            <m:r>
              <w:rPr>
                <w:rFonts w:ascii="Cambria Math" w:hAnsi="Arial" w:cs="Arial"/>
                <w:sz w:val="20"/>
                <w:szCs w:val="20"/>
              </w:rPr>
              <m:t>'</m:t>
            </m:r>
          </m:sup>
        </m:sSubSup>
        <m:sSub>
          <m:sSubPr>
            <m:ctrlPr>
              <w:rPr>
                <w:rFonts w:ascii="Cambria Math" w:hAnsi="Arial" w:cs="Arial"/>
                <w:i/>
                <w:sz w:val="20"/>
                <w:szCs w:val="20"/>
              </w:rPr>
            </m:ctrlPr>
          </m:sSubPr>
          <m:e>
            <m:r>
              <m:rPr>
                <m:sty m:val="bi"/>
              </m:rPr>
              <w:rPr>
                <w:rFonts w:ascii="Cambria Math" w:hAnsi="Cambria Math" w:cs="Arial"/>
                <w:sz w:val="20"/>
                <w:szCs w:val="20"/>
              </w:rPr>
              <m:t>β</m:t>
            </m:r>
          </m:e>
          <m:sub>
            <m:r>
              <w:rPr>
                <w:rFonts w:ascii="Cambria Math" w:hAnsi="Cambria Math" w:cs="Arial"/>
                <w:sz w:val="20"/>
                <w:szCs w:val="20"/>
              </w:rPr>
              <m:t>i</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m:t>
            </m:r>
            <m:r>
              <w:rPr>
                <w:rFonts w:ascii="Cambria Math" w:hAnsi="Arial" w:cs="Arial"/>
                <w:sz w:val="20"/>
                <w:szCs w:val="20"/>
              </w:rPr>
              <m:t>-</m:t>
            </m:r>
            <m:r>
              <w:rPr>
                <w:rFonts w:ascii="Cambria Math" w:hAnsi="Cambria Math" w:cs="Arial"/>
                <w:sz w:val="20"/>
                <w:szCs w:val="20"/>
              </w:rPr>
              <m:t>q</m:t>
            </m:r>
          </m:sub>
          <m:sup>
            <m:r>
              <w:rPr>
                <w:rFonts w:ascii="Cambria Math" w:hAnsi="Cambria Math" w:cs="Arial"/>
                <w:sz w:val="20"/>
                <w:szCs w:val="20"/>
              </w:rPr>
              <m:t>p</m:t>
            </m:r>
          </m:sup>
          <m:e>
            <m:sSubSup>
              <m:sSubSupPr>
                <m:ctrlPr>
                  <w:rPr>
                    <w:rFonts w:ascii="Cambria Math" w:hAnsi="Arial" w:cs="Arial"/>
                    <w:i/>
                    <w:sz w:val="20"/>
                    <w:szCs w:val="20"/>
                  </w:rPr>
                </m:ctrlPr>
              </m:sSubSupPr>
              <m:e>
                <m:r>
                  <m:rPr>
                    <m:sty m:val="bi"/>
                  </m:rPr>
                  <w:rPr>
                    <w:rFonts w:ascii="Cambria Math" w:hAnsi="Cambria Math" w:cs="Arial"/>
                    <w:sz w:val="20"/>
                    <w:szCs w:val="20"/>
                  </w:rPr>
                  <m:t>C</m:t>
                </m:r>
              </m:e>
              <m:sub>
                <m:r>
                  <w:rPr>
                    <w:rFonts w:ascii="Cambria Math" w:hAnsi="Cambria Math" w:cs="Arial"/>
                    <w:sz w:val="20"/>
                    <w:szCs w:val="20"/>
                  </w:rPr>
                  <m:t>ij</m:t>
                </m:r>
              </m:sub>
              <m:sup>
                <m:r>
                  <w:rPr>
                    <w:rFonts w:ascii="Cambria Math" w:hAnsi="Arial" w:cs="Arial"/>
                    <w:sz w:val="20"/>
                    <w:szCs w:val="20"/>
                  </w:rPr>
                  <m:t>'</m:t>
                </m:r>
              </m:sup>
            </m:sSubSup>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j</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it</m:t>
                </m:r>
              </m:sub>
            </m:sSub>
          </m:e>
        </m:nary>
      </m:oMath>
      <w:r w:rsidR="00F30DF6" w:rsidRPr="00D02DEE">
        <w:rPr>
          <w:rFonts w:ascii="Arial" w:hAnsi="Arial" w:cs="Arial"/>
          <w:sz w:val="20"/>
          <w:szCs w:val="20"/>
        </w:rPr>
        <w:tab/>
        <w:t xml:space="preserve">  (17)</w:t>
      </w:r>
    </w:p>
    <w:p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 xml:space="preserve">where </w:t>
      </w:r>
      <m:oMath>
        <m:r>
          <w:rPr>
            <w:rStyle w:val="mord"/>
            <w:rFonts w:ascii="Cambria Math" w:hAnsi="Cambria Math" w:cs="Arial"/>
            <w:sz w:val="20"/>
            <w:szCs w:val="20"/>
          </w:rPr>
          <m:t>p</m:t>
        </m:r>
      </m:oMath>
      <w:r w:rsidRPr="00D02DEE">
        <w:rPr>
          <w:rFonts w:ascii="Arial" w:hAnsi="Arial" w:cs="Arial"/>
          <w:sz w:val="20"/>
          <w:szCs w:val="20"/>
        </w:rPr>
        <w:t xml:space="preserve"> is the number of leads, </w:t>
      </w:r>
      <m:oMath>
        <m:r>
          <w:rPr>
            <w:rStyle w:val="mord"/>
            <w:rFonts w:ascii="Cambria Math" w:hAnsi="Cambria Math" w:cs="Arial"/>
            <w:sz w:val="20"/>
            <w:szCs w:val="20"/>
          </w:rPr>
          <m:t>q</m:t>
        </m:r>
      </m:oMath>
      <w:r w:rsidRPr="00D02DEE">
        <w:rPr>
          <w:rFonts w:ascii="Arial" w:hAnsi="Arial" w:cs="Arial"/>
          <w:sz w:val="20"/>
          <w:szCs w:val="20"/>
        </w:rPr>
        <w:t xml:space="preserve"> is the number of lags, </w:t>
      </w:r>
      <m:oMath>
        <m:sSub>
          <m:sSubPr>
            <m:ctrlPr>
              <w:rPr>
                <w:rFonts w:ascii="Cambria Math" w:hAnsi="Arial" w:cs="Arial"/>
                <w:i/>
                <w:sz w:val="20"/>
                <w:szCs w:val="20"/>
              </w:rPr>
            </m:ctrlPr>
          </m:sSubPr>
          <m:e>
            <m:r>
              <m:rPr>
                <m:sty m:val="bi"/>
              </m:rPr>
              <w:rPr>
                <w:rFonts w:ascii="Cambria Math" w:hAnsi="Cambria Math" w:cs="Arial"/>
                <w:sz w:val="20"/>
                <w:szCs w:val="20"/>
              </w:rPr>
              <m:t>C</m:t>
            </m:r>
          </m:e>
          <m:sub>
            <m:r>
              <w:rPr>
                <w:rFonts w:ascii="Cambria Math" w:hAnsi="Cambria Math" w:cs="Arial"/>
                <w:sz w:val="20"/>
                <w:szCs w:val="20"/>
              </w:rPr>
              <m:t>ij</m:t>
            </m:r>
          </m:sub>
        </m:sSub>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r>
              <w:rPr>
                <w:rFonts w:ascii="Cambria Math" w:hAnsi="Cambria Math" w:cs="Arial"/>
                <w:sz w:val="20"/>
                <w:szCs w:val="20"/>
              </w:rPr>
              <m:t>k</m:t>
            </m:r>
          </m:sup>
        </m:sSup>
      </m:oMath>
      <w:r w:rsidRPr="00D02DEE">
        <w:rPr>
          <w:rFonts w:ascii="Arial" w:hAnsi="Arial" w:cs="Arial"/>
          <w:sz w:val="20"/>
          <w:szCs w:val="20"/>
        </w:rPr>
        <w:t xml:space="preserve"> coefficient vector for the </w:t>
      </w:r>
      <m:oMath>
        <m:r>
          <w:rPr>
            <w:rStyle w:val="katex-mathml"/>
            <w:rFonts w:ascii="Cambria Math" w:hAnsi="Cambria Math" w:cs="Arial"/>
            <w:sz w:val="20"/>
            <w:szCs w:val="20"/>
          </w:rPr>
          <m:t>j</m:t>
        </m:r>
      </m:oMath>
      <w:r w:rsidRPr="00D02DEE">
        <w:rPr>
          <w:rFonts w:ascii="Arial" w:hAnsi="Arial" w:cs="Arial"/>
          <w:sz w:val="20"/>
          <w:szCs w:val="20"/>
        </w:rPr>
        <w:t xml:space="preserve">-th difference of </w:t>
      </w:r>
      <m:oMath>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it</m:t>
            </m:r>
          </m:sub>
        </m:sSub>
      </m:oMath>
      <w:r w:rsidRPr="00D02DEE">
        <w:rPr>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it</m:t>
            </m:r>
          </m:sub>
        </m:sSub>
        <m:r>
          <w:rPr>
            <w:rFonts w:ascii="Cambria Math" w:hAnsi="Arial" w:cs="Arial"/>
            <w:sz w:val="20"/>
            <w:szCs w:val="20"/>
          </w:rPr>
          <m:t>~</m:t>
        </m:r>
        <m:r>
          <w:rPr>
            <w:rStyle w:val="mord"/>
            <w:rFonts w:ascii="Cambria Math" w:hAnsi="Cambria Math" w:cs="Arial"/>
            <w:sz w:val="20"/>
            <w:szCs w:val="20"/>
          </w:rPr>
          <m:t>IID</m:t>
        </m:r>
        <m:d>
          <m:dPr>
            <m:ctrlPr>
              <w:rPr>
                <w:rFonts w:ascii="Cambria Math" w:hAnsi="Arial" w:cs="Arial"/>
                <w:i/>
                <w:sz w:val="20"/>
                <w:szCs w:val="20"/>
              </w:rPr>
            </m:ctrlPr>
          </m:dPr>
          <m:e>
            <m:r>
              <w:rPr>
                <w:rStyle w:val="mopen"/>
                <w:rFonts w:ascii="Cambria Math" w:hAnsi="Arial" w:cs="Arial"/>
                <w:sz w:val="20"/>
                <w:szCs w:val="20"/>
              </w:rPr>
              <m:t xml:space="preserve">0, </m:t>
            </m:r>
            <m:sSup>
              <m:sSupPr>
                <m:ctrlPr>
                  <w:rPr>
                    <w:rFonts w:ascii="Cambria Math" w:hAnsi="Arial" w:cs="Arial"/>
                    <w:i/>
                    <w:sz w:val="20"/>
                    <w:szCs w:val="20"/>
                  </w:rPr>
                </m:ctrlPr>
              </m:sSupPr>
              <m:e>
                <m:r>
                  <w:rPr>
                    <w:rStyle w:val="mopen"/>
                    <w:rFonts w:ascii="Cambria Math" w:hAnsi="Cambria Math" w:cs="Arial"/>
                    <w:sz w:val="20"/>
                    <w:szCs w:val="20"/>
                  </w:rPr>
                  <m:t>σ</m:t>
                </m:r>
              </m:e>
              <m:sup>
                <m:r>
                  <w:rPr>
                    <w:rStyle w:val="mopen"/>
                    <w:rFonts w:ascii="Cambria Math" w:hAnsi="Arial" w:cs="Arial"/>
                    <w:sz w:val="20"/>
                    <w:szCs w:val="20"/>
                  </w:rPr>
                  <m:t>2</m:t>
                </m:r>
              </m:sup>
            </m:sSup>
          </m:e>
        </m:d>
      </m:oMath>
      <w:r w:rsidRPr="00D02DEE">
        <w:rPr>
          <w:rFonts w:ascii="Arial" w:hAnsi="Arial" w:cs="Arial"/>
          <w:sz w:val="20"/>
          <w:szCs w:val="20"/>
        </w:rPr>
        <w:t xml:space="preserve"> is white noise disturbance. To ensure consistency and asymptotic normality, we make the following assumptions</w:t>
      </w:r>
    </w:p>
    <w:p w:rsidR="00F30DF6" w:rsidRPr="00D02DEE" w:rsidRDefault="00FB352D" w:rsidP="00F30DF6">
      <w:pPr>
        <w:pStyle w:val="NormalWeb"/>
        <w:numPr>
          <w:ilvl w:val="0"/>
          <w:numId w:val="34"/>
        </w:numPr>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 xml:space="preserve">, </m:t>
        </m:r>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it</m:t>
            </m:r>
          </m:sub>
        </m:sSub>
        <m:r>
          <w:rPr>
            <w:rFonts w:ascii="Cambria Math" w:hAnsi="Arial" w:cs="Arial"/>
            <w:sz w:val="20"/>
            <w:szCs w:val="20"/>
          </w:rPr>
          <m:t>~</m:t>
        </m:r>
        <m:r>
          <w:rPr>
            <w:rFonts w:ascii="Cambria Math" w:hAnsi="Cambria Math" w:cs="Arial"/>
            <w:sz w:val="20"/>
            <w:szCs w:val="20"/>
          </w:rPr>
          <m:t>I</m:t>
        </m:r>
        <m:r>
          <w:rPr>
            <w:rFonts w:ascii="Cambria Math" w:hAnsi="Arial" w:cs="Arial"/>
            <w:sz w:val="20"/>
            <w:szCs w:val="20"/>
          </w:rPr>
          <m:t>(1)</m:t>
        </m:r>
      </m:oMath>
      <w:r w:rsidR="00F30DF6" w:rsidRPr="00D02DEE">
        <w:rPr>
          <w:rFonts w:ascii="Arial" w:hAnsi="Arial" w:cs="Arial"/>
          <w:sz w:val="20"/>
          <w:szCs w:val="20"/>
        </w:rPr>
        <w:t xml:space="preserve"> for all </w:t>
      </w:r>
      <m:oMath>
        <m:r>
          <w:rPr>
            <w:rFonts w:ascii="Cambria Math" w:hAnsi="Cambria Math" w:cs="Arial"/>
            <w:sz w:val="20"/>
            <w:szCs w:val="20"/>
          </w:rPr>
          <m:t>i</m:t>
        </m:r>
      </m:oMath>
      <w:r w:rsidR="00F30DF6" w:rsidRPr="00D02DEE">
        <w:rPr>
          <w:rFonts w:ascii="Arial" w:hAnsi="Arial" w:cs="Arial"/>
          <w:sz w:val="20"/>
          <w:szCs w:val="20"/>
        </w:rPr>
        <w:t>.</w:t>
      </w:r>
    </w:p>
    <w:p w:rsidR="00F30DF6" w:rsidRPr="00D02DEE" w:rsidRDefault="00F30DF6" w:rsidP="00F30DF6">
      <w:pPr>
        <w:pStyle w:val="NormalWeb"/>
        <w:numPr>
          <w:ilvl w:val="0"/>
          <w:numId w:val="34"/>
        </w:numPr>
        <w:spacing w:before="0" w:beforeAutospacing="0" w:after="0" w:afterAutospacing="0"/>
        <w:jc w:val="both"/>
        <w:rPr>
          <w:rFonts w:ascii="Arial" w:hAnsi="Arial" w:cs="Arial"/>
          <w:sz w:val="20"/>
          <w:szCs w:val="20"/>
        </w:rPr>
      </w:pPr>
      <w:r w:rsidRPr="00D02DEE">
        <w:rPr>
          <w:rFonts w:ascii="Arial" w:hAnsi="Arial" w:cs="Arial"/>
          <w:sz w:val="20"/>
          <w:szCs w:val="20"/>
        </w:rPr>
        <w:t xml:space="preserve">Cointegration: There exists </w:t>
      </w:r>
      <m:oMath>
        <m:sSub>
          <m:sSubPr>
            <m:ctrlPr>
              <w:rPr>
                <w:rFonts w:ascii="Cambria Math" w:hAnsi="Arial" w:cs="Arial"/>
                <w:i/>
                <w:sz w:val="20"/>
                <w:szCs w:val="20"/>
              </w:rPr>
            </m:ctrlPr>
          </m:sSubPr>
          <m:e>
            <m:r>
              <m:rPr>
                <m:sty m:val="bi"/>
              </m:rPr>
              <w:rPr>
                <w:rFonts w:ascii="Cambria Math" w:hAnsi="Cambria Math" w:cs="Arial"/>
                <w:sz w:val="20"/>
                <w:szCs w:val="20"/>
              </w:rPr>
              <m:t>β</m:t>
            </m:r>
          </m:e>
          <m:sub>
            <m:r>
              <w:rPr>
                <w:rFonts w:ascii="Cambria Math" w:hAnsi="Cambria Math" w:cs="Arial"/>
                <w:sz w:val="20"/>
                <w:szCs w:val="20"/>
              </w:rPr>
              <m:t>i</m:t>
            </m:r>
          </m:sub>
        </m:sSub>
      </m:oMath>
      <w:r w:rsidRPr="00D02DEE">
        <w:rPr>
          <w:rFonts w:ascii="Arial" w:hAnsi="Arial" w:cs="Arial"/>
          <w:sz w:val="20"/>
          <w:szCs w:val="20"/>
        </w:rPr>
        <w:t xml:space="preserve"> such that </w:t>
      </w:r>
      <m:oMath>
        <m:sSub>
          <m:sSubPr>
            <m:ctrlPr>
              <w:rPr>
                <w:rFonts w:ascii="Cambria Math" w:hAnsi="Arial" w:cs="Arial"/>
                <w:i/>
                <w:sz w:val="20"/>
                <w:szCs w:val="20"/>
              </w:rPr>
            </m:ctrlPr>
          </m:sSubPr>
          <m:e>
            <m:r>
              <w:rPr>
                <w:rFonts w:ascii="Cambria Math" w:hAnsi="Cambria Math" w:cs="Arial"/>
                <w:sz w:val="20"/>
                <w:szCs w:val="20"/>
              </w:rPr>
              <m:t>u</m:t>
            </m:r>
          </m:e>
          <m:sub>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r>
          <w:rPr>
            <w:rFonts w:ascii="Arial"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r>
          <w:rPr>
            <w:rFonts w:ascii="Arial" w:hAnsi="Arial" w:cs="Arial"/>
            <w:sz w:val="20"/>
            <w:szCs w:val="20"/>
          </w:rPr>
          <m:t>-</m:t>
        </m:r>
        <m:sSubSup>
          <m:sSubSupPr>
            <m:ctrlPr>
              <w:rPr>
                <w:rFonts w:ascii="Cambria Math" w:hAnsi="Arial" w:cs="Arial"/>
                <w:i/>
                <w:sz w:val="20"/>
                <w:szCs w:val="20"/>
              </w:rPr>
            </m:ctrlPr>
          </m:sSubSupPr>
          <m:e>
            <m:r>
              <m:rPr>
                <m:sty m:val="bi"/>
              </m:rPr>
              <w:rPr>
                <w:rFonts w:ascii="Cambria Math" w:hAnsi="Cambria Math" w:cs="Arial"/>
                <w:sz w:val="20"/>
                <w:szCs w:val="20"/>
              </w:rPr>
              <m:t>x</m:t>
            </m:r>
          </m:e>
          <m:sub>
            <m:r>
              <w:rPr>
                <w:rFonts w:ascii="Cambria Math" w:hAnsi="Cambria Math" w:cs="Arial"/>
                <w:sz w:val="20"/>
                <w:szCs w:val="20"/>
              </w:rPr>
              <m:t>it</m:t>
            </m:r>
          </m:sub>
          <m:sup>
            <m:r>
              <w:rPr>
                <w:rFonts w:ascii="Cambria Math" w:hAnsi="Arial" w:cs="Arial"/>
                <w:sz w:val="20"/>
                <w:szCs w:val="20"/>
              </w:rPr>
              <m:t>'</m:t>
            </m:r>
          </m:sup>
        </m:sSubSup>
        <m:sSub>
          <m:sSubPr>
            <m:ctrlPr>
              <w:rPr>
                <w:rFonts w:ascii="Cambria Math" w:hAnsi="Arial" w:cs="Arial"/>
                <w:i/>
                <w:sz w:val="20"/>
                <w:szCs w:val="20"/>
              </w:rPr>
            </m:ctrlPr>
          </m:sSubPr>
          <m:e>
            <m:r>
              <m:rPr>
                <m:sty m:val="bi"/>
              </m:rPr>
              <w:rPr>
                <w:rFonts w:ascii="Cambria Math" w:hAnsi="Cambria Math" w:cs="Arial"/>
                <w:sz w:val="20"/>
                <w:szCs w:val="20"/>
              </w:rPr>
              <m:t>β</m:t>
            </m:r>
          </m:e>
          <m:sub>
            <m:r>
              <w:rPr>
                <w:rFonts w:ascii="Cambria Math" w:hAnsi="Cambria Math" w:cs="Arial"/>
                <w:sz w:val="20"/>
                <w:szCs w:val="20"/>
              </w:rPr>
              <m:t>i</m:t>
            </m:r>
          </m:sub>
        </m:sSub>
        <m:r>
          <w:rPr>
            <w:rFonts w:ascii="Cambria Math" w:hAnsi="Arial" w:cs="Arial"/>
            <w:sz w:val="20"/>
            <w:szCs w:val="20"/>
          </w:rPr>
          <m:t>~</m:t>
        </m:r>
        <m:r>
          <w:rPr>
            <w:rFonts w:ascii="Cambria Math" w:hAnsi="Cambria Math" w:cs="Arial"/>
            <w:sz w:val="20"/>
            <w:szCs w:val="20"/>
          </w:rPr>
          <m:t>I</m:t>
        </m:r>
        <m:d>
          <m:dPr>
            <m:ctrlPr>
              <w:rPr>
                <w:rFonts w:ascii="Cambria Math" w:hAnsi="Arial" w:cs="Arial"/>
                <w:i/>
                <w:sz w:val="20"/>
                <w:szCs w:val="20"/>
              </w:rPr>
            </m:ctrlPr>
          </m:dPr>
          <m:e>
            <m:r>
              <w:rPr>
                <w:rFonts w:ascii="Cambria Math" w:hAnsi="Arial" w:cs="Arial"/>
                <w:sz w:val="20"/>
                <w:szCs w:val="20"/>
              </w:rPr>
              <m:t>0</m:t>
            </m:r>
          </m:e>
        </m:d>
        <m:r>
          <w:rPr>
            <w:rFonts w:ascii="Cambria Math" w:hAnsi="Arial" w:cs="Arial"/>
            <w:sz w:val="20"/>
            <w:szCs w:val="20"/>
          </w:rPr>
          <m:t>.</m:t>
        </m:r>
      </m:oMath>
    </w:p>
    <w:p w:rsidR="00F30DF6" w:rsidRPr="00D02DEE" w:rsidRDefault="00F30DF6" w:rsidP="00F30DF6">
      <w:pPr>
        <w:pStyle w:val="NormalWeb"/>
        <w:numPr>
          <w:ilvl w:val="0"/>
          <w:numId w:val="34"/>
        </w:numPr>
        <w:spacing w:before="0" w:beforeAutospacing="0" w:after="0" w:afterAutospacing="0"/>
        <w:jc w:val="both"/>
        <w:rPr>
          <w:rFonts w:ascii="Arial" w:hAnsi="Arial" w:cs="Arial"/>
          <w:sz w:val="20"/>
          <w:szCs w:val="20"/>
        </w:rPr>
      </w:pPr>
      <w:r w:rsidRPr="00D02DEE">
        <w:rPr>
          <w:rFonts w:ascii="Arial" w:hAnsi="Arial" w:cs="Arial"/>
          <w:sz w:val="20"/>
          <w:szCs w:val="20"/>
        </w:rPr>
        <w:t>No perfect multicollinearity in regressors and their differences.</w:t>
      </w:r>
    </w:p>
    <w:p w:rsidR="00F30DF6" w:rsidRPr="00D02DEE" w:rsidRDefault="00F30DF6" w:rsidP="00F30DF6">
      <w:pPr>
        <w:pStyle w:val="NormalWeb"/>
        <w:numPr>
          <w:ilvl w:val="0"/>
          <w:numId w:val="34"/>
        </w:numPr>
        <w:spacing w:before="0" w:beforeAutospacing="0" w:after="0" w:afterAutospacing="0"/>
        <w:jc w:val="both"/>
        <w:rPr>
          <w:rFonts w:ascii="Arial" w:hAnsi="Arial" w:cs="Arial"/>
          <w:sz w:val="20"/>
          <w:szCs w:val="20"/>
        </w:rPr>
      </w:pPr>
      <w:r w:rsidRPr="00D02DEE">
        <w:rPr>
          <w:rFonts w:ascii="Arial" w:hAnsi="Arial" w:cs="Arial"/>
          <w:sz w:val="20"/>
          <w:szCs w:val="20"/>
        </w:rPr>
        <w:t xml:space="preserve">Stationary error term: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it</m:t>
            </m:r>
          </m:sub>
        </m:sSub>
        <m:r>
          <w:rPr>
            <w:rFonts w:ascii="Cambria Math" w:hAnsi="Arial" w:cs="Arial"/>
            <w:sz w:val="20"/>
            <w:szCs w:val="20"/>
          </w:rPr>
          <m:t>~</m:t>
        </m:r>
        <m:r>
          <w:rPr>
            <w:rFonts w:ascii="Cambria Math" w:hAnsi="Cambria Math" w:cs="Arial"/>
            <w:sz w:val="20"/>
            <w:szCs w:val="20"/>
          </w:rPr>
          <m:t>I</m:t>
        </m:r>
        <m:r>
          <w:rPr>
            <w:rFonts w:ascii="Cambria Math" w:hAnsi="Arial" w:cs="Arial"/>
            <w:sz w:val="20"/>
            <w:szCs w:val="20"/>
          </w:rPr>
          <m:t>(0)</m:t>
        </m:r>
      </m:oMath>
      <w:r w:rsidRPr="00D02DEE">
        <w:rPr>
          <w:rFonts w:ascii="Arial" w:hAnsi="Arial" w:cs="Arial"/>
          <w:sz w:val="20"/>
          <w:szCs w:val="20"/>
        </w:rPr>
        <w:t xml:space="preserve"> with finite variance and zero mean, i.e., </w:t>
      </w:r>
      <m:oMath>
        <m:r>
          <w:rPr>
            <w:rFonts w:ascii="Cambria Math" w:hAnsi="Cambria Math" w:cs="Arial"/>
            <w:sz w:val="20"/>
            <w:szCs w:val="20"/>
          </w:rPr>
          <m:t>E</m:t>
        </m:r>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it</m:t>
                </m:r>
              </m:sub>
            </m:sSub>
          </m:e>
        </m:d>
        <m:r>
          <w:rPr>
            <w:rFonts w:ascii="Cambria Math" w:hAnsi="Arial" w:cs="Arial"/>
            <w:sz w:val="20"/>
            <w:szCs w:val="20"/>
          </w:rPr>
          <m:t>=0,</m:t>
        </m:r>
        <m:r>
          <w:rPr>
            <w:rFonts w:ascii="Cambria Math" w:hAnsi="Cambria Math" w:cs="Arial"/>
            <w:sz w:val="20"/>
            <w:szCs w:val="20"/>
          </w:rPr>
          <m:t>E</m:t>
        </m:r>
        <m:d>
          <m:dPr>
            <m:ctrlPr>
              <w:rPr>
                <w:rFonts w:ascii="Cambria Math" w:hAnsi="Arial" w:cs="Arial"/>
                <w:i/>
                <w:sz w:val="20"/>
                <w:szCs w:val="20"/>
              </w:rPr>
            </m:ctrlPr>
          </m:dPr>
          <m:e>
            <m:sSubSup>
              <m:sSubSupPr>
                <m:ctrlPr>
                  <w:rPr>
                    <w:rFonts w:ascii="Cambria Math" w:hAnsi="Arial" w:cs="Arial"/>
                    <w:i/>
                    <w:sz w:val="20"/>
                    <w:szCs w:val="20"/>
                  </w:rPr>
                </m:ctrlPr>
              </m:sSubSupPr>
              <m:e>
                <m:r>
                  <w:rPr>
                    <w:rFonts w:ascii="Cambria Math" w:hAnsi="Cambria Math" w:cs="Arial"/>
                    <w:sz w:val="20"/>
                    <w:szCs w:val="20"/>
                  </w:rPr>
                  <m:t>ε</m:t>
                </m:r>
              </m:e>
              <m:sub>
                <m:r>
                  <w:rPr>
                    <w:rFonts w:ascii="Cambria Math" w:hAnsi="Cambria Math" w:cs="Arial"/>
                    <w:sz w:val="20"/>
                    <w:szCs w:val="20"/>
                  </w:rPr>
                  <m:t>it</m:t>
                </m:r>
              </m:sub>
              <m:sup>
                <m:r>
                  <w:rPr>
                    <w:rFonts w:ascii="Cambria Math" w:hAnsi="Arial" w:cs="Arial"/>
                    <w:sz w:val="20"/>
                    <w:szCs w:val="20"/>
                  </w:rPr>
                  <m:t>2</m:t>
                </m:r>
              </m:sup>
            </m:sSubSup>
          </m:e>
        </m:d>
        <m:r>
          <w:rPr>
            <w:rFonts w:ascii="Cambria Math" w:hAnsi="Arial" w:cs="Arial"/>
            <w:sz w:val="20"/>
            <w:szCs w:val="20"/>
          </w:rPr>
          <m:t>=</m:t>
        </m:r>
        <m:sSup>
          <m:sSupPr>
            <m:ctrlPr>
              <w:rPr>
                <w:rFonts w:ascii="Cambria Math" w:hAnsi="Arial" w:cs="Arial"/>
                <w:i/>
                <w:sz w:val="20"/>
                <w:szCs w:val="20"/>
              </w:rPr>
            </m:ctrlPr>
          </m:sSupPr>
          <m:e>
            <m:r>
              <w:rPr>
                <w:rFonts w:ascii="Cambria Math" w:hAnsi="Cambria Math" w:cs="Arial"/>
                <w:sz w:val="20"/>
                <w:szCs w:val="20"/>
              </w:rPr>
              <m:t>σ</m:t>
            </m:r>
          </m:e>
          <m:sup>
            <m:r>
              <w:rPr>
                <w:rFonts w:ascii="Cambria Math" w:hAnsi="Arial" w:cs="Arial"/>
                <w:sz w:val="20"/>
                <w:szCs w:val="20"/>
              </w:rPr>
              <m:t>2</m:t>
            </m:r>
          </m:sup>
        </m:sSup>
        <m:r>
          <w:rPr>
            <w:rFonts w:ascii="Cambria Math" w:hAnsi="Arial" w:cs="Arial"/>
            <w:sz w:val="20"/>
            <w:szCs w:val="20"/>
          </w:rPr>
          <m:t>&lt;</m:t>
        </m:r>
        <m:r>
          <w:rPr>
            <w:rFonts w:ascii="Cambria Math" w:hAnsi="Arial" w:cs="Arial"/>
            <w:sz w:val="20"/>
            <w:szCs w:val="20"/>
          </w:rPr>
          <m:t>∞</m:t>
        </m:r>
      </m:oMath>
    </w:p>
    <w:p w:rsidR="00F30DF6" w:rsidRPr="00D02DEE" w:rsidRDefault="00F30DF6" w:rsidP="00F30DF6">
      <w:pPr>
        <w:pStyle w:val="NormalWeb"/>
        <w:numPr>
          <w:ilvl w:val="0"/>
          <w:numId w:val="34"/>
        </w:numPr>
        <w:spacing w:before="0" w:beforeAutospacing="0" w:after="0" w:afterAutospacing="0"/>
        <w:jc w:val="both"/>
        <w:rPr>
          <w:rFonts w:ascii="Arial" w:hAnsi="Arial" w:cs="Arial"/>
          <w:sz w:val="20"/>
          <w:szCs w:val="20"/>
        </w:rPr>
      </w:pPr>
      <w:r w:rsidRPr="00D02DEE">
        <w:rPr>
          <w:rFonts w:ascii="Arial" w:hAnsi="Arial" w:cs="Arial"/>
          <w:sz w:val="20"/>
          <w:szCs w:val="20"/>
        </w:rPr>
        <w:t xml:space="preserve">Exogeneity correction: </w:t>
      </w:r>
      <m:oMath>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it</m:t>
            </m:r>
          </m:sub>
        </m:sSub>
      </m:oMath>
      <w:r w:rsidRPr="00D02DEE">
        <w:rPr>
          <w:rFonts w:ascii="Arial" w:hAnsi="Arial" w:cs="Arial"/>
          <w:sz w:val="20"/>
          <w:szCs w:val="20"/>
        </w:rPr>
        <w:t xml:space="preserve"> may be endogenous, but endogeneity is corrected through </w:t>
      </w:r>
      <m:oMath>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it</m:t>
            </m:r>
            <m:r>
              <w:rPr>
                <w:rFonts w:ascii="Cambria Math" w:hAnsi="Arial" w:cs="Arial"/>
                <w:sz w:val="20"/>
                <w:szCs w:val="20"/>
              </w:rPr>
              <m:t>±</m:t>
            </m:r>
            <m:r>
              <w:rPr>
                <w:rFonts w:ascii="Cambria Math" w:hAnsi="Cambria Math" w:cs="Arial"/>
                <w:sz w:val="20"/>
                <w:szCs w:val="20"/>
              </w:rPr>
              <m:t>j</m:t>
            </m:r>
          </m:sub>
        </m:sSub>
        <m:r>
          <w:rPr>
            <w:rFonts w:ascii="Cambria Math" w:hAnsi="Arial" w:cs="Arial"/>
            <w:sz w:val="20"/>
            <w:szCs w:val="20"/>
          </w:rPr>
          <m:t>.</m:t>
        </m:r>
      </m:oMath>
    </w:p>
    <w:p w:rsidR="00F30DF6" w:rsidRPr="00D02DEE" w:rsidRDefault="00F30DF6" w:rsidP="00F30DF6">
      <w:pPr>
        <w:pStyle w:val="NormalWeb"/>
        <w:numPr>
          <w:ilvl w:val="0"/>
          <w:numId w:val="34"/>
        </w:numPr>
        <w:spacing w:before="0" w:beforeAutospacing="0" w:after="0" w:afterAutospacing="0"/>
        <w:jc w:val="both"/>
        <w:rPr>
          <w:rFonts w:ascii="Arial" w:hAnsi="Arial" w:cs="Arial"/>
          <w:sz w:val="20"/>
          <w:szCs w:val="20"/>
        </w:rPr>
      </w:pPr>
      <w:r w:rsidRPr="00D02DEE">
        <w:rPr>
          <w:rFonts w:ascii="Arial" w:hAnsi="Arial" w:cs="Arial"/>
          <w:sz w:val="20"/>
          <w:szCs w:val="20"/>
        </w:rPr>
        <w:t>Homoskedasticity: Error variance is constant across individuals and time.</w:t>
      </w:r>
    </w:p>
    <w:p w:rsidR="00F30DF6" w:rsidRPr="00D02DEE" w:rsidRDefault="00F30DF6" w:rsidP="00F30DF6">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 xml:space="preserve">For matrix formulation for each cross-sectional unit, define for each </w:t>
      </w:r>
      <m:oMath>
        <m:r>
          <w:rPr>
            <w:rStyle w:val="katex-mathml"/>
            <w:rFonts w:ascii="Cambria Math" w:hAnsi="Cambria Math" w:cs="Arial"/>
            <w:sz w:val="20"/>
            <w:szCs w:val="20"/>
          </w:rPr>
          <m:t>i</m:t>
        </m:r>
      </m:oMath>
      <w:r w:rsidRPr="00D02DEE">
        <w:rPr>
          <w:rFonts w:ascii="Arial" w:hAnsi="Arial" w:cs="Arial"/>
          <w:sz w:val="20"/>
          <w:szCs w:val="20"/>
        </w:rPr>
        <w:t>:</w:t>
      </w:r>
    </w:p>
    <w:p w:rsidR="00F30DF6" w:rsidRPr="00D02DEE" w:rsidRDefault="00FB352D" w:rsidP="00F30DF6">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sub>
          </m:sSub>
          <m:r>
            <w:rPr>
              <w:rFonts w:ascii="Cambria Math" w:hAnsi="Arial" w:cs="Arial"/>
              <w:sz w:val="20"/>
              <w:szCs w:val="20"/>
            </w:rPr>
            <m:t>=</m:t>
          </m:r>
          <m:sSup>
            <m:sSupPr>
              <m:ctrlPr>
                <w:rPr>
                  <w:rFonts w:ascii="Cambria Math" w:hAnsi="Arial" w:cs="Arial"/>
                  <w:i/>
                  <w:sz w:val="20"/>
                  <w:szCs w:val="20"/>
                </w:rPr>
              </m:ctrlPr>
            </m:sSupPr>
            <m:e>
              <m:d>
                <m:dPr>
                  <m:begChr m:val="["/>
                  <m:endChr m:val="]"/>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s</m:t>
                      </m:r>
                      <m:r>
                        <w:rPr>
                          <w:rFonts w:ascii="Cambria Math" w:hAnsi="Arial" w:cs="Arial"/>
                          <w:sz w:val="20"/>
                          <w:szCs w:val="20"/>
                        </w:rPr>
                        <m:t>+1</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s</m:t>
                      </m:r>
                      <m:r>
                        <w:rPr>
                          <w:rFonts w:ascii="Cambria Math" w:hAnsi="Arial" w:cs="Arial"/>
                          <w:sz w:val="20"/>
                          <w:szCs w:val="20"/>
                        </w:rPr>
                        <m:t>+2</m:t>
                      </m:r>
                    </m:sub>
                  </m:sSub>
                  <m:r>
                    <w:rPr>
                      <w:rFonts w:ascii="Cambria Math" w:hAnsi="Arial" w:cs="Arial"/>
                      <w:sz w:val="20"/>
                      <w:szCs w:val="20"/>
                    </w:rPr>
                    <m:t xml:space="preserve">, </m:t>
                  </m:r>
                  <m:r>
                    <w:rPr>
                      <w:rFonts w:ascii="Cambria Math" w:hAnsi="Arial" w:cs="Arial"/>
                      <w:sz w:val="20"/>
                      <w:szCs w:val="20"/>
                    </w:rPr>
                    <m:t>…</m:t>
                  </m:r>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e>
              </m:d>
            </m:e>
            <m:sup>
              <m:r>
                <w:rPr>
                  <w:rFonts w:ascii="Cambria Math" w:hAnsi="Arial" w:cs="Arial"/>
                  <w:sz w:val="20"/>
                  <w:szCs w:val="20"/>
                </w:rPr>
                <m:t>'</m:t>
              </m:r>
            </m:sup>
          </m:sSup>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s</m:t>
              </m:r>
            </m:sup>
          </m:sSup>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m:t>
              </m:r>
            </m:sub>
          </m:sSub>
          <m:r>
            <w:rPr>
              <w:rFonts w:ascii="Cambria Math" w:hAnsi="Arial" w:cs="Arial"/>
              <w:sz w:val="20"/>
              <w:szCs w:val="20"/>
            </w:rPr>
            <m:t>=</m:t>
          </m:r>
          <m:sSup>
            <m:sSupPr>
              <m:ctrlPr>
                <w:rPr>
                  <w:rFonts w:ascii="Cambria Math" w:hAnsi="Arial" w:cs="Arial"/>
                  <w:i/>
                  <w:sz w:val="20"/>
                  <w:szCs w:val="20"/>
                </w:rPr>
              </m:ctrlPr>
            </m:sSupPr>
            <m:e>
              <m:d>
                <m:dPr>
                  <m:begChr m:val="["/>
                  <m:endChr m:val="]"/>
                  <m:ctrlPr>
                    <w:rPr>
                      <w:rFonts w:ascii="Cambria Math" w:hAnsi="Arial" w:cs="Arial"/>
                      <w:i/>
                      <w:sz w:val="20"/>
                      <w:szCs w:val="20"/>
                    </w:rPr>
                  </m:ctrlPr>
                </m:dPr>
                <m:e>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s</m:t>
                      </m:r>
                      <m:r>
                        <w:rPr>
                          <w:rFonts w:ascii="Cambria Math" w:hAnsi="Arial" w:cs="Arial"/>
                          <w:sz w:val="20"/>
                          <w:szCs w:val="20"/>
                        </w:rPr>
                        <m:t>+1</m:t>
                      </m:r>
                    </m:sub>
                  </m:sSub>
                  <m:r>
                    <w:rPr>
                      <w:rFonts w:ascii="Cambria Math" w:hAnsi="Arial" w:cs="Arial"/>
                      <w:sz w:val="20"/>
                      <w:szCs w:val="20"/>
                    </w:rPr>
                    <m:t xml:space="preserve">, </m:t>
                  </m:r>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s</m:t>
                      </m:r>
                      <m:r>
                        <w:rPr>
                          <w:rFonts w:ascii="Cambria Math" w:hAnsi="Arial" w:cs="Arial"/>
                          <w:sz w:val="20"/>
                          <w:szCs w:val="20"/>
                        </w:rPr>
                        <m:t>+2</m:t>
                      </m:r>
                    </m:sub>
                  </m:sSub>
                  <m:r>
                    <w:rPr>
                      <w:rFonts w:ascii="Cambria Math" w:hAnsi="Arial" w:cs="Arial"/>
                      <w:sz w:val="20"/>
                      <w:szCs w:val="20"/>
                    </w:rPr>
                    <m:t xml:space="preserve">, </m:t>
                  </m:r>
                  <m:r>
                    <w:rPr>
                      <w:rFonts w:ascii="Cambria Math" w:hAnsi="Arial" w:cs="Arial"/>
                      <w:sz w:val="20"/>
                      <w:szCs w:val="20"/>
                    </w:rPr>
                    <m:t>…</m:t>
                  </m:r>
                  <m:r>
                    <w:rPr>
                      <w:rFonts w:ascii="Cambria Math" w:hAnsi="Arial" w:cs="Arial"/>
                      <w:sz w:val="20"/>
                      <w:szCs w:val="20"/>
                    </w:rPr>
                    <m:t xml:space="preserve">, </m:t>
                  </m:r>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e>
              </m:d>
            </m:e>
            <m:sup>
              <m:r>
                <w:rPr>
                  <w:rFonts w:ascii="Cambria Math" w:hAnsi="Arial" w:cs="Arial"/>
                  <w:sz w:val="20"/>
                  <w:szCs w:val="20"/>
                </w:rPr>
                <m:t>'</m:t>
              </m:r>
            </m:sup>
          </m:sSup>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r>
                <w:rPr>
                  <w:rFonts w:ascii="Cambria Math" w:hAnsi="Arial" w:cs="Arial"/>
                  <w:sz w:val="20"/>
                  <w:szCs w:val="20"/>
                </w:rPr>
                <m:t>(</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s</m:t>
              </m:r>
              <m:r>
                <w:rPr>
                  <w:rFonts w:ascii="Cambria Math" w:hAnsi="Arial" w:cs="Arial"/>
                  <w:sz w:val="20"/>
                  <w:szCs w:val="20"/>
                </w:rPr>
                <m:t>)</m:t>
              </m:r>
              <m:r>
                <w:rPr>
                  <w:rFonts w:ascii="Cambria Math" w:hAnsi="Arial" w:cs="Arial"/>
                  <w:sz w:val="20"/>
                  <w:szCs w:val="20"/>
                </w:rPr>
                <m:t>×</m:t>
              </m:r>
              <m:r>
                <w:rPr>
                  <w:rFonts w:ascii="Cambria Math" w:hAnsi="Cambria Math" w:cs="Arial"/>
                  <w:sz w:val="20"/>
                  <w:szCs w:val="20"/>
                </w:rPr>
                <m:t>k</m:t>
              </m:r>
            </m:sup>
          </m:sSup>
        </m:oMath>
      </m:oMathPara>
    </w:p>
    <w:p w:rsidR="00F30DF6" w:rsidRPr="00D02DEE" w:rsidRDefault="00FB352D" w:rsidP="00F30DF6">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m:rPr>
                  <m:sty m:val="bi"/>
                </m:rPr>
                <w:rPr>
                  <w:rFonts w:ascii="Cambria Math" w:hAnsi="Cambria Math" w:cs="Arial"/>
                  <w:sz w:val="20"/>
                  <w:szCs w:val="20"/>
                </w:rPr>
                <m:t>D</m:t>
              </m:r>
            </m:e>
            <m:sub>
              <m:r>
                <w:rPr>
                  <w:rFonts w:ascii="Cambria Math" w:hAnsi="Cambria Math" w:cs="Arial"/>
                  <w:sz w:val="20"/>
                  <w:szCs w:val="20"/>
                </w:rPr>
                <m:t>it</m:t>
              </m:r>
            </m:sub>
          </m:sSub>
          <m:r>
            <w:rPr>
              <w:rFonts w:ascii="Cambria Math" w:hAnsi="Arial" w:cs="Arial"/>
              <w:sz w:val="20"/>
              <w:szCs w:val="20"/>
            </w:rPr>
            <m:t>=</m:t>
          </m:r>
          <m:sSup>
            <m:sSupPr>
              <m:ctrlPr>
                <w:rPr>
                  <w:rFonts w:ascii="Cambria Math" w:hAnsi="Arial" w:cs="Arial"/>
                  <w:i/>
                  <w:sz w:val="20"/>
                  <w:szCs w:val="20"/>
                </w:rPr>
              </m:ctrlPr>
            </m:sSupPr>
            <m:e>
              <m:d>
                <m:dPr>
                  <m:begChr m:val="["/>
                  <m:endChr m:val="]"/>
                  <m:ctrlPr>
                    <w:rPr>
                      <w:rFonts w:ascii="Cambria Math" w:hAnsi="Arial" w:cs="Arial"/>
                      <w:i/>
                      <w:sz w:val="20"/>
                      <w:szCs w:val="20"/>
                    </w:rPr>
                  </m:ctrlPr>
                </m:dPr>
                <m:e>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q</m:t>
                      </m:r>
                    </m:sub>
                  </m:sSub>
                  <m:r>
                    <w:rPr>
                      <w:rFonts w:ascii="Cambria Math" w:hAnsi="Arial" w:cs="Arial"/>
                      <w:sz w:val="20"/>
                      <w:szCs w:val="20"/>
                    </w:rPr>
                    <m:t xml:space="preserve">, </m:t>
                  </m:r>
                  <m:r>
                    <w:rPr>
                      <w:rFonts w:ascii="Cambria Math" w:hAnsi="Arial" w:cs="Arial"/>
                      <w:sz w:val="20"/>
                      <w:szCs w:val="20"/>
                    </w:rPr>
                    <m:t>…</m:t>
                  </m:r>
                  <m:r>
                    <w:rPr>
                      <w:rFonts w:ascii="Cambria Math" w:hAnsi="Arial" w:cs="Arial"/>
                      <w:sz w:val="20"/>
                      <w:szCs w:val="20"/>
                    </w:rPr>
                    <m:t xml:space="preserve">, </m:t>
                  </m:r>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Cambria Math" w:hAnsi="Arial" w:cs="Arial"/>
                          <w:sz w:val="20"/>
                          <w:szCs w:val="20"/>
                        </w:rPr>
                        <m:t>+</m:t>
                      </m:r>
                      <m:r>
                        <w:rPr>
                          <w:rFonts w:ascii="Cambria Math" w:hAnsi="Cambria Math" w:cs="Arial"/>
                          <w:sz w:val="20"/>
                          <w:szCs w:val="20"/>
                        </w:rPr>
                        <m:t>p</m:t>
                      </m:r>
                    </m:sub>
                  </m:sSub>
                </m:e>
              </m:d>
            </m:e>
            <m:sup>
              <m:r>
                <w:rPr>
                  <w:rFonts w:ascii="Cambria Math" w:hAnsi="Arial" w:cs="Arial"/>
                  <w:sz w:val="20"/>
                  <w:szCs w:val="20"/>
                </w:rPr>
                <m:t>'</m:t>
              </m:r>
            </m:sup>
          </m:sSup>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p</m:t>
              </m:r>
              <m:r>
                <w:rPr>
                  <w:rFonts w:ascii="Cambria Math" w:hAnsi="Arial" w:cs="Arial"/>
                  <w:sz w:val="20"/>
                  <w:szCs w:val="20"/>
                </w:rPr>
                <m:t>+</m:t>
              </m:r>
              <m:r>
                <w:rPr>
                  <w:rFonts w:ascii="Cambria Math" w:hAnsi="Cambria Math" w:cs="Arial"/>
                  <w:sz w:val="20"/>
                  <w:szCs w:val="20"/>
                </w:rPr>
                <m:t>q</m:t>
              </m:r>
              <m:r>
                <w:rPr>
                  <w:rFonts w:ascii="Cambria Math" w:hAnsi="Arial" w:cs="Arial"/>
                  <w:sz w:val="20"/>
                  <w:szCs w:val="20"/>
                </w:rPr>
                <m:t>+1)</m:t>
              </m:r>
            </m:sup>
          </m:sSup>
          <m:r>
            <w:rPr>
              <w:rFonts w:ascii="Cambria Math" w:hAnsi="Arial" w:cs="Arial"/>
              <w:sz w:val="20"/>
              <w:szCs w:val="20"/>
            </w:rPr>
            <m:t xml:space="preserve">;  </m:t>
          </m:r>
          <m:sSub>
            <m:sSubPr>
              <m:ctrlPr>
                <w:rPr>
                  <w:rFonts w:ascii="Cambria Math" w:hAnsi="Arial" w:cs="Arial"/>
                  <w:i/>
                  <w:sz w:val="20"/>
                  <w:szCs w:val="20"/>
                </w:rPr>
              </m:ctrlPr>
            </m:sSubPr>
            <m:e>
              <m:r>
                <m:rPr>
                  <m:sty m:val="bi"/>
                </m:rPr>
                <w:rPr>
                  <w:rFonts w:ascii="Cambria Math" w:hAnsi="Cambria Math" w:cs="Arial"/>
                  <w:sz w:val="20"/>
                  <w:szCs w:val="20"/>
                </w:rPr>
                <m:t>D</m:t>
              </m:r>
            </m:e>
            <m:sub>
              <m:r>
                <w:rPr>
                  <w:rFonts w:ascii="Cambria Math" w:hAnsi="Cambria Math" w:cs="Arial"/>
                  <w:sz w:val="20"/>
                  <w:szCs w:val="20"/>
                </w:rPr>
                <m:t>i</m:t>
              </m:r>
            </m:sub>
          </m:sSub>
          <m:r>
            <w:rPr>
              <w:rFonts w:ascii="Cambria Math" w:hAnsi="Arial" w:cs="Arial"/>
              <w:sz w:val="20"/>
              <w:szCs w:val="20"/>
            </w:rPr>
            <m:t>=</m:t>
          </m:r>
          <m:sSup>
            <m:sSupPr>
              <m:ctrlPr>
                <w:rPr>
                  <w:rFonts w:ascii="Cambria Math" w:hAnsi="Arial" w:cs="Arial"/>
                  <w:i/>
                  <w:sz w:val="20"/>
                  <w:szCs w:val="20"/>
                </w:rPr>
              </m:ctrlPr>
            </m:sSupPr>
            <m:e>
              <m:d>
                <m:dPr>
                  <m:begChr m:val="["/>
                  <m:endChr m:val="]"/>
                  <m:ctrlPr>
                    <w:rPr>
                      <w:rFonts w:ascii="Cambria Math" w:hAnsi="Arial" w:cs="Arial"/>
                      <w:i/>
                      <w:sz w:val="20"/>
                      <w:szCs w:val="20"/>
                    </w:rPr>
                  </m:ctrlPr>
                </m:dPr>
                <m:e>
                  <m:sSub>
                    <m:sSubPr>
                      <m:ctrlPr>
                        <w:rPr>
                          <w:rFonts w:ascii="Cambria Math" w:hAnsi="Arial" w:cs="Arial"/>
                          <w:i/>
                          <w:sz w:val="20"/>
                          <w:szCs w:val="20"/>
                        </w:rPr>
                      </m:ctrlPr>
                    </m:sSubPr>
                    <m:e>
                      <m:r>
                        <m:rPr>
                          <m:sty m:val="bi"/>
                        </m:rPr>
                        <w:rPr>
                          <w:rFonts w:ascii="Cambria Math" w:hAnsi="Cambria Math" w:cs="Arial"/>
                          <w:sz w:val="20"/>
                          <w:szCs w:val="20"/>
                        </w:rPr>
                        <m:t>D</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s</m:t>
                      </m:r>
                      <m:r>
                        <w:rPr>
                          <w:rFonts w:ascii="Cambria Math" w:hAnsi="Arial" w:cs="Arial"/>
                          <w:sz w:val="20"/>
                          <w:szCs w:val="20"/>
                        </w:rPr>
                        <m:t>+1</m:t>
                      </m:r>
                    </m:sub>
                  </m:sSub>
                  <m:r>
                    <w:rPr>
                      <w:rFonts w:ascii="Cambria Math" w:hAnsi="Arial" w:cs="Arial"/>
                      <w:sz w:val="20"/>
                      <w:szCs w:val="20"/>
                    </w:rPr>
                    <m:t xml:space="preserve">, </m:t>
                  </m:r>
                  <m:r>
                    <w:rPr>
                      <w:rFonts w:ascii="Cambria Math" w:hAnsi="Arial" w:cs="Arial"/>
                      <w:sz w:val="20"/>
                      <w:szCs w:val="20"/>
                    </w:rPr>
                    <m:t>…</m:t>
                  </m:r>
                  <m:r>
                    <w:rPr>
                      <w:rFonts w:ascii="Cambria Math" w:hAnsi="Arial" w:cs="Arial"/>
                      <w:sz w:val="20"/>
                      <w:szCs w:val="20"/>
                    </w:rPr>
                    <m:t xml:space="preserve">, </m:t>
                  </m:r>
                  <m:sSub>
                    <m:sSubPr>
                      <m:ctrlPr>
                        <w:rPr>
                          <w:rFonts w:ascii="Cambria Math" w:hAnsi="Arial" w:cs="Arial"/>
                          <w:i/>
                          <w:sz w:val="20"/>
                          <w:szCs w:val="20"/>
                        </w:rPr>
                      </m:ctrlPr>
                    </m:sSubPr>
                    <m:e>
                      <m:r>
                        <m:rPr>
                          <m:sty m:val="bi"/>
                        </m:rPr>
                        <w:rPr>
                          <w:rFonts w:ascii="Cambria Math" w:hAnsi="Cambria Math" w:cs="Arial"/>
                          <w:sz w:val="20"/>
                          <w:szCs w:val="20"/>
                        </w:rPr>
                        <m:t>D</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e>
              </m:d>
            </m:e>
            <m:sup>
              <m:r>
                <w:rPr>
                  <w:rFonts w:ascii="Cambria Math" w:hAnsi="Arial" w:cs="Arial"/>
                  <w:sz w:val="20"/>
                  <w:szCs w:val="20"/>
                </w:rPr>
                <m:t>'</m:t>
              </m:r>
            </m:sup>
          </m:sSup>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r>
                <w:rPr>
                  <w:rFonts w:ascii="Cambria Math" w:hAnsi="Arial" w:cs="Arial"/>
                  <w:sz w:val="20"/>
                  <w:szCs w:val="20"/>
                </w:rPr>
                <m:t>(</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s</m:t>
              </m:r>
              <m:r>
                <w:rPr>
                  <w:rFonts w:ascii="Cambria Math" w:hAnsi="Arial" w:cs="Arial"/>
                  <w:sz w:val="20"/>
                  <w:szCs w:val="20"/>
                </w:rPr>
                <m:t>)</m:t>
              </m:r>
              <m:r>
                <w:rPr>
                  <w:rFonts w:ascii="Cambria Math" w:hAnsi="Arial" w:cs="Arial"/>
                  <w:sz w:val="20"/>
                  <w:szCs w:val="20"/>
                </w:rPr>
                <m:t>×</m:t>
              </m:r>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p</m:t>
              </m:r>
              <m:r>
                <w:rPr>
                  <w:rFonts w:ascii="Cambria Math" w:hAnsi="Arial" w:cs="Arial"/>
                  <w:sz w:val="20"/>
                  <w:szCs w:val="20"/>
                </w:rPr>
                <m:t>+</m:t>
              </m:r>
              <m:r>
                <w:rPr>
                  <w:rFonts w:ascii="Cambria Math" w:hAnsi="Cambria Math" w:cs="Arial"/>
                  <w:sz w:val="20"/>
                  <w:szCs w:val="20"/>
                </w:rPr>
                <m:t>q</m:t>
              </m:r>
              <m:r>
                <w:rPr>
                  <w:rFonts w:ascii="Cambria Math" w:hAnsi="Arial" w:cs="Arial"/>
                  <w:sz w:val="20"/>
                  <w:szCs w:val="20"/>
                </w:rPr>
                <m:t>+1)</m:t>
              </m:r>
            </m:sup>
          </m:sSup>
        </m:oMath>
      </m:oMathPara>
    </w:p>
    <w:p w:rsidR="00F30DF6" w:rsidRPr="00D02DEE" w:rsidRDefault="00FB352D" w:rsidP="00F30DF6">
      <w:pPr>
        <w:pStyle w:val="NormalWeb"/>
        <w:spacing w:before="0" w:beforeAutospacing="0" w:after="0" w:afterAutospacing="0"/>
        <w:jc w:val="both"/>
        <w:rPr>
          <w:rFonts w:ascii="Arial" w:hAnsi="Arial" w:cs="Arial"/>
          <w:sz w:val="20"/>
          <w:szCs w:val="20"/>
        </w:rPr>
      </w:pPr>
      <m:oMathPara>
        <m:oMath>
          <m:sSub>
            <m:sSubPr>
              <m:ctrlPr>
                <w:rPr>
                  <w:rFonts w:ascii="Cambria Math" w:hAnsi="Arial" w:cs="Arial"/>
                  <w:i/>
                  <w:sz w:val="20"/>
                  <w:szCs w:val="20"/>
                </w:rPr>
              </m:ctrlPr>
            </m:sSubPr>
            <m:e>
              <m:r>
                <m:rPr>
                  <m:sty m:val="bi"/>
                </m:rPr>
                <w:rPr>
                  <w:rFonts w:ascii="Cambria Math" w:hAnsi="Cambria Math" w:cs="Arial"/>
                  <w:sz w:val="20"/>
                  <w:szCs w:val="20"/>
                </w:rPr>
                <m:t>Z</m:t>
              </m:r>
            </m:e>
            <m:sub>
              <m:r>
                <w:rPr>
                  <w:rFonts w:ascii="Cambria Math" w:hAnsi="Cambria Math" w:cs="Arial"/>
                  <w:sz w:val="20"/>
                  <w:szCs w:val="20"/>
                </w:rPr>
                <m:t>i</m:t>
              </m:r>
            </m:sub>
          </m:sSub>
          <m:r>
            <w:rPr>
              <w:rFonts w:ascii="Cambria Math" w:hAnsi="Arial" w:cs="Arial"/>
              <w:sz w:val="20"/>
              <w:szCs w:val="20"/>
            </w:rPr>
            <m:t>=</m:t>
          </m:r>
          <m:d>
            <m:dPr>
              <m:begChr m:val="["/>
              <m:endChr m:val="]"/>
              <m:ctrlPr>
                <w:rPr>
                  <w:rFonts w:ascii="Cambria Math" w:hAnsi="Arial" w:cs="Arial"/>
                  <w:i/>
                  <w:sz w:val="20"/>
                  <w:szCs w:val="20"/>
                </w:rPr>
              </m:ctrlPr>
            </m:dPr>
            <m:e>
              <m:sSub>
                <m:sSubPr>
                  <m:ctrlPr>
                    <w:rPr>
                      <w:rFonts w:ascii="Cambria Math" w:hAnsi="Arial" w:cs="Arial"/>
                      <w:i/>
                      <w:sz w:val="20"/>
                      <w:szCs w:val="20"/>
                    </w:rPr>
                  </m:ctrlPr>
                </m:sSubPr>
                <m:e>
                  <m:r>
                    <m:rPr>
                      <m:sty m:val="bi"/>
                    </m:rPr>
                    <w:rPr>
                      <w:rFonts w:ascii="Cambria Math" w:hAnsi="Cambria Math" w:cs="Arial"/>
                      <w:sz w:val="20"/>
                      <w:szCs w:val="20"/>
                    </w:rPr>
                    <m:t>X</m:t>
                  </m:r>
                </m:e>
                <m:sub>
                  <m:r>
                    <w:rPr>
                      <w:rFonts w:ascii="Cambria Math" w:hAnsi="Cambria Math" w:cs="Arial"/>
                      <w:sz w:val="20"/>
                      <w:szCs w:val="20"/>
                    </w:rPr>
                    <m:t>i</m:t>
                  </m:r>
                </m:sub>
              </m:sSub>
              <m:r>
                <w:rPr>
                  <w:rFonts w:ascii="Cambria Math" w:hAnsi="Arial" w:cs="Arial"/>
                  <w:sz w:val="20"/>
                  <w:szCs w:val="20"/>
                </w:rPr>
                <m:t xml:space="preserve">, </m:t>
              </m:r>
              <m:sSub>
                <m:sSubPr>
                  <m:ctrlPr>
                    <w:rPr>
                      <w:rFonts w:ascii="Cambria Math" w:hAnsi="Arial" w:cs="Arial"/>
                      <w:i/>
                      <w:sz w:val="20"/>
                      <w:szCs w:val="20"/>
                    </w:rPr>
                  </m:ctrlPr>
                </m:sSubPr>
                <m:e>
                  <m:r>
                    <m:rPr>
                      <m:sty m:val="bi"/>
                    </m:rPr>
                    <w:rPr>
                      <w:rFonts w:ascii="Cambria Math" w:hAnsi="Cambria Math" w:cs="Arial"/>
                      <w:sz w:val="20"/>
                      <w:szCs w:val="20"/>
                    </w:rPr>
                    <m:t>D</m:t>
                  </m:r>
                </m:e>
                <m:sub>
                  <m:r>
                    <w:rPr>
                      <w:rFonts w:ascii="Cambria Math" w:hAnsi="Cambria Math" w:cs="Arial"/>
                      <w:sz w:val="20"/>
                      <w:szCs w:val="20"/>
                    </w:rPr>
                    <m:t>i</m:t>
                  </m:r>
                </m:sub>
              </m:sSub>
            </m:e>
          </m:d>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d>
                <m:dPr>
                  <m:ctrlPr>
                    <w:rPr>
                      <w:rFonts w:ascii="Cambria Math" w:hAnsi="Arial" w:cs="Arial"/>
                      <w:i/>
                      <w:sz w:val="20"/>
                      <w:szCs w:val="20"/>
                    </w:rPr>
                  </m:ctrlPr>
                </m:dPr>
                <m:e>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s</m:t>
                  </m:r>
                </m:e>
              </m:d>
              <m:r>
                <w:rPr>
                  <w:rFonts w:ascii="Cambria Math" w:hAnsi="Arial" w:cs="Arial"/>
                  <w:sz w:val="20"/>
                  <w:szCs w:val="20"/>
                </w:rPr>
                <m:t>×</m:t>
              </m:r>
              <m:r>
                <w:rPr>
                  <w:rFonts w:ascii="Cambria Math" w:hAnsi="Arial" w:cs="Arial"/>
                  <w:sz w:val="20"/>
                  <w:szCs w:val="20"/>
                </w:rPr>
                <m:t>[</m:t>
              </m:r>
              <m:r>
                <w:rPr>
                  <w:rFonts w:ascii="Cambria Math" w:hAnsi="Cambria Math" w:cs="Arial"/>
                  <w:sz w:val="20"/>
                  <w:szCs w:val="20"/>
                </w:rPr>
                <m:t>k</m:t>
              </m:r>
              <m:d>
                <m:dPr>
                  <m:ctrlPr>
                    <w:rPr>
                      <w:rFonts w:ascii="Cambria Math" w:hAnsi="Arial" w:cs="Arial"/>
                      <w:i/>
                      <w:sz w:val="20"/>
                      <w:szCs w:val="20"/>
                    </w:rPr>
                  </m:ctrlPr>
                </m:dPr>
                <m:e>
                  <m:r>
                    <w:rPr>
                      <w:rFonts w:ascii="Cambria Math" w:hAnsi="Cambria Math" w:cs="Arial"/>
                      <w:sz w:val="20"/>
                      <w:szCs w:val="20"/>
                    </w:rPr>
                    <m:t>p</m:t>
                  </m:r>
                  <m:r>
                    <w:rPr>
                      <w:rFonts w:ascii="Cambria Math" w:hAnsi="Arial" w:cs="Arial"/>
                      <w:sz w:val="20"/>
                      <w:szCs w:val="20"/>
                    </w:rPr>
                    <m:t>+</m:t>
                  </m:r>
                  <m:r>
                    <w:rPr>
                      <w:rFonts w:ascii="Cambria Math" w:hAnsi="Cambria Math" w:cs="Arial"/>
                      <w:sz w:val="20"/>
                      <w:szCs w:val="20"/>
                    </w:rPr>
                    <m:t>q</m:t>
                  </m:r>
                  <m:r>
                    <w:rPr>
                      <w:rFonts w:ascii="Cambria Math" w:hAnsi="Arial" w:cs="Arial"/>
                      <w:sz w:val="20"/>
                      <w:szCs w:val="20"/>
                    </w:rPr>
                    <m:t>+1</m:t>
                  </m:r>
                </m:e>
              </m:d>
              <m:r>
                <w:rPr>
                  <w:rFonts w:ascii="Cambria Math" w:hAnsi="Arial" w:cs="Arial"/>
                  <w:sz w:val="20"/>
                  <w:szCs w:val="20"/>
                </w:rPr>
                <m:t>]</m:t>
              </m:r>
            </m:sup>
          </m:sSup>
        </m:oMath>
      </m:oMathPara>
    </w:p>
    <w:p w:rsidR="00F30DF6" w:rsidRPr="00D02DEE" w:rsidRDefault="00F30DF6" w:rsidP="00F30DF6">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Then the regression model becomes as shown in Eqquation (18):</w:t>
      </w:r>
    </w:p>
    <w:p w:rsidR="00F30DF6" w:rsidRPr="00D02DEE" w:rsidRDefault="00FB352D" w:rsidP="00F30DF6">
      <w:pPr>
        <w:pStyle w:val="NormalWeb"/>
        <w:spacing w:before="0" w:beforeAutospacing="0" w:after="0" w:afterAutospacing="0"/>
        <w:ind w:left="2160" w:firstLine="720"/>
        <w:jc w:val="both"/>
        <w:rPr>
          <w:rFonts w:ascii="Arial" w:hAnsi="Arial" w:cs="Arial"/>
          <w:sz w:val="20"/>
          <w:szCs w:val="20"/>
        </w:rPr>
      </w:pPr>
      <m:oMath>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sSub>
          <m:sSubPr>
            <m:ctrlPr>
              <w:rPr>
                <w:rFonts w:ascii="Cambria Math" w:hAnsi="Arial" w:cs="Arial"/>
                <w:i/>
                <w:sz w:val="20"/>
                <w:szCs w:val="20"/>
              </w:rPr>
            </m:ctrlPr>
          </m:sSubPr>
          <m:e>
            <m:r>
              <m:rPr>
                <m:sty m:val="bi"/>
              </m:rPr>
              <w:rPr>
                <w:rFonts w:ascii="Cambria Math" w:hAnsi="Cambria Math" w:cs="Arial"/>
                <w:sz w:val="20"/>
                <w:szCs w:val="20"/>
              </w:rPr>
              <m:t>1</m:t>
            </m:r>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s</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Z</m:t>
            </m:r>
          </m:e>
          <m:sub>
            <m:r>
              <w:rPr>
                <w:rFonts w:ascii="Cambria Math" w:hAnsi="Cambria Math" w:cs="Arial"/>
                <w:sz w:val="20"/>
                <w:szCs w:val="20"/>
              </w:rPr>
              <m:t>i</m:t>
            </m:r>
          </m:sub>
        </m:sSub>
        <m:sSub>
          <m:sSubPr>
            <m:ctrlPr>
              <w:rPr>
                <w:rFonts w:ascii="Cambria Math" w:hAnsi="Arial" w:cs="Arial"/>
                <w:i/>
                <w:sz w:val="20"/>
                <w:szCs w:val="20"/>
              </w:rPr>
            </m:ctrlPr>
          </m:sSubPr>
          <m:e>
            <m:r>
              <m:rPr>
                <m:sty m:val="bi"/>
              </m:rPr>
              <w:rPr>
                <w:rFonts w:ascii="Cambria Math" w:hAnsi="Cambria Math" w:cs="Arial"/>
                <w:sz w:val="20"/>
                <w:szCs w:val="20"/>
              </w:rPr>
              <m:t>θ</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ε</m:t>
            </m:r>
          </m:e>
          <m:sub>
            <m:r>
              <w:rPr>
                <w:rFonts w:ascii="Cambria Math" w:hAnsi="Cambria Math" w:cs="Arial"/>
                <w:sz w:val="20"/>
                <w:szCs w:val="20"/>
              </w:rPr>
              <m:t>i</m:t>
            </m:r>
          </m:sub>
        </m:sSub>
      </m:oMath>
      <w:r w:rsidR="00F30DF6" w:rsidRPr="00D02DEE">
        <w:rPr>
          <w:rFonts w:ascii="Arial" w:hAnsi="Arial" w:cs="Arial"/>
          <w:sz w:val="20"/>
          <w:szCs w:val="20"/>
        </w:rPr>
        <w:tab/>
      </w:r>
      <w:r w:rsidR="00F30DF6" w:rsidRPr="00D02DEE">
        <w:rPr>
          <w:rFonts w:ascii="Arial" w:hAnsi="Arial" w:cs="Arial"/>
          <w:sz w:val="20"/>
          <w:szCs w:val="20"/>
        </w:rPr>
        <w:tab/>
      </w:r>
      <w:r w:rsidR="00F30DF6" w:rsidRPr="00D02DEE">
        <w:rPr>
          <w:rFonts w:ascii="Arial" w:hAnsi="Arial" w:cs="Arial"/>
          <w:sz w:val="20"/>
          <w:szCs w:val="20"/>
        </w:rPr>
        <w:tab/>
        <w:t xml:space="preserve"> (18)</w:t>
      </w:r>
    </w:p>
    <w:p w:rsidR="00F30DF6" w:rsidRPr="00D02DEE" w:rsidRDefault="00F30DF6" w:rsidP="00F30DF6">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 xml:space="preserve">where </w:t>
      </w:r>
      <m:oMath>
        <m:sSub>
          <m:sSubPr>
            <m:ctrlPr>
              <w:rPr>
                <w:rFonts w:ascii="Cambria Math" w:hAnsi="Arial" w:cs="Arial"/>
                <w:i/>
                <w:sz w:val="20"/>
                <w:szCs w:val="20"/>
              </w:rPr>
            </m:ctrlPr>
          </m:sSubPr>
          <m:e>
            <m:r>
              <m:rPr>
                <m:sty m:val="bi"/>
              </m:rPr>
              <w:rPr>
                <w:rFonts w:ascii="Cambria Math" w:hAnsi="Cambria Math" w:cs="Arial"/>
                <w:sz w:val="20"/>
                <w:szCs w:val="20"/>
              </w:rPr>
              <m:t>θ</m:t>
            </m:r>
          </m:e>
          <m:sub>
            <m:r>
              <w:rPr>
                <w:rFonts w:ascii="Cambria Math" w:hAnsi="Cambria Math" w:cs="Arial"/>
                <w:sz w:val="20"/>
                <w:szCs w:val="20"/>
              </w:rPr>
              <m:t>i</m:t>
            </m:r>
          </m:sub>
        </m:sSub>
        <m:r>
          <w:rPr>
            <w:rFonts w:ascii="Cambria Math" w:hAnsi="Arial" w:cs="Arial"/>
            <w:sz w:val="20"/>
            <w:szCs w:val="20"/>
          </w:rPr>
          <m:t>=</m:t>
        </m:r>
        <m:sSup>
          <m:sSupPr>
            <m:ctrlPr>
              <w:rPr>
                <w:rFonts w:ascii="Cambria Math" w:hAnsi="Arial" w:cs="Arial"/>
                <w:i/>
                <w:sz w:val="20"/>
                <w:szCs w:val="20"/>
              </w:rPr>
            </m:ctrlPr>
          </m:sSupPr>
          <m:e>
            <m:d>
              <m:dPr>
                <m:begChr m:val="["/>
                <m:endChr m:val="]"/>
                <m:ctrlPr>
                  <w:rPr>
                    <w:rFonts w:ascii="Cambria Math" w:hAnsi="Arial" w:cs="Arial"/>
                    <w:i/>
                    <w:sz w:val="20"/>
                    <w:szCs w:val="20"/>
                  </w:rPr>
                </m:ctrlPr>
              </m:dPr>
              <m:e>
                <m:sSubSup>
                  <m:sSubSupPr>
                    <m:ctrlPr>
                      <w:rPr>
                        <w:rFonts w:ascii="Cambria Math" w:hAnsi="Arial" w:cs="Arial"/>
                        <w:i/>
                        <w:sz w:val="20"/>
                        <w:szCs w:val="20"/>
                      </w:rPr>
                    </m:ctrlPr>
                  </m:sSubSupPr>
                  <m:e>
                    <m:r>
                      <m:rPr>
                        <m:sty m:val="bi"/>
                      </m:rPr>
                      <w:rPr>
                        <w:rFonts w:ascii="Cambria Math" w:hAnsi="Cambria Math" w:cs="Arial"/>
                        <w:sz w:val="20"/>
                        <w:szCs w:val="20"/>
                      </w:rPr>
                      <m:t>β</m:t>
                    </m:r>
                  </m:e>
                  <m:sub>
                    <m:r>
                      <w:rPr>
                        <w:rFonts w:ascii="Cambria Math" w:hAnsi="Cambria Math" w:cs="Arial"/>
                        <w:sz w:val="20"/>
                        <w:szCs w:val="20"/>
                      </w:rPr>
                      <m:t>i</m:t>
                    </m:r>
                  </m:sub>
                  <m:sup>
                    <m:r>
                      <w:rPr>
                        <w:rFonts w:ascii="Cambria Math" w:hAnsi="Arial" w:cs="Arial"/>
                        <w:sz w:val="20"/>
                        <w:szCs w:val="20"/>
                      </w:rPr>
                      <m:t>'</m:t>
                    </m:r>
                  </m:sup>
                </m:sSubSup>
                <m:r>
                  <w:rPr>
                    <w:rFonts w:ascii="Cambria Math" w:hAnsi="Arial" w:cs="Arial"/>
                    <w:sz w:val="20"/>
                    <w:szCs w:val="20"/>
                  </w:rPr>
                  <m:t xml:space="preserve">, </m:t>
                </m:r>
                <m:r>
                  <w:rPr>
                    <w:rFonts w:ascii="Cambria Math" w:hAnsi="Cambria Math" w:cs="Arial"/>
                    <w:sz w:val="20"/>
                    <w:szCs w:val="20"/>
                  </w:rPr>
                  <m:t>vec</m:t>
                </m:r>
                <m:sSup>
                  <m:sSupPr>
                    <m:ctrlPr>
                      <w:rPr>
                        <w:rFonts w:ascii="Cambria Math" w:hAnsi="Arial" w:cs="Arial"/>
                        <w:i/>
                        <w:sz w:val="20"/>
                        <w:szCs w:val="20"/>
                      </w:rPr>
                    </m:ctrlPr>
                  </m:sSupPr>
                  <m:e>
                    <m:d>
                      <m:dPr>
                        <m:ctrlPr>
                          <w:rPr>
                            <w:rFonts w:ascii="Cambria Math" w:hAnsi="Arial" w:cs="Arial"/>
                            <w:i/>
                            <w:sz w:val="20"/>
                            <w:szCs w:val="20"/>
                          </w:rPr>
                        </m:ctrlPr>
                      </m:dPr>
                      <m:e>
                        <m:sSub>
                          <m:sSubPr>
                            <m:ctrlPr>
                              <w:rPr>
                                <w:rFonts w:ascii="Cambria Math" w:hAnsi="Arial" w:cs="Arial"/>
                                <w:i/>
                                <w:sz w:val="20"/>
                                <w:szCs w:val="20"/>
                              </w:rPr>
                            </m:ctrlPr>
                          </m:sSubPr>
                          <m:e>
                            <m:r>
                              <m:rPr>
                                <m:sty m:val="bi"/>
                              </m:rPr>
                              <w:rPr>
                                <w:rFonts w:ascii="Cambria Math" w:hAnsi="Cambria Math" w:cs="Arial"/>
                                <w:sz w:val="20"/>
                                <w:szCs w:val="20"/>
                              </w:rPr>
                              <m:t>C</m:t>
                            </m:r>
                          </m:e>
                          <m:sub>
                            <m:r>
                              <w:rPr>
                                <w:rFonts w:ascii="Cambria Math" w:hAnsi="Cambria Math" w:cs="Arial"/>
                                <w:sz w:val="20"/>
                                <w:szCs w:val="20"/>
                              </w:rPr>
                              <m:t>i</m:t>
                            </m:r>
                            <m:r>
                              <w:rPr>
                                <w:rFonts w:ascii="Cambria Math" w:hAnsi="Arial" w:cs="Arial"/>
                                <w:sz w:val="20"/>
                                <w:szCs w:val="20"/>
                              </w:rPr>
                              <m:t xml:space="preserve">, </m:t>
                            </m:r>
                            <m:r>
                              <w:rPr>
                                <w:rFonts w:ascii="Cambria Math" w:hAnsi="Arial" w:cs="Arial"/>
                                <w:sz w:val="20"/>
                                <w:szCs w:val="20"/>
                              </w:rPr>
                              <m:t>-</m:t>
                            </m:r>
                            <m:r>
                              <w:rPr>
                                <w:rFonts w:ascii="Cambria Math" w:hAnsi="Cambria Math" w:cs="Arial"/>
                                <w:sz w:val="20"/>
                                <w:szCs w:val="20"/>
                              </w:rPr>
                              <m:t>q</m:t>
                            </m:r>
                          </m:sub>
                        </m:sSub>
                        <m:r>
                          <w:rPr>
                            <w:rFonts w:ascii="Cambria Math" w:hAnsi="Arial" w:cs="Arial"/>
                            <w:sz w:val="20"/>
                            <w:szCs w:val="20"/>
                          </w:rPr>
                          <m:t xml:space="preserve">, </m:t>
                        </m:r>
                        <m:r>
                          <w:rPr>
                            <w:rFonts w:ascii="Cambria Math" w:hAnsi="Arial" w:cs="Arial"/>
                            <w:sz w:val="20"/>
                            <w:szCs w:val="20"/>
                          </w:rPr>
                          <m:t>…</m:t>
                        </m:r>
                        <m:r>
                          <w:rPr>
                            <w:rFonts w:ascii="Cambria Math" w:hAnsi="Arial" w:cs="Arial"/>
                            <w:sz w:val="20"/>
                            <w:szCs w:val="20"/>
                          </w:rPr>
                          <m:t xml:space="preserve">, </m:t>
                        </m:r>
                        <m:sSub>
                          <m:sSubPr>
                            <m:ctrlPr>
                              <w:rPr>
                                <w:rFonts w:ascii="Cambria Math" w:hAnsi="Arial" w:cs="Arial"/>
                                <w:i/>
                                <w:sz w:val="20"/>
                                <w:szCs w:val="20"/>
                              </w:rPr>
                            </m:ctrlPr>
                          </m:sSubPr>
                          <m:e>
                            <m:r>
                              <m:rPr>
                                <m:sty m:val="bi"/>
                              </m:rPr>
                              <w:rPr>
                                <w:rFonts w:ascii="Cambria Math" w:hAnsi="Cambria Math" w:cs="Arial"/>
                                <w:sz w:val="20"/>
                                <w:szCs w:val="20"/>
                              </w:rPr>
                              <m:t>C</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p</m:t>
                            </m:r>
                          </m:sub>
                        </m:sSub>
                      </m:e>
                    </m:d>
                  </m:e>
                  <m:sup>
                    <m:r>
                      <w:rPr>
                        <w:rFonts w:ascii="Cambria Math" w:hAnsi="Arial" w:cs="Arial"/>
                        <w:sz w:val="20"/>
                        <w:szCs w:val="20"/>
                      </w:rPr>
                      <m:t>'</m:t>
                    </m:r>
                  </m:sup>
                </m:sSup>
              </m:e>
            </m:d>
          </m:e>
          <m:sup>
            <m:r>
              <w:rPr>
                <w:rFonts w:ascii="Cambria Math" w:hAnsi="Arial" w:cs="Arial"/>
                <w:sz w:val="20"/>
                <w:szCs w:val="20"/>
              </w:rPr>
              <m:t>'</m:t>
            </m:r>
          </m:sup>
        </m:sSup>
        <m:r>
          <w:rPr>
            <w:rFonts w:ascii="Cambria Math" w:hAnsi="Arial" w:cs="Arial"/>
            <w:sz w:val="20"/>
            <w:szCs w:val="20"/>
          </w:rPr>
          <m:t>.</m:t>
        </m:r>
      </m:oMath>
    </w:p>
    <w:p w:rsidR="00F30DF6" w:rsidRPr="00D02DEE" w:rsidRDefault="00F30DF6" w:rsidP="00F30DF6">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 xml:space="preserve">The DOLS estimator for </w:t>
      </w:r>
      <m:oMath>
        <m:sSub>
          <m:sSubPr>
            <m:ctrlPr>
              <w:rPr>
                <w:rFonts w:ascii="Cambria Math" w:hAnsi="Arial" w:cs="Arial"/>
                <w:i/>
                <w:sz w:val="20"/>
                <w:szCs w:val="20"/>
              </w:rPr>
            </m:ctrlPr>
          </m:sSubPr>
          <m:e>
            <m:r>
              <m:rPr>
                <m:sty m:val="bi"/>
              </m:rPr>
              <w:rPr>
                <w:rFonts w:ascii="Cambria Math" w:hAnsi="Cambria Math" w:cs="Arial"/>
                <w:sz w:val="20"/>
                <w:szCs w:val="20"/>
              </w:rPr>
              <m:t>θ</m:t>
            </m:r>
          </m:e>
          <m:sub>
            <m:r>
              <w:rPr>
                <w:rFonts w:ascii="Cambria Math" w:hAnsi="Cambria Math" w:cs="Arial"/>
                <w:sz w:val="20"/>
                <w:szCs w:val="20"/>
              </w:rPr>
              <m:t>i</m:t>
            </m:r>
          </m:sub>
        </m:sSub>
      </m:oMath>
      <w:r w:rsidRPr="00D02DEE">
        <w:rPr>
          <w:rFonts w:ascii="Arial" w:hAnsi="Arial" w:cs="Arial"/>
          <w:sz w:val="20"/>
          <w:szCs w:val="20"/>
        </w:rPr>
        <w:t xml:space="preserve"> is obtained by OLS as given in Equation (19):</w:t>
      </w:r>
    </w:p>
    <w:p w:rsidR="00F30DF6" w:rsidRPr="00D02DEE" w:rsidRDefault="00FB352D" w:rsidP="00F30DF6">
      <w:pPr>
        <w:pStyle w:val="NormalWeb"/>
        <w:spacing w:before="0" w:beforeAutospacing="0" w:after="0" w:afterAutospacing="0"/>
        <w:ind w:left="2160" w:firstLine="720"/>
        <w:jc w:val="both"/>
        <w:rPr>
          <w:rFonts w:ascii="Arial" w:hAnsi="Arial" w:cs="Arial"/>
          <w:sz w:val="20"/>
          <w:szCs w:val="20"/>
        </w:rPr>
      </w:pPr>
      <m:oMath>
        <m:sSub>
          <m:sSubPr>
            <m:ctrlPr>
              <w:rPr>
                <w:rFonts w:ascii="Cambria Math" w:hAnsi="Arial" w:cs="Arial"/>
                <w:i/>
                <w:sz w:val="20"/>
                <w:szCs w:val="20"/>
              </w:rPr>
            </m:ctrlPr>
          </m:sSubPr>
          <m:e>
            <m:acc>
              <m:accPr>
                <m:ctrlPr>
                  <w:rPr>
                    <w:rFonts w:ascii="Cambria Math" w:hAnsi="Arial" w:cs="Arial"/>
                    <w:b/>
                    <w:i/>
                    <w:sz w:val="20"/>
                    <w:szCs w:val="20"/>
                  </w:rPr>
                </m:ctrlPr>
              </m:accPr>
              <m:e>
                <m:r>
                  <m:rPr>
                    <m:sty m:val="bi"/>
                  </m:rPr>
                  <w:rPr>
                    <w:rFonts w:ascii="Cambria Math" w:hAnsi="Cambria Math" w:cs="Arial"/>
                    <w:sz w:val="20"/>
                    <w:szCs w:val="20"/>
                  </w:rPr>
                  <m:t>θ</m:t>
                </m:r>
              </m:e>
            </m:acc>
          </m:e>
          <m:sub>
            <m:r>
              <w:rPr>
                <w:rFonts w:ascii="Cambria Math" w:hAnsi="Cambria Math" w:cs="Arial"/>
                <w:sz w:val="20"/>
                <w:szCs w:val="20"/>
              </w:rPr>
              <m:t>i</m:t>
            </m:r>
          </m:sub>
        </m:sSub>
        <m:r>
          <w:rPr>
            <w:rFonts w:ascii="Cambria Math" w:hAnsi="Arial" w:cs="Arial"/>
            <w:sz w:val="20"/>
            <w:szCs w:val="20"/>
          </w:rPr>
          <m:t>=</m:t>
        </m:r>
        <m:sSup>
          <m:sSupPr>
            <m:ctrlPr>
              <w:rPr>
                <w:rFonts w:ascii="Cambria Math" w:hAnsi="Arial" w:cs="Arial"/>
                <w:i/>
                <w:sz w:val="20"/>
                <w:szCs w:val="20"/>
              </w:rPr>
            </m:ctrlPr>
          </m:sSupPr>
          <m:e>
            <m:d>
              <m:dPr>
                <m:ctrlPr>
                  <w:rPr>
                    <w:rFonts w:ascii="Cambria Math" w:hAnsi="Arial" w:cs="Arial"/>
                    <w:i/>
                    <w:sz w:val="20"/>
                    <w:szCs w:val="20"/>
                  </w:rPr>
                </m:ctrlPr>
              </m:dPr>
              <m:e>
                <m:sSubSup>
                  <m:sSubSupPr>
                    <m:ctrlPr>
                      <w:rPr>
                        <w:rFonts w:ascii="Cambria Math" w:hAnsi="Arial" w:cs="Arial"/>
                        <w:i/>
                        <w:sz w:val="20"/>
                        <w:szCs w:val="20"/>
                      </w:rPr>
                    </m:ctrlPr>
                  </m:sSubSupPr>
                  <m:e>
                    <m:r>
                      <m:rPr>
                        <m:sty m:val="bi"/>
                      </m:rPr>
                      <w:rPr>
                        <w:rFonts w:ascii="Cambria Math" w:hAnsi="Cambria Math" w:cs="Arial"/>
                        <w:sz w:val="20"/>
                        <w:szCs w:val="20"/>
                      </w:rPr>
                      <m:t>Z</m:t>
                    </m:r>
                  </m:e>
                  <m:sub>
                    <m:r>
                      <w:rPr>
                        <w:rFonts w:ascii="Cambria Math" w:hAnsi="Cambria Math" w:cs="Arial"/>
                        <w:sz w:val="20"/>
                        <w:szCs w:val="20"/>
                      </w:rPr>
                      <m:t>i</m:t>
                    </m:r>
                  </m:sub>
                  <m:sup>
                    <m:r>
                      <w:rPr>
                        <w:rFonts w:ascii="Cambria Math" w:hAnsi="Arial" w:cs="Arial"/>
                        <w:sz w:val="20"/>
                        <w:szCs w:val="20"/>
                      </w:rPr>
                      <m:t>'</m:t>
                    </m:r>
                  </m:sup>
                </m:sSubSup>
                <m:sSub>
                  <m:sSubPr>
                    <m:ctrlPr>
                      <w:rPr>
                        <w:rFonts w:ascii="Cambria Math" w:hAnsi="Arial" w:cs="Arial"/>
                        <w:i/>
                        <w:sz w:val="20"/>
                        <w:szCs w:val="20"/>
                      </w:rPr>
                    </m:ctrlPr>
                  </m:sSubPr>
                  <m:e>
                    <m:r>
                      <m:rPr>
                        <m:sty m:val="bi"/>
                      </m:rPr>
                      <w:rPr>
                        <w:rFonts w:ascii="Cambria Math" w:hAnsi="Cambria Math" w:cs="Arial"/>
                        <w:sz w:val="20"/>
                        <w:szCs w:val="20"/>
                      </w:rPr>
                      <m:t>M</m:t>
                    </m:r>
                  </m:e>
                  <m:sub>
                    <m:r>
                      <w:rPr>
                        <w:rFonts w:ascii="Cambria Math" w:hAnsi="Arial" w:cs="Arial"/>
                        <w:sz w:val="20"/>
                        <w:szCs w:val="20"/>
                      </w:rPr>
                      <m:t>1</m:t>
                    </m:r>
                  </m:sub>
                </m:sSub>
                <m:sSub>
                  <m:sSubPr>
                    <m:ctrlPr>
                      <w:rPr>
                        <w:rFonts w:ascii="Cambria Math" w:hAnsi="Arial" w:cs="Arial"/>
                        <w:i/>
                        <w:sz w:val="20"/>
                        <w:szCs w:val="20"/>
                      </w:rPr>
                    </m:ctrlPr>
                  </m:sSubPr>
                  <m:e>
                    <m:r>
                      <m:rPr>
                        <m:sty m:val="bi"/>
                      </m:rPr>
                      <w:rPr>
                        <w:rFonts w:ascii="Cambria Math" w:hAnsi="Cambria Math" w:cs="Arial"/>
                        <w:sz w:val="20"/>
                        <w:szCs w:val="20"/>
                      </w:rPr>
                      <m:t>Z</m:t>
                    </m:r>
                  </m:e>
                  <m:sub>
                    <m:r>
                      <w:rPr>
                        <w:rFonts w:ascii="Cambria Math" w:hAnsi="Cambria Math" w:cs="Arial"/>
                        <w:sz w:val="20"/>
                        <w:szCs w:val="20"/>
                      </w:rPr>
                      <m:t>i</m:t>
                    </m:r>
                  </m:sub>
                </m:sSub>
              </m:e>
            </m:d>
          </m:e>
          <m:sup>
            <m:r>
              <w:rPr>
                <w:rFonts w:ascii="Arial" w:hAnsi="Arial" w:cs="Arial"/>
                <w:sz w:val="20"/>
                <w:szCs w:val="20"/>
              </w:rPr>
              <m:t>-</m:t>
            </m:r>
            <m:r>
              <w:rPr>
                <w:rFonts w:ascii="Cambria Math" w:hAnsi="Arial" w:cs="Arial"/>
                <w:sz w:val="20"/>
                <w:szCs w:val="20"/>
              </w:rPr>
              <m:t>1</m:t>
            </m:r>
          </m:sup>
        </m:sSup>
        <m:sSubSup>
          <m:sSubSupPr>
            <m:ctrlPr>
              <w:rPr>
                <w:rFonts w:ascii="Cambria Math" w:hAnsi="Arial" w:cs="Arial"/>
                <w:i/>
                <w:sz w:val="20"/>
                <w:szCs w:val="20"/>
              </w:rPr>
            </m:ctrlPr>
          </m:sSubSupPr>
          <m:e>
            <m:r>
              <m:rPr>
                <m:sty m:val="bi"/>
              </m:rPr>
              <w:rPr>
                <w:rFonts w:ascii="Cambria Math" w:hAnsi="Cambria Math" w:cs="Arial"/>
                <w:sz w:val="20"/>
                <w:szCs w:val="20"/>
              </w:rPr>
              <m:t>Z</m:t>
            </m:r>
          </m:e>
          <m:sub>
            <m:r>
              <w:rPr>
                <w:rFonts w:ascii="Cambria Math" w:hAnsi="Cambria Math" w:cs="Arial"/>
                <w:sz w:val="20"/>
                <w:szCs w:val="20"/>
              </w:rPr>
              <m:t>i</m:t>
            </m:r>
          </m:sub>
          <m:sup>
            <m:r>
              <w:rPr>
                <w:rFonts w:ascii="Cambria Math" w:hAnsi="Arial" w:cs="Arial"/>
                <w:sz w:val="20"/>
                <w:szCs w:val="20"/>
              </w:rPr>
              <m:t>'</m:t>
            </m:r>
          </m:sup>
        </m:sSubSup>
        <m:sSub>
          <m:sSubPr>
            <m:ctrlPr>
              <w:rPr>
                <w:rFonts w:ascii="Cambria Math" w:hAnsi="Arial" w:cs="Arial"/>
                <w:i/>
                <w:sz w:val="20"/>
                <w:szCs w:val="20"/>
              </w:rPr>
            </m:ctrlPr>
          </m:sSubPr>
          <m:e>
            <m:r>
              <m:rPr>
                <m:sty m:val="bi"/>
              </m:rPr>
              <w:rPr>
                <w:rFonts w:ascii="Cambria Math" w:hAnsi="Cambria Math" w:cs="Arial"/>
                <w:sz w:val="20"/>
                <w:szCs w:val="20"/>
              </w:rPr>
              <m:t>M</m:t>
            </m:r>
          </m:e>
          <m:sub>
            <m:r>
              <w:rPr>
                <w:rFonts w:ascii="Cambria Math" w:hAnsi="Arial" w:cs="Arial"/>
                <w:sz w:val="20"/>
                <w:szCs w:val="20"/>
              </w:rPr>
              <m:t>1</m:t>
            </m:r>
          </m:sub>
        </m:sSub>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sub>
        </m:sSub>
      </m:oMath>
      <w:r w:rsidR="00F30DF6" w:rsidRPr="00D02DEE">
        <w:rPr>
          <w:rFonts w:ascii="Arial" w:hAnsi="Arial" w:cs="Arial"/>
          <w:sz w:val="20"/>
          <w:szCs w:val="20"/>
        </w:rPr>
        <w:tab/>
      </w:r>
      <w:r w:rsidR="00F30DF6" w:rsidRPr="00D02DEE">
        <w:rPr>
          <w:rFonts w:ascii="Arial" w:hAnsi="Arial" w:cs="Arial"/>
          <w:sz w:val="20"/>
          <w:szCs w:val="20"/>
        </w:rPr>
        <w:tab/>
      </w:r>
      <w:r w:rsidR="00F30DF6" w:rsidRPr="00D02DEE">
        <w:rPr>
          <w:rFonts w:ascii="Arial" w:hAnsi="Arial" w:cs="Arial"/>
          <w:sz w:val="20"/>
          <w:szCs w:val="20"/>
        </w:rPr>
        <w:tab/>
        <w:t xml:space="preserve">  (19)</w:t>
      </w:r>
    </w:p>
    <w:p w:rsidR="00F30DF6" w:rsidRPr="00D02DEE" w:rsidRDefault="00F30DF6" w:rsidP="00F30DF6">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where</w:t>
      </w:r>
    </w:p>
    <w:p w:rsidR="00F30DF6" w:rsidRPr="00D02DEE" w:rsidRDefault="00FB352D" w:rsidP="00F30DF6">
      <w:pPr>
        <w:pStyle w:val="NormalWeb"/>
        <w:spacing w:before="0" w:beforeAutospacing="0" w:after="0" w:afterAutospacing="0"/>
        <w:ind w:left="2160" w:firstLine="720"/>
        <w:jc w:val="both"/>
        <w:rPr>
          <w:rFonts w:ascii="Arial" w:hAnsi="Arial" w:cs="Arial"/>
          <w:sz w:val="20"/>
          <w:szCs w:val="20"/>
        </w:rPr>
      </w:pPr>
      <m:oMath>
        <m:sSub>
          <m:sSubPr>
            <m:ctrlPr>
              <w:rPr>
                <w:rFonts w:ascii="Cambria Math" w:hAnsi="Arial" w:cs="Arial"/>
                <w:i/>
                <w:sz w:val="20"/>
                <w:szCs w:val="20"/>
              </w:rPr>
            </m:ctrlPr>
          </m:sSubPr>
          <m:e>
            <m:r>
              <m:rPr>
                <m:sty m:val="bi"/>
              </m:rPr>
              <w:rPr>
                <w:rFonts w:ascii="Cambria Math" w:hAnsi="Cambria Math" w:cs="Arial"/>
                <w:sz w:val="20"/>
                <w:szCs w:val="20"/>
              </w:rPr>
              <m:t>M</m:t>
            </m:r>
          </m:e>
          <m:sub>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1</m:t>
            </m:r>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s</m:t>
            </m:r>
          </m:sub>
        </m:sSub>
        <m:r>
          <w:rPr>
            <w:rFonts w:ascii="Arial"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s</m:t>
            </m:r>
          </m:den>
        </m:f>
        <m:sSub>
          <m:sSubPr>
            <m:ctrlPr>
              <w:rPr>
                <w:rFonts w:ascii="Cambria Math" w:hAnsi="Arial" w:cs="Arial"/>
                <w:i/>
                <w:sz w:val="20"/>
                <w:szCs w:val="20"/>
              </w:rPr>
            </m:ctrlPr>
          </m:sSubPr>
          <m:e>
            <m:r>
              <m:rPr>
                <m:sty m:val="bi"/>
              </m:rPr>
              <w:rPr>
                <w:rFonts w:ascii="Cambria Math" w:hAnsi="Cambria Math" w:cs="Arial"/>
                <w:sz w:val="20"/>
                <w:szCs w:val="20"/>
              </w:rPr>
              <m:t>1</m:t>
            </m:r>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s</m:t>
            </m:r>
          </m:sub>
        </m:sSub>
        <m:sSub>
          <m:sSubPr>
            <m:ctrlPr>
              <w:rPr>
                <w:rFonts w:ascii="Cambria Math" w:hAnsi="Arial" w:cs="Arial"/>
                <w:i/>
                <w:sz w:val="20"/>
                <w:szCs w:val="20"/>
              </w:rPr>
            </m:ctrlPr>
          </m:sSubPr>
          <m:e>
            <m:r>
              <m:rPr>
                <m:sty m:val="bi"/>
              </m:rPr>
              <w:rPr>
                <w:rFonts w:ascii="Cambria Math" w:hAnsi="Cambria Math" w:cs="Arial"/>
                <w:sz w:val="20"/>
                <w:szCs w:val="20"/>
              </w:rPr>
              <m:t>1</m:t>
            </m:r>
          </m:e>
          <m:sub>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s</m:t>
            </m:r>
          </m:sub>
        </m:sSub>
      </m:oMath>
      <w:r w:rsidR="00F30DF6" w:rsidRPr="00D02DEE">
        <w:rPr>
          <w:rFonts w:ascii="Arial" w:hAnsi="Arial" w:cs="Arial"/>
          <w:sz w:val="20"/>
          <w:szCs w:val="20"/>
        </w:rPr>
        <w:tab/>
      </w:r>
      <w:r w:rsidR="00F30DF6" w:rsidRPr="00D02DEE">
        <w:rPr>
          <w:rFonts w:ascii="Arial" w:hAnsi="Arial" w:cs="Arial"/>
          <w:sz w:val="20"/>
          <w:szCs w:val="20"/>
        </w:rPr>
        <w:tab/>
      </w:r>
      <w:r w:rsidR="00F30DF6" w:rsidRPr="00D02DEE">
        <w:rPr>
          <w:rFonts w:ascii="Arial" w:hAnsi="Arial" w:cs="Arial"/>
          <w:sz w:val="20"/>
          <w:szCs w:val="20"/>
        </w:rPr>
        <w:tab/>
        <w:t xml:space="preserve">         (20)</w:t>
      </w:r>
    </w:p>
    <w:p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 xml:space="preserve">Extract </w:t>
      </w:r>
      <m:oMath>
        <m:sSub>
          <m:sSubPr>
            <m:ctrlPr>
              <w:rPr>
                <w:rFonts w:ascii="Cambria Math" w:hAnsi="Arial" w:cs="Arial"/>
                <w:i/>
                <w:sz w:val="20"/>
                <w:szCs w:val="20"/>
              </w:rPr>
            </m:ctrlPr>
          </m:sSubPr>
          <m:e>
            <m:acc>
              <m:accPr>
                <m:ctrlPr>
                  <w:rPr>
                    <w:rFonts w:ascii="Cambria Math" w:hAnsi="Arial" w:cs="Arial"/>
                    <w:b/>
                    <w:i/>
                    <w:sz w:val="20"/>
                    <w:szCs w:val="20"/>
                  </w:rPr>
                </m:ctrlPr>
              </m:accPr>
              <m:e>
                <m:r>
                  <m:rPr>
                    <m:sty m:val="bi"/>
                  </m:rPr>
                  <w:rPr>
                    <w:rFonts w:ascii="Cambria Math" w:hAnsi="Cambria Math" w:cs="Arial"/>
                    <w:sz w:val="20"/>
                    <w:szCs w:val="20"/>
                  </w:rPr>
                  <m:t>β</m:t>
                </m:r>
              </m:e>
            </m:acc>
          </m:e>
          <m:sub>
            <m:r>
              <w:rPr>
                <w:rFonts w:ascii="Cambria Math" w:hAnsi="Cambria Math" w:cs="Arial"/>
                <w:sz w:val="20"/>
                <w:szCs w:val="20"/>
              </w:rPr>
              <m:t>i</m:t>
            </m:r>
          </m:sub>
        </m:sSub>
      </m:oMath>
      <w:r w:rsidRPr="00D02DEE">
        <w:rPr>
          <w:rStyle w:val="vlist-s"/>
          <w:rFonts w:ascii="Arial" w:hAnsi="Arial" w:cs="Arial"/>
          <w:sz w:val="20"/>
          <w:szCs w:val="20"/>
        </w:rPr>
        <w:t>​</w:t>
      </w:r>
      <w:r w:rsidRPr="00D02DEE">
        <w:rPr>
          <w:rFonts w:ascii="Arial" w:hAnsi="Arial" w:cs="Arial"/>
          <w:sz w:val="20"/>
          <w:szCs w:val="20"/>
        </w:rPr>
        <w:t xml:space="preserve">, the first </w:t>
      </w:r>
      <m:oMath>
        <m:r>
          <w:rPr>
            <w:rStyle w:val="katex-mathml"/>
            <w:rFonts w:ascii="Cambria Math" w:hAnsi="Cambria Math" w:cs="Arial"/>
            <w:sz w:val="20"/>
            <w:szCs w:val="20"/>
          </w:rPr>
          <m:t>k</m:t>
        </m:r>
      </m:oMath>
      <w:r w:rsidRPr="00D02DEE">
        <w:rPr>
          <w:rFonts w:ascii="Arial" w:hAnsi="Arial" w:cs="Arial"/>
          <w:sz w:val="20"/>
          <w:szCs w:val="20"/>
        </w:rPr>
        <w:t xml:space="preserve"> elements of </w:t>
      </w:r>
      <m:oMath>
        <m:sSub>
          <m:sSubPr>
            <m:ctrlPr>
              <w:rPr>
                <w:rFonts w:ascii="Cambria Math" w:hAnsi="Arial" w:cs="Arial"/>
                <w:i/>
                <w:sz w:val="20"/>
                <w:szCs w:val="20"/>
              </w:rPr>
            </m:ctrlPr>
          </m:sSubPr>
          <m:e>
            <m:acc>
              <m:accPr>
                <m:ctrlPr>
                  <w:rPr>
                    <w:rFonts w:ascii="Cambria Math" w:hAnsi="Arial" w:cs="Arial"/>
                    <w:b/>
                    <w:i/>
                    <w:sz w:val="20"/>
                    <w:szCs w:val="20"/>
                  </w:rPr>
                </m:ctrlPr>
              </m:accPr>
              <m:e>
                <m:r>
                  <m:rPr>
                    <m:sty m:val="bi"/>
                  </m:rPr>
                  <w:rPr>
                    <w:rFonts w:ascii="Cambria Math" w:hAnsi="Cambria Math" w:cs="Arial"/>
                    <w:sz w:val="20"/>
                    <w:szCs w:val="20"/>
                  </w:rPr>
                  <m:t>θ</m:t>
                </m:r>
              </m:e>
            </m:acc>
          </m:e>
          <m:sub>
            <m:r>
              <w:rPr>
                <w:rFonts w:ascii="Cambria Math" w:hAnsi="Cambria Math" w:cs="Arial"/>
                <w:sz w:val="20"/>
                <w:szCs w:val="20"/>
              </w:rPr>
              <m:t>i</m:t>
            </m:r>
          </m:sub>
        </m:sSub>
      </m:oMath>
      <w:r w:rsidRPr="00D02DEE">
        <w:rPr>
          <w:rStyle w:val="vlist-s"/>
          <w:rFonts w:ascii="Arial" w:hAnsi="Arial" w:cs="Arial"/>
          <w:sz w:val="20"/>
          <w:szCs w:val="20"/>
        </w:rPr>
        <w:t>​</w:t>
      </w:r>
      <w:r w:rsidRPr="00D02DEE">
        <w:rPr>
          <w:rFonts w:ascii="Arial" w:hAnsi="Arial" w:cs="Arial"/>
          <w:sz w:val="20"/>
          <w:szCs w:val="20"/>
        </w:rPr>
        <w:t xml:space="preserve">, as the estimator of the long-run coefficients for unit </w:t>
      </w:r>
      <m:oMath>
        <m:r>
          <w:rPr>
            <w:rStyle w:val="katex-mathml"/>
            <w:rFonts w:ascii="Cambria Math" w:hAnsi="Cambria Math" w:cs="Arial"/>
            <w:sz w:val="20"/>
            <w:szCs w:val="20"/>
          </w:rPr>
          <m:t>i</m:t>
        </m:r>
      </m:oMath>
      <w:r w:rsidRPr="00D02DEE">
        <w:rPr>
          <w:rFonts w:ascii="Arial" w:hAnsi="Arial" w:cs="Arial"/>
          <w:sz w:val="20"/>
          <w:szCs w:val="20"/>
        </w:rPr>
        <w:t>.</w:t>
      </w:r>
    </w:p>
    <w:p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 xml:space="preserve">The panel DOLS estimator for </w:t>
      </w:r>
      <m:oMath>
        <m:r>
          <m:rPr>
            <m:sty m:val="bi"/>
          </m:rPr>
          <w:rPr>
            <w:rFonts w:ascii="Cambria Math" w:hAnsi="Cambria Math" w:cs="Arial"/>
            <w:sz w:val="20"/>
            <w:szCs w:val="20"/>
          </w:rPr>
          <m:t>β</m:t>
        </m:r>
      </m:oMath>
      <w:r w:rsidRPr="00D02DEE">
        <w:rPr>
          <w:rFonts w:ascii="Arial" w:hAnsi="Arial" w:cs="Arial"/>
          <w:sz w:val="20"/>
          <w:szCs w:val="20"/>
        </w:rPr>
        <w:t xml:space="preserve"> depends on whether we assume: </w:t>
      </w:r>
    </w:p>
    <w:p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(a) Homogeneous cointegrating vectors or Pooled DOLS (Pedroni, 2000)</w:t>
      </w:r>
    </w:p>
    <w:p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Assume</w:t>
      </w:r>
      <m:oMath>
        <m:sSub>
          <m:sSubPr>
            <m:ctrlPr>
              <w:rPr>
                <w:rFonts w:ascii="Cambria Math" w:hAnsi="Arial" w:cs="Arial"/>
                <w:i/>
                <w:sz w:val="20"/>
                <w:szCs w:val="20"/>
              </w:rPr>
            </m:ctrlPr>
          </m:sSubPr>
          <m:e>
            <m:r>
              <m:rPr>
                <m:sty m:val="bi"/>
              </m:rPr>
              <w:rPr>
                <w:rStyle w:val="katex-mathml"/>
                <w:rFonts w:ascii="Cambria Math" w:hAnsi="Cambria Math" w:cs="Arial"/>
                <w:sz w:val="20"/>
                <w:szCs w:val="20"/>
              </w:rPr>
              <m:t>β</m:t>
            </m:r>
          </m:e>
          <m:sub>
            <m:r>
              <w:rPr>
                <w:rStyle w:val="katex-mathml"/>
                <w:rFonts w:ascii="Cambria Math" w:hAnsi="Cambria Math" w:cs="Arial"/>
                <w:sz w:val="20"/>
                <w:szCs w:val="20"/>
              </w:rPr>
              <m:t>i</m:t>
            </m:r>
          </m:sub>
        </m:sSub>
        <m:r>
          <w:rPr>
            <w:rStyle w:val="katex-mathml"/>
            <w:rFonts w:ascii="Cambria Math" w:hAnsi="Arial" w:cs="Arial"/>
            <w:sz w:val="20"/>
            <w:szCs w:val="20"/>
          </w:rPr>
          <m:t>=</m:t>
        </m:r>
        <m:r>
          <m:rPr>
            <m:sty m:val="bi"/>
          </m:rPr>
          <w:rPr>
            <w:rStyle w:val="katex-mathml"/>
            <w:rFonts w:ascii="Cambria Math" w:hAnsi="Cambria Math" w:cs="Arial"/>
            <w:sz w:val="20"/>
            <w:szCs w:val="20"/>
          </w:rPr>
          <m:t>β</m:t>
        </m:r>
      </m:oMath>
      <w:r w:rsidRPr="00D02DEE">
        <w:rPr>
          <w:rStyle w:val="mspace"/>
          <w:rFonts w:ascii="Arial" w:hAnsi="Arial" w:cs="Arial"/>
          <w:sz w:val="20"/>
          <w:szCs w:val="20"/>
        </w:rPr>
        <w:t> </w:t>
      </w:r>
      <w:r w:rsidRPr="00D02DEE">
        <w:rPr>
          <w:rStyle w:val="mord"/>
          <w:rFonts w:ascii="Cambria Math" w:hAnsi="Cambria Math" w:cs="Arial"/>
          <w:sz w:val="20"/>
          <w:szCs w:val="20"/>
        </w:rPr>
        <w:t>∀</w:t>
      </w:r>
      <m:oMath>
        <m:r>
          <w:rPr>
            <w:rStyle w:val="mord"/>
            <w:rFonts w:ascii="Cambria Math" w:hAnsi="Cambria Math" w:cs="Arial"/>
            <w:sz w:val="20"/>
            <w:szCs w:val="20"/>
          </w:rPr>
          <m:t>i</m:t>
        </m:r>
      </m:oMath>
      <w:r w:rsidRPr="00D02DEE">
        <w:rPr>
          <w:rFonts w:ascii="Arial" w:hAnsi="Arial" w:cs="Arial"/>
          <w:sz w:val="20"/>
          <w:szCs w:val="20"/>
        </w:rPr>
        <w:t xml:space="preserve">, then stack all </w:t>
      </w:r>
      <m:oMath>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sub>
        </m:sSub>
      </m:oMath>
      <w:r w:rsidRPr="00D02DEE">
        <w:rPr>
          <w:rFonts w:ascii="Arial" w:hAnsi="Arial" w:cs="Arial"/>
          <w:sz w:val="20"/>
          <w:szCs w:val="20"/>
        </w:rPr>
        <w:t xml:space="preserve"> and </w:t>
      </w:r>
      <m:oMath>
        <m:sSub>
          <m:sSubPr>
            <m:ctrlPr>
              <w:rPr>
                <w:rFonts w:ascii="Cambria Math" w:hAnsi="Arial" w:cs="Arial"/>
                <w:i/>
                <w:sz w:val="20"/>
                <w:szCs w:val="20"/>
              </w:rPr>
            </m:ctrlPr>
          </m:sSubPr>
          <m:e>
            <m:r>
              <m:rPr>
                <m:sty m:val="bi"/>
              </m:rPr>
              <w:rPr>
                <w:rFonts w:ascii="Cambria Math" w:hAnsi="Cambria Math" w:cs="Arial"/>
                <w:sz w:val="20"/>
                <w:szCs w:val="20"/>
              </w:rPr>
              <m:t>Z</m:t>
            </m:r>
          </m:e>
          <m:sub>
            <m:r>
              <w:rPr>
                <w:rFonts w:ascii="Cambria Math" w:hAnsi="Cambria Math" w:cs="Arial"/>
                <w:sz w:val="20"/>
                <w:szCs w:val="20"/>
              </w:rPr>
              <m:t>i</m:t>
            </m:r>
          </m:sub>
        </m:sSub>
      </m:oMath>
      <w:r w:rsidRPr="00D02DEE">
        <w:rPr>
          <w:rStyle w:val="vlist-s"/>
          <w:rFonts w:ascii="Arial" w:hAnsi="Arial" w:cs="Arial"/>
          <w:sz w:val="20"/>
          <w:szCs w:val="20"/>
        </w:rPr>
        <w:t>​</w:t>
      </w:r>
      <w:r w:rsidRPr="00D02DEE">
        <w:rPr>
          <w:rFonts w:ascii="Arial" w:hAnsi="Arial" w:cs="Arial"/>
          <w:sz w:val="20"/>
          <w:szCs w:val="20"/>
        </w:rPr>
        <w:t>:</w:t>
      </w:r>
    </w:p>
    <w:p w:rsidR="00F30DF6" w:rsidRPr="00D02DEE" w:rsidRDefault="00F30DF6" w:rsidP="00D02DEE">
      <w:pPr>
        <w:pStyle w:val="NormalWeb"/>
        <w:spacing w:before="0" w:beforeAutospacing="0" w:after="0" w:afterAutospacing="0"/>
        <w:jc w:val="both"/>
        <w:rPr>
          <w:rFonts w:ascii="Arial" w:hAnsi="Arial" w:cs="Arial"/>
          <w:sz w:val="20"/>
          <w:szCs w:val="20"/>
        </w:rPr>
      </w:pPr>
      <m:oMathPara>
        <m:oMath>
          <m:r>
            <m:rPr>
              <m:sty m:val="bi"/>
            </m:rPr>
            <w:rPr>
              <w:rFonts w:ascii="Cambria Math" w:hAnsi="Cambria Math" w:cs="Arial"/>
              <w:sz w:val="20"/>
              <w:szCs w:val="20"/>
            </w:rPr>
            <w:lastRenderedPageBreak/>
            <m:t>y</m:t>
          </m:r>
          <m:r>
            <w:rPr>
              <w:rFonts w:ascii="Cambria Math" w:hAnsi="Arial" w:cs="Arial"/>
              <w:sz w:val="20"/>
              <w:szCs w:val="20"/>
            </w:rPr>
            <m:t>=</m:t>
          </m:r>
          <m:d>
            <m:dPr>
              <m:begChr m:val="["/>
              <m:endChr m:val="]"/>
              <m:ctrlPr>
                <w:rPr>
                  <w:rFonts w:ascii="Cambria Math" w:hAnsi="Arial" w:cs="Arial"/>
                  <w:i/>
                  <w:sz w:val="20"/>
                  <w:szCs w:val="20"/>
                </w:rPr>
              </m:ctrlPr>
            </m:dPr>
            <m:e>
              <m:m>
                <m:mPr>
                  <m:mcs>
                    <m:mc>
                      <m:mcPr>
                        <m:count m:val="1"/>
                        <m:mcJc m:val="center"/>
                      </m:mcPr>
                    </m:mc>
                  </m:mcs>
                  <m:ctrlPr>
                    <w:rPr>
                      <w:rFonts w:ascii="Cambria Math" w:hAnsi="Arial" w:cs="Arial"/>
                      <w:i/>
                      <w:sz w:val="20"/>
                      <w:szCs w:val="20"/>
                    </w:rPr>
                  </m:ctrlPr>
                </m:mPr>
                <m:mr>
                  <m:e>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Arial" w:cs="Arial"/>
                            <w:sz w:val="20"/>
                            <w:szCs w:val="20"/>
                          </w:rPr>
                          <m:t>1</m:t>
                        </m:r>
                      </m:sub>
                    </m:sSub>
                  </m:e>
                </m:mr>
                <m:mr>
                  <m:e>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Arial" w:cs="Arial"/>
                            <w:sz w:val="20"/>
                            <w:szCs w:val="20"/>
                          </w:rPr>
                          <m:t>2</m:t>
                        </m:r>
                      </m:sub>
                    </m:sSub>
                  </m:e>
                </m:mr>
                <m:mr>
                  <m:e>
                    <m:m>
                      <m:mPr>
                        <m:mcs>
                          <m:mc>
                            <m:mcPr>
                              <m:count m:val="1"/>
                              <m:mcJc m:val="center"/>
                            </m:mcPr>
                          </m:mc>
                        </m:mcs>
                        <m:ctrlPr>
                          <w:rPr>
                            <w:rFonts w:ascii="Cambria Math" w:hAnsi="Arial" w:cs="Arial"/>
                            <w:i/>
                            <w:sz w:val="20"/>
                            <w:szCs w:val="20"/>
                          </w:rPr>
                        </m:ctrlPr>
                      </m:mPr>
                      <m:mr>
                        <m:e>
                          <m:r>
                            <w:rPr>
                              <w:rFonts w:ascii="Cambria Math" w:hAnsi="Cambria Math" w:cs="Arial"/>
                              <w:sz w:val="20"/>
                              <w:szCs w:val="20"/>
                            </w:rPr>
                            <m:t>⋮</m:t>
                          </m:r>
                        </m:e>
                      </m:mr>
                      <m:mr>
                        <m:e>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N</m:t>
                              </m:r>
                            </m:sub>
                          </m:sSub>
                        </m:e>
                      </m:mr>
                    </m:m>
                  </m:e>
                </m:mr>
              </m:m>
            </m:e>
          </m:d>
          <m:r>
            <w:rPr>
              <w:rFonts w:ascii="Cambria Math" w:hAnsi="Arial" w:cs="Arial"/>
              <w:sz w:val="20"/>
              <w:szCs w:val="20"/>
            </w:rPr>
            <m:t xml:space="preserve">,  </m:t>
          </m:r>
          <m:r>
            <m:rPr>
              <m:sty m:val="bi"/>
            </m:rPr>
            <w:rPr>
              <w:rFonts w:ascii="Cambria Math" w:hAnsi="Cambria Math" w:cs="Arial"/>
              <w:sz w:val="20"/>
              <w:szCs w:val="20"/>
            </w:rPr>
            <m:t>Z</m:t>
          </m:r>
          <m:r>
            <w:rPr>
              <w:rFonts w:ascii="Cambria Math" w:hAnsi="Arial" w:cs="Arial"/>
              <w:sz w:val="20"/>
              <w:szCs w:val="20"/>
            </w:rPr>
            <m:t>=</m:t>
          </m:r>
          <m:d>
            <m:dPr>
              <m:begChr m:val="["/>
              <m:endChr m:val="]"/>
              <m:ctrlPr>
                <w:rPr>
                  <w:rFonts w:ascii="Cambria Math" w:hAnsi="Arial" w:cs="Arial"/>
                  <w:i/>
                  <w:sz w:val="20"/>
                  <w:szCs w:val="20"/>
                </w:rPr>
              </m:ctrlPr>
            </m:dPr>
            <m:e>
              <m:m>
                <m:mPr>
                  <m:mcs>
                    <m:mc>
                      <m:mcPr>
                        <m:count m:val="1"/>
                        <m:mcJc m:val="center"/>
                      </m:mcPr>
                    </m:mc>
                  </m:mcs>
                  <m:ctrlPr>
                    <w:rPr>
                      <w:rFonts w:ascii="Cambria Math" w:hAnsi="Arial" w:cs="Arial"/>
                      <w:i/>
                      <w:sz w:val="20"/>
                      <w:szCs w:val="20"/>
                    </w:rPr>
                  </m:ctrlPr>
                </m:mPr>
                <m:mr>
                  <m:e>
                    <m:sSub>
                      <m:sSubPr>
                        <m:ctrlPr>
                          <w:rPr>
                            <w:rFonts w:ascii="Cambria Math" w:hAnsi="Arial" w:cs="Arial"/>
                            <w:i/>
                            <w:sz w:val="20"/>
                            <w:szCs w:val="20"/>
                          </w:rPr>
                        </m:ctrlPr>
                      </m:sSubPr>
                      <m:e>
                        <m:r>
                          <m:rPr>
                            <m:sty m:val="bi"/>
                          </m:rPr>
                          <w:rPr>
                            <w:rFonts w:ascii="Cambria Math" w:hAnsi="Cambria Math" w:cs="Arial"/>
                            <w:sz w:val="20"/>
                            <w:szCs w:val="20"/>
                          </w:rPr>
                          <m:t>Z</m:t>
                        </m:r>
                      </m:e>
                      <m:sub>
                        <m:r>
                          <w:rPr>
                            <w:rFonts w:ascii="Cambria Math" w:hAnsi="Arial" w:cs="Arial"/>
                            <w:sz w:val="20"/>
                            <w:szCs w:val="20"/>
                          </w:rPr>
                          <m:t>1</m:t>
                        </m:r>
                      </m:sub>
                    </m:sSub>
                  </m:e>
                </m:mr>
                <m:mr>
                  <m:e>
                    <m:sSub>
                      <m:sSubPr>
                        <m:ctrlPr>
                          <w:rPr>
                            <w:rFonts w:ascii="Cambria Math" w:hAnsi="Arial" w:cs="Arial"/>
                            <w:i/>
                            <w:sz w:val="20"/>
                            <w:szCs w:val="20"/>
                          </w:rPr>
                        </m:ctrlPr>
                      </m:sSubPr>
                      <m:e>
                        <m:r>
                          <m:rPr>
                            <m:sty m:val="bi"/>
                          </m:rPr>
                          <w:rPr>
                            <w:rFonts w:ascii="Cambria Math" w:hAnsi="Cambria Math" w:cs="Arial"/>
                            <w:sz w:val="20"/>
                            <w:szCs w:val="20"/>
                          </w:rPr>
                          <m:t>Z</m:t>
                        </m:r>
                      </m:e>
                      <m:sub>
                        <m:r>
                          <w:rPr>
                            <w:rFonts w:ascii="Cambria Math" w:hAnsi="Arial" w:cs="Arial"/>
                            <w:sz w:val="20"/>
                            <w:szCs w:val="20"/>
                          </w:rPr>
                          <m:t>2</m:t>
                        </m:r>
                      </m:sub>
                    </m:sSub>
                  </m:e>
                </m:mr>
                <m:mr>
                  <m:e>
                    <m:m>
                      <m:mPr>
                        <m:mcs>
                          <m:mc>
                            <m:mcPr>
                              <m:count m:val="1"/>
                              <m:mcJc m:val="center"/>
                            </m:mcPr>
                          </m:mc>
                        </m:mcs>
                        <m:ctrlPr>
                          <w:rPr>
                            <w:rFonts w:ascii="Cambria Math" w:hAnsi="Arial" w:cs="Arial"/>
                            <w:i/>
                            <w:sz w:val="20"/>
                            <w:szCs w:val="20"/>
                          </w:rPr>
                        </m:ctrlPr>
                      </m:mPr>
                      <m:mr>
                        <m:e>
                          <m:r>
                            <w:rPr>
                              <w:rFonts w:ascii="Arial" w:hAnsi="Cambria Math" w:cs="Arial"/>
                              <w:sz w:val="20"/>
                              <w:szCs w:val="20"/>
                            </w:rPr>
                            <m:t>⋮</m:t>
                          </m:r>
                        </m:e>
                      </m:mr>
                      <m:mr>
                        <m:e>
                          <m:sSub>
                            <m:sSubPr>
                              <m:ctrlPr>
                                <w:rPr>
                                  <w:rFonts w:ascii="Cambria Math" w:hAnsi="Arial" w:cs="Arial"/>
                                  <w:i/>
                                  <w:sz w:val="20"/>
                                  <w:szCs w:val="20"/>
                                </w:rPr>
                              </m:ctrlPr>
                            </m:sSubPr>
                            <m:e>
                              <m:r>
                                <m:rPr>
                                  <m:sty m:val="bi"/>
                                </m:rPr>
                                <w:rPr>
                                  <w:rFonts w:ascii="Cambria Math" w:hAnsi="Cambria Math" w:cs="Arial"/>
                                  <w:sz w:val="20"/>
                                  <w:szCs w:val="20"/>
                                </w:rPr>
                                <m:t>Z</m:t>
                              </m:r>
                            </m:e>
                            <m:sub>
                              <m:r>
                                <w:rPr>
                                  <w:rFonts w:ascii="Cambria Math" w:hAnsi="Cambria Math" w:cs="Arial"/>
                                  <w:sz w:val="20"/>
                                  <w:szCs w:val="20"/>
                                </w:rPr>
                                <m:t>N</m:t>
                              </m:r>
                            </m:sub>
                          </m:sSub>
                        </m:e>
                      </m:mr>
                    </m:m>
                  </m:e>
                </m:mr>
              </m:m>
            </m:e>
          </m:d>
        </m:oMath>
      </m:oMathPara>
    </w:p>
    <w:p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Then:</w:t>
      </w:r>
    </w:p>
    <w:p w:rsidR="00F30DF6" w:rsidRPr="00D02DEE" w:rsidRDefault="00FB352D" w:rsidP="00D02DEE">
      <w:pPr>
        <w:pStyle w:val="NormalWeb"/>
        <w:spacing w:before="0" w:beforeAutospacing="0" w:after="0" w:afterAutospacing="0"/>
        <w:ind w:left="2160" w:firstLine="720"/>
        <w:jc w:val="both"/>
        <w:rPr>
          <w:rFonts w:ascii="Arial" w:hAnsi="Arial" w:cs="Arial"/>
          <w:sz w:val="20"/>
          <w:szCs w:val="20"/>
        </w:rPr>
      </w:pPr>
      <m:oMath>
        <m:acc>
          <m:accPr>
            <m:ctrlPr>
              <w:rPr>
                <w:rFonts w:ascii="Cambria Math" w:hAnsi="Arial" w:cs="Arial"/>
                <w:b/>
                <w:i/>
                <w:sz w:val="20"/>
                <w:szCs w:val="20"/>
              </w:rPr>
            </m:ctrlPr>
          </m:accPr>
          <m:e>
            <m:r>
              <m:rPr>
                <m:sty m:val="bi"/>
              </m:rPr>
              <w:rPr>
                <w:rFonts w:ascii="Cambria Math" w:hAnsi="Cambria Math" w:cs="Arial"/>
                <w:sz w:val="20"/>
                <w:szCs w:val="20"/>
              </w:rPr>
              <m:t>θ</m:t>
            </m:r>
          </m:e>
        </m:acc>
        <m:r>
          <w:rPr>
            <w:rFonts w:ascii="Cambria Math" w:hAnsi="Arial" w:cs="Arial"/>
            <w:sz w:val="20"/>
            <w:szCs w:val="20"/>
          </w:rPr>
          <m:t>=</m:t>
        </m:r>
        <m:sSup>
          <m:sSupPr>
            <m:ctrlPr>
              <w:rPr>
                <w:rFonts w:ascii="Cambria Math" w:hAnsi="Arial" w:cs="Arial"/>
                <w:i/>
                <w:sz w:val="20"/>
                <w:szCs w:val="20"/>
              </w:rPr>
            </m:ctrlPr>
          </m:sSupPr>
          <m:e>
            <m:d>
              <m:dPr>
                <m:ctrlPr>
                  <w:rPr>
                    <w:rFonts w:ascii="Cambria Math" w:hAnsi="Arial" w:cs="Arial"/>
                    <w:i/>
                    <w:sz w:val="20"/>
                    <w:szCs w:val="20"/>
                  </w:rPr>
                </m:ctrlPr>
              </m:dPr>
              <m:e>
                <m:sSup>
                  <m:sSupPr>
                    <m:ctrlPr>
                      <w:rPr>
                        <w:rFonts w:ascii="Cambria Math" w:hAnsi="Arial" w:cs="Arial"/>
                        <w:i/>
                        <w:sz w:val="20"/>
                        <w:szCs w:val="20"/>
                      </w:rPr>
                    </m:ctrlPr>
                  </m:sSupPr>
                  <m:e>
                    <m:r>
                      <m:rPr>
                        <m:sty m:val="bi"/>
                      </m:rPr>
                      <w:rPr>
                        <w:rFonts w:ascii="Cambria Math" w:hAnsi="Cambria Math" w:cs="Arial"/>
                        <w:sz w:val="20"/>
                        <w:szCs w:val="20"/>
                      </w:rPr>
                      <m:t>Z</m:t>
                    </m:r>
                  </m:e>
                  <m:sup>
                    <m:r>
                      <w:rPr>
                        <w:rFonts w:ascii="Cambria Math" w:hAnsi="Arial" w:cs="Arial"/>
                        <w:sz w:val="20"/>
                        <w:szCs w:val="20"/>
                      </w:rPr>
                      <m:t>'</m:t>
                    </m:r>
                  </m:sup>
                </m:sSup>
                <m:sSub>
                  <m:sSubPr>
                    <m:ctrlPr>
                      <w:rPr>
                        <w:rFonts w:ascii="Cambria Math" w:hAnsi="Arial" w:cs="Arial"/>
                        <w:i/>
                        <w:sz w:val="20"/>
                        <w:szCs w:val="20"/>
                      </w:rPr>
                    </m:ctrlPr>
                  </m:sSubPr>
                  <m:e>
                    <m:r>
                      <m:rPr>
                        <m:sty m:val="bi"/>
                      </m:rPr>
                      <w:rPr>
                        <w:rFonts w:ascii="Cambria Math" w:hAnsi="Cambria Math" w:cs="Arial"/>
                        <w:sz w:val="20"/>
                        <w:szCs w:val="20"/>
                      </w:rPr>
                      <m:t>M</m:t>
                    </m:r>
                  </m:e>
                  <m:sub>
                    <m:r>
                      <w:rPr>
                        <w:rFonts w:ascii="Cambria Math" w:hAnsi="Arial" w:cs="Arial"/>
                        <w:sz w:val="20"/>
                        <w:szCs w:val="20"/>
                      </w:rPr>
                      <m:t>1</m:t>
                    </m:r>
                  </m:sub>
                </m:sSub>
                <m:r>
                  <m:rPr>
                    <m:sty m:val="bi"/>
                  </m:rPr>
                  <w:rPr>
                    <w:rFonts w:ascii="Cambria Math" w:hAnsi="Cambria Math" w:cs="Arial"/>
                    <w:sz w:val="20"/>
                    <w:szCs w:val="20"/>
                  </w:rPr>
                  <m:t>Z</m:t>
                </m:r>
              </m:e>
            </m:d>
          </m:e>
          <m:sup>
            <m:r>
              <w:rPr>
                <w:rFonts w:ascii="Arial" w:hAnsi="Arial" w:cs="Arial"/>
                <w:sz w:val="20"/>
                <w:szCs w:val="20"/>
              </w:rPr>
              <m:t>-</m:t>
            </m:r>
            <m:r>
              <w:rPr>
                <w:rFonts w:ascii="Cambria Math" w:hAnsi="Arial" w:cs="Arial"/>
                <w:sz w:val="20"/>
                <w:szCs w:val="20"/>
              </w:rPr>
              <m:t>1</m:t>
            </m:r>
          </m:sup>
        </m:sSup>
        <m:sSup>
          <m:sSupPr>
            <m:ctrlPr>
              <w:rPr>
                <w:rFonts w:ascii="Cambria Math" w:hAnsi="Arial" w:cs="Arial"/>
                <w:i/>
                <w:sz w:val="20"/>
                <w:szCs w:val="20"/>
              </w:rPr>
            </m:ctrlPr>
          </m:sSupPr>
          <m:e>
            <m:r>
              <m:rPr>
                <m:sty m:val="bi"/>
              </m:rPr>
              <w:rPr>
                <w:rFonts w:ascii="Cambria Math" w:hAnsi="Cambria Math" w:cs="Arial"/>
                <w:sz w:val="20"/>
                <w:szCs w:val="20"/>
              </w:rPr>
              <m:t>Z</m:t>
            </m:r>
          </m:e>
          <m:sup>
            <m:r>
              <w:rPr>
                <w:rFonts w:ascii="Cambria Math" w:hAnsi="Arial" w:cs="Arial"/>
                <w:sz w:val="20"/>
                <w:szCs w:val="20"/>
              </w:rPr>
              <m:t>'</m:t>
            </m:r>
          </m:sup>
        </m:sSup>
        <m:sSub>
          <m:sSubPr>
            <m:ctrlPr>
              <w:rPr>
                <w:rFonts w:ascii="Cambria Math" w:hAnsi="Arial" w:cs="Arial"/>
                <w:i/>
                <w:sz w:val="20"/>
                <w:szCs w:val="20"/>
              </w:rPr>
            </m:ctrlPr>
          </m:sSubPr>
          <m:e>
            <m:r>
              <m:rPr>
                <m:sty m:val="bi"/>
              </m:rPr>
              <w:rPr>
                <w:rFonts w:ascii="Cambria Math" w:hAnsi="Cambria Math" w:cs="Arial"/>
                <w:sz w:val="20"/>
                <w:szCs w:val="20"/>
              </w:rPr>
              <m:t>M</m:t>
            </m:r>
          </m:e>
          <m:sub>
            <m:r>
              <w:rPr>
                <w:rFonts w:ascii="Cambria Math" w:hAnsi="Arial" w:cs="Arial"/>
                <w:sz w:val="20"/>
                <w:szCs w:val="20"/>
              </w:rPr>
              <m:t>1</m:t>
            </m:r>
          </m:sub>
        </m:sSub>
        <m:r>
          <m:rPr>
            <m:sty m:val="bi"/>
          </m:rPr>
          <w:rPr>
            <w:rFonts w:ascii="Cambria Math" w:hAnsi="Cambria Math" w:cs="Arial"/>
            <w:sz w:val="20"/>
            <w:szCs w:val="20"/>
          </w:rPr>
          <m:t>y</m:t>
        </m:r>
      </m:oMath>
      <w:r w:rsidR="00F30DF6" w:rsidRPr="00D02DEE">
        <w:rPr>
          <w:rFonts w:ascii="Arial" w:hAnsi="Arial" w:cs="Arial"/>
          <w:sz w:val="20"/>
          <w:szCs w:val="20"/>
        </w:rPr>
        <w:tab/>
      </w:r>
      <w:r w:rsidR="00F30DF6" w:rsidRPr="00D02DEE">
        <w:rPr>
          <w:rFonts w:ascii="Arial" w:hAnsi="Arial" w:cs="Arial"/>
          <w:sz w:val="20"/>
          <w:szCs w:val="20"/>
        </w:rPr>
        <w:tab/>
      </w:r>
      <w:r w:rsidR="00F30DF6" w:rsidRPr="00D02DEE">
        <w:rPr>
          <w:rFonts w:ascii="Arial" w:hAnsi="Arial" w:cs="Arial"/>
          <w:sz w:val="20"/>
          <w:szCs w:val="20"/>
        </w:rPr>
        <w:tab/>
        <w:t>(21)</w:t>
      </w:r>
    </w:p>
    <w:p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(b) Heterogeneous cointegrating vectors or group-mean DOLS (Kao, 1999)</w:t>
      </w:r>
    </w:p>
    <w:p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 xml:space="preserve">Estimate each </w:t>
      </w:r>
      <m:oMath>
        <m:sSub>
          <m:sSubPr>
            <m:ctrlPr>
              <w:rPr>
                <w:rFonts w:ascii="Cambria Math" w:hAnsi="Arial" w:cs="Arial"/>
                <w:i/>
                <w:sz w:val="20"/>
                <w:szCs w:val="20"/>
              </w:rPr>
            </m:ctrlPr>
          </m:sSubPr>
          <m:e>
            <m:acc>
              <m:accPr>
                <m:ctrlPr>
                  <w:rPr>
                    <w:rFonts w:ascii="Cambria Math" w:hAnsi="Arial" w:cs="Arial"/>
                    <w:b/>
                    <w:i/>
                    <w:sz w:val="20"/>
                    <w:szCs w:val="20"/>
                  </w:rPr>
                </m:ctrlPr>
              </m:accPr>
              <m:e>
                <m:r>
                  <m:rPr>
                    <m:sty m:val="bi"/>
                  </m:rPr>
                  <w:rPr>
                    <w:rFonts w:ascii="Cambria Math" w:hAnsi="Cambria Math" w:cs="Arial"/>
                    <w:sz w:val="20"/>
                    <w:szCs w:val="20"/>
                  </w:rPr>
                  <m:t>β</m:t>
                </m:r>
              </m:e>
            </m:acc>
          </m:e>
          <m:sub>
            <m:r>
              <w:rPr>
                <w:rFonts w:ascii="Cambria Math" w:hAnsi="Cambria Math" w:cs="Arial"/>
                <w:sz w:val="20"/>
                <w:szCs w:val="20"/>
              </w:rPr>
              <m:t>i</m:t>
            </m:r>
          </m:sub>
        </m:sSub>
      </m:oMath>
      <w:r w:rsidRPr="00D02DEE">
        <w:rPr>
          <w:rFonts w:ascii="Arial" w:hAnsi="Arial" w:cs="Arial"/>
          <w:sz w:val="20"/>
          <w:szCs w:val="20"/>
        </w:rPr>
        <w:t xml:space="preserve"> separately, then compute the panel average as given in Equation (22):</w:t>
      </w:r>
    </w:p>
    <w:p w:rsidR="00F30DF6" w:rsidRPr="00D02DEE" w:rsidRDefault="00FB352D" w:rsidP="00D02DEE">
      <w:pPr>
        <w:pStyle w:val="NormalWeb"/>
        <w:spacing w:before="0" w:beforeAutospacing="0" w:after="0" w:afterAutospacing="0"/>
        <w:ind w:left="2160" w:firstLine="720"/>
        <w:jc w:val="both"/>
        <w:rPr>
          <w:rFonts w:ascii="Arial" w:hAnsi="Arial" w:cs="Arial"/>
          <w:sz w:val="20"/>
          <w:szCs w:val="20"/>
        </w:rPr>
      </w:pPr>
      <m:oMath>
        <m:sSub>
          <m:sSubPr>
            <m:ctrlPr>
              <w:rPr>
                <w:rFonts w:ascii="Cambria Math" w:hAnsi="Arial" w:cs="Arial"/>
                <w:i/>
                <w:sz w:val="20"/>
                <w:szCs w:val="20"/>
              </w:rPr>
            </m:ctrlPr>
          </m:sSubPr>
          <m:e>
            <m:acc>
              <m:accPr>
                <m:ctrlPr>
                  <w:rPr>
                    <w:rFonts w:ascii="Cambria Math" w:hAnsi="Arial" w:cs="Arial"/>
                    <w:b/>
                    <w:i/>
                    <w:sz w:val="20"/>
                    <w:szCs w:val="20"/>
                  </w:rPr>
                </m:ctrlPr>
              </m:accPr>
              <m:e>
                <m:r>
                  <m:rPr>
                    <m:sty m:val="bi"/>
                  </m:rPr>
                  <w:rPr>
                    <w:rFonts w:ascii="Cambria Math" w:hAnsi="Cambria Math" w:cs="Arial"/>
                    <w:sz w:val="20"/>
                    <w:szCs w:val="20"/>
                  </w:rPr>
                  <m:t>β</m:t>
                </m:r>
              </m:e>
            </m:acc>
          </m:e>
          <m:sub>
            <m:r>
              <m:rPr>
                <m:sty m:val="p"/>
              </m:rPr>
              <w:rPr>
                <w:rStyle w:val="vlist-s"/>
                <w:rFonts w:ascii="Arial" w:hAnsi="Arial" w:cs="Arial"/>
                <w:sz w:val="20"/>
                <w:szCs w:val="20"/>
              </w:rPr>
              <m:t>​</m:t>
            </m:r>
            <m:r>
              <m:rPr>
                <m:sty m:val="p"/>
              </m:rPr>
              <w:rPr>
                <w:rStyle w:val="mord"/>
                <w:rFonts w:ascii="Cambria Math" w:hAnsi="Arial" w:cs="Arial"/>
                <w:sz w:val="20"/>
                <w:szCs w:val="20"/>
              </w:rPr>
              <m:t>panel</m:t>
            </m:r>
          </m:sub>
        </m:sSub>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N</m:t>
            </m:r>
          </m:den>
        </m:f>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N</m:t>
            </m:r>
          </m:sup>
          <m:e>
            <m:sSub>
              <m:sSubPr>
                <m:ctrlPr>
                  <w:rPr>
                    <w:rFonts w:ascii="Cambria Math" w:hAnsi="Arial" w:cs="Arial"/>
                    <w:i/>
                    <w:sz w:val="20"/>
                    <w:szCs w:val="20"/>
                  </w:rPr>
                </m:ctrlPr>
              </m:sSubPr>
              <m:e>
                <m:acc>
                  <m:accPr>
                    <m:ctrlPr>
                      <w:rPr>
                        <w:rFonts w:ascii="Cambria Math" w:hAnsi="Arial" w:cs="Arial"/>
                        <w:b/>
                        <w:i/>
                        <w:sz w:val="20"/>
                        <w:szCs w:val="20"/>
                      </w:rPr>
                    </m:ctrlPr>
                  </m:accPr>
                  <m:e>
                    <m:r>
                      <m:rPr>
                        <m:sty m:val="bi"/>
                      </m:rPr>
                      <w:rPr>
                        <w:rFonts w:ascii="Cambria Math" w:hAnsi="Cambria Math" w:cs="Arial"/>
                        <w:sz w:val="20"/>
                        <w:szCs w:val="20"/>
                      </w:rPr>
                      <m:t>β</m:t>
                    </m:r>
                  </m:e>
                </m:acc>
              </m:e>
              <m:sub>
                <m:r>
                  <w:rPr>
                    <w:rFonts w:ascii="Cambria Math" w:hAnsi="Cambria Math" w:cs="Arial"/>
                    <w:sz w:val="20"/>
                    <w:szCs w:val="20"/>
                  </w:rPr>
                  <m:t>i</m:t>
                </m:r>
              </m:sub>
            </m:sSub>
          </m:e>
        </m:nary>
      </m:oMath>
      <w:r w:rsidR="00F30DF6" w:rsidRPr="00D02DEE">
        <w:rPr>
          <w:rFonts w:ascii="Arial" w:hAnsi="Arial" w:cs="Arial"/>
          <w:sz w:val="20"/>
          <w:szCs w:val="20"/>
        </w:rPr>
        <w:tab/>
      </w:r>
      <w:r w:rsidR="00F30DF6" w:rsidRPr="00D02DEE">
        <w:rPr>
          <w:rFonts w:ascii="Arial" w:hAnsi="Arial" w:cs="Arial"/>
          <w:sz w:val="20"/>
          <w:szCs w:val="20"/>
        </w:rPr>
        <w:tab/>
        <w:t xml:space="preserve"> (22)</w:t>
      </w:r>
    </w:p>
    <w:p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For each cross-section, the residual variance is computed as shown in Equation (23):</w:t>
      </w:r>
    </w:p>
    <w:p w:rsidR="00F30DF6" w:rsidRPr="00D02DEE" w:rsidRDefault="00FB352D" w:rsidP="00D02DEE">
      <w:pPr>
        <w:pStyle w:val="NormalWeb"/>
        <w:spacing w:before="0" w:beforeAutospacing="0" w:after="0" w:afterAutospacing="0"/>
        <w:ind w:left="2160" w:firstLine="720"/>
        <w:jc w:val="both"/>
        <w:rPr>
          <w:rFonts w:ascii="Arial" w:hAnsi="Arial" w:cs="Arial"/>
          <w:sz w:val="20"/>
          <w:szCs w:val="20"/>
        </w:rPr>
      </w:pPr>
      <m:oMathPara>
        <m:oMath>
          <m:sSubSup>
            <m:sSubSupPr>
              <m:ctrlPr>
                <w:rPr>
                  <w:rFonts w:ascii="Cambria Math" w:hAnsi="Arial" w:cs="Arial"/>
                  <w:i/>
                  <w:sz w:val="20"/>
                  <w:szCs w:val="20"/>
                </w:rPr>
              </m:ctrlPr>
            </m:sSubSupPr>
            <m:e>
              <m:acc>
                <m:accPr>
                  <m:ctrlPr>
                    <w:rPr>
                      <w:rFonts w:ascii="Cambria Math" w:hAnsi="Arial" w:cs="Arial"/>
                      <w:i/>
                      <w:sz w:val="20"/>
                      <w:szCs w:val="20"/>
                    </w:rPr>
                  </m:ctrlPr>
                </m:accPr>
                <m:e>
                  <m:r>
                    <w:rPr>
                      <w:rFonts w:ascii="Cambria Math" w:hAnsi="Cambria Math" w:cs="Arial"/>
                      <w:sz w:val="20"/>
                      <w:szCs w:val="20"/>
                    </w:rPr>
                    <m:t>σ</m:t>
                  </m:r>
                </m:e>
              </m:acc>
            </m:e>
            <m:sub>
              <m:r>
                <w:rPr>
                  <w:rFonts w:ascii="Cambria Math" w:hAnsi="Cambria Math" w:cs="Arial"/>
                  <w:sz w:val="20"/>
                  <w:szCs w:val="20"/>
                </w:rPr>
                <m:t>i</m:t>
              </m:r>
            </m:sub>
            <m:sup>
              <m:r>
                <w:rPr>
                  <w:rFonts w:ascii="Cambria Math" w:hAnsi="Arial" w:cs="Arial"/>
                  <w:sz w:val="20"/>
                  <w:szCs w:val="20"/>
                </w:rPr>
                <m:t>2</m:t>
              </m:r>
            </m:sup>
          </m:sSubSup>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s</m:t>
              </m:r>
              <m:r>
                <w:rPr>
                  <w:rFonts w:ascii="Arial" w:hAnsi="Arial" w:cs="Arial"/>
                  <w:sz w:val="20"/>
                  <w:szCs w:val="20"/>
                </w:rPr>
                <m:t>-</m:t>
              </m:r>
              <m:r>
                <w:rPr>
                  <w:rFonts w:ascii="Cambria Math" w:hAnsi="Cambria Math" w:cs="Arial"/>
                  <w:sz w:val="20"/>
                  <w:szCs w:val="20"/>
                </w:rPr>
                <m:t>k</m:t>
              </m:r>
              <m:r>
                <w:rPr>
                  <w:rFonts w:ascii="Cambria Math" w:hAnsi="Arial" w:cs="Arial"/>
                  <w:sz w:val="20"/>
                  <w:szCs w:val="20"/>
                </w:rPr>
                <m:t>(1+</m:t>
              </m:r>
              <m:r>
                <w:rPr>
                  <w:rFonts w:ascii="Cambria Math" w:hAnsi="Cambria Math" w:cs="Arial"/>
                  <w:sz w:val="20"/>
                  <w:szCs w:val="20"/>
                </w:rPr>
                <m:t>p</m:t>
              </m:r>
              <m:r>
                <w:rPr>
                  <w:rFonts w:ascii="Cambria Math" w:hAnsi="Arial" w:cs="Arial"/>
                  <w:sz w:val="20"/>
                  <w:szCs w:val="20"/>
                </w:rPr>
                <m:t>+</m:t>
              </m:r>
              <m:r>
                <w:rPr>
                  <w:rFonts w:ascii="Cambria Math" w:hAnsi="Cambria Math" w:cs="Arial"/>
                  <w:sz w:val="20"/>
                  <w:szCs w:val="20"/>
                </w:rPr>
                <m:t>q</m:t>
              </m:r>
              <m:r>
                <w:rPr>
                  <w:rFonts w:ascii="Cambria Math" w:hAnsi="Arial" w:cs="Arial"/>
                  <w:sz w:val="20"/>
                  <w:szCs w:val="20"/>
                </w:rPr>
                <m:t>)</m:t>
              </m:r>
            </m:den>
          </m:f>
          <m:nary>
            <m:naryPr>
              <m:chr m:val="∑"/>
              <m:limLoc m:val="undOvr"/>
              <m:ctrlPr>
                <w:rPr>
                  <w:rFonts w:ascii="Cambria Math" w:hAnsi="Arial" w:cs="Arial"/>
                  <w:i/>
                  <w:sz w:val="20"/>
                  <w:szCs w:val="20"/>
                </w:rPr>
              </m:ctrlPr>
            </m:naryPr>
            <m:sub>
              <m:r>
                <w:rPr>
                  <w:rFonts w:ascii="Cambria Math" w:hAnsi="Cambria Math" w:cs="Arial"/>
                  <w:sz w:val="20"/>
                  <w:szCs w:val="20"/>
                </w:rPr>
                <m:t>t</m:t>
              </m:r>
              <m:r>
                <w:rPr>
                  <w:rFonts w:ascii="Cambria Math" w:hAnsi="Arial" w:cs="Arial"/>
                  <w:sz w:val="20"/>
                  <w:szCs w:val="20"/>
                </w:rPr>
                <m:t>=</m:t>
              </m:r>
              <m:r>
                <w:rPr>
                  <w:rFonts w:ascii="Cambria Math" w:hAnsi="Cambria Math" w:cs="Arial"/>
                  <w:sz w:val="20"/>
                  <w:szCs w:val="20"/>
                </w:rPr>
                <m:t>s</m:t>
              </m:r>
              <m:r>
                <w:rPr>
                  <w:rFonts w:ascii="Cambria Math" w:hAnsi="Arial" w:cs="Arial"/>
                  <w:sz w:val="20"/>
                  <w:szCs w:val="20"/>
                </w:rPr>
                <m:t>+1</m:t>
              </m:r>
            </m:sub>
            <m:sup>
              <m:r>
                <w:rPr>
                  <w:rFonts w:ascii="Cambria Math" w:hAnsi="Cambria Math" w:cs="Arial"/>
                  <w:sz w:val="20"/>
                  <w:szCs w:val="20"/>
                </w:rPr>
                <m:t>T</m:t>
              </m:r>
            </m:sup>
            <m:e>
              <m:sSubSup>
                <m:sSubSupPr>
                  <m:ctrlPr>
                    <w:rPr>
                      <w:rFonts w:ascii="Cambria Math" w:hAnsi="Arial" w:cs="Arial"/>
                      <w:i/>
                      <w:sz w:val="20"/>
                      <w:szCs w:val="20"/>
                    </w:rPr>
                  </m:ctrlPr>
                </m:sSubSupPr>
                <m:e>
                  <m:acc>
                    <m:accPr>
                      <m:ctrlPr>
                        <w:rPr>
                          <w:rFonts w:ascii="Cambria Math" w:hAnsi="Arial" w:cs="Arial"/>
                          <w:i/>
                          <w:sz w:val="20"/>
                          <w:szCs w:val="20"/>
                        </w:rPr>
                      </m:ctrlPr>
                    </m:accPr>
                    <m:e>
                      <m:r>
                        <w:rPr>
                          <w:rFonts w:ascii="Cambria Math" w:hAnsi="Cambria Math" w:cs="Arial"/>
                          <w:sz w:val="20"/>
                          <w:szCs w:val="20"/>
                        </w:rPr>
                        <m:t>ε</m:t>
                      </m:r>
                    </m:e>
                  </m:acc>
                </m:e>
                <m:sub>
                  <m:r>
                    <w:rPr>
                      <w:rFonts w:ascii="Cambria Math" w:hAnsi="Cambria Math" w:cs="Arial"/>
                      <w:sz w:val="20"/>
                      <w:szCs w:val="20"/>
                    </w:rPr>
                    <m:t>it</m:t>
                  </m:r>
                </m:sub>
                <m:sup>
                  <m:r>
                    <w:rPr>
                      <w:rFonts w:ascii="Cambria Math" w:hAnsi="Arial" w:cs="Arial"/>
                      <w:sz w:val="20"/>
                      <w:szCs w:val="20"/>
                    </w:rPr>
                    <m:t>2</m:t>
                  </m:r>
                </m:sup>
              </m:sSubSup>
            </m:e>
          </m:nary>
          <m:r>
            <w:rPr>
              <w:rFonts w:ascii="Cambria Math" w:hAnsi="Arial" w:cs="Arial"/>
              <w:sz w:val="20"/>
              <w:szCs w:val="20"/>
            </w:rPr>
            <m:t xml:space="preserve">                                                    (23)</m:t>
          </m:r>
        </m:oMath>
      </m:oMathPara>
    </w:p>
    <w:p w:rsidR="00F30DF6" w:rsidRPr="00D02DEE" w:rsidRDefault="00F30DF6" w:rsidP="00D02DEE">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 xml:space="preserve">Covariance matrix of </w:t>
      </w:r>
      <m:oMath>
        <m:sSub>
          <m:sSubPr>
            <m:ctrlPr>
              <w:rPr>
                <w:rFonts w:ascii="Cambria Math" w:hAnsi="Arial" w:cs="Arial"/>
                <w:i/>
                <w:sz w:val="20"/>
                <w:szCs w:val="20"/>
              </w:rPr>
            </m:ctrlPr>
          </m:sSubPr>
          <m:e>
            <m:acc>
              <m:accPr>
                <m:ctrlPr>
                  <w:rPr>
                    <w:rFonts w:ascii="Cambria Math" w:hAnsi="Arial" w:cs="Arial"/>
                    <w:b/>
                    <w:i/>
                    <w:sz w:val="20"/>
                    <w:szCs w:val="20"/>
                  </w:rPr>
                </m:ctrlPr>
              </m:accPr>
              <m:e>
                <m:r>
                  <m:rPr>
                    <m:sty m:val="bi"/>
                  </m:rPr>
                  <w:rPr>
                    <w:rFonts w:ascii="Cambria Math" w:hAnsi="Cambria Math" w:cs="Arial"/>
                    <w:sz w:val="20"/>
                    <w:szCs w:val="20"/>
                  </w:rPr>
                  <m:t>β</m:t>
                </m:r>
              </m:e>
            </m:acc>
          </m:e>
          <m:sub>
            <m:r>
              <w:rPr>
                <w:rFonts w:ascii="Cambria Math" w:hAnsi="Cambria Math" w:cs="Arial"/>
                <w:sz w:val="20"/>
                <w:szCs w:val="20"/>
              </w:rPr>
              <m:t>i</m:t>
            </m:r>
          </m:sub>
        </m:sSub>
      </m:oMath>
      <w:r w:rsidRPr="00D02DEE">
        <w:rPr>
          <w:rFonts w:ascii="Arial" w:hAnsi="Arial" w:cs="Arial"/>
          <w:sz w:val="20"/>
          <w:szCs w:val="20"/>
        </w:rPr>
        <w:t xml:space="preserve"> is computed as given in Equation (24):</w:t>
      </w:r>
    </w:p>
    <w:p w:rsidR="00F30DF6" w:rsidRPr="00F30DF6" w:rsidRDefault="00FB352D" w:rsidP="00D02DEE">
      <w:pPr>
        <w:pStyle w:val="NormalWeb"/>
        <w:spacing w:before="0" w:beforeAutospacing="0" w:after="0" w:afterAutospacing="0"/>
        <w:ind w:left="2160" w:firstLine="720"/>
        <w:jc w:val="both"/>
        <w:rPr>
          <w:sz w:val="20"/>
          <w:szCs w:val="20"/>
        </w:rPr>
      </w:pPr>
      <m:oMath>
        <m:acc>
          <m:accPr>
            <m:ctrlPr>
              <w:rPr>
                <w:rFonts w:ascii="Cambria Math" w:hAnsi="Cambria Math"/>
                <w:i/>
                <w:sz w:val="20"/>
                <w:szCs w:val="20"/>
              </w:rPr>
            </m:ctrlPr>
          </m:accPr>
          <m:e>
            <m:r>
              <w:rPr>
                <w:rFonts w:ascii="Cambria Math" w:hAnsi="Cambria Math"/>
                <w:sz w:val="20"/>
                <w:szCs w:val="20"/>
              </w:rPr>
              <m:t>Var</m:t>
            </m:r>
          </m:e>
        </m:acc>
        <m:d>
          <m:dPr>
            <m:ctrlPr>
              <w:rPr>
                <w:rFonts w:ascii="Cambria Math" w:hAnsi="Cambria Math"/>
                <w:i/>
                <w:sz w:val="20"/>
                <w:szCs w:val="20"/>
              </w:rPr>
            </m:ctrlPr>
          </m:dPr>
          <m:e>
            <m:sSub>
              <m:sSubPr>
                <m:ctrlPr>
                  <w:rPr>
                    <w:rFonts w:ascii="Cambria Math" w:hAnsi="Cambria Math"/>
                    <w:i/>
                    <w:sz w:val="20"/>
                    <w:szCs w:val="20"/>
                  </w:rPr>
                </m:ctrlPr>
              </m:sSubPr>
              <m:e>
                <m:acc>
                  <m:accPr>
                    <m:ctrlPr>
                      <w:rPr>
                        <w:rFonts w:ascii="Cambria Math" w:hAnsi="Cambria Math"/>
                        <w:b/>
                        <w:i/>
                        <w:sz w:val="20"/>
                        <w:szCs w:val="20"/>
                      </w:rPr>
                    </m:ctrlPr>
                  </m:accPr>
                  <m:e>
                    <m:r>
                      <m:rPr>
                        <m:sty m:val="bi"/>
                      </m:rPr>
                      <w:rPr>
                        <w:rFonts w:ascii="Cambria Math" w:hAnsi="Cambria Math"/>
                        <w:sz w:val="20"/>
                        <w:szCs w:val="20"/>
                      </w:rPr>
                      <m:t>β</m:t>
                    </m:r>
                  </m:e>
                </m:acc>
              </m:e>
              <m:sub>
                <m:r>
                  <w:rPr>
                    <w:rFonts w:ascii="Cambria Math" w:hAnsi="Cambria Math"/>
                    <w:sz w:val="20"/>
                    <w:szCs w:val="20"/>
                  </w:rPr>
                  <m:t>i</m:t>
                </m:r>
              </m:sub>
            </m:sSub>
          </m:e>
        </m:d>
        <m:r>
          <w:rPr>
            <w:rFonts w:ascii="Cambria Math" w:hAnsi="Cambria Math"/>
            <w:sz w:val="20"/>
            <w:szCs w:val="20"/>
          </w:rPr>
          <m:t>=</m:t>
        </m:r>
        <m:sSubSup>
          <m:sSubSupPr>
            <m:ctrlPr>
              <w:rPr>
                <w:rFonts w:ascii="Cambria Math" w:hAnsi="Cambria Math"/>
                <w:i/>
                <w:sz w:val="20"/>
                <w:szCs w:val="20"/>
              </w:rPr>
            </m:ctrlPr>
          </m:sSubSupPr>
          <m:e>
            <m:acc>
              <m:accPr>
                <m:ctrlPr>
                  <w:rPr>
                    <w:rFonts w:ascii="Cambria Math" w:hAnsi="Cambria Math"/>
                    <w:i/>
                    <w:sz w:val="20"/>
                    <w:szCs w:val="20"/>
                  </w:rPr>
                </m:ctrlPr>
              </m:accPr>
              <m:e>
                <m:r>
                  <w:rPr>
                    <w:rFonts w:ascii="Cambria Math" w:hAnsi="Cambria Math"/>
                    <w:sz w:val="20"/>
                    <w:szCs w:val="20"/>
                  </w:rPr>
                  <m:t>σ</m:t>
                </m:r>
              </m:e>
            </m:acc>
          </m:e>
          <m:sub>
            <m:r>
              <w:rPr>
                <w:rFonts w:ascii="Cambria Math" w:hAnsi="Cambria Math"/>
                <w:sz w:val="20"/>
                <w:szCs w:val="20"/>
              </w:rPr>
              <m:t>i</m:t>
            </m:r>
          </m:sub>
          <m:sup>
            <m:r>
              <w:rPr>
                <w:rFonts w:ascii="Cambria Math" w:hAnsi="Cambria Math"/>
                <w:sz w:val="20"/>
                <w:szCs w:val="20"/>
              </w:rPr>
              <m:t>2</m:t>
            </m:r>
          </m:sup>
        </m:sSubSup>
        <m:sSubSup>
          <m:sSubSupPr>
            <m:ctrlPr>
              <w:rPr>
                <w:rFonts w:ascii="Cambria Math" w:hAnsi="Cambria Math"/>
                <w:i/>
                <w:sz w:val="20"/>
                <w:szCs w:val="20"/>
              </w:rPr>
            </m:ctrlPr>
          </m:sSubSupPr>
          <m:e>
            <m:d>
              <m:dPr>
                <m:ctrlPr>
                  <w:rPr>
                    <w:rFonts w:ascii="Cambria Math" w:hAnsi="Cambria Math"/>
                    <w:i/>
                    <w:sz w:val="20"/>
                    <w:szCs w:val="20"/>
                  </w:rPr>
                </m:ctrlPr>
              </m:dPr>
              <m:e>
                <m:sSubSup>
                  <m:sSubSupPr>
                    <m:ctrlPr>
                      <w:rPr>
                        <w:rFonts w:ascii="Cambria Math" w:hAnsi="Cambria Math"/>
                        <w:i/>
                        <w:sz w:val="20"/>
                        <w:szCs w:val="20"/>
                      </w:rPr>
                    </m:ctrlPr>
                  </m:sSubSupPr>
                  <m:e>
                    <m:r>
                      <m:rPr>
                        <m:sty m:val="bi"/>
                      </m:rPr>
                      <w:rPr>
                        <w:rFonts w:ascii="Cambria Math" w:hAnsi="Cambria Math"/>
                        <w:sz w:val="20"/>
                        <w:szCs w:val="20"/>
                      </w:rPr>
                      <m:t>Z</m:t>
                    </m:r>
                  </m:e>
                  <m:sub>
                    <m:r>
                      <w:rPr>
                        <w:rFonts w:ascii="Cambria Math" w:hAnsi="Cambria Math"/>
                        <w:sz w:val="20"/>
                        <w:szCs w:val="20"/>
                      </w:rPr>
                      <m:t>i</m:t>
                    </m:r>
                  </m:sub>
                  <m:sup>
                    <m:r>
                      <w:rPr>
                        <w:rFonts w:ascii="Cambria Math" w:hAnsi="Cambria Math"/>
                        <w:sz w:val="20"/>
                        <w:szCs w:val="20"/>
                      </w:rPr>
                      <m:t>'</m:t>
                    </m:r>
                  </m:sup>
                </m:sSubSup>
                <m:sSub>
                  <m:sSubPr>
                    <m:ctrlPr>
                      <w:rPr>
                        <w:rFonts w:ascii="Cambria Math" w:hAnsi="Cambria Math"/>
                        <w:i/>
                        <w:sz w:val="20"/>
                        <w:szCs w:val="20"/>
                      </w:rPr>
                    </m:ctrlPr>
                  </m:sSubPr>
                  <m:e>
                    <m:r>
                      <m:rPr>
                        <m:sty m:val="bi"/>
                      </m:rPr>
                      <w:rPr>
                        <w:rFonts w:ascii="Cambria Math" w:hAnsi="Cambria Math"/>
                        <w:sz w:val="20"/>
                        <w:szCs w:val="20"/>
                      </w:rPr>
                      <m:t>M</m:t>
                    </m:r>
                  </m:e>
                  <m:sub>
                    <m:r>
                      <w:rPr>
                        <w:rFonts w:ascii="Cambria Math" w:hAnsi="Cambria Math"/>
                        <w:sz w:val="20"/>
                        <w:szCs w:val="20"/>
                      </w:rPr>
                      <m:t>1</m:t>
                    </m:r>
                  </m:sub>
                </m:sSub>
                <m:sSub>
                  <m:sSubPr>
                    <m:ctrlPr>
                      <w:rPr>
                        <w:rFonts w:ascii="Cambria Math" w:hAnsi="Cambria Math"/>
                        <w:i/>
                        <w:sz w:val="20"/>
                        <w:szCs w:val="20"/>
                      </w:rPr>
                    </m:ctrlPr>
                  </m:sSubPr>
                  <m:e>
                    <m:r>
                      <m:rPr>
                        <m:sty m:val="bi"/>
                      </m:rPr>
                      <w:rPr>
                        <w:rFonts w:ascii="Cambria Math" w:hAnsi="Cambria Math"/>
                        <w:sz w:val="20"/>
                        <w:szCs w:val="20"/>
                      </w:rPr>
                      <m:t>Z</m:t>
                    </m:r>
                  </m:e>
                  <m:sub>
                    <m:r>
                      <w:rPr>
                        <w:rFonts w:ascii="Cambria Math" w:hAnsi="Cambria Math"/>
                        <w:sz w:val="20"/>
                        <w:szCs w:val="20"/>
                      </w:rPr>
                      <m:t>i</m:t>
                    </m:r>
                  </m:sub>
                </m:sSub>
              </m:e>
            </m:d>
          </m:e>
          <m:sub>
            <m:d>
              <m:dPr>
                <m:begChr m:val="["/>
                <m:endChr m:val="]"/>
                <m:ctrlPr>
                  <w:rPr>
                    <w:rFonts w:ascii="Cambria Math" w:hAnsi="Cambria Math"/>
                    <w:i/>
                    <w:sz w:val="20"/>
                    <w:szCs w:val="20"/>
                  </w:rPr>
                </m:ctrlPr>
              </m:dPr>
              <m:e>
                <m:r>
                  <w:rPr>
                    <w:rFonts w:ascii="Cambria Math" w:hAnsi="Cambria Math"/>
                    <w:sz w:val="20"/>
                    <w:szCs w:val="20"/>
                  </w:rPr>
                  <m:t>1:k, 1:k</m:t>
                </m:r>
              </m:e>
            </m:d>
          </m:sub>
          <m:sup>
            <m:r>
              <w:rPr>
                <w:rFonts w:ascii="Cambria Math" w:hAnsi="Cambria Math"/>
                <w:sz w:val="20"/>
                <w:szCs w:val="20"/>
              </w:rPr>
              <m:t>-1</m:t>
            </m:r>
          </m:sup>
        </m:sSubSup>
      </m:oMath>
      <w:r w:rsidR="00F30DF6" w:rsidRPr="00F30DF6">
        <w:rPr>
          <w:sz w:val="20"/>
          <w:szCs w:val="20"/>
        </w:rPr>
        <w:tab/>
      </w:r>
      <w:r w:rsidR="00F30DF6" w:rsidRPr="00F30DF6">
        <w:rPr>
          <w:sz w:val="20"/>
          <w:szCs w:val="20"/>
        </w:rPr>
        <w:tab/>
        <w:t xml:space="preserve">  (24)</w:t>
      </w:r>
    </w:p>
    <w:p w:rsidR="00F30DF6" w:rsidRPr="00D02DEE" w:rsidRDefault="00F30DF6" w:rsidP="00F30DF6">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Panel estimator (Kao-type) is computed as given in Equation (25):</w:t>
      </w:r>
    </w:p>
    <w:p w:rsidR="00F30DF6" w:rsidRPr="00D02DEE" w:rsidRDefault="00FB352D" w:rsidP="00F30DF6">
      <w:pPr>
        <w:pStyle w:val="NormalWeb"/>
        <w:spacing w:before="0" w:beforeAutospacing="0" w:after="0" w:afterAutospacing="0"/>
        <w:ind w:left="1440" w:firstLine="720"/>
        <w:jc w:val="both"/>
        <w:rPr>
          <w:rFonts w:ascii="Arial" w:hAnsi="Arial" w:cs="Arial"/>
          <w:sz w:val="20"/>
          <w:szCs w:val="20"/>
        </w:rPr>
      </w:pPr>
      <m:oMath>
        <m:acc>
          <m:accPr>
            <m:ctrlPr>
              <w:rPr>
                <w:rFonts w:ascii="Cambria Math" w:hAnsi="Arial" w:cs="Arial"/>
                <w:i/>
                <w:sz w:val="20"/>
                <w:szCs w:val="20"/>
              </w:rPr>
            </m:ctrlPr>
          </m:accPr>
          <m:e>
            <m:r>
              <w:rPr>
                <w:rFonts w:ascii="Cambria Math" w:hAnsi="Cambria Math" w:cs="Arial"/>
                <w:sz w:val="20"/>
                <w:szCs w:val="20"/>
              </w:rPr>
              <m:t>Var</m:t>
            </m:r>
          </m:e>
        </m:acc>
        <m:d>
          <m:dPr>
            <m:ctrlPr>
              <w:rPr>
                <w:rFonts w:ascii="Cambria Math" w:hAnsi="Arial" w:cs="Arial"/>
                <w:i/>
                <w:sz w:val="20"/>
                <w:szCs w:val="20"/>
              </w:rPr>
            </m:ctrlPr>
          </m:dPr>
          <m:e>
            <m:sSub>
              <m:sSubPr>
                <m:ctrlPr>
                  <w:rPr>
                    <w:rFonts w:ascii="Cambria Math" w:hAnsi="Arial" w:cs="Arial"/>
                    <w:i/>
                    <w:sz w:val="20"/>
                    <w:szCs w:val="20"/>
                  </w:rPr>
                </m:ctrlPr>
              </m:sSubPr>
              <m:e>
                <m:acc>
                  <m:accPr>
                    <m:ctrlPr>
                      <w:rPr>
                        <w:rFonts w:ascii="Cambria Math" w:hAnsi="Arial" w:cs="Arial"/>
                        <w:b/>
                        <w:i/>
                        <w:sz w:val="20"/>
                        <w:szCs w:val="20"/>
                      </w:rPr>
                    </m:ctrlPr>
                  </m:accPr>
                  <m:e>
                    <m:r>
                      <m:rPr>
                        <m:sty m:val="bi"/>
                      </m:rPr>
                      <w:rPr>
                        <w:rFonts w:ascii="Cambria Math" w:hAnsi="Cambria Math" w:cs="Arial"/>
                        <w:sz w:val="20"/>
                        <w:szCs w:val="20"/>
                      </w:rPr>
                      <m:t>β</m:t>
                    </m:r>
                  </m:e>
                </m:acc>
              </m:e>
              <m:sub>
                <m:r>
                  <m:rPr>
                    <m:sty m:val="p"/>
                  </m:rPr>
                  <w:rPr>
                    <w:rStyle w:val="vlist-s"/>
                    <w:rFonts w:ascii="Arial" w:hAnsi="Arial" w:cs="Arial"/>
                    <w:sz w:val="20"/>
                    <w:szCs w:val="20"/>
                  </w:rPr>
                  <m:t>​</m:t>
                </m:r>
                <m:r>
                  <m:rPr>
                    <m:sty m:val="p"/>
                  </m:rPr>
                  <w:rPr>
                    <w:rStyle w:val="mord"/>
                    <w:rFonts w:ascii="Cambria Math" w:hAnsi="Arial" w:cs="Arial"/>
                    <w:sz w:val="20"/>
                    <w:szCs w:val="20"/>
                  </w:rPr>
                  <m:t>panel</m:t>
                </m:r>
              </m:sub>
            </m:sSub>
          </m:e>
        </m:d>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N</m:t>
            </m:r>
          </m:sup>
          <m:e>
            <m:d>
              <m:dPr>
                <m:ctrlPr>
                  <w:rPr>
                    <w:rFonts w:ascii="Cambria Math" w:hAnsi="Arial" w:cs="Arial"/>
                    <w:i/>
                    <w:sz w:val="20"/>
                    <w:szCs w:val="20"/>
                  </w:rPr>
                </m:ctrlPr>
              </m:dPr>
              <m:e>
                <m:sSub>
                  <m:sSubPr>
                    <m:ctrlPr>
                      <w:rPr>
                        <w:rFonts w:ascii="Cambria Math" w:hAnsi="Arial" w:cs="Arial"/>
                        <w:i/>
                        <w:sz w:val="20"/>
                        <w:szCs w:val="20"/>
                      </w:rPr>
                    </m:ctrlPr>
                  </m:sSubPr>
                  <m:e>
                    <m:acc>
                      <m:accPr>
                        <m:ctrlPr>
                          <w:rPr>
                            <w:rFonts w:ascii="Cambria Math" w:hAnsi="Arial" w:cs="Arial"/>
                            <w:b/>
                            <w:i/>
                            <w:sz w:val="20"/>
                            <w:szCs w:val="20"/>
                          </w:rPr>
                        </m:ctrlPr>
                      </m:accPr>
                      <m:e>
                        <m:r>
                          <m:rPr>
                            <m:sty m:val="bi"/>
                          </m:rPr>
                          <w:rPr>
                            <w:rFonts w:ascii="Cambria Math" w:hAnsi="Cambria Math" w:cs="Arial"/>
                            <w:sz w:val="20"/>
                            <w:szCs w:val="20"/>
                          </w:rPr>
                          <m:t>β</m:t>
                        </m:r>
                      </m:e>
                    </m:acc>
                  </m:e>
                  <m:sub>
                    <m:r>
                      <w:rPr>
                        <w:rFonts w:ascii="Cambria Math" w:hAnsi="Cambria Math" w:cs="Arial"/>
                        <w:sz w:val="20"/>
                        <w:szCs w:val="20"/>
                      </w:rPr>
                      <m:t>i</m:t>
                    </m:r>
                  </m:sub>
                </m:sSub>
              </m:e>
            </m:d>
          </m:e>
        </m:nary>
      </m:oMath>
      <w:r w:rsidR="00F30DF6" w:rsidRPr="00D02DEE">
        <w:rPr>
          <w:rFonts w:ascii="Arial" w:hAnsi="Arial" w:cs="Arial"/>
          <w:sz w:val="20"/>
          <w:szCs w:val="20"/>
        </w:rPr>
        <w:tab/>
      </w:r>
      <w:r w:rsidR="00F30DF6" w:rsidRPr="00D02DEE">
        <w:rPr>
          <w:rFonts w:ascii="Arial" w:hAnsi="Arial" w:cs="Arial"/>
          <w:sz w:val="20"/>
          <w:szCs w:val="20"/>
        </w:rPr>
        <w:tab/>
      </w:r>
      <w:r w:rsidR="00F30DF6" w:rsidRPr="00D02DEE">
        <w:rPr>
          <w:rFonts w:ascii="Arial" w:hAnsi="Arial" w:cs="Arial"/>
          <w:sz w:val="20"/>
          <w:szCs w:val="20"/>
        </w:rPr>
        <w:tab/>
        <w:t xml:space="preserve">  (25)</w:t>
      </w:r>
    </w:p>
    <w:p w:rsidR="00F30DF6" w:rsidRPr="00D02DEE" w:rsidRDefault="00F30DF6" w:rsidP="00F30DF6">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Under assumptions, the panel DOLS estimator is asymptotically normal:</w:t>
      </w:r>
    </w:p>
    <w:p w:rsidR="00F30DF6" w:rsidRPr="00D02DEE" w:rsidRDefault="00FB352D" w:rsidP="00F30DF6">
      <w:pPr>
        <w:pStyle w:val="NormalWeb"/>
        <w:spacing w:before="0" w:beforeAutospacing="0" w:after="0" w:afterAutospacing="0"/>
        <w:jc w:val="both"/>
        <w:rPr>
          <w:rFonts w:ascii="Arial" w:hAnsi="Arial" w:cs="Arial"/>
          <w:sz w:val="20"/>
          <w:szCs w:val="20"/>
        </w:rPr>
      </w:pPr>
      <m:oMathPara>
        <m:oMath>
          <m:rad>
            <m:radPr>
              <m:degHide m:val="on"/>
              <m:ctrlPr>
                <w:rPr>
                  <w:rFonts w:ascii="Cambria Math" w:hAnsi="Arial" w:cs="Arial"/>
                  <w:i/>
                  <w:sz w:val="20"/>
                  <w:szCs w:val="20"/>
                </w:rPr>
              </m:ctrlPr>
            </m:radPr>
            <m:deg/>
            <m:e>
              <m:r>
                <w:rPr>
                  <w:rFonts w:ascii="Cambria Math" w:hAnsi="Cambria Math" w:cs="Arial"/>
                  <w:sz w:val="20"/>
                  <w:szCs w:val="20"/>
                </w:rPr>
                <m:t>T</m:t>
              </m:r>
            </m:e>
          </m:rad>
          <m:d>
            <m:dPr>
              <m:ctrlPr>
                <w:rPr>
                  <w:rFonts w:ascii="Cambria Math" w:hAnsi="Arial" w:cs="Arial"/>
                  <w:i/>
                  <w:sz w:val="20"/>
                  <w:szCs w:val="20"/>
                </w:rPr>
              </m:ctrlPr>
            </m:dPr>
            <m:e>
              <m:sSub>
                <m:sSubPr>
                  <m:ctrlPr>
                    <w:rPr>
                      <w:rFonts w:ascii="Cambria Math" w:hAnsi="Arial" w:cs="Arial"/>
                      <w:i/>
                      <w:sz w:val="20"/>
                      <w:szCs w:val="20"/>
                    </w:rPr>
                  </m:ctrlPr>
                </m:sSubPr>
                <m:e>
                  <m:acc>
                    <m:accPr>
                      <m:ctrlPr>
                        <w:rPr>
                          <w:rFonts w:ascii="Cambria Math" w:hAnsi="Arial" w:cs="Arial"/>
                          <w:b/>
                          <w:i/>
                          <w:sz w:val="20"/>
                          <w:szCs w:val="20"/>
                        </w:rPr>
                      </m:ctrlPr>
                    </m:accPr>
                    <m:e>
                      <m:r>
                        <m:rPr>
                          <m:sty m:val="bi"/>
                        </m:rPr>
                        <w:rPr>
                          <w:rFonts w:ascii="Cambria Math" w:hAnsi="Cambria Math" w:cs="Arial"/>
                          <w:sz w:val="20"/>
                          <w:szCs w:val="20"/>
                        </w:rPr>
                        <m:t>β</m:t>
                      </m:r>
                    </m:e>
                  </m:acc>
                </m:e>
                <m:sub>
                  <m:r>
                    <m:rPr>
                      <m:sty m:val="p"/>
                    </m:rPr>
                    <w:rPr>
                      <w:rStyle w:val="vlist-s"/>
                      <w:rFonts w:ascii="Arial" w:hAnsi="Arial" w:cs="Arial"/>
                      <w:sz w:val="20"/>
                      <w:szCs w:val="20"/>
                    </w:rPr>
                    <m:t>​</m:t>
                  </m:r>
                  <m:r>
                    <m:rPr>
                      <m:sty m:val="p"/>
                    </m:rPr>
                    <w:rPr>
                      <w:rStyle w:val="mord"/>
                      <w:rFonts w:ascii="Cambria Math" w:hAnsi="Arial" w:cs="Arial"/>
                      <w:sz w:val="20"/>
                      <w:szCs w:val="20"/>
                    </w:rPr>
                    <m:t>panel</m:t>
                  </m:r>
                </m:sub>
              </m:sSub>
              <m:r>
                <w:rPr>
                  <w:rFonts w:ascii="Arial" w:hAnsi="Arial" w:cs="Arial"/>
                  <w:sz w:val="20"/>
                  <w:szCs w:val="20"/>
                </w:rPr>
                <m:t>-</m:t>
              </m:r>
              <m:r>
                <m:rPr>
                  <m:sty m:val="bi"/>
                </m:rPr>
                <w:rPr>
                  <w:rFonts w:ascii="Cambria Math" w:hAnsi="Cambria Math" w:cs="Arial"/>
                  <w:sz w:val="20"/>
                  <w:szCs w:val="20"/>
                </w:rPr>
                <m:t>β</m:t>
              </m:r>
            </m:e>
          </m:d>
          <m:box>
            <m:boxPr>
              <m:opEmu m:val="on"/>
              <m:ctrlPr>
                <w:rPr>
                  <w:rFonts w:ascii="Cambria Math" w:hAnsi="Arial" w:cs="Arial"/>
                  <w:i/>
                  <w:sz w:val="20"/>
                  <w:szCs w:val="20"/>
                </w:rPr>
              </m:ctrlPr>
            </m:boxPr>
            <m:e>
              <m:groupChr>
                <m:groupChrPr>
                  <m:chr m:val="→"/>
                  <m:vertJc m:val="bot"/>
                  <m:ctrlPr>
                    <w:rPr>
                      <w:rFonts w:ascii="Cambria Math" w:hAnsi="Arial" w:cs="Arial"/>
                      <w:i/>
                      <w:sz w:val="20"/>
                      <w:szCs w:val="20"/>
                    </w:rPr>
                  </m:ctrlPr>
                </m:groupChrPr>
                <m:e>
                  <m:r>
                    <w:rPr>
                      <w:rFonts w:ascii="Cambria Math" w:hAnsi="Cambria Math" w:cs="Arial"/>
                      <w:sz w:val="20"/>
                      <w:szCs w:val="20"/>
                    </w:rPr>
                    <m:t>d</m:t>
                  </m:r>
                </m:e>
              </m:groupChr>
            </m:e>
          </m:box>
          <m:r>
            <w:rPr>
              <w:rFonts w:ascii="Cambria Math" w:hAnsi="Cambria Math" w:cs="Arial"/>
              <w:sz w:val="20"/>
              <w:szCs w:val="20"/>
            </w:rPr>
            <m:t>N</m:t>
          </m:r>
          <m:r>
            <w:rPr>
              <w:rFonts w:ascii="Cambria Math" w:hAnsi="Arial" w:cs="Arial"/>
              <w:sz w:val="20"/>
              <w:szCs w:val="20"/>
            </w:rPr>
            <m:t xml:space="preserve">(0, </m:t>
          </m:r>
          <m:r>
            <m:rPr>
              <m:sty m:val="p"/>
            </m:rPr>
            <w:rPr>
              <w:rFonts w:ascii="Cambria Math" w:hAnsi="Arial" w:cs="Arial"/>
              <w:sz w:val="20"/>
              <w:szCs w:val="20"/>
            </w:rPr>
            <m:t>Σ</m:t>
          </m:r>
          <m:r>
            <w:rPr>
              <w:rFonts w:ascii="Cambria Math" w:hAnsi="Arial" w:cs="Arial"/>
              <w:sz w:val="20"/>
              <w:szCs w:val="20"/>
            </w:rPr>
            <m:t>)</m:t>
          </m:r>
        </m:oMath>
      </m:oMathPara>
    </w:p>
    <w:p w:rsidR="00F30DF6" w:rsidRPr="00D02DEE" w:rsidRDefault="00F30DF6" w:rsidP="00F30DF6">
      <w:pPr>
        <w:pStyle w:val="NormalWeb"/>
        <w:spacing w:before="0" w:beforeAutospacing="0" w:after="0" w:afterAutospacing="0"/>
        <w:jc w:val="both"/>
        <w:rPr>
          <w:rFonts w:ascii="Arial" w:hAnsi="Arial" w:cs="Arial"/>
          <w:sz w:val="20"/>
          <w:szCs w:val="20"/>
        </w:rPr>
      </w:pPr>
      <w:r w:rsidRPr="00D02DEE">
        <w:rPr>
          <w:rFonts w:ascii="Arial" w:hAnsi="Arial" w:cs="Arial"/>
          <w:sz w:val="20"/>
          <w:szCs w:val="20"/>
        </w:rPr>
        <w:t>This justifies the use of standard inference procedures such as t-tests for significance of individual long-run coefficients or Wald tests for joint restrictions.</w:t>
      </w:r>
    </w:p>
    <w:p w:rsidR="00F30DF6" w:rsidRPr="00F30DF6" w:rsidRDefault="00F30DF6" w:rsidP="00F30DF6">
      <w:pPr>
        <w:pStyle w:val="NormalWeb"/>
        <w:spacing w:before="0" w:beforeAutospacing="0" w:after="0" w:afterAutospacing="0"/>
        <w:jc w:val="both"/>
        <w:rPr>
          <w:sz w:val="20"/>
          <w:szCs w:val="20"/>
        </w:rPr>
      </w:pPr>
    </w:p>
    <w:p w:rsidR="00F30DF6" w:rsidRPr="00A30943" w:rsidRDefault="00A30943" w:rsidP="00A30943">
      <w:pPr>
        <w:pStyle w:val="NormalWeb"/>
        <w:spacing w:before="0" w:beforeAutospacing="0" w:after="0" w:afterAutospacing="0"/>
        <w:jc w:val="both"/>
        <w:rPr>
          <w:rFonts w:ascii="Arial" w:hAnsi="Arial" w:cs="Arial"/>
          <w:b/>
          <w:sz w:val="20"/>
          <w:szCs w:val="20"/>
        </w:rPr>
      </w:pPr>
      <w:r w:rsidRPr="00A30943">
        <w:rPr>
          <w:rFonts w:ascii="Arial" w:hAnsi="Arial" w:cs="Arial"/>
          <w:b/>
          <w:sz w:val="20"/>
          <w:szCs w:val="20"/>
        </w:rPr>
        <w:t xml:space="preserve">2.5 </w:t>
      </w:r>
      <w:r w:rsidR="00F30DF6" w:rsidRPr="00A30943">
        <w:rPr>
          <w:rFonts w:ascii="Arial" w:hAnsi="Arial" w:cs="Arial"/>
          <w:b/>
          <w:sz w:val="20"/>
          <w:szCs w:val="20"/>
        </w:rPr>
        <w:t>Panel Vector Error Correction Model (PVECM)</w:t>
      </w:r>
    </w:p>
    <w:p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Panel Error Correction Models (PECMs) are designed to capture both the long-run equilibrium and short-run dynamics among non-stationary but cointegrated panel variables (Pedroni, 2000). When variables are integrated of order one, </w:t>
      </w:r>
      <m:oMath>
        <m:r>
          <w:rPr>
            <w:rStyle w:val="mord"/>
            <w:rFonts w:ascii="Cambria Math" w:hAnsi="Cambria Math" w:cs="Arial"/>
            <w:sz w:val="20"/>
            <w:szCs w:val="20"/>
          </w:rPr>
          <m:t>I</m:t>
        </m:r>
        <m:r>
          <w:rPr>
            <w:rStyle w:val="mopen"/>
            <w:rFonts w:ascii="Cambria Math" w:hAnsi="Arial" w:cs="Arial"/>
            <w:sz w:val="20"/>
            <w:szCs w:val="20"/>
          </w:rPr>
          <m:t>(</m:t>
        </m:r>
        <m:r>
          <m:rPr>
            <m:sty m:val="p"/>
          </m:rPr>
          <w:rPr>
            <w:rStyle w:val="mord"/>
            <w:rFonts w:ascii="Cambria Math" w:hAnsi="Arial" w:cs="Arial"/>
            <w:sz w:val="20"/>
            <w:szCs w:val="20"/>
          </w:rPr>
          <m:t>1</m:t>
        </m:r>
        <m:r>
          <w:rPr>
            <w:rStyle w:val="mclose"/>
            <w:rFonts w:ascii="Cambria Math" w:eastAsiaTheme="majorEastAsia" w:hAnsi="Arial" w:cs="Arial"/>
            <w:sz w:val="20"/>
            <w:szCs w:val="20"/>
          </w:rPr>
          <m:t>)</m:t>
        </m:r>
      </m:oMath>
      <w:r w:rsidRPr="00A30943">
        <w:rPr>
          <w:rFonts w:ascii="Arial" w:hAnsi="Arial" w:cs="Arial"/>
          <w:sz w:val="20"/>
          <w:szCs w:val="20"/>
        </w:rPr>
        <w:t xml:space="preserve">, and share a cointegrating relationship, a deviation from the long-run equilibrium influences the short-run adjustments of the dependent variable. A Panel Vector Error Correction Model (PVECM) extends the Vector Error Correction Model (VECM) to panel data structures. It is suitable when all variables are integrated of order one </w:t>
      </w:r>
      <m:oMath>
        <m:r>
          <w:rPr>
            <w:rStyle w:val="katex-mathml"/>
            <w:rFonts w:ascii="Cambria Math" w:hAnsi="Cambria Math" w:cs="Arial"/>
            <w:sz w:val="20"/>
            <w:szCs w:val="20"/>
          </w:rPr>
          <m:t>I</m:t>
        </m:r>
        <m:r>
          <w:rPr>
            <w:rStyle w:val="katex-mathml"/>
            <w:rFonts w:ascii="Cambria Math" w:hAnsi="Arial" w:cs="Arial"/>
            <w:sz w:val="20"/>
            <w:szCs w:val="20"/>
          </w:rPr>
          <m:t>(1)</m:t>
        </m:r>
      </m:oMath>
      <w:r w:rsidRPr="00A30943">
        <w:rPr>
          <w:rFonts w:ascii="Arial" w:hAnsi="Arial" w:cs="Arial"/>
          <w:sz w:val="20"/>
          <w:szCs w:val="20"/>
        </w:rPr>
        <w:t>, and a cointegration relationship exists among them. PVECMs allow for dynamic interdependencies among variables, cointegrating relationships, and heterogeneity across cross-sectional units (Pedroni, 2000).</w:t>
      </w:r>
    </w:p>
    <w:p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Let </w:t>
      </w:r>
      <m:oMath>
        <m:r>
          <w:rPr>
            <w:rFonts w:ascii="Cambria Math" w:hAnsi="Cambria Math" w:cs="Arial"/>
            <w:sz w:val="20"/>
            <w:szCs w:val="20"/>
          </w:rPr>
          <m:t>i</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m:t>
        </m:r>
        <m:r>
          <w:rPr>
            <w:rFonts w:ascii="Cambria Math" w:hAnsi="Cambria Math" w:cs="Arial"/>
            <w:sz w:val="20"/>
            <w:szCs w:val="20"/>
          </w:rPr>
          <m:t>N</m:t>
        </m:r>
      </m:oMath>
      <w:r w:rsidRPr="00A30943">
        <w:rPr>
          <w:rFonts w:ascii="Arial" w:hAnsi="Arial" w:cs="Arial"/>
          <w:sz w:val="20"/>
          <w:szCs w:val="20"/>
        </w:rPr>
        <w:t xml:space="preserve">be cross-sectional units (e.g., regions), </w:t>
      </w:r>
      <m:oMath>
        <m:r>
          <w:rPr>
            <w:rFonts w:ascii="Cambria Math" w:hAnsi="Cambria Math" w:cs="Arial"/>
            <w:sz w:val="20"/>
            <w:szCs w:val="20"/>
          </w:rPr>
          <m:t>t</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 xml:space="preserve">, </m:t>
        </m:r>
        <m:r>
          <w:rPr>
            <w:rFonts w:ascii="Cambria Math" w:hAnsi="Cambria Math" w:cs="Arial"/>
            <w:sz w:val="20"/>
            <w:szCs w:val="20"/>
          </w:rPr>
          <m:t>T</m:t>
        </m:r>
      </m:oMath>
      <w:r w:rsidRPr="00A30943">
        <w:rPr>
          <w:rFonts w:ascii="Arial" w:hAnsi="Arial" w:cs="Arial"/>
          <w:sz w:val="20"/>
          <w:szCs w:val="20"/>
        </w:rPr>
        <w:t xml:space="preserve"> be time periods, </w:t>
      </w:r>
      <m:oMath>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p>
          <m:sSupPr>
            <m:ctrlPr>
              <w:rPr>
                <w:rFonts w:ascii="Cambria Math" w:hAnsi="Arial" w:cs="Arial"/>
                <w:i/>
                <w:sz w:val="20"/>
                <w:szCs w:val="20"/>
              </w:rPr>
            </m:ctrlPr>
          </m:sSupPr>
          <m:e>
            <m:d>
              <m:dPr>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y</m:t>
                    </m:r>
                  </m:e>
                  <m:sub>
                    <m:r>
                      <w:rPr>
                        <w:rFonts w:ascii="Cambria Math" w:hAnsi="Arial" w:cs="Arial"/>
                        <w:sz w:val="20"/>
                        <w:szCs w:val="20"/>
                      </w:rPr>
                      <m:t xml:space="preserve">1, </m:t>
                    </m:r>
                    <m:r>
                      <w:rPr>
                        <w:rFonts w:ascii="Cambria Math" w:hAnsi="Cambria Math" w:cs="Arial"/>
                        <w:sz w:val="20"/>
                        <w:szCs w:val="20"/>
                      </w:rPr>
                      <m:t>it</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Arial" w:cs="Arial"/>
                        <w:sz w:val="20"/>
                        <w:szCs w:val="20"/>
                      </w:rPr>
                      <m:t xml:space="preserve">2, </m:t>
                    </m:r>
                    <m:r>
                      <w:rPr>
                        <w:rFonts w:ascii="Cambria Math" w:hAnsi="Cambria Math" w:cs="Arial"/>
                        <w:sz w:val="20"/>
                        <w:szCs w:val="20"/>
                      </w:rPr>
                      <m:t>it</m:t>
                    </m:r>
                  </m:sub>
                </m:sSub>
                <m:r>
                  <w:rPr>
                    <w:rFonts w:ascii="Cambria Math" w:hAnsi="Arial" w:cs="Arial"/>
                    <w:sz w:val="20"/>
                    <w:szCs w:val="20"/>
                  </w:rPr>
                  <m:t xml:space="preserve">, </m:t>
                </m:r>
                <m:r>
                  <w:rPr>
                    <w:rFonts w:ascii="Cambria Math" w:hAnsi="Arial" w:cs="Arial"/>
                    <w:sz w:val="20"/>
                    <w:szCs w:val="20"/>
                  </w:rPr>
                  <m:t>…</m:t>
                </m:r>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k</m:t>
                    </m:r>
                    <m:r>
                      <w:rPr>
                        <w:rFonts w:ascii="Cambria Math" w:hAnsi="Arial" w:cs="Arial"/>
                        <w:sz w:val="20"/>
                        <w:szCs w:val="20"/>
                      </w:rPr>
                      <m:t xml:space="preserve">, </m:t>
                    </m:r>
                    <m:r>
                      <w:rPr>
                        <w:rFonts w:ascii="Cambria Math" w:hAnsi="Cambria Math" w:cs="Arial"/>
                        <w:sz w:val="20"/>
                        <w:szCs w:val="20"/>
                      </w:rPr>
                      <m:t>it</m:t>
                    </m:r>
                  </m:sub>
                </m:sSub>
              </m:e>
            </m:d>
          </m:e>
          <m:sup>
            <m:r>
              <w:rPr>
                <w:rFonts w:ascii="Cambria Math" w:hAnsi="Arial" w:cs="Arial"/>
                <w:sz w:val="20"/>
                <w:szCs w:val="20"/>
              </w:rPr>
              <m:t>'</m:t>
            </m:r>
          </m:sup>
        </m:sSup>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r>
              <w:rPr>
                <w:rFonts w:ascii="Cambria Math" w:hAnsi="Cambria Math" w:cs="Arial"/>
                <w:sz w:val="20"/>
                <w:szCs w:val="20"/>
              </w:rPr>
              <m:t>k</m:t>
            </m:r>
          </m:sup>
        </m:sSup>
      </m:oMath>
      <w:r w:rsidRPr="00A30943">
        <w:rPr>
          <w:rFonts w:ascii="Arial" w:hAnsi="Arial" w:cs="Arial"/>
          <w:sz w:val="20"/>
          <w:szCs w:val="20"/>
        </w:rPr>
        <w:t xml:space="preserve"> is vector of k endogenous variable. Assume that </w:t>
      </w:r>
      <m:oMath>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r>
          <w:rPr>
            <w:rFonts w:ascii="Cambria Math" w:hAnsi="Cambria Math" w:cs="Arial"/>
            <w:sz w:val="20"/>
            <w:szCs w:val="20"/>
          </w:rPr>
          <m:t>I</m:t>
        </m:r>
        <m:r>
          <w:rPr>
            <w:rFonts w:ascii="Cambria Math" w:hAnsi="Arial" w:cs="Arial"/>
            <w:sz w:val="20"/>
            <w:szCs w:val="20"/>
          </w:rPr>
          <m:t>(1)</m:t>
        </m:r>
      </m:oMath>
      <w:r w:rsidRPr="00A30943">
        <w:rPr>
          <w:rFonts w:ascii="Arial" w:hAnsi="Arial" w:cs="Arial"/>
          <w:sz w:val="20"/>
          <w:szCs w:val="20"/>
        </w:rPr>
        <w:t xml:space="preserve"> i.e., each component of </w:t>
      </w:r>
      <m:oMath>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oMath>
      <w:r w:rsidRPr="00A30943">
        <w:rPr>
          <w:rFonts w:ascii="Arial" w:hAnsi="Arial" w:cs="Arial"/>
          <w:sz w:val="20"/>
          <w:szCs w:val="20"/>
        </w:rPr>
        <w:t xml:space="preserve"> is non-stationary but may be cointegrated.</w:t>
      </w:r>
    </w:p>
    <w:p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The standard panel vector autoregressive VAP(p) model in levels is expressed as:</w:t>
      </w:r>
    </w:p>
    <w:p w:rsidR="00F30DF6" w:rsidRPr="00A30943" w:rsidRDefault="00FB352D" w:rsidP="00F30DF6">
      <w:pPr>
        <w:pStyle w:val="NormalWeb"/>
        <w:spacing w:before="0" w:beforeAutospacing="0" w:after="0" w:afterAutospacing="0"/>
        <w:ind w:left="1440"/>
        <w:jc w:val="both"/>
        <w:rPr>
          <w:rFonts w:ascii="Arial" w:hAnsi="Arial" w:cs="Arial"/>
          <w:sz w:val="20"/>
          <w:szCs w:val="20"/>
        </w:rPr>
      </w:pPr>
      <m:oMath>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A</m:t>
            </m:r>
          </m:e>
          <m:sub>
            <m:r>
              <w:rPr>
                <w:rFonts w:ascii="Cambria Math" w:hAnsi="Arial" w:cs="Arial"/>
                <w:sz w:val="20"/>
                <w:szCs w:val="20"/>
              </w:rPr>
              <m:t>1</m:t>
            </m:r>
          </m:sub>
        </m:sSub>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A</m:t>
            </m:r>
          </m:e>
          <m:sub>
            <m:r>
              <w:rPr>
                <w:rFonts w:ascii="Cambria Math" w:hAnsi="Arial" w:cs="Arial"/>
                <w:sz w:val="20"/>
                <w:szCs w:val="20"/>
              </w:rPr>
              <m:t>2</m:t>
            </m:r>
          </m:sub>
        </m:sSub>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2</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A</m:t>
            </m:r>
          </m:e>
          <m:sub>
            <m:r>
              <w:rPr>
                <w:rFonts w:ascii="Cambria Math" w:hAnsi="Cambria Math" w:cs="Arial"/>
                <w:sz w:val="20"/>
                <w:szCs w:val="20"/>
              </w:rPr>
              <m:t>p</m:t>
            </m:r>
          </m:sub>
        </m:sSub>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p</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μ</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ε</m:t>
            </m:r>
          </m:e>
          <m:sub>
            <m:r>
              <w:rPr>
                <w:rFonts w:ascii="Cambria Math" w:hAnsi="Cambria Math" w:cs="Arial"/>
                <w:sz w:val="20"/>
                <w:szCs w:val="20"/>
              </w:rPr>
              <m:t>it</m:t>
            </m:r>
          </m:sub>
        </m:sSub>
      </m:oMath>
      <w:r w:rsidR="00F30DF6" w:rsidRPr="00A30943">
        <w:rPr>
          <w:rFonts w:ascii="Arial" w:hAnsi="Arial" w:cs="Arial"/>
          <w:sz w:val="20"/>
          <w:szCs w:val="20"/>
        </w:rPr>
        <w:tab/>
        <w:t xml:space="preserve"> (26)</w:t>
      </w:r>
    </w:p>
    <w:p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Where </w:t>
      </w:r>
      <m:oMath>
        <m:sSub>
          <m:sSubPr>
            <m:ctrlPr>
              <w:rPr>
                <w:rFonts w:ascii="Cambria Math" w:hAnsi="Arial" w:cs="Arial"/>
                <w:i/>
                <w:sz w:val="20"/>
                <w:szCs w:val="20"/>
              </w:rPr>
            </m:ctrlPr>
          </m:sSubPr>
          <m:e>
            <m:r>
              <m:rPr>
                <m:sty m:val="bi"/>
              </m:rPr>
              <w:rPr>
                <w:rFonts w:ascii="Cambria Math" w:hAnsi="Cambria Math" w:cs="Arial"/>
                <w:sz w:val="20"/>
                <w:szCs w:val="20"/>
              </w:rPr>
              <m:t>A</m:t>
            </m:r>
          </m:e>
          <m:sub>
            <m:r>
              <w:rPr>
                <w:rFonts w:ascii="Cambria Math" w:hAnsi="Cambria Math" w:cs="Arial"/>
                <w:sz w:val="20"/>
                <w:szCs w:val="20"/>
              </w:rPr>
              <m:t>j</m:t>
            </m:r>
          </m:sub>
        </m:sSub>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k</m:t>
            </m:r>
          </m:sup>
        </m:sSup>
      </m:oMath>
      <w:r w:rsidRPr="00A30943">
        <w:rPr>
          <w:rFonts w:ascii="Arial" w:hAnsi="Arial" w:cs="Arial"/>
          <w:sz w:val="20"/>
          <w:szCs w:val="20"/>
        </w:rPr>
        <w:t xml:space="preserve"> are autoregressive coefficient matrices, </w:t>
      </w:r>
      <m:oMath>
        <m:sSub>
          <m:sSubPr>
            <m:ctrlPr>
              <w:rPr>
                <w:rFonts w:ascii="Cambria Math" w:hAnsi="Arial" w:cs="Arial"/>
                <w:i/>
                <w:sz w:val="20"/>
                <w:szCs w:val="20"/>
              </w:rPr>
            </m:ctrlPr>
          </m:sSubPr>
          <m:e>
            <m:r>
              <m:rPr>
                <m:sty m:val="bi"/>
              </m:rPr>
              <w:rPr>
                <w:rFonts w:ascii="Cambria Math" w:hAnsi="Cambria Math" w:cs="Arial"/>
                <w:sz w:val="20"/>
                <w:szCs w:val="20"/>
              </w:rPr>
              <m:t>μ</m:t>
            </m:r>
          </m:e>
          <m:sub>
            <m:r>
              <w:rPr>
                <w:rFonts w:ascii="Cambria Math" w:hAnsi="Cambria Math" w:cs="Arial"/>
                <w:sz w:val="20"/>
                <w:szCs w:val="20"/>
              </w:rPr>
              <m:t>i</m:t>
            </m:r>
          </m:sub>
        </m:sSub>
      </m:oMath>
      <w:r w:rsidRPr="00A30943">
        <w:rPr>
          <w:rFonts w:ascii="Arial" w:hAnsi="Arial" w:cs="Arial"/>
          <w:sz w:val="20"/>
          <w:szCs w:val="20"/>
        </w:rPr>
        <w:t xml:space="preserve"> are individual fixed effects,</w:t>
      </w:r>
      <m:oMath>
        <m:sSub>
          <m:sSubPr>
            <m:ctrlPr>
              <w:rPr>
                <w:rFonts w:ascii="Cambria Math" w:hAnsi="Arial" w:cs="Arial"/>
                <w:i/>
                <w:sz w:val="20"/>
                <w:szCs w:val="20"/>
              </w:rPr>
            </m:ctrlPr>
          </m:sSubPr>
          <m:e>
            <m:r>
              <m:rPr>
                <m:sty m:val="bi"/>
              </m:rPr>
              <w:rPr>
                <w:rFonts w:ascii="Cambria Math" w:hAnsi="Cambria Math" w:cs="Arial"/>
                <w:sz w:val="20"/>
                <w:szCs w:val="20"/>
              </w:rPr>
              <m:t>ε</m:t>
            </m:r>
          </m:e>
          <m:sub>
            <m:r>
              <w:rPr>
                <w:rFonts w:ascii="Cambria Math" w:hAnsi="Cambria Math" w:cs="Arial"/>
                <w:sz w:val="20"/>
                <w:szCs w:val="20"/>
              </w:rPr>
              <m:t>it</m:t>
            </m:r>
          </m:sub>
        </m:sSub>
      </m:oMath>
      <w:r w:rsidRPr="00A30943">
        <w:rPr>
          <w:rFonts w:ascii="Arial" w:hAnsi="Arial" w:cs="Arial"/>
          <w:sz w:val="20"/>
          <w:szCs w:val="20"/>
        </w:rPr>
        <w:t xml:space="preserve"> is white noise error terms.</w:t>
      </w:r>
    </w:p>
    <w:p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To transformation to PVECM, if </w:t>
      </w:r>
      <m:oMath>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r>
          <w:rPr>
            <w:rFonts w:ascii="Cambria Math" w:hAnsi="Cambria Math" w:cs="Arial"/>
            <w:sz w:val="20"/>
            <w:szCs w:val="20"/>
          </w:rPr>
          <m:t>I</m:t>
        </m:r>
        <m:r>
          <w:rPr>
            <w:rFonts w:ascii="Cambria Math" w:hAnsi="Arial" w:cs="Arial"/>
            <w:sz w:val="20"/>
            <w:szCs w:val="20"/>
          </w:rPr>
          <m:t>(1)</m:t>
        </m:r>
      </m:oMath>
      <w:r w:rsidRPr="00A30943">
        <w:rPr>
          <w:rFonts w:ascii="Arial" w:hAnsi="Arial" w:cs="Arial"/>
          <w:sz w:val="20"/>
          <w:szCs w:val="20"/>
        </w:rPr>
        <w:t xml:space="preserve"> and cointegrated, the model is rewritten in VECM form:</w:t>
      </w:r>
    </w:p>
    <w:p w:rsidR="00F30DF6" w:rsidRPr="00A30943" w:rsidRDefault="00F30DF6" w:rsidP="00F30DF6">
      <w:pPr>
        <w:pStyle w:val="NormalWeb"/>
        <w:spacing w:before="0" w:beforeAutospacing="0" w:after="0" w:afterAutospacing="0"/>
        <w:ind w:left="1440" w:firstLine="720"/>
        <w:jc w:val="both"/>
        <w:rPr>
          <w:rFonts w:ascii="Arial" w:hAnsi="Arial" w:cs="Arial"/>
          <w:sz w:val="20"/>
          <w:szCs w:val="20"/>
        </w:rPr>
      </w:pPr>
      <m:oMath>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r>
          <m:rPr>
            <m:sty m:val="bi"/>
          </m:rPr>
          <w:rPr>
            <w:rFonts w:ascii="Cambria Math" w:hAnsi="Cambria Math" w:cs="Arial"/>
            <w:sz w:val="20"/>
            <w:szCs w:val="20"/>
          </w:rPr>
          <m:t>Π</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r>
              <w:rPr>
                <w:rFonts w:ascii="Cambria Math" w:hAnsi="Cambria Math" w:cs="Arial"/>
                <w:sz w:val="20"/>
                <w:szCs w:val="20"/>
              </w:rPr>
              <m:t>p</m:t>
            </m:r>
            <m:r>
              <w:rPr>
                <w:rFonts w:ascii="Arial" w:hAnsi="Arial" w:cs="Arial"/>
                <w:sz w:val="20"/>
                <w:szCs w:val="20"/>
              </w:rPr>
              <m:t>-</m:t>
            </m:r>
            <m:r>
              <w:rPr>
                <w:rFonts w:ascii="Cambria Math" w:hAnsi="Arial" w:cs="Arial"/>
                <w:sz w:val="20"/>
                <w:szCs w:val="20"/>
              </w:rPr>
              <m:t>1</m:t>
            </m:r>
          </m:sup>
          <m:e>
            <m:sSub>
              <m:sSubPr>
                <m:ctrlPr>
                  <w:rPr>
                    <w:rFonts w:ascii="Cambria Math" w:hAnsi="Arial" w:cs="Arial"/>
                    <w:i/>
                    <w:sz w:val="20"/>
                    <w:szCs w:val="20"/>
                  </w:rPr>
                </m:ctrlPr>
              </m:sSubPr>
              <m:e>
                <m:r>
                  <m:rPr>
                    <m:sty m:val="bi"/>
                  </m:rPr>
                  <w:rPr>
                    <w:rFonts w:ascii="Cambria Math" w:hAnsi="Arial" w:cs="Arial"/>
                    <w:sz w:val="20"/>
                    <w:szCs w:val="20"/>
                  </w:rPr>
                  <m:t>Г</m:t>
                </m:r>
              </m:e>
              <m:sub>
                <m:r>
                  <w:rPr>
                    <w:rFonts w:ascii="Cambria Math" w:hAnsi="Cambria Math" w:cs="Arial"/>
                    <w:sz w:val="20"/>
                    <w:szCs w:val="20"/>
                  </w:rPr>
                  <m:t>j</m:t>
                </m:r>
              </m:sub>
            </m:sSub>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j</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μ</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ε</m:t>
                </m:r>
              </m:e>
              <m:sub>
                <m:r>
                  <w:rPr>
                    <w:rFonts w:ascii="Cambria Math" w:hAnsi="Cambria Math" w:cs="Arial"/>
                    <w:sz w:val="20"/>
                    <w:szCs w:val="20"/>
                  </w:rPr>
                  <m:t>it</m:t>
                </m:r>
              </m:sub>
            </m:sSub>
          </m:e>
        </m:nary>
      </m:oMath>
      <w:r w:rsidRPr="00A30943">
        <w:rPr>
          <w:rFonts w:ascii="Arial" w:hAnsi="Arial" w:cs="Arial"/>
          <w:sz w:val="20"/>
          <w:szCs w:val="20"/>
        </w:rPr>
        <w:tab/>
        <w:t xml:space="preserve">                              (27)</w:t>
      </w:r>
    </w:p>
    <w:p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where </w:t>
      </w:r>
      <m:oMath>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r>
          <m:rPr>
            <m:sty m:val="bi"/>
          </m:rPr>
          <w:rPr>
            <w:rFonts w:ascii="Cambria Math" w:hAnsi="Cambria Math" w:cs="Arial"/>
            <w:sz w:val="20"/>
            <w:szCs w:val="20"/>
          </w:rPr>
          <m:t>Π</m:t>
        </m:r>
        <m:r>
          <m:rPr>
            <m:sty m:val="bi"/>
          </m:rPr>
          <w:rPr>
            <w:rFonts w:ascii="Cambria Math" w:hAnsi="Arial" w:cs="Arial"/>
            <w:sz w:val="20"/>
            <w:szCs w:val="20"/>
          </w:rPr>
          <m:t>=</m:t>
        </m:r>
        <m:r>
          <m:rPr>
            <m:sty m:val="bi"/>
          </m:rPr>
          <w:rPr>
            <w:rFonts w:ascii="Cambria Math" w:hAnsi="Cambria Math" w:cs="Arial"/>
            <w:sz w:val="20"/>
            <w:szCs w:val="20"/>
          </w:rPr>
          <m:t>α</m:t>
        </m:r>
        <m:sSup>
          <m:sSupPr>
            <m:ctrlPr>
              <w:rPr>
                <w:rFonts w:ascii="Cambria Math" w:hAnsi="Arial" w:cs="Arial"/>
                <w:b/>
                <w:i/>
                <w:sz w:val="20"/>
                <w:szCs w:val="20"/>
              </w:rPr>
            </m:ctrlPr>
          </m:sSupPr>
          <m:e>
            <m:r>
              <m:rPr>
                <m:sty m:val="bi"/>
              </m:rPr>
              <w:rPr>
                <w:rFonts w:ascii="Cambria Math" w:hAnsi="Cambria Math" w:cs="Arial"/>
                <w:sz w:val="20"/>
                <w:szCs w:val="20"/>
              </w:rPr>
              <m:t>β</m:t>
            </m:r>
          </m:e>
          <m:sup>
            <m:r>
              <m:rPr>
                <m:sty m:val="bi"/>
              </m:rPr>
              <w:rPr>
                <w:rFonts w:ascii="Cambria Math" w:hAnsi="Arial" w:cs="Arial"/>
                <w:sz w:val="20"/>
                <w:szCs w:val="20"/>
              </w:rPr>
              <m:t>'</m:t>
            </m:r>
          </m:sup>
        </m:sSup>
      </m:oMath>
      <w:r w:rsidRPr="00A30943">
        <w:rPr>
          <w:rFonts w:ascii="Arial" w:hAnsi="Arial" w:cs="Arial"/>
          <w:sz w:val="20"/>
          <w:szCs w:val="20"/>
        </w:rPr>
        <w:t xml:space="preserve">, with </w:t>
      </w:r>
      <m:oMath>
        <m:r>
          <m:rPr>
            <m:sty m:val="bi"/>
          </m:rPr>
          <w:rPr>
            <w:rFonts w:ascii="Cambria Math" w:hAnsi="Cambria Math" w:cs="Arial"/>
            <w:sz w:val="20"/>
            <w:szCs w:val="20"/>
          </w:rPr>
          <m:t>β</m:t>
        </m:r>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r</m:t>
            </m:r>
          </m:sup>
        </m:sSup>
      </m:oMath>
      <w:r w:rsidRPr="00A30943">
        <w:rPr>
          <w:rFonts w:ascii="Arial" w:hAnsi="Arial" w:cs="Arial"/>
          <w:sz w:val="20"/>
          <w:szCs w:val="20"/>
        </w:rPr>
        <w:t xml:space="preserve"> is matrix of cointegrating vectors, </w:t>
      </w:r>
      <m:oMath>
        <m:r>
          <m:rPr>
            <m:sty m:val="bi"/>
          </m:rPr>
          <w:rPr>
            <w:rFonts w:ascii="Cambria Math" w:hAnsi="Cambria Math" w:cs="Arial"/>
            <w:sz w:val="20"/>
            <w:szCs w:val="20"/>
          </w:rPr>
          <m:t>α</m:t>
        </m:r>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r</m:t>
            </m:r>
          </m:sup>
        </m:sSup>
      </m:oMath>
      <w:r w:rsidRPr="00A30943">
        <w:rPr>
          <w:rFonts w:ascii="Arial" w:hAnsi="Arial" w:cs="Arial"/>
          <w:sz w:val="20"/>
          <w:szCs w:val="20"/>
        </w:rPr>
        <w:t xml:space="preserve"> is matrix of adjustment coefficients, </w:t>
      </w:r>
      <m:oMath>
        <m:sSub>
          <m:sSubPr>
            <m:ctrlPr>
              <w:rPr>
                <w:rFonts w:ascii="Cambria Math" w:hAnsi="Arial" w:cs="Arial"/>
                <w:i/>
                <w:sz w:val="20"/>
                <w:szCs w:val="20"/>
              </w:rPr>
            </m:ctrlPr>
          </m:sSubPr>
          <m:e>
            <m:r>
              <m:rPr>
                <m:sty m:val="bi"/>
              </m:rPr>
              <w:rPr>
                <w:rFonts w:ascii="Cambria Math" w:hAnsi="Arial" w:cs="Arial"/>
                <w:sz w:val="20"/>
                <w:szCs w:val="20"/>
              </w:rPr>
              <m:t>Г</m:t>
            </m:r>
          </m:e>
          <m:sub>
            <m:r>
              <w:rPr>
                <w:rFonts w:ascii="Cambria Math" w:hAnsi="Cambria Math" w:cs="Arial"/>
                <w:sz w:val="20"/>
                <w:szCs w:val="20"/>
              </w:rPr>
              <m:t>j</m:t>
            </m:r>
          </m:sub>
        </m:sSub>
        <m:r>
          <w:rPr>
            <w:rFonts w:ascii="Cambria Math" w:hAnsi="Cambria Math" w:cs="Arial"/>
            <w:sz w:val="20"/>
            <w:szCs w:val="20"/>
          </w:rPr>
          <m:t>∈</m:t>
        </m:r>
        <m:sSup>
          <m:sSupPr>
            <m:ctrlPr>
              <w:rPr>
                <w:rFonts w:ascii="Cambria Math" w:hAnsi="Arial" w:cs="Arial"/>
                <w:i/>
                <w:sz w:val="20"/>
                <w:szCs w:val="20"/>
              </w:rPr>
            </m:ctrlPr>
          </m:sSupPr>
          <m:e>
            <m:r>
              <m:rPr>
                <m:scr m:val="double-struck"/>
              </m:rPr>
              <w:rPr>
                <w:rFonts w:ascii="Arial" w:hAnsi="Cambria Math" w:cs="Arial"/>
                <w:sz w:val="20"/>
                <w:szCs w:val="20"/>
              </w:rPr>
              <m:t>R</m:t>
            </m:r>
          </m:e>
          <m:sup>
            <m:r>
              <w:rPr>
                <w:rFonts w:ascii="Cambria Math" w:hAnsi="Cambria Math" w:cs="Arial"/>
                <w:sz w:val="20"/>
                <w:szCs w:val="20"/>
              </w:rPr>
              <m:t>k</m:t>
            </m:r>
            <m:r>
              <w:rPr>
                <w:rFonts w:ascii="Cambria Math" w:hAnsi="Arial" w:cs="Arial"/>
                <w:sz w:val="20"/>
                <w:szCs w:val="20"/>
              </w:rPr>
              <m:t>×</m:t>
            </m:r>
            <m:r>
              <w:rPr>
                <w:rFonts w:ascii="Cambria Math" w:hAnsi="Cambria Math" w:cs="Arial"/>
                <w:sz w:val="20"/>
                <w:szCs w:val="20"/>
              </w:rPr>
              <m:t>k</m:t>
            </m:r>
          </m:sup>
        </m:sSup>
      </m:oMath>
      <w:r w:rsidRPr="00A30943">
        <w:rPr>
          <w:rFonts w:ascii="Arial" w:hAnsi="Arial" w:cs="Arial"/>
          <w:sz w:val="20"/>
          <w:szCs w:val="20"/>
        </w:rPr>
        <w:t xml:space="preserve"> is short-run dynamics.</w:t>
      </w:r>
    </w:p>
    <w:p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For error correction term and cointegration, let </w:t>
      </w:r>
      <m:oMath>
        <m:sSup>
          <m:sSupPr>
            <m:ctrlPr>
              <w:rPr>
                <w:rFonts w:ascii="Cambria Math" w:hAnsi="Arial" w:cs="Arial"/>
                <w:i/>
                <w:sz w:val="20"/>
                <w:szCs w:val="20"/>
              </w:rPr>
            </m:ctrlPr>
          </m:sSupPr>
          <m:e>
            <m:r>
              <m:rPr>
                <m:sty m:val="bi"/>
              </m:rPr>
              <w:rPr>
                <w:rFonts w:ascii="Cambria Math" w:hAnsi="Cambria Math" w:cs="Arial"/>
                <w:sz w:val="20"/>
                <w:szCs w:val="20"/>
              </w:rPr>
              <m:t>β</m:t>
            </m:r>
          </m:e>
          <m:sup>
            <m:r>
              <w:rPr>
                <w:rFonts w:ascii="Cambria Math" w:hAnsi="Arial" w:cs="Arial"/>
                <w:sz w:val="20"/>
                <w:szCs w:val="20"/>
              </w:rPr>
              <m:t>'</m:t>
            </m:r>
          </m:sup>
        </m:sSup>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oMath>
      <w:r w:rsidRPr="00A30943">
        <w:rPr>
          <w:rFonts w:ascii="Arial" w:hAnsi="Arial" w:cs="Arial"/>
          <w:sz w:val="20"/>
          <w:szCs w:val="20"/>
        </w:rPr>
        <w:t xml:space="preserve"> represents the long-run equilibrium relationships. </w:t>
      </w:r>
      <m:oMath>
        <m:r>
          <m:rPr>
            <m:sty m:val="bi"/>
          </m:rPr>
          <w:rPr>
            <w:rFonts w:ascii="Cambria Math" w:hAnsi="Cambria Math" w:cs="Arial"/>
            <w:sz w:val="20"/>
            <w:szCs w:val="20"/>
          </w:rPr>
          <m:t>α</m:t>
        </m:r>
      </m:oMath>
      <w:r w:rsidRPr="00A30943">
        <w:rPr>
          <w:rFonts w:ascii="Arial" w:hAnsi="Arial" w:cs="Arial"/>
          <w:sz w:val="20"/>
          <w:szCs w:val="20"/>
        </w:rPr>
        <w:t>shows how each variable adjusts in response to deviations from the equilibrium. Thus:</w:t>
      </w:r>
    </w:p>
    <w:p w:rsidR="00F30DF6" w:rsidRPr="00A30943" w:rsidRDefault="00F30DF6" w:rsidP="00F30DF6">
      <w:pPr>
        <w:pStyle w:val="NormalWeb"/>
        <w:spacing w:before="0" w:beforeAutospacing="0" w:after="0" w:afterAutospacing="0"/>
        <w:ind w:left="1440" w:firstLine="720"/>
        <w:jc w:val="both"/>
        <w:rPr>
          <w:rFonts w:ascii="Arial" w:hAnsi="Arial" w:cs="Arial"/>
          <w:sz w:val="20"/>
          <w:szCs w:val="20"/>
        </w:rPr>
      </w:pPr>
      <m:oMath>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p>
          <m:sSupPr>
            <m:ctrlPr>
              <w:rPr>
                <w:rFonts w:ascii="Cambria Math" w:hAnsi="Arial" w:cs="Arial"/>
                <w:i/>
                <w:sz w:val="20"/>
                <w:szCs w:val="20"/>
              </w:rPr>
            </m:ctrlPr>
          </m:sSupPr>
          <m:e>
            <m:r>
              <m:rPr>
                <m:sty m:val="bi"/>
              </m:rPr>
              <w:rPr>
                <w:rFonts w:ascii="Cambria Math" w:hAnsi="Cambria Math" w:cs="Arial"/>
                <w:sz w:val="20"/>
                <w:szCs w:val="20"/>
              </w:rPr>
              <m:t>αβ</m:t>
            </m:r>
          </m:e>
          <m:sup>
            <m:r>
              <w:rPr>
                <w:rFonts w:ascii="Cambria Math" w:hAnsi="Arial" w:cs="Arial"/>
                <w:sz w:val="20"/>
                <w:szCs w:val="20"/>
              </w:rPr>
              <m:t>'</m:t>
            </m:r>
          </m:sup>
        </m:sSup>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r>
              <w:rPr>
                <w:rFonts w:ascii="Cambria Math" w:hAnsi="Cambria Math" w:cs="Arial"/>
                <w:sz w:val="20"/>
                <w:szCs w:val="20"/>
              </w:rPr>
              <m:t>p</m:t>
            </m:r>
            <m:r>
              <w:rPr>
                <w:rFonts w:ascii="Arial" w:hAnsi="Arial" w:cs="Arial"/>
                <w:sz w:val="20"/>
                <w:szCs w:val="20"/>
              </w:rPr>
              <m:t>-</m:t>
            </m:r>
            <m:r>
              <w:rPr>
                <w:rFonts w:ascii="Cambria Math" w:hAnsi="Arial" w:cs="Arial"/>
                <w:sz w:val="20"/>
                <w:szCs w:val="20"/>
              </w:rPr>
              <m:t>1</m:t>
            </m:r>
          </m:sup>
          <m:e>
            <m:sSub>
              <m:sSubPr>
                <m:ctrlPr>
                  <w:rPr>
                    <w:rFonts w:ascii="Cambria Math" w:hAnsi="Arial" w:cs="Arial"/>
                    <w:i/>
                    <w:sz w:val="20"/>
                    <w:szCs w:val="20"/>
                  </w:rPr>
                </m:ctrlPr>
              </m:sSubPr>
              <m:e>
                <m:r>
                  <m:rPr>
                    <m:sty m:val="bi"/>
                  </m:rPr>
                  <w:rPr>
                    <w:rFonts w:ascii="Cambria Math" w:hAnsi="Arial" w:cs="Arial"/>
                    <w:sz w:val="20"/>
                    <w:szCs w:val="20"/>
                  </w:rPr>
                  <m:t>Г</m:t>
                </m:r>
              </m:e>
              <m:sub>
                <m:r>
                  <w:rPr>
                    <w:rFonts w:ascii="Cambria Math" w:hAnsi="Cambria Math" w:cs="Arial"/>
                    <w:sz w:val="20"/>
                    <w:szCs w:val="20"/>
                  </w:rPr>
                  <m:t>j</m:t>
                </m:r>
              </m:sub>
            </m:sSub>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j</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μ</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ε</m:t>
                </m:r>
              </m:e>
              <m:sub>
                <m:r>
                  <w:rPr>
                    <w:rFonts w:ascii="Cambria Math" w:hAnsi="Cambria Math" w:cs="Arial"/>
                    <w:sz w:val="20"/>
                    <w:szCs w:val="20"/>
                  </w:rPr>
                  <m:t>it</m:t>
                </m:r>
              </m:sub>
            </m:sSub>
          </m:e>
        </m:nary>
      </m:oMath>
      <w:r w:rsidRPr="00A30943">
        <w:rPr>
          <w:rFonts w:ascii="Arial" w:hAnsi="Arial" w:cs="Arial"/>
          <w:sz w:val="20"/>
          <w:szCs w:val="20"/>
        </w:rPr>
        <w:tab/>
        <w:t>(28)</w:t>
      </w:r>
    </w:p>
    <w:p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Apply panel unit root tests (e.g., LLC, IPS, ADF-Fisher or PP-Fisher) to confirm that all the variables are </w:t>
      </w:r>
      <m:oMath>
        <m:r>
          <w:rPr>
            <w:rStyle w:val="mord"/>
            <w:rFonts w:ascii="Cambria Math" w:hAnsi="Cambria Math" w:cs="Arial"/>
            <w:sz w:val="20"/>
            <w:szCs w:val="20"/>
          </w:rPr>
          <m:t>I</m:t>
        </m:r>
        <m:r>
          <w:rPr>
            <w:rStyle w:val="mopen"/>
            <w:rFonts w:ascii="Cambria Math" w:hAnsi="Arial" w:cs="Arial"/>
            <w:sz w:val="20"/>
            <w:szCs w:val="20"/>
          </w:rPr>
          <m:t>(</m:t>
        </m:r>
        <m:r>
          <m:rPr>
            <m:sty m:val="p"/>
          </m:rPr>
          <w:rPr>
            <w:rStyle w:val="mord"/>
            <w:rFonts w:ascii="Cambria Math" w:hAnsi="Arial" w:cs="Arial"/>
            <w:sz w:val="20"/>
            <w:szCs w:val="20"/>
          </w:rPr>
          <m:t>1</m:t>
        </m:r>
        <m:r>
          <w:rPr>
            <w:rStyle w:val="mclose"/>
            <w:rFonts w:ascii="Cambria Math" w:eastAsiaTheme="majorEastAsia" w:hAnsi="Arial" w:cs="Arial"/>
            <w:sz w:val="20"/>
            <w:szCs w:val="20"/>
          </w:rPr>
          <m:t>)</m:t>
        </m:r>
      </m:oMath>
      <w:r w:rsidRPr="00A30943">
        <w:rPr>
          <w:rFonts w:ascii="Arial" w:hAnsi="Arial" w:cs="Arial"/>
          <w:sz w:val="20"/>
          <w:szCs w:val="20"/>
        </w:rPr>
        <w:t xml:space="preserve">. Use panel cointegration tests (e.g., Pedroni, Westerlund) to confirm that </w:t>
      </w:r>
      <w:r w:rsidRPr="00A30943">
        <w:rPr>
          <w:rFonts w:ascii="Arial" w:hAnsi="Arial" w:cs="Arial"/>
          <w:sz w:val="20"/>
          <w:szCs w:val="20"/>
        </w:rPr>
        <w:lastRenderedPageBreak/>
        <w:t xml:space="preserve">long-run relationships exist among the variables of study. To estimate </w:t>
      </w:r>
      <m:oMath>
        <m:r>
          <m:rPr>
            <m:sty m:val="bi"/>
          </m:rPr>
          <w:rPr>
            <w:rFonts w:ascii="Cambria Math" w:hAnsi="Cambria Math" w:cs="Arial"/>
            <w:sz w:val="20"/>
            <w:szCs w:val="20"/>
          </w:rPr>
          <m:t>β</m:t>
        </m:r>
      </m:oMath>
      <w:r w:rsidRPr="00A30943">
        <w:rPr>
          <w:rFonts w:ascii="Arial" w:hAnsi="Arial" w:cs="Arial"/>
          <w:sz w:val="20"/>
          <w:szCs w:val="20"/>
        </w:rPr>
        <w:t>,methods like Johansen’s system-based estimator such as Kao (1999) for homogeneous panels, Pedroni (2000) for heterogeneous cointegration, Fully Modified OLS (FMOLS) or Dynamic OLS (DOLS).</w:t>
      </w:r>
    </w:p>
    <w:p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The PVECM is then estimated with known </w:t>
      </w:r>
      <m:oMath>
        <m:r>
          <m:rPr>
            <m:sty m:val="bi"/>
          </m:rPr>
          <w:rPr>
            <w:rStyle w:val="mord"/>
            <w:rFonts w:ascii="Cambria Math" w:hAnsi="Cambria Math" w:cs="Arial"/>
            <w:sz w:val="20"/>
            <w:szCs w:val="20"/>
          </w:rPr>
          <m:t>β</m:t>
        </m:r>
      </m:oMath>
      <w:r w:rsidRPr="00A30943">
        <w:rPr>
          <w:rFonts w:ascii="Arial" w:hAnsi="Arial" w:cs="Arial"/>
          <w:sz w:val="20"/>
          <w:szCs w:val="20"/>
        </w:rPr>
        <w:t xml:space="preserve"> as:</w:t>
      </w:r>
    </w:p>
    <w:p w:rsidR="00F30DF6" w:rsidRPr="00A30943" w:rsidRDefault="00F30DF6" w:rsidP="00F30DF6">
      <w:pPr>
        <w:pStyle w:val="NormalWeb"/>
        <w:spacing w:before="0" w:beforeAutospacing="0" w:after="0" w:afterAutospacing="0"/>
        <w:ind w:left="1440" w:firstLine="720"/>
        <w:jc w:val="both"/>
        <w:rPr>
          <w:rFonts w:ascii="Arial" w:hAnsi="Arial" w:cs="Arial"/>
          <w:sz w:val="20"/>
          <w:szCs w:val="20"/>
        </w:rPr>
      </w:pPr>
      <m:oMath>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p>
          <m:sSupPr>
            <m:ctrlPr>
              <w:rPr>
                <w:rFonts w:ascii="Cambria Math" w:hAnsi="Arial" w:cs="Arial"/>
                <w:i/>
                <w:sz w:val="20"/>
                <w:szCs w:val="20"/>
              </w:rPr>
            </m:ctrlPr>
          </m:sSupPr>
          <m:e>
            <m:r>
              <m:rPr>
                <m:sty m:val="bi"/>
              </m:rPr>
              <w:rPr>
                <w:rFonts w:ascii="Cambria Math" w:hAnsi="Cambria Math" w:cs="Arial"/>
                <w:sz w:val="20"/>
                <w:szCs w:val="20"/>
              </w:rPr>
              <m:t>αβ</m:t>
            </m:r>
          </m:e>
          <m:sup>
            <m:r>
              <w:rPr>
                <w:rFonts w:ascii="Cambria Math" w:hAnsi="Arial" w:cs="Arial"/>
                <w:sz w:val="20"/>
                <w:szCs w:val="20"/>
              </w:rPr>
              <m:t>'</m:t>
            </m:r>
          </m:sup>
        </m:sSup>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r>
              <w:rPr>
                <w:rFonts w:ascii="Cambria Math" w:hAnsi="Cambria Math" w:cs="Arial"/>
                <w:sz w:val="20"/>
                <w:szCs w:val="20"/>
              </w:rPr>
              <m:t>p</m:t>
            </m:r>
            <m:r>
              <w:rPr>
                <w:rFonts w:ascii="Arial" w:hAnsi="Arial" w:cs="Arial"/>
                <w:sz w:val="20"/>
                <w:szCs w:val="20"/>
              </w:rPr>
              <m:t>-</m:t>
            </m:r>
            <m:r>
              <w:rPr>
                <w:rFonts w:ascii="Cambria Math" w:hAnsi="Arial" w:cs="Arial"/>
                <w:sz w:val="20"/>
                <w:szCs w:val="20"/>
              </w:rPr>
              <m:t>1</m:t>
            </m:r>
          </m:sup>
          <m:e>
            <m:sSub>
              <m:sSubPr>
                <m:ctrlPr>
                  <w:rPr>
                    <w:rFonts w:ascii="Cambria Math" w:hAnsi="Arial" w:cs="Arial"/>
                    <w:i/>
                    <w:sz w:val="20"/>
                    <w:szCs w:val="20"/>
                  </w:rPr>
                </m:ctrlPr>
              </m:sSubPr>
              <m:e>
                <m:r>
                  <m:rPr>
                    <m:sty m:val="bi"/>
                  </m:rPr>
                  <w:rPr>
                    <w:rFonts w:ascii="Cambria Math" w:hAnsi="Arial" w:cs="Arial"/>
                    <w:sz w:val="20"/>
                    <w:szCs w:val="20"/>
                  </w:rPr>
                  <m:t>Г</m:t>
                </m:r>
              </m:e>
              <m:sub>
                <m:r>
                  <w:rPr>
                    <w:rFonts w:ascii="Cambria Math" w:hAnsi="Cambria Math" w:cs="Arial"/>
                    <w:sz w:val="20"/>
                    <w:szCs w:val="20"/>
                  </w:rPr>
                  <m:t>j</m:t>
                </m:r>
              </m:sub>
            </m:sSub>
            <m:r>
              <w:rPr>
                <w:rFonts w:ascii="Arial"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j</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μ</m:t>
                </m:r>
              </m:e>
              <m:sub>
                <m:r>
                  <w:rPr>
                    <w:rFonts w:ascii="Cambria Math" w:hAnsi="Cambria Math" w:cs="Arial"/>
                    <w:sz w:val="20"/>
                    <w:szCs w:val="20"/>
                  </w:rPr>
                  <m:t>i</m:t>
                </m:r>
              </m:sub>
            </m:sSub>
            <m:r>
              <w:rPr>
                <w:rFonts w:ascii="Cambria Math" w:hAnsi="Arial" w:cs="Arial"/>
                <w:sz w:val="20"/>
                <w:szCs w:val="20"/>
              </w:rPr>
              <m:t>+</m:t>
            </m:r>
            <m:sSub>
              <m:sSubPr>
                <m:ctrlPr>
                  <w:rPr>
                    <w:rFonts w:ascii="Cambria Math" w:hAnsi="Arial" w:cs="Arial"/>
                    <w:i/>
                    <w:sz w:val="20"/>
                    <w:szCs w:val="20"/>
                  </w:rPr>
                </m:ctrlPr>
              </m:sSubPr>
              <m:e>
                <m:r>
                  <m:rPr>
                    <m:sty m:val="bi"/>
                  </m:rPr>
                  <w:rPr>
                    <w:rFonts w:ascii="Cambria Math" w:hAnsi="Cambria Math" w:cs="Arial"/>
                    <w:sz w:val="20"/>
                    <w:szCs w:val="20"/>
                  </w:rPr>
                  <m:t>ε</m:t>
                </m:r>
              </m:e>
              <m:sub>
                <m:r>
                  <w:rPr>
                    <w:rFonts w:ascii="Cambria Math" w:hAnsi="Cambria Math" w:cs="Arial"/>
                    <w:sz w:val="20"/>
                    <w:szCs w:val="20"/>
                  </w:rPr>
                  <m:t>it</m:t>
                </m:r>
              </m:sub>
            </m:sSub>
          </m:e>
        </m:nary>
      </m:oMath>
      <w:r w:rsidRPr="00A30943">
        <w:rPr>
          <w:rFonts w:ascii="Arial" w:hAnsi="Arial" w:cs="Arial"/>
          <w:sz w:val="20"/>
          <w:szCs w:val="20"/>
        </w:rPr>
        <w:tab/>
        <w:t>(29)</w:t>
      </w:r>
    </w:p>
    <w:p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The parameters of the model are estimated using Seemingly Unrelated Regression (SUR) for efficiency across equations or fixed effects if unobserved heterogeneity across entities is present.</w:t>
      </w:r>
    </w:p>
    <w:p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Cointegrating rank </w:t>
      </w:r>
      <m:oMath>
        <m:r>
          <w:rPr>
            <w:rFonts w:ascii="Cambria Math" w:hAnsi="Cambria Math" w:cs="Arial"/>
            <w:sz w:val="20"/>
            <w:szCs w:val="20"/>
          </w:rPr>
          <m:t>r</m:t>
        </m:r>
      </m:oMath>
      <w:r w:rsidRPr="00A30943">
        <w:rPr>
          <w:rFonts w:ascii="Arial" w:hAnsi="Arial" w:cs="Arial"/>
          <w:sz w:val="20"/>
          <w:szCs w:val="20"/>
        </w:rPr>
        <w:t xml:space="preserve"> is determined from Johansen-type trace or maximum eigenvalue tests. Each row of </w:t>
      </w:r>
      <m:oMath>
        <m:r>
          <m:rPr>
            <m:sty m:val="bi"/>
          </m:rPr>
          <w:rPr>
            <w:rFonts w:ascii="Cambria Math" w:hAnsi="Cambria Math" w:cs="Arial"/>
            <w:sz w:val="20"/>
            <w:szCs w:val="20"/>
          </w:rPr>
          <m:t>α</m:t>
        </m:r>
      </m:oMath>
      <w:r w:rsidRPr="00A30943">
        <w:rPr>
          <w:rFonts w:ascii="Arial" w:hAnsi="Arial" w:cs="Arial"/>
          <w:sz w:val="20"/>
          <w:szCs w:val="20"/>
        </w:rPr>
        <w:t xml:space="preserve"> shows how an endogenous variable responds to disequilibrium. </w:t>
      </w:r>
      <m:oMath>
        <m:sSub>
          <m:sSubPr>
            <m:ctrlPr>
              <w:rPr>
                <w:rFonts w:ascii="Cambria Math" w:hAnsi="Arial" w:cs="Arial"/>
                <w:i/>
                <w:sz w:val="20"/>
                <w:szCs w:val="20"/>
              </w:rPr>
            </m:ctrlPr>
          </m:sSubPr>
          <m:e>
            <m:r>
              <m:rPr>
                <m:sty m:val="bi"/>
              </m:rPr>
              <w:rPr>
                <w:rFonts w:ascii="Cambria Math" w:hAnsi="Arial" w:cs="Arial"/>
                <w:sz w:val="20"/>
                <w:szCs w:val="20"/>
              </w:rPr>
              <m:t>Г</m:t>
            </m:r>
          </m:e>
          <m:sub>
            <m:r>
              <w:rPr>
                <w:rFonts w:ascii="Cambria Math" w:hAnsi="Cambria Math" w:cs="Arial"/>
                <w:sz w:val="20"/>
                <w:szCs w:val="20"/>
              </w:rPr>
              <m:t>j</m:t>
            </m:r>
          </m:sub>
        </m:sSub>
      </m:oMath>
      <w:r w:rsidRPr="00A30943">
        <w:rPr>
          <w:rFonts w:ascii="Arial" w:hAnsi="Arial" w:cs="Arial"/>
          <w:sz w:val="20"/>
          <w:szCs w:val="20"/>
        </w:rPr>
        <w:t xml:space="preserve"> is the short-run interdependencies among variables. The test checks the following pair of hypothesis: </w:t>
      </w:r>
    </w:p>
    <w:p w:rsidR="00F30DF6" w:rsidRPr="00A30943" w:rsidRDefault="00FB352D"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r>
          <w:rPr>
            <w:rFonts w:ascii="Cambria Math" w:hAnsi="Arial" w:cs="Arial"/>
            <w:sz w:val="20"/>
            <w:szCs w:val="20"/>
          </w:rPr>
          <m:t xml:space="preserve">: </m:t>
        </m:r>
        <m:r>
          <w:rPr>
            <w:rFonts w:ascii="Cambria Math" w:hAnsi="Cambria Math" w:cs="Arial"/>
            <w:sz w:val="20"/>
            <w:szCs w:val="20"/>
          </w:rPr>
          <m:t>α</m:t>
        </m:r>
        <m:r>
          <w:rPr>
            <w:rFonts w:ascii="Cambria Math" w:hAnsi="Arial" w:cs="Arial"/>
            <w:sz w:val="20"/>
            <w:szCs w:val="20"/>
          </w:rPr>
          <m:t>=0</m:t>
        </m:r>
      </m:oMath>
      <w:r w:rsidR="00F30DF6" w:rsidRPr="00A30943">
        <w:rPr>
          <w:rFonts w:ascii="Arial" w:hAnsi="Arial" w:cs="Arial"/>
          <w:sz w:val="20"/>
          <w:szCs w:val="20"/>
        </w:rPr>
        <w:t xml:space="preserve"> (No adjustment to long-run equilibrium) versus</w:t>
      </w:r>
    </w:p>
    <w:p w:rsidR="00F30DF6" w:rsidRPr="00A30943" w:rsidRDefault="00FB352D"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1</m:t>
            </m:r>
          </m:sub>
        </m:sSub>
        <m:r>
          <w:rPr>
            <w:rFonts w:ascii="Cambria Math" w:hAnsi="Arial" w:cs="Arial"/>
            <w:sz w:val="20"/>
            <w:szCs w:val="20"/>
          </w:rPr>
          <m:t>:</m:t>
        </m:r>
        <m:r>
          <w:rPr>
            <w:rFonts w:ascii="Cambria Math" w:hAnsi="Cambria Math" w:cs="Arial"/>
            <w:sz w:val="20"/>
            <w:szCs w:val="20"/>
          </w:rPr>
          <m:t>α</m:t>
        </m:r>
        <m:r>
          <w:rPr>
            <w:rFonts w:ascii="Cambria Math" w:hAnsi="Arial" w:cs="Arial"/>
            <w:sz w:val="20"/>
            <w:szCs w:val="20"/>
          </w:rPr>
          <m:t>≠</m:t>
        </m:r>
        <m:r>
          <w:rPr>
            <w:rFonts w:ascii="Cambria Math" w:hAnsi="Arial" w:cs="Arial"/>
            <w:sz w:val="20"/>
            <w:szCs w:val="20"/>
          </w:rPr>
          <m:t xml:space="preserve">0 </m:t>
        </m:r>
      </m:oMath>
      <w:r w:rsidR="00F30DF6" w:rsidRPr="00A30943">
        <w:rPr>
          <w:rFonts w:ascii="Arial" w:hAnsi="Arial" w:cs="Arial"/>
          <w:sz w:val="20"/>
          <w:szCs w:val="20"/>
        </w:rPr>
        <w:t xml:space="preserve"> (There is adjustment to long-run equilibrium).</w:t>
      </w:r>
    </w:p>
    <w:p w:rsidR="00F30DF6" w:rsidRPr="00A30943" w:rsidRDefault="00FB352D"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Arial" w:cs="Arial"/>
                <w:sz w:val="20"/>
                <w:szCs w:val="20"/>
              </w:rPr>
              <m:t>Г</m:t>
            </m:r>
          </m:e>
          <m:sub>
            <m:r>
              <w:rPr>
                <w:rFonts w:ascii="Cambria Math" w:hAnsi="Cambria Math" w:cs="Arial"/>
                <w:sz w:val="20"/>
                <w:szCs w:val="20"/>
              </w:rPr>
              <m:t>j</m:t>
            </m:r>
          </m:sub>
        </m:sSub>
        <m:r>
          <w:rPr>
            <w:rFonts w:ascii="Cambria Math" w:hAnsi="Arial" w:cs="Arial"/>
            <w:sz w:val="20"/>
            <w:szCs w:val="20"/>
          </w:rPr>
          <m:t>=0</m:t>
        </m:r>
      </m:oMath>
      <w:r w:rsidR="00F30DF6" w:rsidRPr="00A30943">
        <w:rPr>
          <w:rFonts w:ascii="Arial" w:hAnsi="Arial" w:cs="Arial"/>
          <w:sz w:val="20"/>
          <w:szCs w:val="20"/>
        </w:rPr>
        <w:t xml:space="preserve"> (No short-run dynamics) versus</w:t>
      </w:r>
    </w:p>
    <w:p w:rsidR="00F30DF6" w:rsidRPr="00A30943" w:rsidRDefault="00FB352D"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1</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Arial" w:cs="Arial"/>
                <w:sz w:val="20"/>
                <w:szCs w:val="20"/>
              </w:rPr>
              <m:t>Г</m:t>
            </m:r>
          </m:e>
          <m:sub>
            <m:r>
              <w:rPr>
                <w:rFonts w:ascii="Cambria Math" w:hAnsi="Cambria Math" w:cs="Arial"/>
                <w:sz w:val="20"/>
                <w:szCs w:val="20"/>
              </w:rPr>
              <m:t>j</m:t>
            </m:r>
          </m:sub>
        </m:sSub>
        <m:r>
          <w:rPr>
            <w:rFonts w:ascii="Cambria Math" w:hAnsi="Arial" w:cs="Arial"/>
            <w:sz w:val="20"/>
            <w:szCs w:val="20"/>
          </w:rPr>
          <m:t>≠</m:t>
        </m:r>
        <m:r>
          <w:rPr>
            <w:rFonts w:ascii="Cambria Math" w:hAnsi="Arial" w:cs="Arial"/>
            <w:sz w:val="20"/>
            <w:szCs w:val="20"/>
          </w:rPr>
          <m:t>0</m:t>
        </m:r>
      </m:oMath>
      <w:r w:rsidR="00F30DF6" w:rsidRPr="00A30943">
        <w:rPr>
          <w:rFonts w:ascii="Arial" w:hAnsi="Arial" w:cs="Arial"/>
          <w:sz w:val="20"/>
          <w:szCs w:val="20"/>
        </w:rPr>
        <w:t xml:space="preserve"> (There are short-run dynamics).</w:t>
      </w:r>
    </w:p>
    <w:p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The Wald test or LM test is employed to test for joint or individual restrictions.</w:t>
      </w:r>
    </w:p>
    <w:p w:rsidR="00A30943" w:rsidRDefault="00A30943" w:rsidP="00A30943">
      <w:pPr>
        <w:pStyle w:val="NormalWeb"/>
        <w:spacing w:before="0" w:beforeAutospacing="0" w:after="0" w:afterAutospacing="0" w:line="480" w:lineRule="auto"/>
        <w:jc w:val="both"/>
        <w:rPr>
          <w:rFonts w:ascii="Arial" w:hAnsi="Arial" w:cs="Arial"/>
          <w:b/>
          <w:sz w:val="20"/>
          <w:szCs w:val="20"/>
        </w:rPr>
      </w:pPr>
      <w:r>
        <w:rPr>
          <w:rFonts w:ascii="Arial" w:hAnsi="Arial" w:cs="Arial"/>
          <w:b/>
          <w:sz w:val="20"/>
          <w:szCs w:val="20"/>
        </w:rPr>
        <w:t>2.7</w:t>
      </w:r>
      <w:r w:rsidR="00F30DF6" w:rsidRPr="00A30943">
        <w:rPr>
          <w:rFonts w:ascii="Arial" w:hAnsi="Arial" w:cs="Arial"/>
          <w:b/>
          <w:sz w:val="20"/>
          <w:szCs w:val="20"/>
        </w:rPr>
        <w:t>Dumitrescu-Hurlin panel Granger causality test</w:t>
      </w:r>
    </w:p>
    <w:p w:rsidR="00F30DF6" w:rsidRPr="00A30943" w:rsidRDefault="00F30DF6" w:rsidP="00A30943">
      <w:pPr>
        <w:pStyle w:val="NormalWeb"/>
        <w:spacing w:before="0" w:beforeAutospacing="0" w:after="0" w:afterAutospacing="0"/>
        <w:jc w:val="both"/>
        <w:rPr>
          <w:rFonts w:ascii="Arial" w:hAnsi="Arial" w:cs="Arial"/>
          <w:b/>
          <w:sz w:val="20"/>
          <w:szCs w:val="20"/>
        </w:rPr>
      </w:pPr>
      <w:r w:rsidRPr="00A30943">
        <w:rPr>
          <w:rFonts w:ascii="Arial" w:hAnsi="Arial" w:cs="Arial"/>
          <w:sz w:val="20"/>
          <w:szCs w:val="20"/>
        </w:rPr>
        <w:t xml:space="preserve">The Dumitrescu-Hurlin (2012) test is designed for testing Granger causality across panel units when relationships are heterogeneous across cross-sections. Unlike standard fixed-effects models, it allows different causal dynamics for different cross-sectional units. Let </w:t>
      </w:r>
      <m:oMath>
        <m:r>
          <w:rPr>
            <w:rStyle w:val="mord"/>
            <w:rFonts w:ascii="Cambria Math" w:hAnsi="Cambria Math" w:cs="Arial"/>
            <w:sz w:val="20"/>
            <w:szCs w:val="20"/>
          </w:rPr>
          <m:t>N</m:t>
        </m:r>
      </m:oMath>
      <w:r w:rsidRPr="00A30943">
        <w:rPr>
          <w:rFonts w:ascii="Arial" w:hAnsi="Arial" w:cs="Arial"/>
          <w:sz w:val="20"/>
          <w:szCs w:val="20"/>
        </w:rPr>
        <w:t xml:space="preserve"> be the number of cross-sectional units (entities), </w:t>
      </w:r>
      <m:oMath>
        <m:r>
          <w:rPr>
            <w:rStyle w:val="mord"/>
            <w:rFonts w:ascii="Cambria Math" w:hAnsi="Cambria Math" w:cs="Arial"/>
            <w:sz w:val="20"/>
            <w:szCs w:val="20"/>
          </w:rPr>
          <m:t>T</m:t>
        </m:r>
      </m:oMath>
      <w:r w:rsidRPr="00A30943">
        <w:rPr>
          <w:rFonts w:ascii="Arial" w:hAnsi="Arial" w:cs="Arial"/>
          <w:sz w:val="20"/>
          <w:szCs w:val="20"/>
        </w:rPr>
        <w:t xml:space="preserve"> be the number of time periods (observations per unit), </w:t>
      </w:r>
      <m:oMath>
        <m:r>
          <w:rPr>
            <w:rStyle w:val="mord"/>
            <w:rFonts w:ascii="Cambria Math" w:hAnsi="Cambria Math" w:cs="Arial"/>
            <w:sz w:val="20"/>
            <w:szCs w:val="20"/>
          </w:rPr>
          <m:t>p</m:t>
        </m:r>
      </m:oMath>
      <w:r w:rsidRPr="00A30943">
        <w:rPr>
          <w:rFonts w:ascii="Arial" w:hAnsi="Arial" w:cs="Arial"/>
          <w:sz w:val="20"/>
          <w:szCs w:val="20"/>
        </w:rPr>
        <w:t xml:space="preserve"> be the number of lags, </w:t>
      </w:r>
      <m:oMath>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it</m:t>
            </m:r>
          </m:sub>
        </m:sSub>
      </m:oMath>
      <w:r w:rsidRPr="00A30943">
        <w:rPr>
          <w:rFonts w:ascii="Arial" w:hAnsi="Arial" w:cs="Arial"/>
          <w:sz w:val="20"/>
          <w:szCs w:val="20"/>
        </w:rPr>
        <w:t xml:space="preserve"> be the independent (causal) variable,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oMath>
      <w:r w:rsidRPr="00A30943">
        <w:rPr>
          <w:rFonts w:ascii="Arial" w:hAnsi="Arial" w:cs="Arial"/>
          <w:sz w:val="20"/>
          <w:szCs w:val="20"/>
        </w:rPr>
        <w:t xml:space="preserve"> be the dependent (effect) variable. The panel model is specified as shown in Equation (30):</w:t>
      </w:r>
    </w:p>
    <w:p w:rsidR="00F30DF6" w:rsidRPr="00A30943" w:rsidRDefault="00FB352D" w:rsidP="00A30943">
      <w:pPr>
        <w:pStyle w:val="NormalWeb"/>
        <w:spacing w:before="0" w:beforeAutospacing="0" w:after="0" w:afterAutospacing="0"/>
        <w:ind w:left="1440" w:firstLine="72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k</m:t>
            </m:r>
            <m:r>
              <w:rPr>
                <w:rFonts w:ascii="Cambria Math" w:hAnsi="Arial" w:cs="Arial"/>
                <w:sz w:val="20"/>
                <w:szCs w:val="20"/>
              </w:rPr>
              <m:t>=1</m:t>
            </m:r>
          </m:sub>
          <m:sup>
            <m:r>
              <w:rPr>
                <w:rFonts w:ascii="Cambria Math" w:hAnsi="Cambria Math" w:cs="Arial"/>
                <w:sz w:val="20"/>
                <w:szCs w:val="20"/>
              </w:rPr>
              <m:t>p</m:t>
            </m:r>
          </m:sup>
          <m:e>
            <m:sSub>
              <m:sSubPr>
                <m:ctrlPr>
                  <w:rPr>
                    <w:rFonts w:ascii="Cambria Math" w:hAnsi="Arial" w:cs="Arial"/>
                    <w:i/>
                    <w:sz w:val="20"/>
                    <w:szCs w:val="20"/>
                  </w:rPr>
                </m:ctrlPr>
              </m:sSubPr>
              <m:e>
                <m:r>
                  <w:rPr>
                    <w:rFonts w:ascii="Cambria Math" w:hAnsi="Cambria Math" w:cs="Arial"/>
                    <w:sz w:val="20"/>
                    <w:szCs w:val="20"/>
                  </w:rPr>
                  <m:t>γ</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k</m:t>
                </m:r>
              </m:sub>
            </m:sSub>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k</m:t>
                </m:r>
              </m:sub>
            </m:sSub>
          </m:e>
        </m:nary>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k</m:t>
            </m:r>
            <m:r>
              <w:rPr>
                <w:rFonts w:ascii="Cambria Math" w:hAnsi="Arial" w:cs="Arial"/>
                <w:sz w:val="20"/>
                <w:szCs w:val="20"/>
              </w:rPr>
              <m:t>=1</m:t>
            </m:r>
          </m:sub>
          <m:sup>
            <m:r>
              <w:rPr>
                <w:rFonts w:ascii="Cambria Math" w:hAnsi="Cambria Math" w:cs="Arial"/>
                <w:sz w:val="20"/>
                <w:szCs w:val="20"/>
              </w:rPr>
              <m:t>p</m:t>
            </m:r>
          </m:sup>
          <m:e>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k</m:t>
                </m:r>
              </m:sub>
            </m:sSub>
            <m:sSub>
              <m:sSubPr>
                <m:ctrlPr>
                  <w:rPr>
                    <w:rFonts w:ascii="Cambria Math" w:hAnsi="Arial" w:cs="Arial"/>
                    <w:i/>
                    <w:sz w:val="20"/>
                    <w:szCs w:val="20"/>
                  </w:rPr>
                </m:ctrlPr>
              </m:sSubPr>
              <m:e>
                <m:r>
                  <w:rPr>
                    <w:rFonts w:ascii="Cambria Math" w:hAnsi="Cambria Math" w:cs="Arial"/>
                    <w:sz w:val="20"/>
                    <w:szCs w:val="20"/>
                  </w:rPr>
                  <m:t>x</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k</m:t>
                </m:r>
              </m:sub>
            </m:sSub>
          </m:e>
        </m:nary>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it</m:t>
            </m:r>
          </m:sub>
        </m:sSub>
      </m:oMath>
      <w:r w:rsidR="00F30DF6" w:rsidRPr="00A30943">
        <w:rPr>
          <w:rFonts w:ascii="Arial" w:hAnsi="Arial" w:cs="Arial"/>
          <w:sz w:val="20"/>
          <w:szCs w:val="20"/>
        </w:rPr>
        <w:tab/>
        <w:t xml:space="preserve">         (30)</w:t>
      </w:r>
    </w:p>
    <w:p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i</m:t>
            </m:r>
          </m:sub>
        </m:sSub>
      </m:oMath>
      <w:r w:rsidRPr="00A30943">
        <w:rPr>
          <w:rFonts w:ascii="Arial" w:hAnsi="Arial" w:cs="Arial"/>
          <w:sz w:val="20"/>
          <w:szCs w:val="20"/>
        </w:rPr>
        <w:t xml:space="preserve"> is fixed intercept for unit </w:t>
      </w:r>
      <m:oMath>
        <m:r>
          <w:rPr>
            <w:rStyle w:val="katex-mathml"/>
            <w:rFonts w:ascii="Cambria Math" w:hAnsi="Cambria Math" w:cs="Arial"/>
            <w:sz w:val="20"/>
            <w:szCs w:val="20"/>
          </w:rPr>
          <m:t>i</m:t>
        </m:r>
      </m:oMath>
      <w:r w:rsidRPr="00A30943">
        <w:rPr>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γ</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k</m:t>
            </m:r>
          </m:sub>
        </m:sSub>
      </m:oMath>
      <w:r w:rsidRPr="00A30943">
        <w:rPr>
          <w:rFonts w:ascii="Arial" w:hAnsi="Arial" w:cs="Arial"/>
          <w:sz w:val="20"/>
          <w:szCs w:val="20"/>
        </w:rPr>
        <w:t xml:space="preserve"> is lag coefficients of the dependent variable,</w:t>
      </w:r>
      <m:oMath>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k</m:t>
            </m:r>
          </m:sub>
        </m:sSub>
      </m:oMath>
      <w:r w:rsidRPr="00A30943">
        <w:rPr>
          <w:rFonts w:ascii="Arial" w:hAnsi="Arial" w:cs="Arial"/>
          <w:sz w:val="20"/>
          <w:szCs w:val="20"/>
        </w:rPr>
        <w:t xml:space="preserve"> is Granger causality coefficients,</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it</m:t>
            </m:r>
          </m:sub>
        </m:sSub>
        <m:r>
          <w:rPr>
            <w:rFonts w:ascii="Cambria Math" w:hAnsi="Arial" w:cs="Arial"/>
            <w:sz w:val="20"/>
            <w:szCs w:val="20"/>
          </w:rPr>
          <m:t>~</m:t>
        </m:r>
        <m:r>
          <w:rPr>
            <w:rStyle w:val="katex-mathml"/>
            <w:rFonts w:ascii="Cambria Math" w:hAnsi="Cambria Math" w:cs="Arial"/>
            <w:sz w:val="20"/>
            <w:szCs w:val="20"/>
          </w:rPr>
          <m:t>iid</m:t>
        </m:r>
        <m:d>
          <m:dPr>
            <m:ctrlPr>
              <w:rPr>
                <w:rFonts w:ascii="Cambria Math" w:hAnsi="Arial" w:cs="Arial"/>
                <w:i/>
                <w:sz w:val="20"/>
                <w:szCs w:val="20"/>
              </w:rPr>
            </m:ctrlPr>
          </m:dPr>
          <m:e>
            <m:r>
              <w:rPr>
                <w:rStyle w:val="katex-mathml"/>
                <w:rFonts w:ascii="Cambria Math" w:hAnsi="Arial" w:cs="Arial"/>
                <w:sz w:val="20"/>
                <w:szCs w:val="20"/>
              </w:rPr>
              <m:t xml:space="preserve">0, </m:t>
            </m:r>
            <m:sSup>
              <m:sSupPr>
                <m:ctrlPr>
                  <w:rPr>
                    <w:rFonts w:ascii="Cambria Math" w:hAnsi="Arial" w:cs="Arial"/>
                    <w:i/>
                    <w:sz w:val="20"/>
                    <w:szCs w:val="20"/>
                  </w:rPr>
                </m:ctrlPr>
              </m:sSupPr>
              <m:e>
                <m:r>
                  <w:rPr>
                    <w:rStyle w:val="katex-mathml"/>
                    <w:rFonts w:ascii="Cambria Math" w:hAnsi="Cambria Math" w:cs="Arial"/>
                    <w:sz w:val="20"/>
                    <w:szCs w:val="20"/>
                  </w:rPr>
                  <m:t>σ</m:t>
                </m:r>
              </m:e>
              <m:sup>
                <m:r>
                  <w:rPr>
                    <w:rStyle w:val="katex-mathml"/>
                    <w:rFonts w:ascii="Cambria Math" w:hAnsi="Arial" w:cs="Arial"/>
                    <w:sz w:val="20"/>
                    <w:szCs w:val="20"/>
                  </w:rPr>
                  <m:t>2</m:t>
                </m:r>
              </m:sup>
            </m:sSup>
          </m:e>
        </m:d>
      </m:oMath>
      <w:r w:rsidRPr="00A30943">
        <w:rPr>
          <w:rStyle w:val="katex-mathml"/>
          <w:rFonts w:ascii="Arial" w:hAnsi="Arial" w:cs="Arial"/>
          <w:sz w:val="20"/>
          <w:szCs w:val="20"/>
        </w:rPr>
        <w:t xml:space="preserve"> is </w:t>
      </w:r>
      <w:r w:rsidRPr="00A30943">
        <w:rPr>
          <w:rFonts w:ascii="Arial" w:hAnsi="Arial" w:cs="Arial"/>
          <w:sz w:val="20"/>
          <w:szCs w:val="20"/>
        </w:rPr>
        <w:t xml:space="preserve">white noise error. The test checks the following pair of hypotheses: </w:t>
      </w:r>
    </w:p>
    <w:p w:rsidR="00F30DF6" w:rsidRPr="00A30943" w:rsidRDefault="00FB352D" w:rsidP="00A30943">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2</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3</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p</m:t>
            </m:r>
          </m:sub>
        </m:sSub>
        <m:r>
          <w:rPr>
            <w:rFonts w:ascii="Cambria Math" w:hAnsi="Arial" w:cs="Arial"/>
            <w:sz w:val="20"/>
            <w:szCs w:val="20"/>
          </w:rPr>
          <m:t xml:space="preserve">=0 </m:t>
        </m:r>
        <m:r>
          <w:rPr>
            <w:rFonts w:ascii="Cambria Math" w:hAnsi="Cambria Math" w:cs="Arial"/>
            <w:sz w:val="20"/>
            <w:szCs w:val="20"/>
          </w:rPr>
          <m:t>∀i</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m:t>
        </m:r>
        <m:r>
          <w:rPr>
            <w:rFonts w:ascii="Cambria Math" w:hAnsi="Cambria Math" w:cs="Arial"/>
            <w:sz w:val="20"/>
            <w:szCs w:val="20"/>
          </w:rPr>
          <m:t>N</m:t>
        </m:r>
      </m:oMath>
      <w:r w:rsidR="00F30DF6" w:rsidRPr="00A30943">
        <w:rPr>
          <w:rFonts w:ascii="Arial" w:hAnsi="Arial" w:cs="Arial"/>
          <w:sz w:val="20"/>
          <w:szCs w:val="20"/>
        </w:rPr>
        <w:t xml:space="preserve"> (no Granger causality for any individual unit).</w:t>
      </w:r>
    </w:p>
    <w:p w:rsidR="00F30DF6" w:rsidRPr="00A30943" w:rsidRDefault="00FB352D" w:rsidP="00A30943">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k</m:t>
            </m:r>
          </m:sub>
        </m:sSub>
        <m:r>
          <w:rPr>
            <w:rFonts w:ascii="Cambria Math" w:hAnsi="Arial" w:cs="Arial"/>
            <w:sz w:val="20"/>
            <w:szCs w:val="20"/>
          </w:rPr>
          <m:t xml:space="preserve">=0 </m:t>
        </m:r>
        <m:r>
          <m:rPr>
            <m:sty m:val="p"/>
          </m:rPr>
          <w:rPr>
            <w:rFonts w:ascii="Cambria Math" w:hAnsi="Arial" w:cs="Arial"/>
            <w:sz w:val="20"/>
            <w:szCs w:val="20"/>
          </w:rPr>
          <m:t>fo</m:t>
        </m:r>
        <m:r>
          <w:rPr>
            <w:rFonts w:ascii="Cambria Math" w:hAnsi="Cambria Math" w:cs="Arial"/>
            <w:sz w:val="20"/>
            <w:szCs w:val="20"/>
          </w:rPr>
          <m:t>ri</m:t>
        </m:r>
        <m:r>
          <w:rPr>
            <w:rFonts w:ascii="Cambria Math" w:hAnsi="Arial" w:cs="Arial"/>
            <w:sz w:val="20"/>
            <w:szCs w:val="20"/>
          </w:rPr>
          <m:t xml:space="preserve">=1, 1, </m:t>
        </m:r>
        <m:r>
          <w:rPr>
            <w:rFonts w:ascii="Cambria Math" w:hAnsi="Arial" w:cs="Arial"/>
            <w:sz w:val="20"/>
            <w:szCs w:val="20"/>
          </w:rPr>
          <m:t>…</m:t>
        </m:r>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N</m:t>
            </m:r>
          </m:e>
          <m:sub>
            <m:r>
              <w:rPr>
                <w:rFonts w:ascii="Cambria Math" w:hAnsi="Arial" w:cs="Arial"/>
                <w:sz w:val="20"/>
                <w:szCs w:val="20"/>
              </w:rPr>
              <m:t>1</m:t>
            </m:r>
          </m:sub>
        </m:sSub>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k</m:t>
            </m:r>
          </m:sub>
        </m:sSub>
        <m:r>
          <w:rPr>
            <w:rFonts w:ascii="Cambria Math" w:hAnsi="Arial" w:cs="Arial"/>
            <w:sz w:val="20"/>
            <w:szCs w:val="20"/>
          </w:rPr>
          <m:t>≠</m:t>
        </m:r>
        <m:r>
          <w:rPr>
            <w:rFonts w:ascii="Cambria Math" w:hAnsi="Arial" w:cs="Arial"/>
            <w:sz w:val="20"/>
            <w:szCs w:val="20"/>
          </w:rPr>
          <m:t xml:space="preserve">0 </m:t>
        </m:r>
        <m:r>
          <m:rPr>
            <m:sty m:val="p"/>
          </m:rPr>
          <w:rPr>
            <w:rFonts w:ascii="Cambria Math" w:hAnsi="Arial" w:cs="Arial"/>
            <w:sz w:val="20"/>
            <w:szCs w:val="20"/>
          </w:rPr>
          <m:t>for</m:t>
        </m:r>
        <m:r>
          <w:rPr>
            <w:rFonts w:ascii="Cambria Math" w:hAnsi="Cambria Math" w:cs="Arial"/>
            <w:sz w:val="20"/>
            <w:szCs w:val="20"/>
          </w:rPr>
          <m:t>i</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N</m:t>
            </m:r>
          </m:e>
          <m:sub>
            <m:r>
              <w:rPr>
                <w:rFonts w:ascii="Cambria Math" w:hAnsi="Arial" w:cs="Arial"/>
                <w:sz w:val="20"/>
                <w:szCs w:val="20"/>
              </w:rPr>
              <m:t>1</m:t>
            </m:r>
          </m:sub>
        </m:sSub>
        <m:r>
          <w:rPr>
            <w:rFonts w:ascii="Cambria Math" w:hAnsi="Arial" w:cs="Arial"/>
            <w:sz w:val="20"/>
            <w:szCs w:val="20"/>
          </w:rPr>
          <m:t xml:space="preserve">+1, </m:t>
        </m:r>
        <m:r>
          <w:rPr>
            <w:rFonts w:ascii="Cambria Math" w:hAnsi="Arial" w:cs="Arial"/>
            <w:sz w:val="20"/>
            <w:szCs w:val="20"/>
          </w:rPr>
          <m:t>…</m:t>
        </m:r>
        <m:r>
          <w:rPr>
            <w:rFonts w:ascii="Cambria Math" w:hAnsi="Arial" w:cs="Arial"/>
            <w:sz w:val="20"/>
            <w:szCs w:val="20"/>
          </w:rPr>
          <m:t xml:space="preserve">, </m:t>
        </m:r>
        <m:r>
          <w:rPr>
            <w:rFonts w:ascii="Cambria Math" w:hAnsi="Cambria Math" w:cs="Arial"/>
            <w:sz w:val="20"/>
            <w:szCs w:val="20"/>
          </w:rPr>
          <m:t>N</m:t>
        </m:r>
      </m:oMath>
      <w:r w:rsidR="00F30DF6" w:rsidRPr="00A30943">
        <w:rPr>
          <w:rFonts w:ascii="Arial" w:hAnsi="Arial" w:cs="Arial"/>
          <w:sz w:val="20"/>
          <w:szCs w:val="20"/>
        </w:rPr>
        <w:t xml:space="preserve"> (Granger causality exists for at least some units). </w:t>
      </w:r>
    </w:p>
    <w:p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Where </w:t>
      </w:r>
      <m:oMath>
        <m:r>
          <w:rPr>
            <w:rFonts w:ascii="Cambria Math" w:hAnsi="Arial" w:cs="Arial"/>
            <w:sz w:val="20"/>
            <w:szCs w:val="20"/>
          </w:rPr>
          <m:t>0&lt;</m:t>
        </m:r>
        <m:f>
          <m:fPr>
            <m:type m:val="lin"/>
            <m:ctrlPr>
              <w:rPr>
                <w:rFonts w:ascii="Cambria Math" w:hAnsi="Arial" w:cs="Arial"/>
                <w:i/>
                <w:sz w:val="20"/>
                <w:szCs w:val="20"/>
              </w:rPr>
            </m:ctrlPr>
          </m:fPr>
          <m:num>
            <m:sSub>
              <m:sSubPr>
                <m:ctrlPr>
                  <w:rPr>
                    <w:rFonts w:ascii="Cambria Math" w:hAnsi="Arial" w:cs="Arial"/>
                    <w:i/>
                    <w:sz w:val="20"/>
                    <w:szCs w:val="20"/>
                  </w:rPr>
                </m:ctrlPr>
              </m:sSubPr>
              <m:e>
                <m:r>
                  <w:rPr>
                    <w:rFonts w:ascii="Cambria Math" w:hAnsi="Cambria Math" w:cs="Arial"/>
                    <w:sz w:val="20"/>
                    <w:szCs w:val="20"/>
                  </w:rPr>
                  <m:t>N</m:t>
                </m:r>
              </m:e>
              <m:sub>
                <m:r>
                  <w:rPr>
                    <w:rFonts w:ascii="Cambria Math" w:hAnsi="Arial" w:cs="Arial"/>
                    <w:sz w:val="20"/>
                    <w:szCs w:val="20"/>
                  </w:rPr>
                  <m:t>1</m:t>
                </m:r>
              </m:sub>
            </m:sSub>
          </m:num>
          <m:den>
            <m:r>
              <w:rPr>
                <w:rFonts w:ascii="Cambria Math" w:hAnsi="Cambria Math" w:cs="Arial"/>
                <w:sz w:val="20"/>
                <w:szCs w:val="20"/>
              </w:rPr>
              <m:t>N</m:t>
            </m:r>
          </m:den>
        </m:f>
        <m:r>
          <w:rPr>
            <w:rFonts w:ascii="Cambria Math" w:hAnsi="Arial" w:cs="Arial"/>
            <w:sz w:val="20"/>
            <w:szCs w:val="20"/>
          </w:rPr>
          <m:t>&lt;1</m:t>
        </m:r>
      </m:oMath>
      <w:r w:rsidRPr="00A30943">
        <w:rPr>
          <w:rFonts w:ascii="Arial" w:hAnsi="Arial" w:cs="Arial"/>
          <w:sz w:val="20"/>
          <w:szCs w:val="20"/>
        </w:rPr>
        <w:t>: a subset of units exhibit no causality, while others do.</w:t>
      </w:r>
    </w:p>
    <w:p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For each cross-sectional unit </w:t>
      </w:r>
      <m:oMath>
        <m:r>
          <w:rPr>
            <w:rFonts w:ascii="Cambria Math" w:hAnsi="Cambria Math" w:cs="Arial"/>
            <w:sz w:val="20"/>
            <w:szCs w:val="20"/>
          </w:rPr>
          <m:t>i</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 xml:space="preserve">, </m:t>
        </m:r>
        <m:r>
          <w:rPr>
            <w:rFonts w:ascii="Cambria Math" w:hAnsi="Cambria Math" w:cs="Arial"/>
            <w:sz w:val="20"/>
            <w:szCs w:val="20"/>
          </w:rPr>
          <m:t>N</m:t>
        </m:r>
      </m:oMath>
      <w:r w:rsidRPr="00A30943">
        <w:rPr>
          <w:rFonts w:ascii="Arial" w:hAnsi="Arial" w:cs="Arial"/>
          <w:sz w:val="20"/>
          <w:szCs w:val="20"/>
        </w:rPr>
        <w:t xml:space="preserve">, we estimate Equation (1) ad run OLS to estimate the model for each </w:t>
      </w:r>
      <m:oMath>
        <m:r>
          <w:rPr>
            <w:rStyle w:val="katex-mathml"/>
            <w:rFonts w:ascii="Cambria Math" w:hAnsi="Cambria Math" w:cs="Arial"/>
            <w:sz w:val="20"/>
            <w:szCs w:val="20"/>
          </w:rPr>
          <m:t>i</m:t>
        </m:r>
      </m:oMath>
      <w:r w:rsidRPr="00A30943">
        <w:rPr>
          <w:rFonts w:ascii="Arial" w:hAnsi="Arial" w:cs="Arial"/>
          <w:sz w:val="20"/>
          <w:szCs w:val="20"/>
        </w:rPr>
        <w:t xml:space="preserve">. For each unit </w:t>
      </w:r>
      <m:oMath>
        <m:r>
          <w:rPr>
            <w:rStyle w:val="katex-mathml"/>
            <w:rFonts w:ascii="Cambria Math" w:hAnsi="Cambria Math" w:cs="Arial"/>
            <w:sz w:val="20"/>
            <w:szCs w:val="20"/>
          </w:rPr>
          <m:t>i</m:t>
        </m:r>
      </m:oMath>
      <w:r w:rsidRPr="00A30943">
        <w:rPr>
          <w:rFonts w:ascii="Arial" w:hAnsi="Arial" w:cs="Arial"/>
          <w:sz w:val="20"/>
          <w:szCs w:val="20"/>
        </w:rPr>
        <w:t xml:space="preserve">, we compute the Wald statistic </w:t>
      </w:r>
      <m:oMath>
        <m:sSub>
          <m:sSubPr>
            <m:ctrlPr>
              <w:rPr>
                <w:rFonts w:ascii="Cambria Math" w:hAnsi="Arial" w:cs="Arial"/>
                <w:i/>
                <w:sz w:val="20"/>
                <w:szCs w:val="20"/>
              </w:rPr>
            </m:ctrlPr>
          </m:sSubPr>
          <m:e>
            <m:r>
              <w:rPr>
                <w:rFonts w:ascii="Cambria Math" w:hAnsi="Cambria Math" w:cs="Arial"/>
                <w:sz w:val="20"/>
                <w:szCs w:val="20"/>
              </w:rPr>
              <m:t>W</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oMath>
      <w:r w:rsidRPr="00A30943">
        <w:rPr>
          <w:rStyle w:val="vlist-s"/>
          <w:rFonts w:ascii="Arial" w:hAnsi="Arial" w:cs="Arial"/>
          <w:sz w:val="20"/>
          <w:szCs w:val="20"/>
        </w:rPr>
        <w:t>​</w:t>
      </w:r>
      <w:r w:rsidRPr="00A30943">
        <w:rPr>
          <w:rFonts w:ascii="Arial" w:hAnsi="Arial" w:cs="Arial"/>
          <w:sz w:val="20"/>
          <w:szCs w:val="20"/>
        </w:rPr>
        <w:t xml:space="preserve"> for testing:</w:t>
      </w:r>
    </w:p>
    <w:p w:rsidR="00F30DF6" w:rsidRPr="00A30943" w:rsidRDefault="00FB352D" w:rsidP="00A30943">
      <w:pPr>
        <w:pStyle w:val="NormalWeb"/>
        <w:spacing w:before="0" w:beforeAutospacing="0" w:after="0" w:afterAutospacing="0"/>
        <w:jc w:val="both"/>
        <w:rPr>
          <w:rFonts w:ascii="Arial" w:hAnsi="Arial" w:cs="Arial"/>
          <w:sz w:val="20"/>
          <w:szCs w:val="20"/>
        </w:rPr>
      </w:pPr>
      <m:oMathPara>
        <m:oMath>
          <m:sSubSup>
            <m:sSubSupPr>
              <m:ctrlPr>
                <w:rPr>
                  <w:rFonts w:ascii="Cambria Math" w:hAnsi="Arial" w:cs="Arial"/>
                  <w:i/>
                  <w:sz w:val="20"/>
                  <w:szCs w:val="20"/>
                </w:rPr>
              </m:ctrlPr>
            </m:sSubSupPr>
            <m:e>
              <m:r>
                <w:rPr>
                  <w:rFonts w:ascii="Cambria Math" w:hAnsi="Cambria Math" w:cs="Arial"/>
                  <w:sz w:val="20"/>
                  <w:szCs w:val="20"/>
                </w:rPr>
                <m:t>H</m:t>
              </m:r>
            </m:e>
            <m:sub>
              <m:r>
                <w:rPr>
                  <w:rFonts w:ascii="Cambria Math" w:hAnsi="Arial" w:cs="Arial"/>
                  <w:sz w:val="20"/>
                  <w:szCs w:val="20"/>
                </w:rPr>
                <m:t>0</m:t>
              </m:r>
            </m:sub>
            <m:sup>
              <m:r>
                <w:rPr>
                  <w:rFonts w:ascii="Cambria Math" w:hAnsi="Cambria Math" w:cs="Arial"/>
                  <w:sz w:val="20"/>
                  <w:szCs w:val="20"/>
                </w:rPr>
                <m:t>i</m:t>
              </m:r>
            </m:sup>
          </m:sSubSup>
          <m:r>
            <w:rPr>
              <w:rFonts w:ascii="Cambria Math" w:hAnsi="Arial" w:cs="Arial"/>
              <w:sz w:val="20"/>
              <w:szCs w:val="20"/>
            </w:rPr>
            <m:t xml:space="preserve">: </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2</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3</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β</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p</m:t>
              </m:r>
            </m:sub>
          </m:sSub>
          <m:r>
            <w:rPr>
              <w:rFonts w:ascii="Cambria Math" w:hAnsi="Arial" w:cs="Arial"/>
              <w:sz w:val="20"/>
              <w:szCs w:val="20"/>
            </w:rPr>
            <m:t>=0</m:t>
          </m:r>
        </m:oMath>
      </m:oMathPara>
    </w:p>
    <w:p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Let </w:t>
      </w:r>
      <m:oMath>
        <m:sSub>
          <m:sSubPr>
            <m:ctrlPr>
              <w:rPr>
                <w:rFonts w:ascii="Cambria Math" w:hAnsi="Arial" w:cs="Arial"/>
                <w:i/>
                <w:sz w:val="20"/>
                <w:szCs w:val="20"/>
              </w:rPr>
            </m:ctrlPr>
          </m:sSubPr>
          <m:e>
            <m:r>
              <w:rPr>
                <w:rFonts w:ascii="Cambria Math" w:hAnsi="Cambria Math" w:cs="Arial"/>
                <w:sz w:val="20"/>
                <w:szCs w:val="20"/>
              </w:rPr>
              <m:t>W</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oMath>
      <w:r w:rsidRPr="00A30943">
        <w:rPr>
          <w:rFonts w:ascii="Arial" w:hAnsi="Arial" w:cs="Arial"/>
          <w:sz w:val="20"/>
          <w:szCs w:val="20"/>
        </w:rPr>
        <w:t xml:space="preserve"> be F-statistic (or Wald) with </w:t>
      </w:r>
      <m:oMath>
        <m:r>
          <w:rPr>
            <w:rFonts w:ascii="Cambria Math" w:hAnsi="Cambria Math" w:cs="Arial"/>
            <w:sz w:val="20"/>
            <w:szCs w:val="20"/>
          </w:rPr>
          <m:t>p</m:t>
        </m:r>
      </m:oMath>
      <w:r w:rsidRPr="00A30943">
        <w:rPr>
          <w:rFonts w:ascii="Arial" w:hAnsi="Arial" w:cs="Arial"/>
          <w:sz w:val="20"/>
          <w:szCs w:val="20"/>
        </w:rPr>
        <w:t xml:space="preserve"> restrictions, the average Wald statistic is computed as given in Equation (31):</w:t>
      </w:r>
    </w:p>
    <w:p w:rsidR="00F30DF6" w:rsidRPr="00A30943" w:rsidRDefault="00FB352D" w:rsidP="00A30943">
      <w:pPr>
        <w:pStyle w:val="NormalWeb"/>
        <w:spacing w:before="0" w:beforeAutospacing="0" w:after="0" w:afterAutospacing="0"/>
        <w:ind w:left="2880" w:firstLine="720"/>
        <w:jc w:val="both"/>
        <w:rPr>
          <w:rFonts w:ascii="Arial" w:hAnsi="Arial" w:cs="Arial"/>
          <w:sz w:val="20"/>
          <w:szCs w:val="20"/>
        </w:rPr>
      </w:pPr>
      <m:oMath>
        <m:sSub>
          <m:sSubPr>
            <m:ctrlPr>
              <w:rPr>
                <w:rFonts w:ascii="Cambria Math" w:hAnsi="Arial" w:cs="Arial"/>
                <w:i/>
                <w:sz w:val="20"/>
                <w:szCs w:val="20"/>
              </w:rPr>
            </m:ctrlPr>
          </m:sSubPr>
          <m:e>
            <m:acc>
              <m:accPr>
                <m:chr m:val="̅"/>
                <m:ctrlPr>
                  <w:rPr>
                    <w:rFonts w:ascii="Cambria Math" w:hAnsi="Arial" w:cs="Arial"/>
                    <w:i/>
                    <w:sz w:val="20"/>
                    <w:szCs w:val="20"/>
                  </w:rPr>
                </m:ctrlPr>
              </m:accPr>
              <m:e>
                <m:r>
                  <w:rPr>
                    <w:rFonts w:ascii="Cambria Math" w:hAnsi="Cambria Math" w:cs="Arial"/>
                    <w:sz w:val="20"/>
                    <w:szCs w:val="20"/>
                  </w:rPr>
                  <m:t>W</m:t>
                </m:r>
              </m:e>
            </m:acc>
          </m:e>
          <m:sub>
            <m:r>
              <w:rPr>
                <w:rFonts w:ascii="Cambria Math" w:hAnsi="Cambria Math" w:cs="Arial"/>
                <w:sz w:val="20"/>
                <w:szCs w:val="20"/>
              </w:rPr>
              <m:t>N</m:t>
            </m:r>
            <m:r>
              <w:rPr>
                <w:rFonts w:ascii="Cambria Math" w:hAnsi="Arial" w:cs="Arial"/>
                <w:sz w:val="20"/>
                <w:szCs w:val="20"/>
              </w:rPr>
              <m:t xml:space="preserve">, </m:t>
            </m:r>
            <m:r>
              <w:rPr>
                <w:rFonts w:ascii="Cambria Math" w:hAnsi="Cambria Math" w:cs="Arial"/>
                <w:sz w:val="20"/>
                <w:szCs w:val="20"/>
              </w:rPr>
              <m:t>T</m:t>
            </m:r>
          </m:sub>
        </m:sSub>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r>
              <w:rPr>
                <w:rFonts w:ascii="Cambria Math" w:hAnsi="Cambria Math" w:cs="Arial"/>
                <w:sz w:val="20"/>
                <w:szCs w:val="20"/>
              </w:rPr>
              <m:t>N</m:t>
            </m:r>
          </m:den>
        </m:f>
        <m:nary>
          <m:naryPr>
            <m:chr m:val="∑"/>
            <m:limLoc m:val="undOvr"/>
            <m:ctrlPr>
              <w:rPr>
                <w:rFonts w:ascii="Cambria Math" w:hAnsi="Arial" w:cs="Arial"/>
                <w:i/>
                <w:sz w:val="20"/>
                <w:szCs w:val="20"/>
              </w:rPr>
            </m:ctrlPr>
          </m:naryPr>
          <m:sub>
            <m:r>
              <w:rPr>
                <w:rFonts w:ascii="Cambria Math" w:hAnsi="Cambria Math" w:cs="Arial"/>
                <w:sz w:val="20"/>
                <w:szCs w:val="20"/>
              </w:rPr>
              <m:t>i</m:t>
            </m:r>
            <m:r>
              <w:rPr>
                <w:rFonts w:ascii="Cambria Math" w:hAnsi="Arial" w:cs="Arial"/>
                <w:sz w:val="20"/>
                <w:szCs w:val="20"/>
              </w:rPr>
              <m:t>=1</m:t>
            </m:r>
          </m:sub>
          <m:sup>
            <m:r>
              <w:rPr>
                <w:rFonts w:ascii="Cambria Math" w:hAnsi="Cambria Math" w:cs="Arial"/>
                <w:sz w:val="20"/>
                <w:szCs w:val="20"/>
              </w:rPr>
              <m:t>N</m:t>
            </m:r>
          </m:sup>
          <m:e>
            <m:sSub>
              <m:sSubPr>
                <m:ctrlPr>
                  <w:rPr>
                    <w:rFonts w:ascii="Cambria Math" w:hAnsi="Arial" w:cs="Arial"/>
                    <w:i/>
                    <w:sz w:val="20"/>
                    <w:szCs w:val="20"/>
                  </w:rPr>
                </m:ctrlPr>
              </m:sSubPr>
              <m:e>
                <m:r>
                  <w:rPr>
                    <w:rFonts w:ascii="Cambria Math" w:hAnsi="Cambria Math" w:cs="Arial"/>
                    <w:sz w:val="20"/>
                    <w:szCs w:val="20"/>
                  </w:rPr>
                  <m:t>W</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e>
        </m:nary>
      </m:oMath>
      <w:r w:rsidR="00F30DF6" w:rsidRPr="00A30943">
        <w:rPr>
          <w:rFonts w:ascii="Arial" w:hAnsi="Arial" w:cs="Arial"/>
          <w:sz w:val="20"/>
          <w:szCs w:val="20"/>
        </w:rPr>
        <w:tab/>
      </w:r>
      <w:r w:rsidR="00F30DF6" w:rsidRPr="00A30943">
        <w:rPr>
          <w:rFonts w:ascii="Arial" w:hAnsi="Arial" w:cs="Arial"/>
          <w:sz w:val="20"/>
          <w:szCs w:val="20"/>
        </w:rPr>
        <w:tab/>
        <w:t xml:space="preserve">                     (31)</w:t>
      </w:r>
    </w:p>
    <w:p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We compute the standardize the statistic called Z-bar statistic under the null hypothesis and assuming </w:t>
      </w:r>
      <m:oMath>
        <m:r>
          <w:rPr>
            <w:rFonts w:ascii="Cambria Math" w:hAnsi="Cambria Math" w:cs="Arial"/>
            <w:sz w:val="20"/>
            <w:szCs w:val="20"/>
          </w:rPr>
          <m:t>T</m:t>
        </m:r>
        <m:r>
          <w:rPr>
            <w:rFonts w:ascii="Cambria Math" w:hAnsi="Arial" w:cs="Arial"/>
            <w:sz w:val="20"/>
            <w:szCs w:val="20"/>
          </w:rPr>
          <m:t>→∞</m:t>
        </m:r>
        <m:r>
          <w:rPr>
            <w:rFonts w:ascii="Cambria Math" w:hAnsi="Arial" w:cs="Arial"/>
            <w:sz w:val="20"/>
            <w:szCs w:val="20"/>
          </w:rPr>
          <m:t>,</m:t>
        </m:r>
      </m:oMath>
      <w:r w:rsidRPr="00A30943">
        <w:rPr>
          <w:rFonts w:ascii="Arial" w:hAnsi="Arial" w:cs="Arial"/>
          <w:sz w:val="20"/>
          <w:szCs w:val="20"/>
        </w:rPr>
        <w:t>Dumitrescu and Hurlin (2012) showed that:</w:t>
      </w:r>
    </w:p>
    <w:p w:rsidR="00F30DF6" w:rsidRPr="00A30943" w:rsidRDefault="00FB352D" w:rsidP="00A30943">
      <w:pPr>
        <w:pStyle w:val="NormalWeb"/>
        <w:spacing w:before="0" w:beforeAutospacing="0" w:after="0" w:afterAutospacing="0"/>
        <w:ind w:left="288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Z</m:t>
            </m:r>
          </m:e>
          <m:sub>
            <m:r>
              <w:rPr>
                <w:rFonts w:ascii="Cambria Math" w:hAnsi="Cambria Math" w:cs="Arial"/>
                <w:sz w:val="20"/>
                <w:szCs w:val="20"/>
              </w:rPr>
              <m:t>N</m:t>
            </m:r>
            <m:r>
              <w:rPr>
                <w:rFonts w:ascii="Cambria Math" w:hAnsi="Arial" w:cs="Arial"/>
                <w:sz w:val="20"/>
                <w:szCs w:val="20"/>
              </w:rPr>
              <m:t xml:space="preserve">, </m:t>
            </m:r>
            <m:r>
              <w:rPr>
                <w:rFonts w:ascii="Cambria Math" w:hAnsi="Cambria Math" w:cs="Arial"/>
                <w:sz w:val="20"/>
                <w:szCs w:val="20"/>
              </w:rPr>
              <m:t>T</m:t>
            </m:r>
          </m:sub>
        </m:sSub>
        <m:r>
          <w:rPr>
            <w:rFonts w:ascii="Cambria Math" w:hAnsi="Arial" w:cs="Arial"/>
            <w:sz w:val="20"/>
            <w:szCs w:val="20"/>
          </w:rPr>
          <m:t>=</m:t>
        </m:r>
        <m:rad>
          <m:radPr>
            <m:degHide m:val="on"/>
            <m:ctrlPr>
              <w:rPr>
                <w:rFonts w:ascii="Cambria Math" w:hAnsi="Arial" w:cs="Arial"/>
                <w:i/>
                <w:sz w:val="20"/>
                <w:szCs w:val="20"/>
              </w:rPr>
            </m:ctrlPr>
          </m:radPr>
          <m:deg/>
          <m:e>
            <m:r>
              <w:rPr>
                <w:rFonts w:ascii="Cambria Math" w:hAnsi="Cambria Math" w:cs="Arial"/>
                <w:sz w:val="20"/>
                <w:szCs w:val="20"/>
              </w:rPr>
              <m:t>N</m:t>
            </m:r>
          </m:e>
        </m:rad>
        <m:d>
          <m:dPr>
            <m:ctrlPr>
              <w:rPr>
                <w:rFonts w:ascii="Cambria Math" w:hAnsi="Arial" w:cs="Arial"/>
                <w:i/>
                <w:sz w:val="20"/>
                <w:szCs w:val="20"/>
              </w:rPr>
            </m:ctrlPr>
          </m:dPr>
          <m:e>
            <m:f>
              <m:fPr>
                <m:ctrlPr>
                  <w:rPr>
                    <w:rFonts w:ascii="Cambria Math" w:hAnsi="Arial" w:cs="Arial"/>
                    <w:i/>
                    <w:sz w:val="20"/>
                    <w:szCs w:val="20"/>
                  </w:rPr>
                </m:ctrlPr>
              </m:fPr>
              <m:num>
                <m:sSub>
                  <m:sSubPr>
                    <m:ctrlPr>
                      <w:rPr>
                        <w:rFonts w:ascii="Cambria Math" w:hAnsi="Arial" w:cs="Arial"/>
                        <w:i/>
                        <w:sz w:val="20"/>
                        <w:szCs w:val="20"/>
                      </w:rPr>
                    </m:ctrlPr>
                  </m:sSubPr>
                  <m:e>
                    <m:acc>
                      <m:accPr>
                        <m:chr m:val="̅"/>
                        <m:ctrlPr>
                          <w:rPr>
                            <w:rFonts w:ascii="Cambria Math" w:hAnsi="Arial" w:cs="Arial"/>
                            <w:i/>
                            <w:sz w:val="20"/>
                            <w:szCs w:val="20"/>
                          </w:rPr>
                        </m:ctrlPr>
                      </m:accPr>
                      <m:e>
                        <m:r>
                          <w:rPr>
                            <w:rFonts w:ascii="Cambria Math" w:hAnsi="Cambria Math" w:cs="Arial"/>
                            <w:sz w:val="20"/>
                            <w:szCs w:val="20"/>
                          </w:rPr>
                          <m:t>W</m:t>
                        </m:r>
                      </m:e>
                    </m:acc>
                  </m:e>
                  <m:sub>
                    <m:r>
                      <w:rPr>
                        <w:rFonts w:ascii="Cambria Math" w:hAnsi="Cambria Math" w:cs="Arial"/>
                        <w:sz w:val="20"/>
                        <w:szCs w:val="20"/>
                      </w:rPr>
                      <m:t>N</m:t>
                    </m:r>
                    <m:r>
                      <w:rPr>
                        <w:rFonts w:ascii="Cambria Math" w:hAnsi="Arial" w:cs="Arial"/>
                        <w:sz w:val="20"/>
                        <w:szCs w:val="20"/>
                      </w:rPr>
                      <m:t xml:space="preserve">, </m:t>
                    </m:r>
                    <m:r>
                      <w:rPr>
                        <w:rFonts w:ascii="Cambria Math" w:hAnsi="Cambria Math" w:cs="Arial"/>
                        <w:sz w:val="20"/>
                        <w:szCs w:val="20"/>
                      </w:rPr>
                      <m:t>T</m:t>
                    </m:r>
                  </m:sub>
                </m:sSub>
                <m:r>
                  <w:rPr>
                    <w:rFonts w:ascii="Arial"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μ</m:t>
                    </m:r>
                  </m:e>
                  <m:sub>
                    <m:r>
                      <w:rPr>
                        <w:rFonts w:ascii="Cambria Math" w:hAnsi="Cambria Math" w:cs="Arial"/>
                        <w:sz w:val="20"/>
                        <w:szCs w:val="20"/>
                      </w:rPr>
                      <m:t>T</m:t>
                    </m:r>
                  </m:sub>
                </m:sSub>
              </m:num>
              <m:den>
                <m:sSub>
                  <m:sSubPr>
                    <m:ctrlPr>
                      <w:rPr>
                        <w:rFonts w:ascii="Cambria Math" w:hAnsi="Arial" w:cs="Arial"/>
                        <w:i/>
                        <w:sz w:val="20"/>
                        <w:szCs w:val="20"/>
                      </w:rPr>
                    </m:ctrlPr>
                  </m:sSubPr>
                  <m:e>
                    <m:r>
                      <w:rPr>
                        <w:rFonts w:ascii="Cambria Math" w:hAnsi="Cambria Math" w:cs="Arial"/>
                        <w:sz w:val="20"/>
                        <w:szCs w:val="20"/>
                      </w:rPr>
                      <m:t>σ</m:t>
                    </m:r>
                  </m:e>
                  <m:sub>
                    <m:r>
                      <w:rPr>
                        <w:rFonts w:ascii="Cambria Math" w:hAnsi="Cambria Math" w:cs="Arial"/>
                        <w:sz w:val="20"/>
                        <w:szCs w:val="20"/>
                      </w:rPr>
                      <m:t>T</m:t>
                    </m:r>
                  </m:sub>
                </m:sSub>
              </m:den>
            </m:f>
          </m:e>
        </m:d>
        <m:box>
          <m:boxPr>
            <m:opEmu m:val="on"/>
            <m:ctrlPr>
              <w:rPr>
                <w:rFonts w:ascii="Cambria Math" w:hAnsi="Arial" w:cs="Arial"/>
                <w:i/>
                <w:sz w:val="20"/>
                <w:szCs w:val="20"/>
              </w:rPr>
            </m:ctrlPr>
          </m:boxPr>
          <m:e>
            <m:groupChr>
              <m:groupChrPr>
                <m:chr m:val="→"/>
                <m:vertJc m:val="bot"/>
                <m:ctrlPr>
                  <w:rPr>
                    <w:rFonts w:ascii="Cambria Math" w:hAnsi="Arial" w:cs="Arial"/>
                    <w:i/>
                    <w:sz w:val="20"/>
                    <w:szCs w:val="20"/>
                  </w:rPr>
                </m:ctrlPr>
              </m:groupChrPr>
              <m:e>
                <m:r>
                  <w:rPr>
                    <w:rFonts w:ascii="Cambria Math" w:hAnsi="Cambria Math" w:cs="Arial"/>
                    <w:sz w:val="20"/>
                    <w:szCs w:val="20"/>
                  </w:rPr>
                  <m:t>d</m:t>
                </m:r>
              </m:e>
            </m:groupChr>
          </m:e>
        </m:box>
        <m:r>
          <w:rPr>
            <w:rFonts w:ascii="Cambria Math" w:hAnsi="Cambria Math" w:cs="Arial"/>
            <w:sz w:val="20"/>
            <w:szCs w:val="20"/>
          </w:rPr>
          <m:t>N</m:t>
        </m:r>
        <m:d>
          <m:dPr>
            <m:ctrlPr>
              <w:rPr>
                <w:rFonts w:ascii="Cambria Math" w:hAnsi="Arial" w:cs="Arial"/>
                <w:i/>
                <w:sz w:val="20"/>
                <w:szCs w:val="20"/>
              </w:rPr>
            </m:ctrlPr>
          </m:dPr>
          <m:e>
            <m:r>
              <w:rPr>
                <w:rFonts w:ascii="Cambria Math" w:hAnsi="Arial" w:cs="Arial"/>
                <w:sz w:val="20"/>
                <w:szCs w:val="20"/>
              </w:rPr>
              <m:t>0, 1</m:t>
            </m:r>
          </m:e>
        </m:d>
      </m:oMath>
      <w:r w:rsidR="00F30DF6" w:rsidRPr="00A30943">
        <w:rPr>
          <w:rFonts w:ascii="Arial" w:hAnsi="Arial" w:cs="Arial"/>
          <w:sz w:val="20"/>
          <w:szCs w:val="20"/>
        </w:rPr>
        <w:tab/>
      </w:r>
      <w:r w:rsidR="00F30DF6" w:rsidRPr="00A30943">
        <w:rPr>
          <w:rFonts w:ascii="Arial" w:hAnsi="Arial" w:cs="Arial"/>
          <w:sz w:val="20"/>
          <w:szCs w:val="20"/>
        </w:rPr>
        <w:tab/>
        <w:t>(32)</w:t>
      </w:r>
    </w:p>
    <w:p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μ</m:t>
            </m:r>
          </m:e>
          <m:sub>
            <m:r>
              <w:rPr>
                <w:rFonts w:ascii="Cambria Math" w:hAnsi="Cambria Math" w:cs="Arial"/>
                <w:sz w:val="20"/>
                <w:szCs w:val="20"/>
              </w:rPr>
              <m:t>T</m:t>
            </m:r>
          </m:sub>
        </m:sSub>
      </m:oMath>
      <w:r w:rsidRPr="00A30943">
        <w:rPr>
          <w:rStyle w:val="vlist-s"/>
          <w:rFonts w:ascii="Arial" w:hAnsi="Arial" w:cs="Arial"/>
          <w:sz w:val="20"/>
          <w:szCs w:val="20"/>
        </w:rPr>
        <w:t>​</w:t>
      </w:r>
      <w:r w:rsidRPr="00A30943">
        <w:rPr>
          <w:rFonts w:ascii="Arial" w:hAnsi="Arial" w:cs="Arial"/>
          <w:sz w:val="20"/>
          <w:szCs w:val="20"/>
        </w:rPr>
        <w:t xml:space="preserve"> and </w:t>
      </w:r>
      <m:oMath>
        <m:sSub>
          <m:sSubPr>
            <m:ctrlPr>
              <w:rPr>
                <w:rFonts w:ascii="Cambria Math" w:hAnsi="Arial" w:cs="Arial"/>
                <w:i/>
                <w:sz w:val="20"/>
                <w:szCs w:val="20"/>
              </w:rPr>
            </m:ctrlPr>
          </m:sSubPr>
          <m:e>
            <m:r>
              <w:rPr>
                <w:rFonts w:ascii="Cambria Math" w:hAnsi="Cambria Math" w:cs="Arial"/>
                <w:sz w:val="20"/>
                <w:szCs w:val="20"/>
              </w:rPr>
              <m:t>σ</m:t>
            </m:r>
          </m:e>
          <m:sub>
            <m:r>
              <w:rPr>
                <w:rFonts w:ascii="Cambria Math" w:hAnsi="Cambria Math" w:cs="Arial"/>
                <w:sz w:val="20"/>
                <w:szCs w:val="20"/>
              </w:rPr>
              <m:t>T</m:t>
            </m:r>
          </m:sub>
        </m:sSub>
      </m:oMath>
      <w:r w:rsidRPr="00A30943">
        <w:rPr>
          <w:rStyle w:val="vlist-s"/>
          <w:rFonts w:ascii="Arial" w:hAnsi="Arial" w:cs="Arial"/>
          <w:sz w:val="20"/>
          <w:szCs w:val="20"/>
        </w:rPr>
        <w:t>​</w:t>
      </w:r>
      <w:r w:rsidRPr="00A30943">
        <w:rPr>
          <w:rFonts w:ascii="Arial" w:hAnsi="Arial" w:cs="Arial"/>
          <w:sz w:val="20"/>
          <w:szCs w:val="20"/>
        </w:rPr>
        <w:t xml:space="preserve"> are the mean and standard deviation of the individual Wald statistics under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A30943">
        <w:rPr>
          <w:rFonts w:ascii="Arial" w:hAnsi="Arial" w:cs="Arial"/>
          <w:sz w:val="20"/>
          <w:szCs w:val="20"/>
        </w:rPr>
        <w:t xml:space="preserve">, given by Equation (33): </w:t>
      </w:r>
    </w:p>
    <w:p w:rsidR="00F30DF6" w:rsidRPr="00A30943" w:rsidRDefault="00FB352D" w:rsidP="00A30943">
      <w:pPr>
        <w:pStyle w:val="NormalWeb"/>
        <w:spacing w:before="0" w:beforeAutospacing="0" w:after="0" w:afterAutospacing="0"/>
        <w:ind w:left="1440" w:firstLine="720"/>
        <w:jc w:val="both"/>
        <w:rPr>
          <w:rStyle w:val="vlist-s"/>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μ</m:t>
            </m:r>
          </m:e>
          <m:sub>
            <m:r>
              <w:rPr>
                <w:rFonts w:ascii="Cambria Math" w:hAnsi="Cambria Math" w:cs="Arial"/>
                <w:sz w:val="20"/>
                <w:szCs w:val="20"/>
              </w:rPr>
              <m:t>T</m:t>
            </m:r>
          </m:sub>
        </m:sSub>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p</m:t>
            </m:r>
          </m:num>
          <m:den>
            <m:r>
              <w:rPr>
                <w:rFonts w:ascii="Cambria Math" w:hAnsi="Cambria Math" w:cs="Arial"/>
                <w:sz w:val="20"/>
                <w:szCs w:val="20"/>
              </w:rPr>
              <m:t>T</m:t>
            </m:r>
            <m:r>
              <w:rPr>
                <w:rFonts w:ascii="Arial" w:hAnsi="Arial" w:cs="Arial"/>
                <w:sz w:val="20"/>
                <w:szCs w:val="20"/>
              </w:rPr>
              <m:t>-</m:t>
            </m:r>
            <m:r>
              <w:rPr>
                <w:rFonts w:ascii="Cambria Math" w:hAnsi="Arial" w:cs="Arial"/>
                <w:sz w:val="20"/>
                <w:szCs w:val="20"/>
              </w:rPr>
              <m:t>2</m:t>
            </m:r>
            <m:r>
              <w:rPr>
                <w:rFonts w:ascii="Cambria Math" w:hAnsi="Cambria Math" w:cs="Arial"/>
                <w:sz w:val="20"/>
                <w:szCs w:val="20"/>
              </w:rPr>
              <m:t>p</m:t>
            </m:r>
            <m:r>
              <w:rPr>
                <w:rFonts w:ascii="Arial" w:hAnsi="Arial" w:cs="Arial"/>
                <w:sz w:val="20"/>
                <w:szCs w:val="20"/>
              </w:rPr>
              <m:t>-</m:t>
            </m:r>
            <m:r>
              <w:rPr>
                <w:rFonts w:ascii="Cambria Math" w:hAnsi="Arial" w:cs="Arial"/>
                <w:sz w:val="20"/>
                <w:szCs w:val="20"/>
              </w:rPr>
              <m:t>1</m:t>
            </m:r>
          </m:den>
        </m:f>
        <m:r>
          <m:rPr>
            <m:sty m:val="p"/>
          </m:rPr>
          <w:rPr>
            <w:rFonts w:ascii="Cambria Math" w:hAnsi="Arial" w:cs="Arial"/>
            <w:sz w:val="20"/>
            <w:szCs w:val="20"/>
          </w:rPr>
          <m:t>and</m:t>
        </m:r>
        <m:sSub>
          <m:sSubPr>
            <m:ctrlPr>
              <w:rPr>
                <w:rFonts w:ascii="Cambria Math" w:hAnsi="Arial" w:cs="Arial"/>
                <w:i/>
                <w:sz w:val="20"/>
                <w:szCs w:val="20"/>
              </w:rPr>
            </m:ctrlPr>
          </m:sSubPr>
          <m:e>
            <m:r>
              <w:rPr>
                <w:rFonts w:ascii="Cambria Math" w:hAnsi="Cambria Math" w:cs="Arial"/>
                <w:sz w:val="20"/>
                <w:szCs w:val="20"/>
              </w:rPr>
              <m:t>σ</m:t>
            </m:r>
          </m:e>
          <m:sub>
            <m:r>
              <w:rPr>
                <w:rFonts w:ascii="Cambria Math" w:hAnsi="Cambria Math" w:cs="Arial"/>
                <w:sz w:val="20"/>
                <w:szCs w:val="20"/>
              </w:rPr>
              <m:t>T</m:t>
            </m:r>
          </m:sub>
        </m:sSub>
        <m:r>
          <m:rPr>
            <m:sty m:val="p"/>
          </m:rPr>
          <w:rPr>
            <w:rStyle w:val="vlist-s"/>
            <w:rFonts w:ascii="Arial" w:hAnsi="Arial" w:cs="Arial"/>
            <w:sz w:val="20"/>
            <w:szCs w:val="20"/>
          </w:rPr>
          <m:t>​</m:t>
        </m:r>
        <m:r>
          <m:rPr>
            <m:sty m:val="p"/>
          </m:rPr>
          <w:rPr>
            <w:rStyle w:val="vlist-s"/>
            <w:rFonts w:ascii="Cambria Math" w:hAnsi="Arial" w:cs="Arial"/>
            <w:sz w:val="20"/>
            <w:szCs w:val="20"/>
          </w:rPr>
          <m:t>=</m:t>
        </m:r>
        <m:f>
          <m:fPr>
            <m:ctrlPr>
              <w:rPr>
                <w:rFonts w:ascii="Cambria Math" w:hAnsi="Arial" w:cs="Arial"/>
                <w:i/>
                <w:sz w:val="20"/>
                <w:szCs w:val="20"/>
              </w:rPr>
            </m:ctrlPr>
          </m:fPr>
          <m:num>
            <m:r>
              <w:rPr>
                <w:rStyle w:val="vlist-s"/>
                <w:rFonts w:ascii="Cambria Math" w:hAnsi="Arial" w:cs="Arial"/>
                <w:sz w:val="20"/>
                <w:szCs w:val="20"/>
              </w:rPr>
              <m:t>2</m:t>
            </m:r>
            <m:r>
              <w:rPr>
                <w:rStyle w:val="vlist-s"/>
                <w:rFonts w:ascii="Cambria Math" w:hAnsi="Cambria Math" w:cs="Arial"/>
                <w:sz w:val="20"/>
                <w:szCs w:val="20"/>
              </w:rPr>
              <m:t>p</m:t>
            </m:r>
            <m:d>
              <m:dPr>
                <m:ctrlPr>
                  <w:rPr>
                    <w:rFonts w:ascii="Cambria Math" w:hAnsi="Arial" w:cs="Arial"/>
                    <w:i/>
                    <w:sz w:val="20"/>
                    <w:szCs w:val="20"/>
                  </w:rPr>
                </m:ctrlPr>
              </m:dPr>
              <m:e>
                <m:r>
                  <w:rPr>
                    <w:rStyle w:val="vlist-s"/>
                    <w:rFonts w:ascii="Cambria Math" w:hAnsi="Cambria Math" w:cs="Arial"/>
                    <w:sz w:val="20"/>
                    <w:szCs w:val="20"/>
                  </w:rPr>
                  <m:t>T</m:t>
                </m:r>
                <m:r>
                  <w:rPr>
                    <w:rStyle w:val="vlist-s"/>
                    <w:rFonts w:ascii="Arial" w:hAnsi="Arial" w:cs="Arial"/>
                    <w:sz w:val="20"/>
                    <w:szCs w:val="20"/>
                  </w:rPr>
                  <m:t>-</m:t>
                </m:r>
                <m:r>
                  <w:rPr>
                    <w:rStyle w:val="vlist-s"/>
                    <w:rFonts w:ascii="Cambria Math" w:hAnsi="Arial" w:cs="Arial"/>
                    <w:sz w:val="20"/>
                    <w:szCs w:val="20"/>
                  </w:rPr>
                  <m:t>3</m:t>
                </m:r>
                <m:r>
                  <w:rPr>
                    <w:rStyle w:val="vlist-s"/>
                    <w:rFonts w:ascii="Cambria Math" w:hAnsi="Cambria Math" w:cs="Arial"/>
                    <w:sz w:val="20"/>
                    <w:szCs w:val="20"/>
                  </w:rPr>
                  <m:t>p</m:t>
                </m:r>
                <m:r>
                  <w:rPr>
                    <w:rStyle w:val="vlist-s"/>
                    <w:rFonts w:ascii="Arial" w:hAnsi="Arial" w:cs="Arial"/>
                    <w:sz w:val="20"/>
                    <w:szCs w:val="20"/>
                  </w:rPr>
                  <m:t>-</m:t>
                </m:r>
                <m:r>
                  <w:rPr>
                    <w:rStyle w:val="vlist-s"/>
                    <w:rFonts w:ascii="Cambria Math" w:hAnsi="Arial" w:cs="Arial"/>
                    <w:sz w:val="20"/>
                    <w:szCs w:val="20"/>
                  </w:rPr>
                  <m:t>1</m:t>
                </m:r>
              </m:e>
            </m:d>
          </m:num>
          <m:den>
            <m:sSup>
              <m:sSupPr>
                <m:ctrlPr>
                  <w:rPr>
                    <w:rFonts w:ascii="Cambria Math" w:hAnsi="Arial" w:cs="Arial"/>
                    <w:i/>
                    <w:sz w:val="20"/>
                    <w:szCs w:val="20"/>
                  </w:rPr>
                </m:ctrlPr>
              </m:sSupPr>
              <m:e>
                <m:d>
                  <m:dPr>
                    <m:ctrlPr>
                      <w:rPr>
                        <w:rFonts w:ascii="Cambria Math" w:hAnsi="Arial" w:cs="Arial"/>
                        <w:i/>
                        <w:sz w:val="20"/>
                        <w:szCs w:val="20"/>
                      </w:rPr>
                    </m:ctrlPr>
                  </m:dPr>
                  <m:e>
                    <m:r>
                      <w:rPr>
                        <w:rStyle w:val="vlist-s"/>
                        <w:rFonts w:ascii="Cambria Math" w:hAnsi="Cambria Math" w:cs="Arial"/>
                        <w:sz w:val="20"/>
                        <w:szCs w:val="20"/>
                      </w:rPr>
                      <m:t>T</m:t>
                    </m:r>
                    <m:r>
                      <w:rPr>
                        <w:rStyle w:val="vlist-s"/>
                        <w:rFonts w:ascii="Arial" w:hAnsi="Arial" w:cs="Arial"/>
                        <w:sz w:val="20"/>
                        <w:szCs w:val="20"/>
                      </w:rPr>
                      <m:t>-</m:t>
                    </m:r>
                    <m:r>
                      <w:rPr>
                        <w:rStyle w:val="vlist-s"/>
                        <w:rFonts w:ascii="Cambria Math" w:hAnsi="Arial" w:cs="Arial"/>
                        <w:sz w:val="20"/>
                        <w:szCs w:val="20"/>
                      </w:rPr>
                      <m:t>2</m:t>
                    </m:r>
                    <m:r>
                      <w:rPr>
                        <w:rStyle w:val="vlist-s"/>
                        <w:rFonts w:ascii="Cambria Math" w:hAnsi="Cambria Math" w:cs="Arial"/>
                        <w:sz w:val="20"/>
                        <w:szCs w:val="20"/>
                      </w:rPr>
                      <m:t>p</m:t>
                    </m:r>
                    <m:r>
                      <w:rPr>
                        <w:rStyle w:val="vlist-s"/>
                        <w:rFonts w:ascii="Arial" w:hAnsi="Arial" w:cs="Arial"/>
                        <w:sz w:val="20"/>
                        <w:szCs w:val="20"/>
                      </w:rPr>
                      <m:t>-</m:t>
                    </m:r>
                    <m:r>
                      <w:rPr>
                        <w:rStyle w:val="vlist-s"/>
                        <w:rFonts w:ascii="Cambria Math" w:hAnsi="Arial" w:cs="Arial"/>
                        <w:sz w:val="20"/>
                        <w:szCs w:val="20"/>
                      </w:rPr>
                      <m:t>1</m:t>
                    </m:r>
                  </m:e>
                </m:d>
              </m:e>
              <m:sup>
                <m:r>
                  <w:rPr>
                    <w:rStyle w:val="vlist-s"/>
                    <w:rFonts w:ascii="Cambria Math" w:hAnsi="Arial" w:cs="Arial"/>
                    <w:sz w:val="20"/>
                    <w:szCs w:val="20"/>
                  </w:rPr>
                  <m:t>2</m:t>
                </m:r>
              </m:sup>
            </m:sSup>
            <m:d>
              <m:dPr>
                <m:ctrlPr>
                  <w:rPr>
                    <w:rFonts w:ascii="Cambria Math" w:hAnsi="Arial" w:cs="Arial"/>
                    <w:i/>
                    <w:sz w:val="20"/>
                    <w:szCs w:val="20"/>
                  </w:rPr>
                </m:ctrlPr>
              </m:dPr>
              <m:e>
                <m:r>
                  <w:rPr>
                    <w:rStyle w:val="vlist-s"/>
                    <w:rFonts w:ascii="Cambria Math" w:hAnsi="Cambria Math" w:cs="Arial"/>
                    <w:sz w:val="20"/>
                    <w:szCs w:val="20"/>
                  </w:rPr>
                  <m:t>T</m:t>
                </m:r>
                <m:r>
                  <w:rPr>
                    <w:rStyle w:val="vlist-s"/>
                    <w:rFonts w:ascii="Arial" w:hAnsi="Arial" w:cs="Arial"/>
                    <w:sz w:val="20"/>
                    <w:szCs w:val="20"/>
                  </w:rPr>
                  <m:t>-</m:t>
                </m:r>
                <m:r>
                  <w:rPr>
                    <w:rStyle w:val="vlist-s"/>
                    <w:rFonts w:ascii="Cambria Math" w:hAnsi="Arial" w:cs="Arial"/>
                    <w:sz w:val="20"/>
                    <w:szCs w:val="20"/>
                  </w:rPr>
                  <m:t>2</m:t>
                </m:r>
                <m:r>
                  <w:rPr>
                    <w:rStyle w:val="vlist-s"/>
                    <w:rFonts w:ascii="Cambria Math" w:hAnsi="Cambria Math" w:cs="Arial"/>
                    <w:sz w:val="20"/>
                    <w:szCs w:val="20"/>
                  </w:rPr>
                  <m:t>p</m:t>
                </m:r>
                <m:r>
                  <w:rPr>
                    <w:rStyle w:val="vlist-s"/>
                    <w:rFonts w:ascii="Arial" w:hAnsi="Arial" w:cs="Arial"/>
                    <w:sz w:val="20"/>
                    <w:szCs w:val="20"/>
                  </w:rPr>
                  <m:t>-</m:t>
                </m:r>
                <m:r>
                  <w:rPr>
                    <w:rStyle w:val="vlist-s"/>
                    <w:rFonts w:ascii="Cambria Math" w:hAnsi="Arial" w:cs="Arial"/>
                    <w:sz w:val="20"/>
                    <w:szCs w:val="20"/>
                  </w:rPr>
                  <m:t>3</m:t>
                </m:r>
              </m:e>
            </m:d>
          </m:den>
        </m:f>
      </m:oMath>
      <w:r w:rsidR="00F30DF6" w:rsidRPr="00A30943">
        <w:rPr>
          <w:rStyle w:val="vlist-s"/>
          <w:rFonts w:ascii="Arial" w:hAnsi="Arial" w:cs="Arial"/>
          <w:sz w:val="20"/>
          <w:szCs w:val="20"/>
        </w:rPr>
        <w:tab/>
      </w:r>
      <w:r w:rsidR="00F30DF6" w:rsidRPr="00A30943">
        <w:rPr>
          <w:rStyle w:val="vlist-s"/>
          <w:rFonts w:ascii="Arial" w:hAnsi="Arial" w:cs="Arial"/>
          <w:sz w:val="20"/>
          <w:szCs w:val="20"/>
        </w:rPr>
        <w:tab/>
        <w:t xml:space="preserve">         (33)</w:t>
      </w:r>
    </w:p>
    <w:p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These are approximated analytically based on asymptotic distribution theory.</w:t>
      </w:r>
    </w:p>
    <w:p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If </w:t>
      </w:r>
      <m:oMath>
        <m:d>
          <m:dPr>
            <m:begChr m:val="|"/>
            <m:endChr m:val="|"/>
            <m:ctrlPr>
              <w:rPr>
                <w:rFonts w:ascii="Cambria Math" w:hAnsi="Arial" w:cs="Arial"/>
                <w:i/>
                <w:sz w:val="20"/>
                <w:szCs w:val="20"/>
              </w:rPr>
            </m:ctrlPr>
          </m:dPr>
          <m:e>
            <m:sSub>
              <m:sSubPr>
                <m:ctrlPr>
                  <w:rPr>
                    <w:rFonts w:ascii="Cambria Math" w:hAnsi="Arial" w:cs="Arial"/>
                    <w:i/>
                    <w:sz w:val="20"/>
                    <w:szCs w:val="20"/>
                  </w:rPr>
                </m:ctrlPr>
              </m:sSubPr>
              <m:e>
                <m:r>
                  <w:rPr>
                    <w:rFonts w:ascii="Cambria Math" w:hAnsi="Cambria Math" w:cs="Arial"/>
                    <w:sz w:val="20"/>
                    <w:szCs w:val="20"/>
                  </w:rPr>
                  <m:t>Z</m:t>
                </m:r>
              </m:e>
              <m:sub>
                <m:r>
                  <w:rPr>
                    <w:rFonts w:ascii="Cambria Math" w:hAnsi="Cambria Math" w:cs="Arial"/>
                    <w:sz w:val="20"/>
                    <w:szCs w:val="20"/>
                  </w:rPr>
                  <m:t>N</m:t>
                </m:r>
                <m:r>
                  <w:rPr>
                    <w:rFonts w:ascii="Cambria Math" w:hAnsi="Arial" w:cs="Arial"/>
                    <w:sz w:val="20"/>
                    <w:szCs w:val="20"/>
                  </w:rPr>
                  <m:t xml:space="preserve">, </m:t>
                </m:r>
                <m:r>
                  <w:rPr>
                    <w:rFonts w:ascii="Cambria Math" w:hAnsi="Cambria Math" w:cs="Arial"/>
                    <w:sz w:val="20"/>
                    <w:szCs w:val="20"/>
                  </w:rPr>
                  <m:t>T</m:t>
                </m:r>
              </m:sub>
            </m:sSub>
          </m:e>
        </m:d>
        <m:r>
          <w:rPr>
            <w:rFonts w:ascii="Cambria Math" w:hAnsi="Arial" w:cs="Arial"/>
            <w:sz w:val="20"/>
            <w:szCs w:val="20"/>
          </w:rPr>
          <m:t>&gt;</m:t>
        </m:r>
        <m:sSub>
          <m:sSubPr>
            <m:ctrlPr>
              <w:rPr>
                <w:rFonts w:ascii="Cambria Math" w:hAnsi="Arial" w:cs="Arial"/>
                <w:i/>
                <w:sz w:val="20"/>
                <w:szCs w:val="20"/>
              </w:rPr>
            </m:ctrlPr>
          </m:sSubPr>
          <m:e>
            <m:r>
              <w:rPr>
                <w:rFonts w:ascii="Cambria Math" w:hAnsi="Cambria Math" w:cs="Arial"/>
                <w:sz w:val="20"/>
                <w:szCs w:val="20"/>
              </w:rPr>
              <m:t>Z</m:t>
            </m:r>
          </m:e>
          <m:sub>
            <m:f>
              <m:fPr>
                <m:type m:val="lin"/>
                <m:ctrlPr>
                  <w:rPr>
                    <w:rFonts w:ascii="Cambria Math" w:hAnsi="Arial" w:cs="Arial"/>
                    <w:i/>
                    <w:sz w:val="20"/>
                    <w:szCs w:val="20"/>
                  </w:rPr>
                </m:ctrlPr>
              </m:fPr>
              <m:num>
                <m:r>
                  <w:rPr>
                    <w:rFonts w:ascii="Cambria Math" w:hAnsi="Cambria Math" w:cs="Arial"/>
                    <w:sz w:val="20"/>
                    <w:szCs w:val="20"/>
                  </w:rPr>
                  <m:t>α</m:t>
                </m:r>
              </m:num>
              <m:den>
                <m:r>
                  <w:rPr>
                    <w:rFonts w:ascii="Cambria Math" w:hAnsi="Arial" w:cs="Arial"/>
                    <w:sz w:val="20"/>
                    <w:szCs w:val="20"/>
                  </w:rPr>
                  <m:t>2</m:t>
                </m:r>
              </m:den>
            </m:f>
          </m:sub>
        </m:sSub>
        <m:r>
          <w:rPr>
            <w:rFonts w:ascii="Cambria Math" w:hAnsi="Arial" w:cs="Arial"/>
            <w:sz w:val="20"/>
            <w:szCs w:val="20"/>
          </w:rPr>
          <m:t>,</m:t>
        </m:r>
      </m:oMath>
      <w:r w:rsidRPr="00A30943">
        <w:rPr>
          <w:rFonts w:ascii="Arial" w:hAnsi="Arial" w:cs="Arial"/>
          <w:sz w:val="20"/>
          <w:szCs w:val="20"/>
        </w:rPr>
        <w:t xml:space="preserve"> we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A30943">
        <w:rPr>
          <w:rFonts w:ascii="Arial" w:hAnsi="Arial" w:cs="Arial"/>
          <w:sz w:val="20"/>
          <w:szCs w:val="20"/>
        </w:rPr>
        <w:t xml:space="preserve"> (there is Granger causality for at least some units.), otherwise, we fail to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r>
          <w:rPr>
            <w:rFonts w:ascii="Cambria Math" w:hAnsi="Arial" w:cs="Arial"/>
            <w:sz w:val="20"/>
            <w:szCs w:val="20"/>
          </w:rPr>
          <m:t>.</m:t>
        </m:r>
      </m:oMath>
    </w:p>
    <w:p w:rsidR="00F30DF6" w:rsidRPr="00A30943" w:rsidRDefault="00A30943" w:rsidP="00A30943">
      <w:pPr>
        <w:pStyle w:val="NormalWeb"/>
        <w:spacing w:before="0" w:beforeAutospacing="0" w:after="0" w:afterAutospacing="0"/>
        <w:jc w:val="both"/>
        <w:rPr>
          <w:rFonts w:ascii="Arial" w:hAnsi="Arial" w:cs="Arial"/>
          <w:b/>
          <w:sz w:val="20"/>
          <w:szCs w:val="20"/>
        </w:rPr>
      </w:pPr>
      <w:r w:rsidRPr="00A30943">
        <w:rPr>
          <w:rFonts w:ascii="Arial" w:hAnsi="Arial" w:cs="Arial"/>
          <w:b/>
          <w:sz w:val="20"/>
          <w:szCs w:val="20"/>
        </w:rPr>
        <w:lastRenderedPageBreak/>
        <w:t xml:space="preserve">2.8 </w:t>
      </w:r>
      <w:r w:rsidR="00F30DF6" w:rsidRPr="00A30943">
        <w:rPr>
          <w:rFonts w:ascii="Arial" w:hAnsi="Arial" w:cs="Arial"/>
          <w:b/>
          <w:sz w:val="20"/>
          <w:szCs w:val="20"/>
        </w:rPr>
        <w:t>Panel Pairwise Granger Causality Analysis</w:t>
      </w:r>
    </w:p>
    <w:p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Causality analysis in panel data examines whether past values of one variable help to predict current values of another while controlling for individual heterogeneity. Based on Granger’s concept of causality, the panel framework incorporates both cross-sectional and temporal dimensions (Granger, 1969). The aim is to test pairwise Granger causality among the panel variables for </w:t>
      </w:r>
      <m:oMath>
        <m:r>
          <w:rPr>
            <w:rFonts w:ascii="Cambria Math" w:hAnsi="Cambria Math" w:cs="Arial"/>
            <w:sz w:val="20"/>
            <w:szCs w:val="20"/>
          </w:rPr>
          <m:t>N</m:t>
        </m:r>
      </m:oMath>
      <w:r w:rsidRPr="00A30943">
        <w:rPr>
          <w:rFonts w:ascii="Arial" w:hAnsi="Arial" w:cs="Arial"/>
          <w:sz w:val="20"/>
          <w:szCs w:val="20"/>
        </w:rPr>
        <w:t xml:space="preserve"> cross-sectional units observed over </w:t>
      </w:r>
      <m:oMath>
        <m:r>
          <w:rPr>
            <w:rFonts w:ascii="Cambria Math" w:hAnsi="Cambria Math" w:cs="Arial"/>
            <w:sz w:val="20"/>
            <w:szCs w:val="20"/>
          </w:rPr>
          <m:t>T</m:t>
        </m:r>
      </m:oMath>
      <w:r w:rsidRPr="00A30943">
        <w:rPr>
          <w:rFonts w:ascii="Arial" w:hAnsi="Arial" w:cs="Arial"/>
          <w:sz w:val="20"/>
          <w:szCs w:val="20"/>
        </w:rPr>
        <w:t xml:space="preserve"> time periods.</w:t>
      </w:r>
    </w:p>
    <w:p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Let us assume balanced panel data and let </w:t>
      </w:r>
      <m:oMath>
        <m:r>
          <w:rPr>
            <w:rFonts w:ascii="Cambria Math" w:hAnsi="Cambria Math" w:cs="Arial"/>
            <w:sz w:val="20"/>
            <w:szCs w:val="20"/>
          </w:rPr>
          <m:t>i</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 xml:space="preserve">, </m:t>
        </m:r>
        <m:r>
          <w:rPr>
            <w:rFonts w:ascii="Cambria Math" w:hAnsi="Cambria Math" w:cs="Arial"/>
            <w:sz w:val="20"/>
            <w:szCs w:val="20"/>
          </w:rPr>
          <m:t>N</m:t>
        </m:r>
      </m:oMath>
      <w:r w:rsidRPr="00A30943">
        <w:rPr>
          <w:rFonts w:ascii="Arial" w:hAnsi="Arial" w:cs="Arial"/>
          <w:sz w:val="20"/>
          <w:szCs w:val="20"/>
        </w:rPr>
        <w:t>be cross-sectional units,</w:t>
      </w:r>
      <m:oMath>
        <m:r>
          <w:rPr>
            <w:rFonts w:ascii="Cambria Math" w:hAnsi="Cambria Math" w:cs="Arial"/>
            <w:sz w:val="20"/>
            <w:szCs w:val="20"/>
          </w:rPr>
          <m:t>t</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 xml:space="preserve">, </m:t>
        </m:r>
        <m:r>
          <w:rPr>
            <w:rFonts w:ascii="Cambria Math" w:hAnsi="Cambria Math" w:cs="Arial"/>
            <w:sz w:val="20"/>
            <w:szCs w:val="20"/>
          </w:rPr>
          <m:t>T</m:t>
        </m:r>
      </m:oMath>
      <w:r w:rsidRPr="00A30943">
        <w:rPr>
          <w:rFonts w:ascii="Arial" w:hAnsi="Arial" w:cs="Arial"/>
          <w:sz w:val="20"/>
          <w:szCs w:val="20"/>
        </w:rPr>
        <w:t xml:space="preserve"> be time periods,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k</m:t>
            </m:r>
            <m:r>
              <w:rPr>
                <w:rFonts w:ascii="Cambria Math" w:hAnsi="Arial" w:cs="Arial"/>
                <w:sz w:val="20"/>
                <w:szCs w:val="20"/>
              </w:rPr>
              <m:t xml:space="preserve">, </m:t>
            </m:r>
            <m:r>
              <w:rPr>
                <w:rFonts w:ascii="Cambria Math" w:hAnsi="Cambria Math" w:cs="Arial"/>
                <w:sz w:val="20"/>
                <w:szCs w:val="20"/>
              </w:rPr>
              <m:t>it</m:t>
            </m:r>
          </m:sub>
        </m:sSub>
      </m:oMath>
      <w:r w:rsidRPr="00A30943">
        <w:rPr>
          <w:rFonts w:ascii="Arial" w:hAnsi="Arial" w:cs="Arial"/>
          <w:sz w:val="20"/>
          <w:szCs w:val="20"/>
        </w:rPr>
        <w:t xml:space="preserve"> be the value of variable </w:t>
      </w:r>
      <m:oMath>
        <m:r>
          <w:rPr>
            <w:rStyle w:val="mord"/>
            <w:rFonts w:ascii="Cambria Math" w:hAnsi="Cambria Math" w:cs="Arial"/>
            <w:sz w:val="20"/>
            <w:szCs w:val="20"/>
          </w:rPr>
          <m:t>k</m:t>
        </m:r>
      </m:oMath>
      <w:r w:rsidRPr="00A30943">
        <w:rPr>
          <w:rFonts w:ascii="Arial" w:hAnsi="Arial" w:cs="Arial"/>
          <w:sz w:val="20"/>
          <w:szCs w:val="20"/>
        </w:rPr>
        <w:t xml:space="preserve"> for unit </w:t>
      </w:r>
      <m:oMath>
        <m:r>
          <w:rPr>
            <w:rStyle w:val="katex-mathml"/>
            <w:rFonts w:ascii="Cambria Math" w:hAnsi="Cambria Math" w:cs="Arial"/>
            <w:sz w:val="20"/>
            <w:szCs w:val="20"/>
          </w:rPr>
          <m:t>i</m:t>
        </m:r>
      </m:oMath>
      <w:r w:rsidRPr="00A30943">
        <w:rPr>
          <w:rFonts w:ascii="Arial" w:hAnsi="Arial" w:cs="Arial"/>
          <w:sz w:val="20"/>
          <w:szCs w:val="20"/>
        </w:rPr>
        <w:t xml:space="preserve"> at time </w:t>
      </w:r>
      <m:oMath>
        <m:r>
          <w:rPr>
            <w:rStyle w:val="katex-mathml"/>
            <w:rFonts w:ascii="Cambria Math" w:hAnsi="Cambria Math" w:cs="Arial"/>
            <w:sz w:val="20"/>
            <w:szCs w:val="20"/>
          </w:rPr>
          <m:t>t</m:t>
        </m:r>
      </m:oMath>
      <w:r w:rsidRPr="00A30943">
        <w:rPr>
          <w:rFonts w:ascii="Arial" w:hAnsi="Arial" w:cs="Arial"/>
          <w:sz w:val="20"/>
          <w:szCs w:val="20"/>
        </w:rPr>
        <w:t xml:space="preserve">, where </w:t>
      </w:r>
      <m:oMath>
        <m:r>
          <w:rPr>
            <w:rStyle w:val="katex-mathml"/>
            <w:rFonts w:ascii="Cambria Math" w:hAnsi="Cambria Math" w:cs="Arial"/>
            <w:sz w:val="20"/>
            <w:szCs w:val="20"/>
          </w:rPr>
          <m:t>k</m:t>
        </m:r>
        <m:r>
          <w:rPr>
            <w:rStyle w:val="katex-mathml"/>
            <w:rFonts w:ascii="Cambria Math" w:hAnsi="Arial" w:cs="Arial"/>
            <w:sz w:val="20"/>
            <w:szCs w:val="20"/>
          </w:rPr>
          <m:t>=1,2,</m:t>
        </m:r>
        <m:r>
          <w:rPr>
            <w:rStyle w:val="katex-mathml"/>
            <w:rFonts w:ascii="Cambria Math" w:hAnsi="Arial" w:cs="Arial"/>
            <w:sz w:val="20"/>
            <w:szCs w:val="20"/>
          </w:rPr>
          <m:t>…</m:t>
        </m:r>
        <m:r>
          <w:rPr>
            <w:rStyle w:val="katex-mathml"/>
            <w:rFonts w:ascii="Cambria Math" w:hAnsi="Arial" w:cs="Arial"/>
            <w:sz w:val="20"/>
            <w:szCs w:val="20"/>
          </w:rPr>
          <m:t>,6</m:t>
        </m:r>
        <m:r>
          <w:rPr>
            <w:rFonts w:ascii="Cambria Math" w:hAnsi="Arial" w:cs="Arial"/>
            <w:sz w:val="20"/>
            <w:szCs w:val="20"/>
          </w:rPr>
          <m:t>.</m:t>
        </m:r>
      </m:oMath>
    </w:p>
    <w:p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Let </w:t>
      </w:r>
      <m:oMath>
        <m:r>
          <w:rPr>
            <w:rStyle w:val="katex-mathml"/>
            <w:rFonts w:ascii="Cambria Math" w:hAnsi="Cambria Math" w:cs="Arial"/>
            <w:sz w:val="20"/>
            <w:szCs w:val="20"/>
          </w:rPr>
          <m:t>p</m:t>
        </m:r>
      </m:oMath>
      <w:r w:rsidRPr="00A30943">
        <w:rPr>
          <w:rFonts w:ascii="Arial" w:hAnsi="Arial" w:cs="Arial"/>
          <w:sz w:val="20"/>
          <w:szCs w:val="20"/>
        </w:rPr>
        <w:t xml:space="preserve"> be the number of lags (same for all variables for simplicity). The Panel VAR(p) in levels for each variable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k</m:t>
            </m:r>
            <m:r>
              <w:rPr>
                <w:rFonts w:ascii="Cambria Math" w:hAnsi="Arial" w:cs="Arial"/>
                <w:sz w:val="20"/>
                <w:szCs w:val="20"/>
              </w:rPr>
              <m:t xml:space="preserve">, </m:t>
            </m:r>
            <m:r>
              <w:rPr>
                <w:rFonts w:ascii="Cambria Math" w:hAnsi="Cambria Math" w:cs="Arial"/>
                <w:sz w:val="20"/>
                <w:szCs w:val="20"/>
              </w:rPr>
              <m:t>it</m:t>
            </m:r>
          </m:sub>
        </m:sSub>
      </m:oMath>
      <w:r w:rsidRPr="00A30943">
        <w:rPr>
          <w:rFonts w:ascii="Arial" w:hAnsi="Arial" w:cs="Arial"/>
          <w:sz w:val="20"/>
          <w:szCs w:val="20"/>
        </w:rPr>
        <w:t xml:space="preserve"> is given by Equation (34):</w:t>
      </w:r>
    </w:p>
    <w:p w:rsidR="00F30DF6" w:rsidRPr="00A30943" w:rsidRDefault="00FB352D" w:rsidP="00A30943">
      <w:pPr>
        <w:pStyle w:val="NormalWeb"/>
        <w:spacing w:before="0" w:beforeAutospacing="0" w:after="0" w:afterAutospacing="0"/>
        <w:ind w:left="1440" w:firstLine="72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k</m:t>
            </m:r>
            <m:r>
              <w:rPr>
                <w:rFonts w:ascii="Cambria Math" w:hAnsi="Arial" w:cs="Arial"/>
                <w:sz w:val="20"/>
                <w:szCs w:val="20"/>
              </w:rPr>
              <m:t xml:space="preserve">, </m:t>
            </m:r>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k</m:t>
            </m:r>
            <m:r>
              <w:rPr>
                <w:rFonts w:ascii="Cambria Math" w:hAnsi="Arial" w:cs="Arial"/>
                <w:sz w:val="20"/>
                <w:szCs w:val="20"/>
              </w:rPr>
              <m:t xml:space="preserve">, </m:t>
            </m:r>
            <m:r>
              <w:rPr>
                <w:rFonts w:ascii="Cambria Math" w:hAnsi="Cambria Math" w:cs="Arial"/>
                <w:sz w:val="20"/>
                <w:szCs w:val="20"/>
              </w:rPr>
              <m:t>i</m:t>
            </m:r>
          </m:sub>
        </m:sSub>
        <m:r>
          <w:rPr>
            <w:rFonts w:ascii="Cambria Math" w:hAnsi="Arial" w:cs="Arial"/>
            <w:sz w:val="20"/>
            <w:szCs w:val="20"/>
          </w:rPr>
          <m:t>+</m:t>
        </m:r>
        <m:nary>
          <m:naryPr>
            <m:chr m:val="∑"/>
            <m:limLoc m:val="undOvr"/>
            <m:ctrlPr>
              <w:rPr>
                <w:rFonts w:ascii="Cambria Math" w:hAnsi="Arial" w:cs="Arial"/>
                <w:i/>
                <w:sz w:val="20"/>
                <w:szCs w:val="20"/>
              </w:rPr>
            </m:ctrlPr>
          </m:naryPr>
          <m:sub>
            <m:r>
              <w:rPr>
                <w:rFonts w:ascii="Cambria Math" w:hAnsi="Cambria Math" w:cs="Arial"/>
                <w:sz w:val="20"/>
                <w:szCs w:val="20"/>
              </w:rPr>
              <m:t>j</m:t>
            </m:r>
            <m:r>
              <w:rPr>
                <w:rFonts w:ascii="Cambria Math" w:hAnsi="Arial" w:cs="Arial"/>
                <w:sz w:val="20"/>
                <w:szCs w:val="20"/>
              </w:rPr>
              <m:t>=1</m:t>
            </m:r>
          </m:sub>
          <m:sup>
            <m:r>
              <w:rPr>
                <w:rFonts w:ascii="Cambria Math" w:hAnsi="Cambria Math" w:cs="Arial"/>
                <w:sz w:val="20"/>
                <w:szCs w:val="20"/>
              </w:rPr>
              <m:t>p</m:t>
            </m:r>
          </m:sup>
          <m:e>
            <m:nary>
              <m:naryPr>
                <m:chr m:val="∑"/>
                <m:limLoc m:val="undOvr"/>
                <m:ctrlPr>
                  <w:rPr>
                    <w:rFonts w:ascii="Cambria Math" w:hAnsi="Arial" w:cs="Arial"/>
                    <w:i/>
                    <w:sz w:val="20"/>
                    <w:szCs w:val="20"/>
                  </w:rPr>
                </m:ctrlPr>
              </m:naryPr>
              <m:sub>
                <m:r>
                  <m:rPr>
                    <m:scr m:val="script"/>
                  </m:rPr>
                  <w:rPr>
                    <w:rFonts w:ascii="Cambria Math" w:hAnsi="Arial" w:cs="Arial"/>
                    <w:sz w:val="20"/>
                    <w:szCs w:val="20"/>
                  </w:rPr>
                  <m:t>l</m:t>
                </m:r>
                <m:r>
                  <w:rPr>
                    <w:rFonts w:ascii="Cambria Math" w:hAnsi="Arial" w:cs="Arial"/>
                    <w:sz w:val="20"/>
                    <w:szCs w:val="20"/>
                  </w:rPr>
                  <m:t>=1</m:t>
                </m:r>
              </m:sub>
              <m:sup>
                <m:r>
                  <w:rPr>
                    <w:rFonts w:ascii="Cambria Math" w:hAnsi="Arial" w:cs="Arial"/>
                    <w:sz w:val="20"/>
                    <w:szCs w:val="20"/>
                  </w:rPr>
                  <m:t>6</m:t>
                </m:r>
              </m:sup>
              <m:e>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Cambria Math" w:cs="Arial"/>
                        <w:sz w:val="20"/>
                        <w:szCs w:val="20"/>
                      </w:rPr>
                      <m:t>k</m:t>
                    </m:r>
                    <m:r>
                      <m:rPr>
                        <m:scr m:val="script"/>
                      </m:rPr>
                      <w:rPr>
                        <w:rFonts w:ascii="Cambria Math" w:hAnsi="Arial" w:cs="Arial"/>
                        <w:sz w:val="20"/>
                        <w:szCs w:val="20"/>
                      </w:rPr>
                      <m:t>l</m:t>
                    </m:r>
                  </m:sub>
                  <m:sup>
                    <m:d>
                      <m:dPr>
                        <m:ctrlPr>
                          <w:rPr>
                            <w:rFonts w:ascii="Cambria Math" w:hAnsi="Arial" w:cs="Arial"/>
                            <w:i/>
                            <w:sz w:val="20"/>
                            <w:szCs w:val="20"/>
                          </w:rPr>
                        </m:ctrlPr>
                      </m:dPr>
                      <m:e>
                        <m:r>
                          <w:rPr>
                            <w:rFonts w:ascii="Cambria Math" w:hAnsi="Cambria Math" w:cs="Arial"/>
                            <w:sz w:val="20"/>
                            <w:szCs w:val="20"/>
                          </w:rPr>
                          <m:t>j</m:t>
                        </m:r>
                      </m:e>
                    </m:d>
                  </m:sup>
                </m:sSubSup>
                <m:sSub>
                  <m:sSubPr>
                    <m:ctrlPr>
                      <w:rPr>
                        <w:rFonts w:ascii="Cambria Math" w:hAnsi="Arial" w:cs="Arial"/>
                        <w:i/>
                        <w:sz w:val="20"/>
                        <w:szCs w:val="20"/>
                      </w:rPr>
                    </m:ctrlPr>
                  </m:sSubPr>
                  <m:e>
                    <m:r>
                      <w:rPr>
                        <w:rFonts w:ascii="Cambria Math" w:hAnsi="Cambria Math" w:cs="Arial"/>
                        <w:sz w:val="20"/>
                        <w:szCs w:val="20"/>
                      </w:rPr>
                      <m:t>x</m:t>
                    </m:r>
                  </m:e>
                  <m:sub>
                    <m:r>
                      <m:rPr>
                        <m:scr m:val="script"/>
                      </m:rPr>
                      <w:rPr>
                        <w:rFonts w:ascii="Cambria Math" w:hAnsi="Arial" w:cs="Arial"/>
                        <w:sz w:val="20"/>
                        <w:szCs w:val="20"/>
                      </w:rPr>
                      <m:t>l</m:t>
                    </m:r>
                    <m:r>
                      <w:rPr>
                        <w:rFonts w:ascii="Cambria Math" w:hAnsi="Arial" w:cs="Arial"/>
                        <w:sz w:val="20"/>
                        <w:szCs w:val="20"/>
                      </w:rPr>
                      <m:t xml:space="preserve">,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Cambria Math" w:cs="Arial"/>
                        <w:sz w:val="20"/>
                        <w:szCs w:val="20"/>
                      </w:rPr>
                      <m:t>j</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k</m:t>
                    </m:r>
                    <m:r>
                      <w:rPr>
                        <w:rFonts w:ascii="Cambria Math" w:hAnsi="Arial" w:cs="Arial"/>
                        <w:sz w:val="20"/>
                        <w:szCs w:val="20"/>
                      </w:rPr>
                      <m:t xml:space="preserve">, </m:t>
                    </m:r>
                    <m:r>
                      <w:rPr>
                        <w:rFonts w:ascii="Cambria Math" w:hAnsi="Cambria Math" w:cs="Arial"/>
                        <w:sz w:val="20"/>
                        <w:szCs w:val="20"/>
                      </w:rPr>
                      <m:t>it</m:t>
                    </m:r>
                  </m:sub>
                </m:sSub>
              </m:e>
            </m:nary>
          </m:e>
        </m:nary>
      </m:oMath>
      <w:r w:rsidR="00F30DF6" w:rsidRPr="00A30943">
        <w:rPr>
          <w:rFonts w:ascii="Arial" w:hAnsi="Arial" w:cs="Arial"/>
          <w:sz w:val="20"/>
          <w:szCs w:val="20"/>
        </w:rPr>
        <w:tab/>
      </w:r>
      <w:r w:rsidR="00F30DF6" w:rsidRPr="00A30943">
        <w:rPr>
          <w:rFonts w:ascii="Arial" w:hAnsi="Arial" w:cs="Arial"/>
          <w:sz w:val="20"/>
          <w:szCs w:val="20"/>
        </w:rPr>
        <w:tab/>
        <w:t xml:space="preserve">         (34)</w:t>
      </w:r>
    </w:p>
    <w:p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where </w:t>
      </w:r>
      <m:oMath>
        <m:sSub>
          <m:sSubPr>
            <m:ctrlPr>
              <w:rPr>
                <w:rFonts w:ascii="Cambria Math" w:hAnsi="Arial" w:cs="Arial"/>
                <w:i/>
                <w:sz w:val="20"/>
                <w:szCs w:val="20"/>
              </w:rPr>
            </m:ctrlPr>
          </m:sSubPr>
          <m:e>
            <m:r>
              <w:rPr>
                <w:rFonts w:ascii="Cambria Math" w:hAnsi="Cambria Math" w:cs="Arial"/>
                <w:sz w:val="20"/>
                <w:szCs w:val="20"/>
              </w:rPr>
              <m:t>α</m:t>
            </m:r>
          </m:e>
          <m:sub>
            <m:r>
              <w:rPr>
                <w:rFonts w:ascii="Cambria Math" w:hAnsi="Cambria Math" w:cs="Arial"/>
                <w:sz w:val="20"/>
                <w:szCs w:val="20"/>
              </w:rPr>
              <m:t>k</m:t>
            </m:r>
            <m:r>
              <w:rPr>
                <w:rFonts w:ascii="Cambria Math" w:hAnsi="Arial" w:cs="Arial"/>
                <w:sz w:val="20"/>
                <w:szCs w:val="20"/>
              </w:rPr>
              <m:t xml:space="preserve">, </m:t>
            </m:r>
            <m:r>
              <w:rPr>
                <w:rFonts w:ascii="Cambria Math" w:hAnsi="Cambria Math" w:cs="Arial"/>
                <w:sz w:val="20"/>
                <w:szCs w:val="20"/>
              </w:rPr>
              <m:t>i</m:t>
            </m:r>
          </m:sub>
        </m:sSub>
      </m:oMath>
      <w:r w:rsidRPr="00A30943">
        <w:rPr>
          <w:rFonts w:ascii="Arial" w:hAnsi="Arial" w:cs="Arial"/>
          <w:sz w:val="20"/>
          <w:szCs w:val="20"/>
        </w:rPr>
        <w:t xml:space="preserve"> is fixed effect for variable </w:t>
      </w:r>
      <m:oMath>
        <m:r>
          <w:rPr>
            <w:rStyle w:val="katex-mathml"/>
            <w:rFonts w:ascii="Cambria Math" w:hAnsi="Cambria Math" w:cs="Arial"/>
            <w:sz w:val="20"/>
            <w:szCs w:val="20"/>
          </w:rPr>
          <m:t>k</m:t>
        </m:r>
      </m:oMath>
      <w:r w:rsidRPr="00A30943">
        <w:rPr>
          <w:rFonts w:ascii="Arial" w:hAnsi="Arial" w:cs="Arial"/>
          <w:sz w:val="20"/>
          <w:szCs w:val="20"/>
        </w:rPr>
        <w:t xml:space="preserve"> and unit </w:t>
      </w:r>
      <m:oMath>
        <m:r>
          <w:rPr>
            <w:rStyle w:val="katex-mathml"/>
            <w:rFonts w:ascii="Cambria Math" w:hAnsi="Cambria Math" w:cs="Arial"/>
            <w:sz w:val="20"/>
            <w:szCs w:val="20"/>
          </w:rPr>
          <m:t>i</m:t>
        </m:r>
      </m:oMath>
      <w:r w:rsidRPr="00A30943">
        <w:rPr>
          <w:rFonts w:ascii="Arial" w:hAnsi="Arial" w:cs="Arial"/>
          <w:sz w:val="20"/>
          <w:szCs w:val="20"/>
        </w:rPr>
        <w:t>,</w:t>
      </w:r>
      <m:oMath>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Cambria Math" w:cs="Arial"/>
                <w:sz w:val="20"/>
                <w:szCs w:val="20"/>
              </w:rPr>
              <m:t>k</m:t>
            </m:r>
            <m:r>
              <m:rPr>
                <m:scr m:val="script"/>
              </m:rPr>
              <w:rPr>
                <w:rFonts w:ascii="Cambria Math" w:hAnsi="Arial" w:cs="Arial"/>
                <w:sz w:val="20"/>
                <w:szCs w:val="20"/>
              </w:rPr>
              <m:t>l</m:t>
            </m:r>
          </m:sub>
          <m:sup>
            <m:r>
              <w:rPr>
                <w:rFonts w:ascii="Cambria Math" w:hAnsi="Arial" w:cs="Arial"/>
                <w:sz w:val="20"/>
                <w:szCs w:val="20"/>
              </w:rPr>
              <m:t>(</m:t>
            </m:r>
            <m:r>
              <w:rPr>
                <w:rFonts w:ascii="Cambria Math" w:hAnsi="Cambria Math" w:cs="Arial"/>
                <w:sz w:val="20"/>
                <w:szCs w:val="20"/>
              </w:rPr>
              <m:t>j</m:t>
            </m:r>
            <m:r>
              <w:rPr>
                <w:rFonts w:ascii="Cambria Math" w:hAnsi="Arial" w:cs="Arial"/>
                <w:sz w:val="20"/>
                <w:szCs w:val="20"/>
              </w:rPr>
              <m:t>)</m:t>
            </m:r>
          </m:sup>
        </m:sSubSup>
      </m:oMath>
      <w:r w:rsidRPr="00A30943">
        <w:rPr>
          <w:rFonts w:ascii="Arial" w:hAnsi="Arial" w:cs="Arial"/>
          <w:sz w:val="20"/>
          <w:szCs w:val="20"/>
        </w:rPr>
        <w:t xml:space="preserve"> is the coefficient of the </w:t>
      </w:r>
      <m:oMath>
        <m:r>
          <w:rPr>
            <w:rStyle w:val="mord"/>
            <w:rFonts w:ascii="Cambria Math" w:hAnsi="Cambria Math" w:cs="Arial"/>
            <w:sz w:val="20"/>
            <w:szCs w:val="20"/>
          </w:rPr>
          <m:t>j</m:t>
        </m:r>
      </m:oMath>
      <w:r w:rsidRPr="00A30943">
        <w:rPr>
          <w:rFonts w:ascii="Arial" w:hAnsi="Arial" w:cs="Arial"/>
          <w:sz w:val="20"/>
          <w:szCs w:val="20"/>
        </w:rPr>
        <w:t xml:space="preserve">-th lag of variable </w:t>
      </w:r>
      <w:r w:rsidRPr="00A30943">
        <w:rPr>
          <w:rStyle w:val="katex-mathml"/>
          <w:rFonts w:ascii="Cambria Math" w:hAnsi="Cambria Math" w:cs="Arial"/>
          <w:sz w:val="20"/>
          <w:szCs w:val="20"/>
        </w:rPr>
        <w:t>𝓁</w:t>
      </w:r>
      <w:r w:rsidRPr="00A30943">
        <w:rPr>
          <w:rFonts w:ascii="Arial" w:hAnsi="Arial" w:cs="Arial"/>
          <w:sz w:val="20"/>
          <w:szCs w:val="20"/>
        </w:rPr>
        <w:t xml:space="preserve"> in equation for variable </w:t>
      </w:r>
      <m:oMath>
        <m:r>
          <w:rPr>
            <w:rStyle w:val="mord"/>
            <w:rFonts w:ascii="Cambria Math" w:hAnsi="Cambria Math" w:cs="Arial"/>
            <w:sz w:val="20"/>
            <w:szCs w:val="20"/>
          </w:rPr>
          <m:t>k</m:t>
        </m:r>
      </m:oMath>
      <w:r w:rsidRPr="00A30943">
        <w:rPr>
          <w:rFonts w:ascii="Arial" w:hAnsi="Arial" w:cs="Arial"/>
          <w:sz w:val="20"/>
          <w:szCs w:val="20"/>
        </w:rPr>
        <w:t xml:space="preserve">, </w:t>
      </w:r>
      <m:oMath>
        <m:sSub>
          <m:sSubPr>
            <m:ctrlPr>
              <w:rPr>
                <w:rFonts w:ascii="Cambria Math" w:hAnsi="Arial" w:cs="Arial"/>
                <w:i/>
                <w:sz w:val="20"/>
                <w:szCs w:val="20"/>
              </w:rPr>
            </m:ctrlPr>
          </m:sSubPr>
          <m:e>
            <m:r>
              <w:rPr>
                <w:rFonts w:ascii="Cambria Math" w:hAnsi="Cambria Math" w:cs="Arial"/>
                <w:sz w:val="20"/>
                <w:szCs w:val="20"/>
              </w:rPr>
              <m:t>ε</m:t>
            </m:r>
          </m:e>
          <m:sub>
            <m:r>
              <w:rPr>
                <w:rFonts w:ascii="Cambria Math" w:hAnsi="Cambria Math" w:cs="Arial"/>
                <w:sz w:val="20"/>
                <w:szCs w:val="20"/>
              </w:rPr>
              <m:t>k</m:t>
            </m:r>
            <m:r>
              <w:rPr>
                <w:rFonts w:ascii="Cambria Math" w:hAnsi="Arial" w:cs="Arial"/>
                <w:sz w:val="20"/>
                <w:szCs w:val="20"/>
              </w:rPr>
              <m:t xml:space="preserve">, </m:t>
            </m:r>
            <m:r>
              <w:rPr>
                <w:rFonts w:ascii="Cambria Math" w:hAnsi="Cambria Math" w:cs="Arial"/>
                <w:sz w:val="20"/>
                <w:szCs w:val="20"/>
              </w:rPr>
              <m:t>it</m:t>
            </m:r>
          </m:sub>
        </m:sSub>
      </m:oMath>
      <w:r w:rsidRPr="00A30943">
        <w:rPr>
          <w:rFonts w:ascii="Arial" w:hAnsi="Arial" w:cs="Arial"/>
          <w:sz w:val="20"/>
          <w:szCs w:val="20"/>
        </w:rPr>
        <w:t xml:space="preserve"> is the error term for variable </w:t>
      </w:r>
      <m:oMath>
        <m:r>
          <w:rPr>
            <w:rStyle w:val="katex-mathml"/>
            <w:rFonts w:ascii="Cambria Math" w:hAnsi="Cambria Math" w:cs="Arial"/>
            <w:sz w:val="20"/>
            <w:szCs w:val="20"/>
          </w:rPr>
          <m:t>k</m:t>
        </m:r>
      </m:oMath>
      <w:r w:rsidRPr="00A30943">
        <w:rPr>
          <w:rFonts w:ascii="Arial" w:hAnsi="Arial" w:cs="Arial"/>
          <w:sz w:val="20"/>
          <w:szCs w:val="20"/>
        </w:rPr>
        <w:t>.</w:t>
      </w:r>
    </w:p>
    <w:p w:rsidR="00F30DF6" w:rsidRPr="00A30943" w:rsidRDefault="00F30DF6" w:rsidP="00A30943">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Let us now fully estimate each equation in the Panel Granger Causality framework, using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Sub>
      </m:oMath>
      <w:r w:rsidRPr="00A30943">
        <w:rPr>
          <w:rFonts w:ascii="Arial" w:hAnsi="Arial" w:cs="Arial"/>
          <w:sz w:val="20"/>
          <w:szCs w:val="20"/>
        </w:rPr>
        <w:t xml:space="preserve"> as dependent variable, </w:t>
      </w:r>
      <m:oMath>
        <m:sSubSup>
          <m:sSubSupPr>
            <m:ctrlPr>
              <w:rPr>
                <w:rFonts w:ascii="Cambria Math" w:hAnsi="Arial" w:cs="Arial"/>
                <w:i/>
                <w:sz w:val="20"/>
                <w:szCs w:val="20"/>
              </w:rPr>
            </m:ctrlPr>
          </m:sSubSupPr>
          <m:e>
            <m:r>
              <w:rPr>
                <w:rFonts w:ascii="Cambria Math" w:hAnsi="Cambria Math" w:cs="Arial"/>
                <w:sz w:val="20"/>
                <w:szCs w:val="20"/>
              </w:rPr>
              <m:t>x</m:t>
            </m:r>
          </m:e>
          <m:sub>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sub>
          <m:sup>
            <m:r>
              <w:rPr>
                <w:rFonts w:ascii="Cambria Math" w:hAnsi="Arial" w:cs="Arial"/>
                <w:sz w:val="20"/>
                <w:szCs w:val="20"/>
              </w:rPr>
              <m:t>(</m:t>
            </m:r>
            <m:r>
              <w:rPr>
                <w:rFonts w:ascii="Cambria Math" w:hAnsi="Cambria Math" w:cs="Arial"/>
                <w:sz w:val="20"/>
                <w:szCs w:val="20"/>
              </w:rPr>
              <m:t>j</m:t>
            </m:r>
            <m:r>
              <w:rPr>
                <w:rFonts w:ascii="Cambria Math" w:hAnsi="Arial" w:cs="Arial"/>
                <w:sz w:val="20"/>
                <w:szCs w:val="20"/>
              </w:rPr>
              <m:t>)</m:t>
            </m:r>
          </m:sup>
        </m:sSubSup>
        <m:r>
          <w:rPr>
            <w:rFonts w:ascii="Cambria Math" w:hAnsi="Arial" w:cs="Arial"/>
            <w:sz w:val="20"/>
            <w:szCs w:val="20"/>
          </w:rPr>
          <m:t xml:space="preserve">, </m:t>
        </m:r>
      </m:oMath>
      <w:r w:rsidRPr="00A30943">
        <w:rPr>
          <w:rFonts w:ascii="Arial" w:hAnsi="Arial" w:cs="Arial"/>
          <w:sz w:val="20"/>
          <w:szCs w:val="20"/>
        </w:rPr>
        <w:t xml:space="preserve">where </w:t>
      </w:r>
      <m:oMath>
        <m:r>
          <w:rPr>
            <w:rFonts w:ascii="Cambria Math" w:hAnsi="Cambria Math" w:cs="Arial"/>
            <w:sz w:val="20"/>
            <w:szCs w:val="20"/>
          </w:rPr>
          <m:t>i</m:t>
        </m:r>
        <m:r>
          <w:rPr>
            <w:rFonts w:ascii="Cambria Math" w:hAnsi="Arial" w:cs="Arial"/>
            <w:sz w:val="20"/>
            <w:szCs w:val="20"/>
          </w:rPr>
          <m:t xml:space="preserve">=1, 2, </m:t>
        </m:r>
        <m:r>
          <w:rPr>
            <w:rFonts w:ascii="Cambria Math" w:hAnsi="Arial" w:cs="Arial"/>
            <w:sz w:val="20"/>
            <w:szCs w:val="20"/>
          </w:rPr>
          <m:t>…</m:t>
        </m:r>
        <m:r>
          <w:rPr>
            <w:rFonts w:ascii="Cambria Math" w:hAnsi="Arial" w:cs="Arial"/>
            <w:sz w:val="20"/>
            <w:szCs w:val="20"/>
          </w:rPr>
          <m:t>, 6</m:t>
        </m:r>
      </m:oMath>
      <w:r w:rsidRPr="00A30943">
        <w:rPr>
          <w:rFonts w:ascii="Arial" w:hAnsi="Arial" w:cs="Arial"/>
          <w:sz w:val="20"/>
          <w:szCs w:val="20"/>
        </w:rPr>
        <w:t xml:space="preserve"> as independent variables. Below are the 6 separate equations of the system (assuming 1 lag for simplicity):</w:t>
      </w:r>
    </w:p>
    <w:p w:rsidR="00F30DF6" w:rsidRPr="00A30943" w:rsidRDefault="00FB352D"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Arial" w:cs="Arial"/>
                <w:sz w:val="20"/>
                <w:szCs w:val="20"/>
              </w:rPr>
              <m:t xml:space="preserve">1, </m:t>
            </m:r>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 xml:space="preserve">1, </m:t>
            </m:r>
            <m:r>
              <w:rPr>
                <w:rFonts w:ascii="Cambria Math" w:hAnsi="Cambria Math" w:cs="Arial"/>
                <w:sz w:val="20"/>
                <w:szCs w:val="20"/>
              </w:rPr>
              <m:t>i</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11</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1,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12</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2,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13</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3,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16</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6,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Arial" w:cs="Arial"/>
                <w:sz w:val="20"/>
                <w:szCs w:val="20"/>
              </w:rPr>
              <m:t xml:space="preserve">1, </m:t>
            </m:r>
            <m:r>
              <w:rPr>
                <w:rFonts w:ascii="Cambria Math" w:hAnsi="Cambria Math" w:cs="Arial"/>
                <w:sz w:val="20"/>
                <w:szCs w:val="20"/>
              </w:rPr>
              <m:t>it</m:t>
            </m:r>
          </m:sub>
        </m:sSub>
      </m:oMath>
      <w:r w:rsidR="00F30DF6" w:rsidRPr="00A30943">
        <w:rPr>
          <w:rFonts w:ascii="Arial" w:hAnsi="Arial" w:cs="Arial"/>
          <w:sz w:val="20"/>
          <w:szCs w:val="20"/>
        </w:rPr>
        <w:t>(35)</w:t>
      </w:r>
    </w:p>
    <w:p w:rsidR="00F30DF6" w:rsidRPr="00A30943" w:rsidRDefault="00FB352D"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Arial" w:cs="Arial"/>
                <w:sz w:val="20"/>
                <w:szCs w:val="20"/>
              </w:rPr>
              <m:t xml:space="preserve">2, </m:t>
            </m:r>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 xml:space="preserve">2, </m:t>
            </m:r>
            <m:r>
              <w:rPr>
                <w:rFonts w:ascii="Cambria Math" w:hAnsi="Cambria Math" w:cs="Arial"/>
                <w:sz w:val="20"/>
                <w:szCs w:val="20"/>
              </w:rPr>
              <m:t>i</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21</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1,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22</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2,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23</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3,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26</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6,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Arial" w:cs="Arial"/>
                <w:sz w:val="20"/>
                <w:szCs w:val="20"/>
              </w:rPr>
              <m:t xml:space="preserve">2, </m:t>
            </m:r>
            <m:r>
              <w:rPr>
                <w:rFonts w:ascii="Cambria Math" w:hAnsi="Cambria Math" w:cs="Arial"/>
                <w:sz w:val="20"/>
                <w:szCs w:val="20"/>
              </w:rPr>
              <m:t>it</m:t>
            </m:r>
          </m:sub>
        </m:sSub>
      </m:oMath>
      <w:r w:rsidR="00F30DF6" w:rsidRPr="00A30943">
        <w:rPr>
          <w:rFonts w:ascii="Arial" w:hAnsi="Arial" w:cs="Arial"/>
          <w:sz w:val="20"/>
          <w:szCs w:val="20"/>
        </w:rPr>
        <w:t>(36)</w:t>
      </w:r>
    </w:p>
    <w:p w:rsidR="00F30DF6" w:rsidRPr="00A30943" w:rsidRDefault="00FB352D"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Arial" w:cs="Arial"/>
                <w:sz w:val="20"/>
                <w:szCs w:val="20"/>
              </w:rPr>
              <m:t xml:space="preserve">3, </m:t>
            </m:r>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 xml:space="preserve">3, </m:t>
            </m:r>
            <m:r>
              <w:rPr>
                <w:rFonts w:ascii="Cambria Math" w:hAnsi="Cambria Math" w:cs="Arial"/>
                <w:sz w:val="20"/>
                <w:szCs w:val="20"/>
              </w:rPr>
              <m:t>i</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31</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1,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32</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2,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33</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3,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36</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6,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Arial" w:cs="Arial"/>
                <w:sz w:val="20"/>
                <w:szCs w:val="20"/>
              </w:rPr>
              <m:t xml:space="preserve">3, </m:t>
            </m:r>
            <m:r>
              <w:rPr>
                <w:rFonts w:ascii="Cambria Math" w:hAnsi="Cambria Math" w:cs="Arial"/>
                <w:sz w:val="20"/>
                <w:szCs w:val="20"/>
              </w:rPr>
              <m:t>it</m:t>
            </m:r>
          </m:sub>
        </m:sSub>
      </m:oMath>
      <w:r w:rsidR="00F30DF6" w:rsidRPr="00A30943">
        <w:rPr>
          <w:rFonts w:ascii="Arial" w:hAnsi="Arial" w:cs="Arial"/>
          <w:sz w:val="20"/>
          <w:szCs w:val="20"/>
        </w:rPr>
        <w:t>(37)</w:t>
      </w:r>
    </w:p>
    <w:p w:rsidR="00F30DF6" w:rsidRPr="00A30943" w:rsidRDefault="00FB352D"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Arial" w:cs="Arial"/>
                <w:sz w:val="20"/>
                <w:szCs w:val="20"/>
              </w:rPr>
              <m:t xml:space="preserve">4, </m:t>
            </m:r>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 xml:space="preserve">4, </m:t>
            </m:r>
            <m:r>
              <w:rPr>
                <w:rFonts w:ascii="Cambria Math" w:hAnsi="Cambria Math" w:cs="Arial"/>
                <w:sz w:val="20"/>
                <w:szCs w:val="20"/>
              </w:rPr>
              <m:t>i</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41</m:t>
            </m:r>
          </m:sub>
          <m:sup>
            <m:r>
              <w:rPr>
                <w:rFonts w:ascii="Cambria Math" w:hAnsi="Arial" w:cs="Arial"/>
                <w:sz w:val="20"/>
                <w:szCs w:val="20"/>
              </w:rPr>
              <m:t>(1)</m:t>
            </m:r>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1,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42</m:t>
            </m:r>
          </m:sub>
          <m:sup>
            <m:r>
              <w:rPr>
                <w:rFonts w:ascii="Cambria Math" w:hAnsi="Arial" w:cs="Arial"/>
                <w:sz w:val="20"/>
                <w:szCs w:val="20"/>
              </w:rPr>
              <m:t>(1)</m:t>
            </m:r>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2,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43</m:t>
            </m:r>
          </m:sub>
          <m:sup>
            <m:r>
              <w:rPr>
                <w:rFonts w:ascii="Cambria Math" w:hAnsi="Arial" w:cs="Arial"/>
                <w:sz w:val="20"/>
                <w:szCs w:val="20"/>
              </w:rPr>
              <m:t>(1)</m:t>
            </m:r>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3,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46</m:t>
            </m:r>
          </m:sub>
          <m:sup>
            <m:r>
              <w:rPr>
                <w:rFonts w:ascii="Cambria Math" w:hAnsi="Arial" w:cs="Arial"/>
                <w:sz w:val="20"/>
                <w:szCs w:val="20"/>
              </w:rPr>
              <m:t>(1)</m:t>
            </m:r>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6,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Arial" w:cs="Arial"/>
                <w:sz w:val="20"/>
                <w:szCs w:val="20"/>
              </w:rPr>
              <m:t xml:space="preserve">4, </m:t>
            </m:r>
            <m:r>
              <w:rPr>
                <w:rFonts w:ascii="Cambria Math" w:hAnsi="Cambria Math" w:cs="Arial"/>
                <w:sz w:val="20"/>
                <w:szCs w:val="20"/>
              </w:rPr>
              <m:t>it</m:t>
            </m:r>
          </m:sub>
        </m:sSub>
      </m:oMath>
      <w:r w:rsidR="00F30DF6" w:rsidRPr="00A30943">
        <w:rPr>
          <w:rFonts w:ascii="Arial" w:hAnsi="Arial" w:cs="Arial"/>
          <w:sz w:val="20"/>
          <w:szCs w:val="20"/>
        </w:rPr>
        <w:t>(38)</w:t>
      </w:r>
    </w:p>
    <w:p w:rsidR="00F30DF6" w:rsidRPr="00A30943" w:rsidRDefault="00FB352D"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Arial" w:cs="Arial"/>
                <w:sz w:val="20"/>
                <w:szCs w:val="20"/>
              </w:rPr>
              <m:t xml:space="preserve">5, </m:t>
            </m:r>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 xml:space="preserve">5, </m:t>
            </m:r>
            <m:r>
              <w:rPr>
                <w:rFonts w:ascii="Cambria Math" w:hAnsi="Cambria Math" w:cs="Arial"/>
                <w:sz w:val="20"/>
                <w:szCs w:val="20"/>
              </w:rPr>
              <m:t>i</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51</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1,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52</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2,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53</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3,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56</m:t>
            </m:r>
          </m:sub>
          <m:sup>
            <m:d>
              <m:dPr>
                <m:ctrlPr>
                  <w:rPr>
                    <w:rFonts w:ascii="Cambria Math" w:hAnsi="Arial" w:cs="Arial"/>
                    <w:i/>
                    <w:sz w:val="20"/>
                    <w:szCs w:val="20"/>
                  </w:rPr>
                </m:ctrlPr>
              </m:dPr>
              <m:e>
                <m:r>
                  <w:rPr>
                    <w:rFonts w:ascii="Cambria Math" w:hAnsi="Arial" w:cs="Arial"/>
                    <w:sz w:val="20"/>
                    <w:szCs w:val="20"/>
                  </w:rPr>
                  <m:t>1</m:t>
                </m:r>
              </m:e>
            </m:d>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6,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Arial" w:cs="Arial"/>
                <w:sz w:val="20"/>
                <w:szCs w:val="20"/>
              </w:rPr>
              <m:t xml:space="preserve">5, </m:t>
            </m:r>
            <m:r>
              <w:rPr>
                <w:rFonts w:ascii="Cambria Math" w:hAnsi="Cambria Math" w:cs="Arial"/>
                <w:sz w:val="20"/>
                <w:szCs w:val="20"/>
              </w:rPr>
              <m:t>it</m:t>
            </m:r>
          </m:sub>
        </m:sSub>
      </m:oMath>
      <w:r w:rsidR="00F30DF6" w:rsidRPr="00A30943">
        <w:rPr>
          <w:rFonts w:ascii="Arial" w:hAnsi="Arial" w:cs="Arial"/>
          <w:sz w:val="20"/>
          <w:szCs w:val="20"/>
        </w:rPr>
        <w:t>(39)</w:t>
      </w:r>
    </w:p>
    <w:p w:rsidR="00F30DF6" w:rsidRPr="00A30943" w:rsidRDefault="00FB352D"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Arial" w:cs="Arial"/>
                <w:sz w:val="20"/>
                <w:szCs w:val="20"/>
              </w:rPr>
              <m:t xml:space="preserve">6, </m:t>
            </m:r>
            <m:r>
              <w:rPr>
                <w:rFonts w:ascii="Cambria Math" w:hAnsi="Cambria Math" w:cs="Arial"/>
                <w:sz w:val="20"/>
                <w:szCs w:val="20"/>
              </w:rPr>
              <m:t>it</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α</m:t>
            </m:r>
          </m:e>
          <m:sub>
            <m:r>
              <w:rPr>
                <w:rFonts w:ascii="Cambria Math" w:hAnsi="Arial" w:cs="Arial"/>
                <w:sz w:val="20"/>
                <w:szCs w:val="20"/>
              </w:rPr>
              <m:t xml:space="preserve">6, </m:t>
            </m:r>
            <m:r>
              <w:rPr>
                <w:rFonts w:ascii="Cambria Math" w:hAnsi="Cambria Math" w:cs="Arial"/>
                <w:sz w:val="20"/>
                <w:szCs w:val="20"/>
              </w:rPr>
              <m:t>i</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61</m:t>
            </m:r>
          </m:sub>
          <m:sup>
            <m:r>
              <w:rPr>
                <w:rFonts w:ascii="Cambria Math" w:hAnsi="Arial" w:cs="Arial"/>
                <w:sz w:val="20"/>
                <w:szCs w:val="20"/>
              </w:rPr>
              <m:t>(1)</m:t>
            </m:r>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1,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62</m:t>
            </m:r>
          </m:sub>
          <m:sup>
            <m:r>
              <w:rPr>
                <w:rFonts w:ascii="Cambria Math" w:hAnsi="Arial" w:cs="Arial"/>
                <w:sz w:val="20"/>
                <w:szCs w:val="20"/>
              </w:rPr>
              <m:t>(1)</m:t>
            </m:r>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2,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63</m:t>
            </m:r>
          </m:sub>
          <m:sup>
            <m:r>
              <w:rPr>
                <w:rFonts w:ascii="Cambria Math" w:hAnsi="Arial" w:cs="Arial"/>
                <w:sz w:val="20"/>
                <w:szCs w:val="20"/>
              </w:rPr>
              <m:t>(1)</m:t>
            </m:r>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3,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w:rPr>
                <w:rFonts w:ascii="Cambria Math" w:hAnsi="Arial" w:cs="Arial"/>
                <w:sz w:val="20"/>
                <w:szCs w:val="20"/>
              </w:rPr>
              <m:t>66</m:t>
            </m:r>
          </m:sub>
          <m:sup>
            <m:r>
              <w:rPr>
                <w:rFonts w:ascii="Cambria Math" w:hAnsi="Arial" w:cs="Arial"/>
                <w:sz w:val="20"/>
                <w:szCs w:val="20"/>
              </w:rPr>
              <m:t>(1)</m:t>
            </m:r>
          </m:sup>
        </m:sSubSup>
        <m:sSub>
          <m:sSubPr>
            <m:ctrlPr>
              <w:rPr>
                <w:rFonts w:ascii="Cambria Math" w:hAnsi="Arial" w:cs="Arial"/>
                <w:i/>
                <w:sz w:val="20"/>
                <w:szCs w:val="20"/>
              </w:rPr>
            </m:ctrlPr>
          </m:sSubPr>
          <m:e>
            <m:r>
              <w:rPr>
                <w:rFonts w:ascii="Cambria Math" w:hAnsi="Cambria Math" w:cs="Arial"/>
                <w:sz w:val="20"/>
                <w:szCs w:val="20"/>
              </w:rPr>
              <m:t>x</m:t>
            </m:r>
          </m:e>
          <m:sub>
            <m:r>
              <w:rPr>
                <w:rFonts w:ascii="Cambria Math" w:hAnsi="Arial" w:cs="Arial"/>
                <w:sz w:val="20"/>
                <w:szCs w:val="20"/>
              </w:rPr>
              <m:t xml:space="preserve">6, </m:t>
            </m:r>
            <m:r>
              <w:rPr>
                <w:rFonts w:ascii="Cambria Math" w:hAnsi="Cambria Math" w:cs="Arial"/>
                <w:sz w:val="20"/>
                <w:szCs w:val="20"/>
              </w:rPr>
              <m:t>i</m:t>
            </m:r>
            <m:r>
              <w:rPr>
                <w:rFonts w:ascii="Cambria Math" w:hAnsi="Arial" w:cs="Arial"/>
                <w:sz w:val="20"/>
                <w:szCs w:val="20"/>
              </w:rPr>
              <m:t xml:space="preserve">, </m:t>
            </m:r>
            <m:r>
              <w:rPr>
                <w:rFonts w:ascii="Cambria Math" w:hAnsi="Cambria Math" w:cs="Arial"/>
                <w:sz w:val="20"/>
                <w:szCs w:val="20"/>
              </w:rPr>
              <m:t>t</m:t>
            </m:r>
            <m:r>
              <w:rPr>
                <w:rFonts w:ascii="Arial" w:hAnsi="Arial" w:cs="Arial"/>
                <w:sz w:val="20"/>
                <w:szCs w:val="20"/>
              </w:rPr>
              <m:t>-</m:t>
            </m:r>
            <m:r>
              <w:rPr>
                <w:rFonts w:ascii="Cambria Math" w:hAnsi="Arial" w:cs="Arial"/>
                <w:sz w:val="20"/>
                <w:szCs w:val="20"/>
              </w:rPr>
              <m:t>1</m:t>
            </m:r>
          </m:sub>
        </m:sSub>
        <m:r>
          <w:rPr>
            <w:rFonts w:ascii="Cambria Math" w:hAnsi="Arial" w:cs="Arial"/>
            <w:sz w:val="20"/>
            <w:szCs w:val="20"/>
          </w:rPr>
          <m:t>+</m:t>
        </m:r>
        <m:sSub>
          <m:sSubPr>
            <m:ctrlPr>
              <w:rPr>
                <w:rFonts w:ascii="Cambria Math" w:hAnsi="Arial" w:cs="Arial"/>
                <w:i/>
                <w:sz w:val="20"/>
                <w:szCs w:val="20"/>
              </w:rPr>
            </m:ctrlPr>
          </m:sSubPr>
          <m:e>
            <m:r>
              <w:rPr>
                <w:rFonts w:ascii="Cambria Math" w:hAnsi="Cambria Math" w:cs="Arial"/>
                <w:sz w:val="20"/>
                <w:szCs w:val="20"/>
              </w:rPr>
              <m:t>ε</m:t>
            </m:r>
          </m:e>
          <m:sub>
            <m:r>
              <w:rPr>
                <w:rFonts w:ascii="Cambria Math" w:hAnsi="Arial" w:cs="Arial"/>
                <w:sz w:val="20"/>
                <w:szCs w:val="20"/>
              </w:rPr>
              <m:t xml:space="preserve">6, </m:t>
            </m:r>
            <m:r>
              <w:rPr>
                <w:rFonts w:ascii="Cambria Math" w:hAnsi="Cambria Math" w:cs="Arial"/>
                <w:sz w:val="20"/>
                <w:szCs w:val="20"/>
              </w:rPr>
              <m:t>it</m:t>
            </m:r>
          </m:sub>
        </m:sSub>
      </m:oMath>
      <w:r w:rsidR="00F30DF6" w:rsidRPr="00A30943">
        <w:rPr>
          <w:rFonts w:ascii="Arial" w:hAnsi="Arial" w:cs="Arial"/>
          <w:sz w:val="20"/>
          <w:szCs w:val="20"/>
        </w:rPr>
        <w:t>(40)</w:t>
      </w:r>
    </w:p>
    <w:p w:rsidR="00F30DF6" w:rsidRPr="00A30943" w:rsidRDefault="00F30DF6" w:rsidP="00F30DF6">
      <w:pPr>
        <w:pStyle w:val="NormalWeb"/>
        <w:spacing w:before="0" w:beforeAutospacing="0" w:after="0" w:afterAutospacing="0"/>
        <w:jc w:val="both"/>
        <w:rPr>
          <w:rFonts w:ascii="Arial" w:hAnsi="Arial" w:cs="Arial"/>
          <w:sz w:val="20"/>
          <w:szCs w:val="20"/>
        </w:rPr>
      </w:pPr>
      <w:r w:rsidRPr="00A30943">
        <w:rPr>
          <w:rFonts w:ascii="Arial" w:hAnsi="Arial" w:cs="Arial"/>
          <w:sz w:val="20"/>
          <w:szCs w:val="20"/>
        </w:rPr>
        <w:t xml:space="preserve">To test whether variable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k</m:t>
            </m:r>
          </m:sub>
        </m:sSub>
      </m:oMath>
      <w:r w:rsidRPr="00A30943">
        <w:rPr>
          <w:rStyle w:val="vlist-s"/>
          <w:rFonts w:ascii="Arial" w:hAnsi="Arial" w:cs="Arial"/>
          <w:sz w:val="20"/>
          <w:szCs w:val="20"/>
        </w:rPr>
        <w:t>​</w:t>
      </w:r>
      <w:r w:rsidRPr="00A30943">
        <w:rPr>
          <w:rFonts w:ascii="Arial" w:hAnsi="Arial" w:cs="Arial"/>
          <w:sz w:val="20"/>
          <w:szCs w:val="20"/>
        </w:rPr>
        <w:t xml:space="preserve"> Granger-causes </w:t>
      </w:r>
      <m:oMath>
        <m:sSub>
          <m:sSubPr>
            <m:ctrlPr>
              <w:rPr>
                <w:rFonts w:ascii="Cambria Math" w:hAnsi="Arial" w:cs="Arial"/>
                <w:i/>
                <w:sz w:val="20"/>
                <w:szCs w:val="20"/>
              </w:rPr>
            </m:ctrlPr>
          </m:sSubPr>
          <m:e>
            <m:r>
              <w:rPr>
                <w:rFonts w:ascii="Cambria Math" w:hAnsi="Cambria Math" w:cs="Arial"/>
                <w:sz w:val="20"/>
                <w:szCs w:val="20"/>
              </w:rPr>
              <m:t>x</m:t>
            </m:r>
          </m:e>
          <m:sub>
            <m:r>
              <m:rPr>
                <m:scr m:val="script"/>
              </m:rPr>
              <w:rPr>
                <w:rFonts w:ascii="Cambria Math" w:hAnsi="Arial" w:cs="Arial"/>
                <w:sz w:val="20"/>
                <w:szCs w:val="20"/>
              </w:rPr>
              <m:t>l</m:t>
            </m:r>
          </m:sub>
        </m:sSub>
      </m:oMath>
      <w:r w:rsidRPr="00A30943">
        <w:rPr>
          <w:rFonts w:ascii="Arial" w:hAnsi="Arial" w:cs="Arial"/>
          <w:sz w:val="20"/>
          <w:szCs w:val="20"/>
        </w:rPr>
        <w:t>, the null hypothesis is:</w:t>
      </w:r>
    </w:p>
    <w:p w:rsidR="00F30DF6" w:rsidRPr="00A30943" w:rsidRDefault="00FB352D"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r>
          <w:rPr>
            <w:rFonts w:ascii="Cambria Math" w:hAnsi="Arial" w:cs="Arial"/>
            <w:sz w:val="20"/>
            <w:szCs w:val="20"/>
          </w:rPr>
          <m:t xml:space="preserve">: </m:t>
        </m:r>
        <m:sSubSup>
          <m:sSubSupPr>
            <m:ctrlPr>
              <w:rPr>
                <w:rFonts w:ascii="Cambria Math" w:hAnsi="Arial" w:cs="Arial"/>
                <w:i/>
                <w:sz w:val="20"/>
                <w:szCs w:val="20"/>
              </w:rPr>
            </m:ctrlPr>
          </m:sSubSupPr>
          <m:e>
            <m:r>
              <w:rPr>
                <w:rFonts w:ascii="Cambria Math" w:hAnsi="Cambria Math" w:cs="Arial"/>
                <w:sz w:val="20"/>
                <w:szCs w:val="20"/>
              </w:rPr>
              <m:t>β</m:t>
            </m:r>
          </m:e>
          <m:sub>
            <m:r>
              <m:rPr>
                <m:scr m:val="script"/>
              </m:rPr>
              <w:rPr>
                <w:rFonts w:ascii="Cambria Math" w:hAnsi="Arial" w:cs="Arial"/>
                <w:sz w:val="20"/>
                <w:szCs w:val="20"/>
              </w:rPr>
              <m:t>l</m:t>
            </m:r>
            <m:r>
              <w:rPr>
                <w:rFonts w:ascii="Cambria Math" w:hAnsi="Cambria Math" w:cs="Arial"/>
                <w:sz w:val="20"/>
                <w:szCs w:val="20"/>
              </w:rPr>
              <m:t>k</m:t>
            </m:r>
          </m:sub>
          <m:sup>
            <m:r>
              <w:rPr>
                <w:rFonts w:ascii="Cambria Math" w:hAnsi="Arial" w:cs="Arial"/>
                <w:sz w:val="20"/>
                <w:szCs w:val="20"/>
              </w:rPr>
              <m:t>(1)</m:t>
            </m:r>
          </m:sup>
        </m:sSubSup>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m:rPr>
                <m:scr m:val="script"/>
              </m:rPr>
              <w:rPr>
                <w:rFonts w:ascii="Cambria Math" w:hAnsi="Arial" w:cs="Arial"/>
                <w:sz w:val="20"/>
                <w:szCs w:val="20"/>
              </w:rPr>
              <m:t>l</m:t>
            </m:r>
            <m:r>
              <w:rPr>
                <w:rFonts w:ascii="Cambria Math" w:hAnsi="Cambria Math" w:cs="Arial"/>
                <w:sz w:val="20"/>
                <w:szCs w:val="20"/>
              </w:rPr>
              <m:t>k</m:t>
            </m:r>
          </m:sub>
          <m:sup>
            <m:r>
              <w:rPr>
                <w:rFonts w:ascii="Cambria Math" w:hAnsi="Arial" w:cs="Arial"/>
                <w:sz w:val="20"/>
                <w:szCs w:val="20"/>
              </w:rPr>
              <m:t>(2)</m:t>
            </m:r>
          </m:sup>
        </m:sSubSup>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m:rPr>
                <m:scr m:val="script"/>
              </m:rPr>
              <w:rPr>
                <w:rFonts w:ascii="Cambria Math" w:hAnsi="Arial" w:cs="Arial"/>
                <w:sz w:val="20"/>
                <w:szCs w:val="20"/>
              </w:rPr>
              <m:t>l</m:t>
            </m:r>
            <m:r>
              <w:rPr>
                <w:rFonts w:ascii="Cambria Math" w:hAnsi="Cambria Math" w:cs="Arial"/>
                <w:sz w:val="20"/>
                <w:szCs w:val="20"/>
              </w:rPr>
              <m:t>k</m:t>
            </m:r>
          </m:sub>
          <m:sup>
            <m:r>
              <w:rPr>
                <w:rFonts w:ascii="Cambria Math" w:hAnsi="Arial" w:cs="Arial"/>
                <w:sz w:val="20"/>
                <w:szCs w:val="20"/>
              </w:rPr>
              <m:t>(3)</m:t>
            </m:r>
          </m:sup>
        </m:sSubSup>
        <m:r>
          <w:rPr>
            <w:rFonts w:ascii="Cambria Math" w:hAnsi="Arial" w:cs="Arial"/>
            <w:sz w:val="20"/>
            <w:szCs w:val="20"/>
          </w:rPr>
          <m:t>=</m:t>
        </m:r>
        <m:r>
          <w:rPr>
            <w:rFonts w:ascii="Cambria Math" w:hAnsi="Arial" w:cs="Arial"/>
            <w:sz w:val="20"/>
            <w:szCs w:val="20"/>
          </w:rPr>
          <m:t>…</m:t>
        </m:r>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m:rPr>
                <m:scr m:val="script"/>
              </m:rPr>
              <w:rPr>
                <w:rFonts w:ascii="Cambria Math" w:hAnsi="Arial" w:cs="Arial"/>
                <w:sz w:val="20"/>
                <w:szCs w:val="20"/>
              </w:rPr>
              <m:t>l</m:t>
            </m:r>
            <m:r>
              <w:rPr>
                <w:rFonts w:ascii="Cambria Math" w:hAnsi="Cambria Math" w:cs="Arial"/>
                <w:sz w:val="20"/>
                <w:szCs w:val="20"/>
              </w:rPr>
              <m:t>k</m:t>
            </m:r>
          </m:sub>
          <m:sup>
            <m:r>
              <w:rPr>
                <w:rFonts w:ascii="Cambria Math" w:hAnsi="Arial" w:cs="Arial"/>
                <w:sz w:val="20"/>
                <w:szCs w:val="20"/>
              </w:rPr>
              <m:t>(</m:t>
            </m:r>
            <m:r>
              <w:rPr>
                <w:rFonts w:ascii="Cambria Math" w:hAnsi="Cambria Math" w:cs="Arial"/>
                <w:sz w:val="20"/>
                <w:szCs w:val="20"/>
              </w:rPr>
              <m:t>p</m:t>
            </m:r>
            <m:r>
              <w:rPr>
                <w:rFonts w:ascii="Cambria Math" w:hAnsi="Arial" w:cs="Arial"/>
                <w:sz w:val="20"/>
                <w:szCs w:val="20"/>
              </w:rPr>
              <m:t>)</m:t>
            </m:r>
          </m:sup>
        </m:sSubSup>
        <m:r>
          <w:rPr>
            <w:rFonts w:ascii="Cambria Math" w:hAnsi="Arial" w:cs="Arial"/>
            <w:sz w:val="20"/>
            <w:szCs w:val="20"/>
          </w:rPr>
          <m:t>=0</m:t>
        </m:r>
      </m:oMath>
      <w:r w:rsidR="00F30DF6" w:rsidRPr="00A30943">
        <w:rPr>
          <w:rFonts w:ascii="Arial" w:hAnsi="Arial" w:cs="Arial"/>
          <w:sz w:val="20"/>
          <w:szCs w:val="20"/>
        </w:rPr>
        <w:t xml:space="preserve"> (i.e., past values of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k</m:t>
            </m:r>
          </m:sub>
        </m:sSub>
      </m:oMath>
      <w:r w:rsidR="00F30DF6" w:rsidRPr="00A30943">
        <w:rPr>
          <w:rStyle w:val="vlist-s"/>
          <w:rFonts w:ascii="Arial" w:hAnsi="Arial" w:cs="Arial"/>
          <w:sz w:val="20"/>
          <w:szCs w:val="20"/>
        </w:rPr>
        <w:t>​</w:t>
      </w:r>
      <w:r w:rsidR="00F30DF6" w:rsidRPr="00A30943">
        <w:rPr>
          <w:rFonts w:ascii="Arial" w:hAnsi="Arial" w:cs="Arial"/>
          <w:sz w:val="20"/>
          <w:szCs w:val="20"/>
        </w:rPr>
        <w:t xml:space="preserve"> do not help predict </w:t>
      </w:r>
      <m:oMath>
        <m:sSub>
          <m:sSubPr>
            <m:ctrlPr>
              <w:rPr>
                <w:rFonts w:ascii="Cambria Math" w:hAnsi="Arial" w:cs="Arial"/>
                <w:i/>
                <w:sz w:val="20"/>
                <w:szCs w:val="20"/>
              </w:rPr>
            </m:ctrlPr>
          </m:sSubPr>
          <m:e>
            <m:r>
              <w:rPr>
                <w:rFonts w:ascii="Cambria Math" w:hAnsi="Cambria Math" w:cs="Arial"/>
                <w:sz w:val="20"/>
                <w:szCs w:val="20"/>
              </w:rPr>
              <m:t>x</m:t>
            </m:r>
          </m:e>
          <m:sub>
            <m:r>
              <m:rPr>
                <m:scr m:val="script"/>
              </m:rPr>
              <w:rPr>
                <w:rFonts w:ascii="Cambria Math" w:hAnsi="Arial" w:cs="Arial"/>
                <w:sz w:val="20"/>
                <w:szCs w:val="20"/>
              </w:rPr>
              <m:t>l</m:t>
            </m:r>
          </m:sub>
        </m:sSub>
      </m:oMath>
      <w:r w:rsidR="00F30DF6" w:rsidRPr="00A30943">
        <w:rPr>
          <w:rStyle w:val="vlist-s"/>
          <w:rFonts w:ascii="Arial" w:hAnsi="Arial" w:cs="Arial"/>
          <w:sz w:val="20"/>
          <w:szCs w:val="20"/>
        </w:rPr>
        <w:t>​</w:t>
      </w:r>
      <w:r w:rsidR="00F30DF6" w:rsidRPr="00A30943">
        <w:rPr>
          <w:rFonts w:ascii="Arial" w:hAnsi="Arial" w:cs="Arial"/>
          <w:sz w:val="20"/>
          <w:szCs w:val="20"/>
        </w:rPr>
        <w:t>.)</w:t>
      </w:r>
    </w:p>
    <w:p w:rsidR="00F30DF6" w:rsidRPr="00A30943" w:rsidRDefault="00FB352D" w:rsidP="00F30DF6">
      <w:pPr>
        <w:pStyle w:val="NormalWeb"/>
        <w:spacing w:before="0" w:beforeAutospacing="0" w:after="0" w:afterAutospacing="0"/>
        <w:jc w:val="both"/>
        <w:rPr>
          <w:rFonts w:ascii="Arial" w:hAnsi="Arial" w:cs="Arial"/>
          <w:sz w:val="20"/>
          <w:szCs w:val="20"/>
        </w:rPr>
      </w:pP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1</m:t>
            </m:r>
          </m:sub>
        </m:sSub>
        <m:r>
          <w:rPr>
            <w:rFonts w:ascii="Cambria Math" w:hAnsi="Arial" w:cs="Arial"/>
            <w:sz w:val="20"/>
            <w:szCs w:val="20"/>
          </w:rPr>
          <m:t xml:space="preserve">: </m:t>
        </m:r>
        <m:sSubSup>
          <m:sSubSupPr>
            <m:ctrlPr>
              <w:rPr>
                <w:rFonts w:ascii="Cambria Math" w:hAnsi="Arial" w:cs="Arial"/>
                <w:i/>
                <w:sz w:val="20"/>
                <w:szCs w:val="20"/>
              </w:rPr>
            </m:ctrlPr>
          </m:sSubSupPr>
          <m:e>
            <m:r>
              <w:rPr>
                <w:rFonts w:ascii="Cambria Math" w:hAnsi="Cambria Math" w:cs="Arial"/>
                <w:sz w:val="20"/>
                <w:szCs w:val="20"/>
              </w:rPr>
              <m:t>β</m:t>
            </m:r>
          </m:e>
          <m:sub>
            <m:r>
              <m:rPr>
                <m:scr m:val="script"/>
              </m:rPr>
              <w:rPr>
                <w:rFonts w:ascii="Cambria Math" w:hAnsi="Arial" w:cs="Arial"/>
                <w:sz w:val="20"/>
                <w:szCs w:val="20"/>
              </w:rPr>
              <m:t>l</m:t>
            </m:r>
            <m:r>
              <w:rPr>
                <w:rFonts w:ascii="Cambria Math" w:hAnsi="Cambria Math" w:cs="Arial"/>
                <w:sz w:val="20"/>
                <w:szCs w:val="20"/>
              </w:rPr>
              <m:t>k</m:t>
            </m:r>
          </m:sub>
          <m:sup>
            <m:r>
              <w:rPr>
                <w:rFonts w:ascii="Cambria Math" w:hAnsi="Arial" w:cs="Arial"/>
                <w:sz w:val="20"/>
                <w:szCs w:val="20"/>
              </w:rPr>
              <m:t>(1)</m:t>
            </m:r>
          </m:sup>
        </m:sSubSup>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m:rPr>
                <m:scr m:val="script"/>
              </m:rPr>
              <w:rPr>
                <w:rFonts w:ascii="Cambria Math" w:hAnsi="Arial" w:cs="Arial"/>
                <w:sz w:val="20"/>
                <w:szCs w:val="20"/>
              </w:rPr>
              <m:t>l</m:t>
            </m:r>
            <m:r>
              <w:rPr>
                <w:rFonts w:ascii="Cambria Math" w:hAnsi="Cambria Math" w:cs="Arial"/>
                <w:sz w:val="20"/>
                <w:szCs w:val="20"/>
              </w:rPr>
              <m:t>k</m:t>
            </m:r>
          </m:sub>
          <m:sup>
            <m:r>
              <w:rPr>
                <w:rFonts w:ascii="Cambria Math" w:hAnsi="Arial" w:cs="Arial"/>
                <w:sz w:val="20"/>
                <w:szCs w:val="20"/>
              </w:rPr>
              <m:t>(2)</m:t>
            </m:r>
          </m:sup>
        </m:sSubSup>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m:rPr>
                <m:scr m:val="script"/>
              </m:rPr>
              <w:rPr>
                <w:rFonts w:ascii="Cambria Math" w:hAnsi="Arial" w:cs="Arial"/>
                <w:sz w:val="20"/>
                <w:szCs w:val="20"/>
              </w:rPr>
              <m:t>l</m:t>
            </m:r>
            <m:r>
              <w:rPr>
                <w:rFonts w:ascii="Cambria Math" w:hAnsi="Cambria Math" w:cs="Arial"/>
                <w:sz w:val="20"/>
                <w:szCs w:val="20"/>
              </w:rPr>
              <m:t>k</m:t>
            </m:r>
          </m:sub>
          <m:sup>
            <m:r>
              <w:rPr>
                <w:rFonts w:ascii="Cambria Math" w:hAnsi="Arial" w:cs="Arial"/>
                <w:sz w:val="20"/>
                <w:szCs w:val="20"/>
              </w:rPr>
              <m:t>(3)</m:t>
            </m:r>
          </m:sup>
        </m:sSubSup>
        <m:r>
          <w:rPr>
            <w:rFonts w:ascii="Cambria Math" w:hAnsi="Arial" w:cs="Arial"/>
            <w:sz w:val="20"/>
            <w:szCs w:val="20"/>
          </w:rPr>
          <m:t>≠…≠</m:t>
        </m:r>
        <m:sSubSup>
          <m:sSubSupPr>
            <m:ctrlPr>
              <w:rPr>
                <w:rFonts w:ascii="Cambria Math" w:hAnsi="Arial" w:cs="Arial"/>
                <w:i/>
                <w:sz w:val="20"/>
                <w:szCs w:val="20"/>
              </w:rPr>
            </m:ctrlPr>
          </m:sSubSupPr>
          <m:e>
            <m:r>
              <w:rPr>
                <w:rFonts w:ascii="Cambria Math" w:hAnsi="Cambria Math" w:cs="Arial"/>
                <w:sz w:val="20"/>
                <w:szCs w:val="20"/>
              </w:rPr>
              <m:t>β</m:t>
            </m:r>
          </m:e>
          <m:sub>
            <m:r>
              <m:rPr>
                <m:scr m:val="script"/>
              </m:rPr>
              <w:rPr>
                <w:rFonts w:ascii="Cambria Math" w:hAnsi="Arial" w:cs="Arial"/>
                <w:sz w:val="20"/>
                <w:szCs w:val="20"/>
              </w:rPr>
              <m:t>l</m:t>
            </m:r>
            <m:r>
              <w:rPr>
                <w:rFonts w:ascii="Cambria Math" w:hAnsi="Cambria Math" w:cs="Arial"/>
                <w:sz w:val="20"/>
                <w:szCs w:val="20"/>
              </w:rPr>
              <m:t>k</m:t>
            </m:r>
          </m:sub>
          <m:sup>
            <m:r>
              <w:rPr>
                <w:rFonts w:ascii="Cambria Math" w:hAnsi="Arial" w:cs="Arial"/>
                <w:sz w:val="20"/>
                <w:szCs w:val="20"/>
              </w:rPr>
              <m:t>(</m:t>
            </m:r>
            <m:r>
              <w:rPr>
                <w:rFonts w:ascii="Cambria Math" w:hAnsi="Cambria Math" w:cs="Arial"/>
                <w:sz w:val="20"/>
                <w:szCs w:val="20"/>
              </w:rPr>
              <m:t>p</m:t>
            </m:r>
            <m:r>
              <w:rPr>
                <w:rFonts w:ascii="Cambria Math" w:hAnsi="Arial" w:cs="Arial"/>
                <w:sz w:val="20"/>
                <w:szCs w:val="20"/>
              </w:rPr>
              <m:t>)</m:t>
            </m:r>
          </m:sup>
        </m:sSubSup>
        <m:r>
          <w:rPr>
            <w:rFonts w:ascii="Cambria Math" w:hAnsi="Arial" w:cs="Arial"/>
            <w:sz w:val="20"/>
            <w:szCs w:val="20"/>
          </w:rPr>
          <m:t>≠</m:t>
        </m:r>
        <m:r>
          <w:rPr>
            <w:rFonts w:ascii="Cambria Math" w:hAnsi="Arial" w:cs="Arial"/>
            <w:sz w:val="20"/>
            <w:szCs w:val="20"/>
          </w:rPr>
          <m:t>0</m:t>
        </m:r>
      </m:oMath>
      <w:r w:rsidR="00F30DF6" w:rsidRPr="00A30943">
        <w:rPr>
          <w:rFonts w:ascii="Arial" w:hAnsi="Arial" w:cs="Arial"/>
          <w:sz w:val="20"/>
          <w:szCs w:val="20"/>
        </w:rPr>
        <w:t xml:space="preserve"> (i.e., past values of </w:t>
      </w:r>
      <m:oMath>
        <m:sSub>
          <m:sSubPr>
            <m:ctrlPr>
              <w:rPr>
                <w:rFonts w:ascii="Cambria Math" w:hAnsi="Arial" w:cs="Arial"/>
                <w:i/>
                <w:sz w:val="20"/>
                <w:szCs w:val="20"/>
              </w:rPr>
            </m:ctrlPr>
          </m:sSubPr>
          <m:e>
            <m:r>
              <w:rPr>
                <w:rFonts w:ascii="Cambria Math" w:hAnsi="Cambria Math" w:cs="Arial"/>
                <w:sz w:val="20"/>
                <w:szCs w:val="20"/>
              </w:rPr>
              <m:t>y</m:t>
            </m:r>
          </m:e>
          <m:sub>
            <m:r>
              <w:rPr>
                <w:rFonts w:ascii="Cambria Math" w:hAnsi="Cambria Math" w:cs="Arial"/>
                <w:sz w:val="20"/>
                <w:szCs w:val="20"/>
              </w:rPr>
              <m:t>k</m:t>
            </m:r>
          </m:sub>
        </m:sSub>
      </m:oMath>
      <w:r w:rsidR="00F30DF6" w:rsidRPr="00A30943">
        <w:rPr>
          <w:rStyle w:val="vlist-s"/>
          <w:rFonts w:ascii="Arial" w:hAnsi="Arial" w:cs="Arial"/>
          <w:sz w:val="20"/>
          <w:szCs w:val="20"/>
        </w:rPr>
        <w:t>​</w:t>
      </w:r>
      <w:r w:rsidR="00F30DF6" w:rsidRPr="00A30943">
        <w:rPr>
          <w:rFonts w:ascii="Arial" w:hAnsi="Arial" w:cs="Arial"/>
          <w:sz w:val="20"/>
          <w:szCs w:val="20"/>
        </w:rPr>
        <w:t xml:space="preserve"> do help predict </w:t>
      </w:r>
      <m:oMath>
        <m:sSub>
          <m:sSubPr>
            <m:ctrlPr>
              <w:rPr>
                <w:rFonts w:ascii="Cambria Math" w:hAnsi="Arial" w:cs="Arial"/>
                <w:i/>
                <w:sz w:val="20"/>
                <w:szCs w:val="20"/>
              </w:rPr>
            </m:ctrlPr>
          </m:sSubPr>
          <m:e>
            <m:r>
              <w:rPr>
                <w:rFonts w:ascii="Cambria Math" w:hAnsi="Cambria Math" w:cs="Arial"/>
                <w:sz w:val="20"/>
                <w:szCs w:val="20"/>
              </w:rPr>
              <m:t>x</m:t>
            </m:r>
          </m:e>
          <m:sub>
            <m:r>
              <m:rPr>
                <m:scr m:val="script"/>
              </m:rPr>
              <w:rPr>
                <w:rFonts w:ascii="Cambria Math" w:hAnsi="Arial" w:cs="Arial"/>
                <w:sz w:val="20"/>
                <w:szCs w:val="20"/>
              </w:rPr>
              <m:t>l</m:t>
            </m:r>
          </m:sub>
        </m:sSub>
      </m:oMath>
      <w:r w:rsidR="00F30DF6" w:rsidRPr="00A30943">
        <w:rPr>
          <w:rStyle w:val="vlist-s"/>
          <w:rFonts w:ascii="Arial" w:hAnsi="Arial" w:cs="Arial"/>
          <w:sz w:val="20"/>
          <w:szCs w:val="20"/>
        </w:rPr>
        <w:t>​</w:t>
      </w:r>
      <w:r w:rsidR="00F30DF6" w:rsidRPr="00A30943">
        <w:rPr>
          <w:rFonts w:ascii="Arial" w:hAnsi="Arial" w:cs="Arial"/>
          <w:sz w:val="20"/>
          <w:szCs w:val="20"/>
        </w:rPr>
        <w:t>.)</w:t>
      </w:r>
    </w:p>
    <w:p w:rsidR="00F30DF6" w:rsidRPr="006E47CD" w:rsidRDefault="00F30DF6" w:rsidP="006E47CD">
      <w:pPr>
        <w:pStyle w:val="NormalWeb"/>
        <w:spacing w:before="0" w:beforeAutospacing="0" w:after="0" w:afterAutospacing="0"/>
        <w:jc w:val="both"/>
        <w:rPr>
          <w:rFonts w:ascii="Arial" w:hAnsi="Arial" w:cs="Arial"/>
          <w:sz w:val="20"/>
          <w:szCs w:val="20"/>
        </w:rPr>
      </w:pPr>
      <w:r w:rsidRPr="006E47CD">
        <w:rPr>
          <w:rFonts w:ascii="Arial" w:hAnsi="Arial" w:cs="Arial"/>
          <w:b/>
          <w:sz w:val="20"/>
          <w:szCs w:val="20"/>
        </w:rPr>
        <w:t>Decision Rule</w:t>
      </w:r>
      <w:r w:rsidRPr="006E47CD">
        <w:rPr>
          <w:rFonts w:ascii="Arial" w:hAnsi="Arial" w:cs="Arial"/>
          <w:sz w:val="20"/>
          <w:szCs w:val="20"/>
        </w:rPr>
        <w:t xml:space="preserve">: If p-value </w:t>
      </w:r>
      <m:oMath>
        <m:r>
          <w:rPr>
            <w:rFonts w:ascii="Cambria Math" w:hAnsi="Arial" w:cs="Arial"/>
            <w:sz w:val="20"/>
            <w:szCs w:val="20"/>
          </w:rPr>
          <m:t>&lt;0.05</m:t>
        </m:r>
      </m:oMath>
      <w:r w:rsidRPr="006E47CD">
        <w:rPr>
          <w:rFonts w:ascii="Arial" w:hAnsi="Arial" w:cs="Arial"/>
          <w:sz w:val="20"/>
          <w:szCs w:val="20"/>
        </w:rPr>
        <w:t xml:space="preserve">,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6E47CD">
        <w:rPr>
          <w:rFonts w:ascii="Arial" w:hAnsi="Arial" w:cs="Arial"/>
          <w:sz w:val="20"/>
          <w:szCs w:val="20"/>
        </w:rPr>
        <w:t xml:space="preserve"> and conclude that variable </w:t>
      </w:r>
      <m:oMath>
        <m:r>
          <w:rPr>
            <w:rFonts w:ascii="Cambria Math" w:hAnsi="Cambria Math" w:cs="Arial"/>
            <w:sz w:val="20"/>
            <w:szCs w:val="20"/>
          </w:rPr>
          <m:t>x</m:t>
        </m:r>
      </m:oMath>
      <w:r w:rsidRPr="006E47CD">
        <w:rPr>
          <w:rFonts w:ascii="Arial" w:hAnsi="Arial" w:cs="Arial"/>
          <w:sz w:val="20"/>
          <w:szCs w:val="20"/>
        </w:rPr>
        <w:t xml:space="preserve"> Granger-causes variable </w:t>
      </w:r>
      <m:oMath>
        <m:r>
          <w:rPr>
            <w:rFonts w:ascii="Cambria Math" w:hAnsi="Cambria Math" w:cs="Arial"/>
            <w:sz w:val="20"/>
            <w:szCs w:val="20"/>
          </w:rPr>
          <m:t>y</m:t>
        </m:r>
      </m:oMath>
      <w:r w:rsidRPr="006E47CD">
        <w:rPr>
          <w:rFonts w:ascii="Arial" w:hAnsi="Arial" w:cs="Arial"/>
          <w:sz w:val="20"/>
          <w:szCs w:val="20"/>
        </w:rPr>
        <w:t xml:space="preserve">. However, if p-value </w:t>
      </w:r>
      <m:oMath>
        <m:r>
          <w:rPr>
            <w:rFonts w:ascii="Cambria Math" w:hAnsi="Arial" w:cs="Arial"/>
            <w:sz w:val="20"/>
            <w:szCs w:val="20"/>
          </w:rPr>
          <m:t>≥</m:t>
        </m:r>
        <m:r>
          <w:rPr>
            <w:rFonts w:ascii="Cambria Math" w:hAnsi="Arial" w:cs="Arial"/>
            <w:sz w:val="20"/>
            <w:szCs w:val="20"/>
          </w:rPr>
          <m:t>0.05</m:t>
        </m:r>
      </m:oMath>
      <w:r w:rsidRPr="006E47CD">
        <w:rPr>
          <w:rFonts w:ascii="Arial" w:hAnsi="Arial" w:cs="Arial"/>
          <w:sz w:val="20"/>
          <w:szCs w:val="20"/>
        </w:rPr>
        <w:t xml:space="preserve">, do not reject </w:t>
      </w:r>
      <m:oMath>
        <m:sSub>
          <m:sSubPr>
            <m:ctrlPr>
              <w:rPr>
                <w:rFonts w:ascii="Cambria Math" w:hAnsi="Arial" w:cs="Arial"/>
                <w:i/>
                <w:sz w:val="20"/>
                <w:szCs w:val="20"/>
              </w:rPr>
            </m:ctrlPr>
          </m:sSubPr>
          <m:e>
            <m:r>
              <w:rPr>
                <w:rFonts w:ascii="Cambria Math" w:hAnsi="Cambria Math" w:cs="Arial"/>
                <w:sz w:val="20"/>
                <w:szCs w:val="20"/>
              </w:rPr>
              <m:t>H</m:t>
            </m:r>
          </m:e>
          <m:sub>
            <m:r>
              <w:rPr>
                <w:rFonts w:ascii="Cambria Math" w:hAnsi="Arial" w:cs="Arial"/>
                <w:sz w:val="20"/>
                <w:szCs w:val="20"/>
              </w:rPr>
              <m:t>0</m:t>
            </m:r>
          </m:sub>
        </m:sSub>
      </m:oMath>
      <w:r w:rsidRPr="006E47CD">
        <w:rPr>
          <w:rFonts w:ascii="Arial" w:hAnsi="Arial" w:cs="Arial"/>
          <w:sz w:val="20"/>
          <w:szCs w:val="20"/>
        </w:rPr>
        <w:t xml:space="preserve"> and conclude that there is no statistical evidence of Granger causality from </w:t>
      </w:r>
      <m:oMath>
        <m:r>
          <w:rPr>
            <w:rFonts w:ascii="Cambria Math" w:hAnsi="Cambria Math" w:cs="Arial"/>
            <w:sz w:val="20"/>
            <w:szCs w:val="20"/>
          </w:rPr>
          <m:t>x</m:t>
        </m:r>
      </m:oMath>
      <w:r w:rsidRPr="006E47CD">
        <w:rPr>
          <w:rFonts w:ascii="Arial" w:hAnsi="Arial" w:cs="Arial"/>
          <w:sz w:val="20"/>
          <w:szCs w:val="20"/>
        </w:rPr>
        <w:t xml:space="preserve"> to </w:t>
      </w:r>
      <m:oMath>
        <m:r>
          <w:rPr>
            <w:rFonts w:ascii="Cambria Math" w:hAnsi="Cambria Math" w:cs="Arial"/>
            <w:sz w:val="20"/>
            <w:szCs w:val="20"/>
          </w:rPr>
          <m:t>y</m:t>
        </m:r>
      </m:oMath>
      <w:r w:rsidRPr="006E47CD">
        <w:rPr>
          <w:rFonts w:ascii="Arial" w:hAnsi="Arial" w:cs="Arial"/>
          <w:sz w:val="20"/>
          <w:szCs w:val="20"/>
        </w:rPr>
        <w:t>.</w:t>
      </w:r>
    </w:p>
    <w:p w:rsidR="00790ADA" w:rsidRPr="006E47CD"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AC4AAE" w:rsidRPr="00AC4AAE" w:rsidRDefault="00AC4AAE" w:rsidP="00AC4AAE">
      <w:pPr>
        <w:jc w:val="both"/>
        <w:rPr>
          <w:rFonts w:ascii="Arial" w:hAnsi="Arial" w:cs="Arial"/>
          <w:b/>
        </w:rPr>
      </w:pPr>
      <w:r w:rsidRPr="00AC4AAE">
        <w:rPr>
          <w:rFonts w:ascii="Arial" w:hAnsi="Arial" w:cs="Arial"/>
          <w:b/>
        </w:rPr>
        <w:t>3.1 Summary Statistics and Normality Measures</w:t>
      </w:r>
    </w:p>
    <w:p w:rsidR="00AC4AAE" w:rsidRPr="00AC4AAE" w:rsidRDefault="00AC4AAE" w:rsidP="00AC4AAE">
      <w:pPr>
        <w:jc w:val="both"/>
        <w:rPr>
          <w:rFonts w:ascii="Arial" w:hAnsi="Arial" w:cs="Arial"/>
        </w:rPr>
      </w:pPr>
      <w:r w:rsidRPr="00AC4AAE">
        <w:rPr>
          <w:rFonts w:ascii="Arial" w:hAnsi="Arial" w:cs="Arial"/>
        </w:rPr>
        <w:t>Table 1 presents the descriptive statistics of the demographic study variables used in modeling the relationship between demographic indicators and human development in Nigeria. The variables include the Human Development Index (HDI), Life Expectancy at Birth (LEB), Fertility Rate (FR), Urbanization Rate (UR), Dependency Ratio (DR), and Female Labour Force Participation Rate (FLP). The summary statistics provide deeper understanding of the central tendency, dispersion, and distributional properties of the data. Additionally, the Jarque-Bera normality test results highlight whether the variables follow a normal distribution, which is relevant in determining the appropriate econometric methods for estimation.</w:t>
      </w:r>
    </w:p>
    <w:p w:rsidR="00AC4AAE" w:rsidRDefault="00AC4AAE" w:rsidP="00AC4AAE">
      <w:pPr>
        <w:rPr>
          <w:rFonts w:ascii="Arial" w:hAnsi="Arial" w:cs="Arial"/>
          <w:b/>
        </w:rPr>
      </w:pPr>
    </w:p>
    <w:p w:rsidR="00AC4AAE" w:rsidRDefault="00AC4AAE" w:rsidP="00AC4AAE">
      <w:pPr>
        <w:rPr>
          <w:rFonts w:ascii="Arial" w:hAnsi="Arial" w:cs="Arial"/>
          <w:b/>
        </w:rPr>
      </w:pPr>
    </w:p>
    <w:p w:rsidR="00AC4AAE" w:rsidRPr="00AC4AAE" w:rsidRDefault="00AC4AAE" w:rsidP="00AC4AAE">
      <w:pPr>
        <w:rPr>
          <w:rFonts w:ascii="Arial" w:hAnsi="Arial" w:cs="Arial"/>
          <w:b/>
        </w:rPr>
      </w:pPr>
      <w:r w:rsidRPr="00AC4AAE">
        <w:rPr>
          <w:rFonts w:ascii="Arial" w:hAnsi="Arial" w:cs="Arial"/>
          <w:b/>
        </w:rPr>
        <w:t>Table 1: Summary Statistics of Demographic Study Variables</w:t>
      </w:r>
    </w:p>
    <w:tbl>
      <w:tblPr>
        <w:tblW w:w="8460" w:type="dxa"/>
        <w:tblInd w:w="108" w:type="dxa"/>
        <w:tblBorders>
          <w:top w:val="single" w:sz="4" w:space="0" w:color="auto"/>
          <w:bottom w:val="single" w:sz="4" w:space="0" w:color="auto"/>
        </w:tblBorders>
        <w:tblLayout w:type="fixed"/>
        <w:tblLook w:val="04A0"/>
      </w:tblPr>
      <w:tblGrid>
        <w:gridCol w:w="1440"/>
        <w:gridCol w:w="1260"/>
        <w:gridCol w:w="1080"/>
        <w:gridCol w:w="1170"/>
        <w:gridCol w:w="1170"/>
        <w:gridCol w:w="1260"/>
        <w:gridCol w:w="1080"/>
      </w:tblGrid>
      <w:tr w:rsidR="00AC4AAE" w:rsidRPr="00AC4AAE" w:rsidTr="00AC4AAE">
        <w:tc>
          <w:tcPr>
            <w:tcW w:w="1440" w:type="dxa"/>
            <w:tcBorders>
              <w:top w:val="single" w:sz="4" w:space="0" w:color="auto"/>
              <w:left w:val="nil"/>
              <w:bottom w:val="single" w:sz="4" w:space="0" w:color="auto"/>
              <w:right w:val="nil"/>
            </w:tcBorders>
          </w:tcPr>
          <w:p w:rsidR="00AC4AAE" w:rsidRPr="00AC4AAE" w:rsidRDefault="00AC4AAE" w:rsidP="00AC4AAE">
            <w:pPr>
              <w:rPr>
                <w:rFonts w:ascii="Arial" w:hAnsi="Arial" w:cs="Arial"/>
                <w:b/>
              </w:rPr>
            </w:pPr>
          </w:p>
        </w:tc>
        <w:tc>
          <w:tcPr>
            <w:tcW w:w="1260" w:type="dxa"/>
            <w:tcBorders>
              <w:top w:val="single" w:sz="4" w:space="0" w:color="auto"/>
              <w:left w:val="nil"/>
              <w:bottom w:val="single" w:sz="4" w:space="0" w:color="auto"/>
              <w:right w:val="nil"/>
            </w:tcBorders>
            <w:hideMark/>
          </w:tcPr>
          <w:p w:rsidR="00AC4AAE" w:rsidRPr="00AC4AAE" w:rsidRDefault="00AC4AAE" w:rsidP="00AC4AAE">
            <w:pPr>
              <w:jc w:val="center"/>
              <w:rPr>
                <w:rFonts w:ascii="Arial" w:hAnsi="Arial" w:cs="Arial"/>
                <w:b/>
              </w:rPr>
            </w:pPr>
            <w:r w:rsidRPr="00AC4AAE">
              <w:rPr>
                <w:rFonts w:ascii="Arial" w:hAnsi="Arial" w:cs="Arial"/>
                <w:b/>
              </w:rPr>
              <w:t>HDI</w:t>
            </w:r>
          </w:p>
        </w:tc>
        <w:tc>
          <w:tcPr>
            <w:tcW w:w="1080" w:type="dxa"/>
            <w:tcBorders>
              <w:top w:val="single" w:sz="4" w:space="0" w:color="auto"/>
              <w:left w:val="nil"/>
              <w:bottom w:val="single" w:sz="4" w:space="0" w:color="auto"/>
              <w:right w:val="nil"/>
            </w:tcBorders>
            <w:hideMark/>
          </w:tcPr>
          <w:p w:rsidR="00AC4AAE" w:rsidRPr="00AC4AAE" w:rsidRDefault="00AC4AAE" w:rsidP="00AC4AAE">
            <w:pPr>
              <w:jc w:val="center"/>
              <w:rPr>
                <w:rFonts w:ascii="Arial" w:hAnsi="Arial" w:cs="Arial"/>
                <w:b/>
              </w:rPr>
            </w:pPr>
            <w:r w:rsidRPr="00AC4AAE">
              <w:rPr>
                <w:rFonts w:ascii="Arial" w:hAnsi="Arial" w:cs="Arial"/>
                <w:b/>
              </w:rPr>
              <w:t>LEB</w:t>
            </w:r>
          </w:p>
        </w:tc>
        <w:tc>
          <w:tcPr>
            <w:tcW w:w="1170" w:type="dxa"/>
            <w:tcBorders>
              <w:top w:val="single" w:sz="4" w:space="0" w:color="auto"/>
              <w:left w:val="nil"/>
              <w:bottom w:val="single" w:sz="4" w:space="0" w:color="auto"/>
              <w:right w:val="nil"/>
            </w:tcBorders>
            <w:hideMark/>
          </w:tcPr>
          <w:p w:rsidR="00AC4AAE" w:rsidRPr="00AC4AAE" w:rsidRDefault="00AC4AAE" w:rsidP="00AC4AAE">
            <w:pPr>
              <w:jc w:val="center"/>
              <w:rPr>
                <w:rFonts w:ascii="Arial" w:hAnsi="Arial" w:cs="Arial"/>
                <w:b/>
              </w:rPr>
            </w:pPr>
            <w:r w:rsidRPr="00AC4AAE">
              <w:rPr>
                <w:rFonts w:ascii="Arial" w:hAnsi="Arial" w:cs="Arial"/>
                <w:b/>
              </w:rPr>
              <w:t>FR</w:t>
            </w:r>
          </w:p>
        </w:tc>
        <w:tc>
          <w:tcPr>
            <w:tcW w:w="1170" w:type="dxa"/>
            <w:tcBorders>
              <w:top w:val="single" w:sz="4" w:space="0" w:color="auto"/>
              <w:left w:val="nil"/>
              <w:bottom w:val="single" w:sz="4" w:space="0" w:color="auto"/>
              <w:right w:val="nil"/>
            </w:tcBorders>
            <w:hideMark/>
          </w:tcPr>
          <w:p w:rsidR="00AC4AAE" w:rsidRPr="00AC4AAE" w:rsidRDefault="00AC4AAE" w:rsidP="00AC4AAE">
            <w:pPr>
              <w:jc w:val="center"/>
              <w:rPr>
                <w:rFonts w:ascii="Arial" w:hAnsi="Arial" w:cs="Arial"/>
                <w:b/>
              </w:rPr>
            </w:pPr>
            <w:r w:rsidRPr="00AC4AAE">
              <w:rPr>
                <w:rFonts w:ascii="Arial" w:hAnsi="Arial" w:cs="Arial"/>
                <w:b/>
              </w:rPr>
              <w:t>UR</w:t>
            </w:r>
          </w:p>
        </w:tc>
        <w:tc>
          <w:tcPr>
            <w:tcW w:w="1260" w:type="dxa"/>
            <w:tcBorders>
              <w:top w:val="single" w:sz="4" w:space="0" w:color="auto"/>
              <w:left w:val="nil"/>
              <w:bottom w:val="single" w:sz="4" w:space="0" w:color="auto"/>
              <w:right w:val="nil"/>
            </w:tcBorders>
            <w:hideMark/>
          </w:tcPr>
          <w:p w:rsidR="00AC4AAE" w:rsidRPr="00AC4AAE" w:rsidRDefault="00AC4AAE" w:rsidP="00AC4AAE">
            <w:pPr>
              <w:jc w:val="center"/>
              <w:rPr>
                <w:rFonts w:ascii="Arial" w:hAnsi="Arial" w:cs="Arial"/>
                <w:b/>
              </w:rPr>
            </w:pPr>
            <w:r w:rsidRPr="00AC4AAE">
              <w:rPr>
                <w:rFonts w:ascii="Arial" w:hAnsi="Arial" w:cs="Arial"/>
                <w:b/>
              </w:rPr>
              <w:t>DR</w:t>
            </w:r>
          </w:p>
        </w:tc>
        <w:tc>
          <w:tcPr>
            <w:tcW w:w="1080" w:type="dxa"/>
            <w:tcBorders>
              <w:top w:val="single" w:sz="4" w:space="0" w:color="auto"/>
              <w:left w:val="nil"/>
              <w:bottom w:val="single" w:sz="4" w:space="0" w:color="auto"/>
              <w:right w:val="nil"/>
            </w:tcBorders>
            <w:hideMark/>
          </w:tcPr>
          <w:p w:rsidR="00AC4AAE" w:rsidRPr="00AC4AAE" w:rsidRDefault="00AC4AAE" w:rsidP="00AC4AAE">
            <w:pPr>
              <w:jc w:val="center"/>
              <w:rPr>
                <w:rFonts w:ascii="Arial" w:hAnsi="Arial" w:cs="Arial"/>
                <w:b/>
              </w:rPr>
            </w:pPr>
            <w:r w:rsidRPr="00AC4AAE">
              <w:rPr>
                <w:rFonts w:ascii="Arial" w:hAnsi="Arial" w:cs="Arial"/>
                <w:b/>
              </w:rPr>
              <w:t>FLP</w:t>
            </w:r>
          </w:p>
        </w:tc>
      </w:tr>
      <w:tr w:rsidR="00AC4AAE" w:rsidRPr="00AC4AAE" w:rsidTr="00AC4AAE">
        <w:tc>
          <w:tcPr>
            <w:tcW w:w="1440" w:type="dxa"/>
            <w:tcBorders>
              <w:top w:val="single" w:sz="4" w:space="0" w:color="auto"/>
              <w:left w:val="nil"/>
              <w:bottom w:val="nil"/>
              <w:right w:val="nil"/>
            </w:tcBorders>
            <w:hideMark/>
          </w:tcPr>
          <w:p w:rsidR="00AC4AAE" w:rsidRPr="00AC4AAE" w:rsidRDefault="00AC4AAE" w:rsidP="00AC4AAE">
            <w:pPr>
              <w:rPr>
                <w:rFonts w:ascii="Arial" w:hAnsi="Arial" w:cs="Arial"/>
              </w:rPr>
            </w:pPr>
            <w:r w:rsidRPr="00AC4AAE">
              <w:rPr>
                <w:rFonts w:ascii="Arial" w:hAnsi="Arial" w:cs="Arial"/>
              </w:rPr>
              <w:t>Mea</w:t>
            </w:r>
            <w:r w:rsidRPr="00AC4AAE">
              <w:rPr>
                <w:rFonts w:ascii="Arial" w:hAnsi="Arial" w:cs="Arial"/>
                <w:color w:val="000000"/>
              </w:rPr>
              <w:t>n</w:t>
            </w:r>
          </w:p>
        </w:tc>
        <w:tc>
          <w:tcPr>
            <w:tcW w:w="1260" w:type="dxa"/>
            <w:tcBorders>
              <w:top w:val="single" w:sz="4" w:space="0" w:color="auto"/>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color w:val="000000"/>
              </w:rPr>
              <w:t>347.01</w:t>
            </w:r>
          </w:p>
        </w:tc>
        <w:tc>
          <w:tcPr>
            <w:tcW w:w="1080" w:type="dxa"/>
            <w:tcBorders>
              <w:top w:val="single" w:sz="4" w:space="0" w:color="auto"/>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color w:val="000000"/>
              </w:rPr>
              <w:t>54.49</w:t>
            </w:r>
          </w:p>
        </w:tc>
        <w:tc>
          <w:tcPr>
            <w:tcW w:w="1170" w:type="dxa"/>
            <w:tcBorders>
              <w:top w:val="single" w:sz="4" w:space="0" w:color="auto"/>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color w:val="000000"/>
              </w:rPr>
              <w:t>95.759</w:t>
            </w:r>
          </w:p>
        </w:tc>
        <w:tc>
          <w:tcPr>
            <w:tcW w:w="1170" w:type="dxa"/>
            <w:tcBorders>
              <w:top w:val="single" w:sz="4" w:space="0" w:color="auto"/>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color w:val="000000"/>
              </w:rPr>
              <w:t>101.29</w:t>
            </w:r>
          </w:p>
        </w:tc>
        <w:tc>
          <w:tcPr>
            <w:tcW w:w="1260" w:type="dxa"/>
            <w:tcBorders>
              <w:top w:val="single" w:sz="4" w:space="0" w:color="auto"/>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color w:val="000000"/>
              </w:rPr>
              <w:t>103.55</w:t>
            </w:r>
          </w:p>
        </w:tc>
        <w:tc>
          <w:tcPr>
            <w:tcW w:w="1080" w:type="dxa"/>
            <w:tcBorders>
              <w:top w:val="single" w:sz="4" w:space="0" w:color="auto"/>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color w:val="000000"/>
              </w:rPr>
              <w:t>98.60</w:t>
            </w:r>
          </w:p>
        </w:tc>
      </w:tr>
      <w:tr w:rsidR="00AC4AAE" w:rsidRPr="00AC4AAE" w:rsidTr="00AC4AAE">
        <w:tc>
          <w:tcPr>
            <w:tcW w:w="1440"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Maximum</w:t>
            </w:r>
          </w:p>
        </w:tc>
        <w:tc>
          <w:tcPr>
            <w:tcW w:w="126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616.70</w:t>
            </w:r>
          </w:p>
        </w:tc>
        <w:tc>
          <w:tcPr>
            <w:tcW w:w="108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56.04</w:t>
            </w:r>
          </w:p>
        </w:tc>
        <w:tc>
          <w:tcPr>
            <w:tcW w:w="117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188.45</w:t>
            </w:r>
          </w:p>
        </w:tc>
        <w:tc>
          <w:tcPr>
            <w:tcW w:w="117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765.08</w:t>
            </w:r>
          </w:p>
        </w:tc>
        <w:tc>
          <w:tcPr>
            <w:tcW w:w="126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573.71</w:t>
            </w:r>
          </w:p>
        </w:tc>
        <w:tc>
          <w:tcPr>
            <w:tcW w:w="108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189.35</w:t>
            </w:r>
          </w:p>
        </w:tc>
      </w:tr>
      <w:tr w:rsidR="00AC4AAE" w:rsidRPr="00AC4AAE" w:rsidTr="00AC4AAE">
        <w:tc>
          <w:tcPr>
            <w:tcW w:w="1440"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color w:val="000000"/>
              </w:rPr>
              <w:t>Minimum</w:t>
            </w:r>
          </w:p>
        </w:tc>
        <w:tc>
          <w:tcPr>
            <w:tcW w:w="126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165.76</w:t>
            </w:r>
          </w:p>
        </w:tc>
        <w:tc>
          <w:tcPr>
            <w:tcW w:w="108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42.479</w:t>
            </w:r>
          </w:p>
        </w:tc>
        <w:tc>
          <w:tcPr>
            <w:tcW w:w="117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17.613</w:t>
            </w:r>
          </w:p>
        </w:tc>
        <w:tc>
          <w:tcPr>
            <w:tcW w:w="117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17.273</w:t>
            </w:r>
          </w:p>
        </w:tc>
        <w:tc>
          <w:tcPr>
            <w:tcW w:w="126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18.345</w:t>
            </w:r>
          </w:p>
        </w:tc>
        <w:tc>
          <w:tcPr>
            <w:tcW w:w="108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19.383</w:t>
            </w:r>
          </w:p>
        </w:tc>
      </w:tr>
      <w:tr w:rsidR="00AC4AAE" w:rsidRPr="00AC4AAE" w:rsidTr="00AC4AAE">
        <w:tc>
          <w:tcPr>
            <w:tcW w:w="1440"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Std. Dev.</w:t>
            </w:r>
          </w:p>
        </w:tc>
        <w:tc>
          <w:tcPr>
            <w:tcW w:w="126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110.58</w:t>
            </w:r>
          </w:p>
        </w:tc>
        <w:tc>
          <w:tcPr>
            <w:tcW w:w="108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30.914</w:t>
            </w:r>
          </w:p>
        </w:tc>
        <w:tc>
          <w:tcPr>
            <w:tcW w:w="117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31.434</w:t>
            </w:r>
          </w:p>
        </w:tc>
        <w:tc>
          <w:tcPr>
            <w:tcW w:w="117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60.654</w:t>
            </w:r>
          </w:p>
        </w:tc>
        <w:tc>
          <w:tcPr>
            <w:tcW w:w="126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62.872</w:t>
            </w:r>
          </w:p>
        </w:tc>
        <w:tc>
          <w:tcPr>
            <w:tcW w:w="108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36.178</w:t>
            </w:r>
          </w:p>
        </w:tc>
      </w:tr>
      <w:tr w:rsidR="00AC4AAE" w:rsidRPr="00AC4AAE" w:rsidTr="00AC4AAE">
        <w:tc>
          <w:tcPr>
            <w:tcW w:w="1440"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lastRenderedPageBreak/>
              <w:t>Skewness</w:t>
            </w:r>
          </w:p>
        </w:tc>
        <w:tc>
          <w:tcPr>
            <w:tcW w:w="126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0.3881</w:t>
            </w:r>
          </w:p>
        </w:tc>
        <w:tc>
          <w:tcPr>
            <w:tcW w:w="108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4.3594</w:t>
            </w:r>
          </w:p>
        </w:tc>
        <w:tc>
          <w:tcPr>
            <w:tcW w:w="117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0.5129</w:t>
            </w:r>
          </w:p>
        </w:tc>
        <w:tc>
          <w:tcPr>
            <w:tcW w:w="117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7.3565</w:t>
            </w:r>
          </w:p>
        </w:tc>
        <w:tc>
          <w:tcPr>
            <w:tcW w:w="126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4.1057</w:t>
            </w:r>
          </w:p>
        </w:tc>
        <w:tc>
          <w:tcPr>
            <w:tcW w:w="108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0.7155</w:t>
            </w:r>
          </w:p>
        </w:tc>
      </w:tr>
      <w:tr w:rsidR="00AC4AAE" w:rsidRPr="00AC4AAE" w:rsidTr="00AC4AAE">
        <w:tc>
          <w:tcPr>
            <w:tcW w:w="1440"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Kurtosis</w:t>
            </w:r>
          </w:p>
        </w:tc>
        <w:tc>
          <w:tcPr>
            <w:tcW w:w="126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2.4632</w:t>
            </w:r>
          </w:p>
        </w:tc>
        <w:tc>
          <w:tcPr>
            <w:tcW w:w="108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37.889</w:t>
            </w:r>
          </w:p>
        </w:tc>
        <w:tc>
          <w:tcPr>
            <w:tcW w:w="117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4.5580</w:t>
            </w:r>
          </w:p>
        </w:tc>
        <w:tc>
          <w:tcPr>
            <w:tcW w:w="117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80.956</w:t>
            </w:r>
          </w:p>
        </w:tc>
        <w:tc>
          <w:tcPr>
            <w:tcW w:w="126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26.462</w:t>
            </w:r>
          </w:p>
        </w:tc>
        <w:tc>
          <w:tcPr>
            <w:tcW w:w="108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3.5081</w:t>
            </w:r>
          </w:p>
        </w:tc>
      </w:tr>
      <w:tr w:rsidR="00AC4AAE" w:rsidRPr="00AC4AAE" w:rsidTr="00AC4AAE">
        <w:tc>
          <w:tcPr>
            <w:tcW w:w="1440"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Jarque-Bera</w:t>
            </w:r>
          </w:p>
        </w:tc>
        <w:tc>
          <w:tcPr>
            <w:tcW w:w="126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6.6786</w:t>
            </w:r>
          </w:p>
        </w:tc>
        <w:tc>
          <w:tcPr>
            <w:tcW w:w="108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9699.8</w:t>
            </w:r>
          </w:p>
        </w:tc>
        <w:tc>
          <w:tcPr>
            <w:tcW w:w="117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26.101</w:t>
            </w:r>
          </w:p>
        </w:tc>
        <w:tc>
          <w:tcPr>
            <w:tcW w:w="117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47202</w:t>
            </w:r>
          </w:p>
        </w:tc>
        <w:tc>
          <w:tcPr>
            <w:tcW w:w="126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4634.2</w:t>
            </w:r>
          </w:p>
        </w:tc>
        <w:tc>
          <w:tcPr>
            <w:tcW w:w="108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17.294</w:t>
            </w:r>
          </w:p>
        </w:tc>
      </w:tr>
      <w:tr w:rsidR="00AC4AAE" w:rsidRPr="00AC4AAE" w:rsidTr="00AC4AAE">
        <w:tc>
          <w:tcPr>
            <w:tcW w:w="1440"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p-value</w:t>
            </w:r>
          </w:p>
        </w:tc>
        <w:tc>
          <w:tcPr>
            <w:tcW w:w="126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0.0355</w:t>
            </w:r>
          </w:p>
        </w:tc>
        <w:tc>
          <w:tcPr>
            <w:tcW w:w="108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0.0000</w:t>
            </w:r>
          </w:p>
        </w:tc>
        <w:tc>
          <w:tcPr>
            <w:tcW w:w="117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0.0000</w:t>
            </w:r>
          </w:p>
        </w:tc>
        <w:tc>
          <w:tcPr>
            <w:tcW w:w="117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0.0000</w:t>
            </w:r>
          </w:p>
        </w:tc>
        <w:tc>
          <w:tcPr>
            <w:tcW w:w="126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0.0000</w:t>
            </w:r>
          </w:p>
        </w:tc>
        <w:tc>
          <w:tcPr>
            <w:tcW w:w="1080" w:type="dxa"/>
            <w:tcBorders>
              <w:top w:val="nil"/>
              <w:left w:val="nil"/>
              <w:bottom w:val="nil"/>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0.0002</w:t>
            </w:r>
          </w:p>
        </w:tc>
      </w:tr>
      <w:tr w:rsidR="00AC4AAE" w:rsidRPr="00AC4AAE" w:rsidTr="00AC4AAE">
        <w:tc>
          <w:tcPr>
            <w:tcW w:w="1440" w:type="dxa"/>
            <w:tcBorders>
              <w:top w:val="nil"/>
              <w:left w:val="nil"/>
              <w:bottom w:val="single" w:sz="4" w:space="0" w:color="auto"/>
              <w:right w:val="nil"/>
            </w:tcBorders>
            <w:hideMark/>
          </w:tcPr>
          <w:p w:rsidR="00AC4AAE" w:rsidRPr="00AC4AAE" w:rsidRDefault="00AC4AAE" w:rsidP="00AC4AAE">
            <w:pPr>
              <w:rPr>
                <w:rFonts w:ascii="Arial" w:hAnsi="Arial" w:cs="Arial"/>
              </w:rPr>
            </w:pPr>
            <w:r w:rsidRPr="00AC4AAE">
              <w:rPr>
                <w:rFonts w:ascii="Arial" w:hAnsi="Arial" w:cs="Arial"/>
                <w:color w:val="000000"/>
              </w:rPr>
              <w:t>N</w:t>
            </w:r>
          </w:p>
        </w:tc>
        <w:tc>
          <w:tcPr>
            <w:tcW w:w="1260" w:type="dxa"/>
            <w:tcBorders>
              <w:top w:val="nil"/>
              <w:left w:val="nil"/>
              <w:bottom w:val="single" w:sz="4" w:space="0" w:color="auto"/>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180</w:t>
            </w:r>
          </w:p>
        </w:tc>
        <w:tc>
          <w:tcPr>
            <w:tcW w:w="1080" w:type="dxa"/>
            <w:tcBorders>
              <w:top w:val="nil"/>
              <w:left w:val="nil"/>
              <w:bottom w:val="single" w:sz="4" w:space="0" w:color="auto"/>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180</w:t>
            </w:r>
          </w:p>
        </w:tc>
        <w:tc>
          <w:tcPr>
            <w:tcW w:w="1170" w:type="dxa"/>
            <w:tcBorders>
              <w:top w:val="nil"/>
              <w:left w:val="nil"/>
              <w:bottom w:val="single" w:sz="4" w:space="0" w:color="auto"/>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180</w:t>
            </w:r>
          </w:p>
        </w:tc>
        <w:tc>
          <w:tcPr>
            <w:tcW w:w="1170" w:type="dxa"/>
            <w:tcBorders>
              <w:top w:val="nil"/>
              <w:left w:val="nil"/>
              <w:bottom w:val="single" w:sz="4" w:space="0" w:color="auto"/>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180</w:t>
            </w:r>
          </w:p>
        </w:tc>
        <w:tc>
          <w:tcPr>
            <w:tcW w:w="1260" w:type="dxa"/>
            <w:tcBorders>
              <w:top w:val="nil"/>
              <w:left w:val="nil"/>
              <w:bottom w:val="single" w:sz="4" w:space="0" w:color="auto"/>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180</w:t>
            </w:r>
          </w:p>
        </w:tc>
        <w:tc>
          <w:tcPr>
            <w:tcW w:w="1080" w:type="dxa"/>
            <w:tcBorders>
              <w:top w:val="nil"/>
              <w:left w:val="nil"/>
              <w:bottom w:val="single" w:sz="4" w:space="0" w:color="auto"/>
              <w:right w:val="nil"/>
            </w:tcBorders>
            <w:vAlign w:val="bottom"/>
            <w:hideMark/>
          </w:tcPr>
          <w:p w:rsidR="00AC4AAE" w:rsidRPr="00AC4AAE" w:rsidRDefault="00AC4AAE" w:rsidP="00AC4AAE">
            <w:pPr>
              <w:autoSpaceDE w:val="0"/>
              <w:autoSpaceDN w:val="0"/>
              <w:adjustRightInd w:val="0"/>
              <w:jc w:val="center"/>
              <w:rPr>
                <w:rFonts w:ascii="Arial" w:hAnsi="Arial" w:cs="Arial"/>
                <w:color w:val="000000"/>
              </w:rPr>
            </w:pPr>
            <w:r w:rsidRPr="00AC4AAE">
              <w:rPr>
                <w:rFonts w:ascii="Arial" w:hAnsi="Arial" w:cs="Arial"/>
                <w:color w:val="000000"/>
              </w:rPr>
              <w:t>180</w:t>
            </w:r>
          </w:p>
        </w:tc>
      </w:tr>
    </w:tbl>
    <w:p w:rsidR="00AC4AAE" w:rsidRPr="00AC4AAE" w:rsidRDefault="00AC4AAE" w:rsidP="00AC4AAE">
      <w:pPr>
        <w:spacing w:before="240"/>
        <w:jc w:val="both"/>
        <w:rPr>
          <w:rFonts w:ascii="Arial" w:hAnsi="Arial" w:cs="Arial"/>
        </w:rPr>
      </w:pPr>
      <w:r w:rsidRPr="00AC4AAE">
        <w:rPr>
          <w:rFonts w:ascii="Arial" w:hAnsi="Arial" w:cs="Arial"/>
        </w:rPr>
        <w:t>The summary statistics reported in Table 1 provide good understanding of the behaviour of the demographic variables under study. The Human Development Index (HDI) has a mean value of 347.01, with a minimum of 165.76 and a maximum of 616.70, suggesting moderate but widely varying levels of human development across the study period. Life Expectancy at Birth (LEB) averages 54.49 years, which is relatively low compared to global standards, and ranges between 42.48 and 56.04 years. Fertility Rate (FR) has an average of 95.76 births per 1,000 women, while Female Labour Force Participation (FLP) averages 98.60%, indicating a relatively high level of women’s involvement in the labor market. Urbanization Rate (UR) and Dependency Ratio (DR) have mean values of 101.29% and 103.55% respectively, with wide variations across the data, reflecting fluctuations in demographic pressures and urban growth.</w:t>
      </w:r>
    </w:p>
    <w:p w:rsidR="00AC4AAE" w:rsidRPr="00AC4AAE" w:rsidRDefault="00AC4AAE" w:rsidP="00AC4AAE">
      <w:pPr>
        <w:pStyle w:val="NormalWeb"/>
        <w:spacing w:after="0" w:afterAutospacing="0"/>
        <w:jc w:val="both"/>
        <w:rPr>
          <w:rFonts w:ascii="Arial" w:hAnsi="Arial" w:cs="Arial"/>
          <w:sz w:val="20"/>
          <w:szCs w:val="20"/>
        </w:rPr>
      </w:pPr>
      <w:r w:rsidRPr="00AC4AAE">
        <w:rPr>
          <w:rFonts w:ascii="Arial" w:hAnsi="Arial" w:cs="Arial"/>
          <w:sz w:val="20"/>
          <w:szCs w:val="20"/>
        </w:rPr>
        <w:t>In terms of dispersion, the standard deviation for HDI (110.58) indicates notable variation, while LEB (30.91), FR (31.43), UR (60.65), DR (62.87), and FLP (36.18) equally show substantial variability, especially UR and DR, which highlight significant structural demographic imbalances. The skewness values reveal that all variables are positively skewed, with UR (7.36) and LEB (4.36) being highly skewed, implying the presence of extreme values in the distributions. Similarly, kurtosis statistics show that most variables are leptokurtic, with LEB (37.89), UR (80.96), and DR (26.46) being particularly peaked and heavy-tailed, further suggesting the influence of outliers.</w:t>
      </w:r>
    </w:p>
    <w:p w:rsidR="00AC4AAE" w:rsidRPr="00AC4AAE" w:rsidRDefault="00AC4AAE" w:rsidP="00AC4AAE">
      <w:pPr>
        <w:pStyle w:val="NormalWeb"/>
        <w:spacing w:after="0" w:afterAutospacing="0"/>
        <w:jc w:val="both"/>
        <w:rPr>
          <w:rFonts w:ascii="Arial" w:hAnsi="Arial" w:cs="Arial"/>
          <w:sz w:val="20"/>
          <w:szCs w:val="20"/>
        </w:rPr>
      </w:pPr>
      <w:r w:rsidRPr="00AC4AAE">
        <w:rPr>
          <w:rFonts w:ascii="Arial" w:hAnsi="Arial" w:cs="Arial"/>
          <w:sz w:val="20"/>
          <w:szCs w:val="20"/>
        </w:rPr>
        <w:t>The Jarque-Bera normality test confirms that all variables except HDI deviate significantly from normality, with p-values of 0.0000 for LEB, FR, UR, DR, and FLP. Although HDI has a p-value of 0.0355, which is borderline, it still shows slight deviation from normality. Overall, the results suggest that the demographic indicators exhibit considerable variability, skewness, and leptokurtosis, with strong evidence against normality. This has important implications for econometric modeling, as it underscores the need for robust estimation techniques or variable transformations to account for non-normal distributions in subsequent analysis.</w:t>
      </w:r>
    </w:p>
    <w:p w:rsidR="00AC4AAE" w:rsidRPr="00AC4AAE" w:rsidRDefault="00AC4AAE" w:rsidP="00AC4AAE">
      <w:pPr>
        <w:rPr>
          <w:rFonts w:ascii="Arial" w:hAnsi="Arial" w:cs="Arial"/>
          <w:b/>
        </w:rPr>
      </w:pPr>
      <w:r w:rsidRPr="00AC4AAE">
        <w:rPr>
          <w:rFonts w:ascii="Arial" w:hAnsi="Arial" w:cs="Arial"/>
          <w:b/>
        </w:rPr>
        <w:t>3.2 Panel Unit Root Test Results</w:t>
      </w:r>
    </w:p>
    <w:p w:rsidR="00AC4AAE" w:rsidRPr="00AC4AAE" w:rsidRDefault="00AC4AAE" w:rsidP="00AC4AAE">
      <w:pPr>
        <w:pStyle w:val="NormalWeb"/>
        <w:spacing w:before="0" w:beforeAutospacing="0" w:after="0" w:afterAutospacing="0"/>
        <w:jc w:val="both"/>
        <w:rPr>
          <w:rFonts w:ascii="Arial" w:hAnsi="Arial" w:cs="Arial"/>
          <w:sz w:val="20"/>
          <w:szCs w:val="20"/>
        </w:rPr>
      </w:pPr>
      <w:r w:rsidRPr="00AC4AAE">
        <w:rPr>
          <w:rFonts w:ascii="Arial" w:hAnsi="Arial" w:cs="Arial"/>
          <w:sz w:val="20"/>
          <w:szCs w:val="20"/>
        </w:rPr>
        <w:t xml:space="preserve">To assess the stationarity of the variables in the panel data set, the study employed the Im, Pesaran and Shin (IPS) and Pesaran CCE-ADF panel unit root tests as the first and second generation unit root tests respectively. These tests were conducted on the variables in both their log-levels and first-difference forms, considering two specifications: intercept only and intercept with trend. The aim is to determine whether the variables are stationary at levels or require differencing to achieve stationarity, which is a crucial prerequisite for valid panel regression and cointegration </w:t>
      </w:r>
      <w:r w:rsidR="009E0F3D" w:rsidRPr="00AC4AAE">
        <w:rPr>
          <w:rFonts w:ascii="Arial" w:hAnsi="Arial" w:cs="Arial"/>
          <w:sz w:val="20"/>
          <w:szCs w:val="20"/>
        </w:rPr>
        <w:t>analysis.</w:t>
      </w:r>
      <w:r w:rsidR="009E0F3D">
        <w:rPr>
          <w:rFonts w:ascii="Arial" w:hAnsi="Arial" w:cs="Arial"/>
          <w:sz w:val="20"/>
          <w:szCs w:val="20"/>
        </w:rPr>
        <w:t xml:space="preserve"> </w:t>
      </w:r>
      <w:r w:rsidR="009E0F3D" w:rsidRPr="009E0F3D">
        <w:rPr>
          <w:rFonts w:ascii="Arial" w:hAnsi="Arial" w:cs="Arial"/>
          <w:sz w:val="20"/>
          <w:szCs w:val="20"/>
          <w:highlight w:val="yellow"/>
        </w:rPr>
        <w:t>Furthermore, First and Second Generation Panel Unit Root test Results of the log panels is presented in Table 2.</w:t>
      </w:r>
    </w:p>
    <w:p w:rsidR="00AC4AAE" w:rsidRPr="00AC4AAE" w:rsidRDefault="00AC4AAE" w:rsidP="00AC4AAE">
      <w:pPr>
        <w:rPr>
          <w:rFonts w:ascii="Arial" w:hAnsi="Arial" w:cs="Arial"/>
          <w:b/>
        </w:rPr>
      </w:pPr>
      <w:r w:rsidRPr="00AC4AAE">
        <w:rPr>
          <w:rFonts w:ascii="Arial" w:hAnsi="Arial" w:cs="Arial"/>
          <w:b/>
        </w:rPr>
        <w:t xml:space="preserve">Table 2: First and Second Generation Panel Unit Root Tests Results of the Log Panels </w:t>
      </w:r>
    </w:p>
    <w:tbl>
      <w:tblPr>
        <w:tblW w:w="0" w:type="auto"/>
        <w:tblInd w:w="-252" w:type="dxa"/>
        <w:tblBorders>
          <w:top w:val="single" w:sz="4" w:space="0" w:color="auto"/>
          <w:bottom w:val="single" w:sz="4" w:space="0" w:color="auto"/>
        </w:tblBorders>
        <w:tblLook w:val="04A0"/>
      </w:tblPr>
      <w:tblGrid>
        <w:gridCol w:w="1078"/>
        <w:gridCol w:w="2024"/>
        <w:gridCol w:w="1411"/>
        <w:gridCol w:w="126"/>
        <w:gridCol w:w="1050"/>
        <w:gridCol w:w="1847"/>
        <w:gridCol w:w="1140"/>
      </w:tblGrid>
      <w:tr w:rsidR="00AC4AAE" w:rsidRPr="00AC4AAE" w:rsidTr="00AC4AAE">
        <w:tc>
          <w:tcPr>
            <w:tcW w:w="1080" w:type="dxa"/>
            <w:vMerge w:val="restart"/>
            <w:tcBorders>
              <w:top w:val="single" w:sz="4" w:space="0" w:color="auto"/>
              <w:left w:val="nil"/>
              <w:bottom w:val="single" w:sz="4" w:space="0" w:color="auto"/>
              <w:right w:val="nil"/>
            </w:tcBorders>
            <w:hideMark/>
          </w:tcPr>
          <w:p w:rsidR="00AC4AAE" w:rsidRPr="00AC4AAE" w:rsidRDefault="00AC4AAE" w:rsidP="00AC4AAE">
            <w:pPr>
              <w:rPr>
                <w:rFonts w:ascii="Arial" w:hAnsi="Arial" w:cs="Arial"/>
                <w:b/>
              </w:rPr>
            </w:pPr>
            <w:r w:rsidRPr="00AC4AAE">
              <w:rPr>
                <w:rFonts w:ascii="Arial" w:hAnsi="Arial" w:cs="Arial"/>
                <w:b/>
              </w:rPr>
              <w:t xml:space="preserve">Variable </w:t>
            </w:r>
          </w:p>
        </w:tc>
        <w:tc>
          <w:tcPr>
            <w:tcW w:w="2056" w:type="dxa"/>
            <w:vMerge w:val="restart"/>
            <w:tcBorders>
              <w:top w:val="single" w:sz="4" w:space="0" w:color="auto"/>
              <w:left w:val="nil"/>
              <w:bottom w:val="single" w:sz="4" w:space="0" w:color="auto"/>
              <w:right w:val="nil"/>
            </w:tcBorders>
            <w:hideMark/>
          </w:tcPr>
          <w:p w:rsidR="00AC4AAE" w:rsidRPr="00AC4AAE" w:rsidRDefault="00AC4AAE" w:rsidP="00AC4AAE">
            <w:pPr>
              <w:rPr>
                <w:rFonts w:ascii="Arial" w:hAnsi="Arial" w:cs="Arial"/>
                <w:b/>
                <w:color w:val="000000"/>
              </w:rPr>
            </w:pPr>
            <w:r w:rsidRPr="00AC4AAE">
              <w:rPr>
                <w:rFonts w:ascii="Arial" w:hAnsi="Arial" w:cs="Arial"/>
                <w:b/>
                <w:color w:val="000000"/>
              </w:rPr>
              <w:t xml:space="preserve">Option </w:t>
            </w:r>
          </w:p>
        </w:tc>
        <w:tc>
          <w:tcPr>
            <w:tcW w:w="2613" w:type="dxa"/>
            <w:gridSpan w:val="3"/>
            <w:tcBorders>
              <w:top w:val="single" w:sz="4" w:space="0" w:color="auto"/>
              <w:left w:val="nil"/>
              <w:bottom w:val="nil"/>
              <w:right w:val="nil"/>
            </w:tcBorders>
            <w:hideMark/>
          </w:tcPr>
          <w:p w:rsidR="00AC4AAE" w:rsidRPr="00AC4AAE" w:rsidRDefault="00AC4AAE" w:rsidP="00AC4AAE">
            <w:pPr>
              <w:rPr>
                <w:rFonts w:ascii="Arial" w:hAnsi="Arial" w:cs="Arial"/>
                <w:b/>
              </w:rPr>
            </w:pPr>
            <w:r w:rsidRPr="00AC4AAE">
              <w:rPr>
                <w:rFonts w:ascii="Arial" w:hAnsi="Arial" w:cs="Arial"/>
                <w:b/>
                <w:color w:val="000000"/>
              </w:rPr>
              <w:t>Im, Pesaran and Shin</w:t>
            </w:r>
          </w:p>
        </w:tc>
        <w:tc>
          <w:tcPr>
            <w:tcW w:w="3025" w:type="dxa"/>
            <w:gridSpan w:val="2"/>
            <w:tcBorders>
              <w:top w:val="single" w:sz="4" w:space="0" w:color="auto"/>
              <w:left w:val="nil"/>
              <w:bottom w:val="nil"/>
              <w:right w:val="nil"/>
            </w:tcBorders>
            <w:hideMark/>
          </w:tcPr>
          <w:p w:rsidR="00AC4AAE" w:rsidRPr="00AC4AAE" w:rsidRDefault="00AC4AAE" w:rsidP="00AC4AAE">
            <w:pPr>
              <w:rPr>
                <w:rFonts w:ascii="Arial" w:hAnsi="Arial" w:cs="Arial"/>
                <w:b/>
              </w:rPr>
            </w:pPr>
            <w:r w:rsidRPr="00AC4AAE">
              <w:rPr>
                <w:rFonts w:ascii="Arial" w:hAnsi="Arial" w:cs="Arial"/>
                <w:b/>
                <w:color w:val="000000"/>
              </w:rPr>
              <w:t>Pesaran CCE-ADF</w:t>
            </w:r>
          </w:p>
        </w:tc>
      </w:tr>
      <w:tr w:rsidR="00AC4AAE" w:rsidRPr="00AC4AAE" w:rsidTr="00AC4AAE">
        <w:tc>
          <w:tcPr>
            <w:tcW w:w="0" w:type="auto"/>
            <w:vMerge/>
            <w:tcBorders>
              <w:top w:val="single" w:sz="4" w:space="0" w:color="auto"/>
              <w:left w:val="nil"/>
              <w:bottom w:val="single" w:sz="4" w:space="0" w:color="auto"/>
              <w:right w:val="nil"/>
            </w:tcBorders>
            <w:vAlign w:val="center"/>
            <w:hideMark/>
          </w:tcPr>
          <w:p w:rsidR="00AC4AAE" w:rsidRPr="00AC4AAE" w:rsidRDefault="00AC4AAE" w:rsidP="00AC4AAE">
            <w:pPr>
              <w:rPr>
                <w:rFonts w:ascii="Arial" w:hAnsi="Arial" w:cs="Arial"/>
                <w:b/>
              </w:rPr>
            </w:pPr>
          </w:p>
        </w:tc>
        <w:tc>
          <w:tcPr>
            <w:tcW w:w="0" w:type="auto"/>
            <w:vMerge/>
            <w:tcBorders>
              <w:top w:val="single" w:sz="4" w:space="0" w:color="auto"/>
              <w:left w:val="nil"/>
              <w:bottom w:val="single" w:sz="4" w:space="0" w:color="auto"/>
              <w:right w:val="nil"/>
            </w:tcBorders>
            <w:vAlign w:val="center"/>
            <w:hideMark/>
          </w:tcPr>
          <w:p w:rsidR="00AC4AAE" w:rsidRPr="00AC4AAE" w:rsidRDefault="00AC4AAE" w:rsidP="00AC4AAE">
            <w:pPr>
              <w:rPr>
                <w:rFonts w:ascii="Arial" w:hAnsi="Arial" w:cs="Arial"/>
                <w:b/>
                <w:color w:val="000000"/>
              </w:rPr>
            </w:pPr>
          </w:p>
        </w:tc>
        <w:tc>
          <w:tcPr>
            <w:tcW w:w="1556" w:type="dxa"/>
            <w:gridSpan w:val="2"/>
            <w:tcBorders>
              <w:top w:val="nil"/>
              <w:left w:val="nil"/>
              <w:bottom w:val="single" w:sz="4" w:space="0" w:color="auto"/>
              <w:right w:val="nil"/>
            </w:tcBorders>
            <w:hideMark/>
          </w:tcPr>
          <w:p w:rsidR="00AC4AAE" w:rsidRPr="00AC4AAE" w:rsidRDefault="00AC4AAE" w:rsidP="00AC4AAE">
            <w:pPr>
              <w:rPr>
                <w:rFonts w:ascii="Arial" w:hAnsi="Arial" w:cs="Arial"/>
                <w:b/>
              </w:rPr>
            </w:pPr>
            <w:r w:rsidRPr="00AC4AAE">
              <w:rPr>
                <w:rFonts w:ascii="Arial" w:hAnsi="Arial" w:cs="Arial"/>
                <w:b/>
              </w:rPr>
              <w:t>IPS Stat.</w:t>
            </w:r>
          </w:p>
        </w:tc>
        <w:tc>
          <w:tcPr>
            <w:tcW w:w="1057" w:type="dxa"/>
            <w:tcBorders>
              <w:top w:val="nil"/>
              <w:left w:val="nil"/>
              <w:bottom w:val="single" w:sz="4" w:space="0" w:color="auto"/>
              <w:right w:val="nil"/>
            </w:tcBorders>
            <w:hideMark/>
          </w:tcPr>
          <w:p w:rsidR="00AC4AAE" w:rsidRPr="00AC4AAE" w:rsidRDefault="00AC4AAE" w:rsidP="00AC4AAE">
            <w:pPr>
              <w:rPr>
                <w:rFonts w:ascii="Arial" w:hAnsi="Arial" w:cs="Arial"/>
                <w:b/>
              </w:rPr>
            </w:pPr>
            <w:r w:rsidRPr="00AC4AAE">
              <w:rPr>
                <w:rFonts w:ascii="Arial" w:hAnsi="Arial" w:cs="Arial"/>
                <w:b/>
              </w:rPr>
              <w:t>p-value</w:t>
            </w:r>
          </w:p>
        </w:tc>
        <w:tc>
          <w:tcPr>
            <w:tcW w:w="1875" w:type="dxa"/>
            <w:tcBorders>
              <w:top w:val="nil"/>
              <w:left w:val="nil"/>
              <w:bottom w:val="single" w:sz="4" w:space="0" w:color="auto"/>
              <w:right w:val="nil"/>
            </w:tcBorders>
            <w:hideMark/>
          </w:tcPr>
          <w:p w:rsidR="00AC4AAE" w:rsidRPr="00AC4AAE" w:rsidRDefault="00AC4AAE" w:rsidP="00AC4AAE">
            <w:pPr>
              <w:rPr>
                <w:rFonts w:ascii="Arial" w:hAnsi="Arial" w:cs="Arial"/>
                <w:b/>
              </w:rPr>
            </w:pPr>
            <w:r w:rsidRPr="00AC4AAE">
              <w:rPr>
                <w:rFonts w:ascii="Arial" w:hAnsi="Arial" w:cs="Arial"/>
                <w:b/>
              </w:rPr>
              <w:t>CCE-ADF (</w:t>
            </w:r>
            <m:oMath>
              <m:sSubSup>
                <m:sSubSupPr>
                  <m:ctrlPr>
                    <w:rPr>
                      <w:rFonts w:ascii="Cambria Math" w:hAnsi="Arial" w:cs="Arial"/>
                      <w:b/>
                      <w:i/>
                    </w:rPr>
                  </m:ctrlPr>
                </m:sSubSupPr>
                <m:e>
                  <m:r>
                    <m:rPr>
                      <m:sty m:val="bi"/>
                    </m:rPr>
                    <w:rPr>
                      <w:rFonts w:ascii="Cambria Math" w:hAnsi="Cambria Math" w:cs="Arial"/>
                    </w:rPr>
                    <m:t>t</m:t>
                  </m:r>
                </m:e>
                <m:sub>
                  <m:r>
                    <m:rPr>
                      <m:sty m:val="bi"/>
                    </m:rPr>
                    <w:rPr>
                      <w:rFonts w:ascii="Cambria Math" w:hAnsi="Cambria Math" w:cs="Arial"/>
                    </w:rPr>
                    <m:t>i</m:t>
                  </m:r>
                </m:sub>
                <m:sup>
                  <m:r>
                    <m:rPr>
                      <m:sty m:val="bi"/>
                    </m:rPr>
                    <w:rPr>
                      <w:rFonts w:ascii="Cambria Math" w:hAnsi="Cambria Math" w:cs="Arial"/>
                    </w:rPr>
                    <m:t>CCE</m:t>
                  </m:r>
                </m:sup>
              </m:sSubSup>
            </m:oMath>
            <w:r w:rsidRPr="00AC4AAE">
              <w:rPr>
                <w:rFonts w:ascii="Arial" w:hAnsi="Arial" w:cs="Arial"/>
                <w:b/>
              </w:rPr>
              <w:t>)</w:t>
            </w:r>
          </w:p>
        </w:tc>
        <w:tc>
          <w:tcPr>
            <w:tcW w:w="1150" w:type="dxa"/>
            <w:tcBorders>
              <w:top w:val="nil"/>
              <w:left w:val="nil"/>
              <w:bottom w:val="single" w:sz="4" w:space="0" w:color="auto"/>
              <w:right w:val="nil"/>
            </w:tcBorders>
            <w:hideMark/>
          </w:tcPr>
          <w:p w:rsidR="00AC4AAE" w:rsidRPr="00AC4AAE" w:rsidRDefault="00AC4AAE" w:rsidP="00AC4AAE">
            <w:pPr>
              <w:rPr>
                <w:rFonts w:ascii="Arial" w:hAnsi="Arial" w:cs="Arial"/>
                <w:b/>
              </w:rPr>
            </w:pPr>
            <w:r w:rsidRPr="00AC4AAE">
              <w:rPr>
                <w:rFonts w:ascii="Arial" w:hAnsi="Arial" w:cs="Arial"/>
                <w:b/>
              </w:rPr>
              <w:t>p-value</w:t>
            </w:r>
          </w:p>
        </w:tc>
      </w:tr>
      <w:tr w:rsidR="00AC4AAE" w:rsidRPr="00AC4AAE" w:rsidTr="00AC4AAE">
        <w:tc>
          <w:tcPr>
            <w:tcW w:w="8774" w:type="dxa"/>
            <w:gridSpan w:val="7"/>
            <w:tcBorders>
              <w:top w:val="single" w:sz="4" w:space="0" w:color="auto"/>
              <w:left w:val="nil"/>
              <w:bottom w:val="nil"/>
              <w:right w:val="nil"/>
            </w:tcBorders>
            <w:vAlign w:val="center"/>
            <w:hideMark/>
          </w:tcPr>
          <w:p w:rsidR="00AC4AAE" w:rsidRPr="00AC4AAE" w:rsidRDefault="00AC4AAE" w:rsidP="00AC4AAE">
            <w:pPr>
              <w:jc w:val="center"/>
              <w:rPr>
                <w:rFonts w:ascii="Arial" w:hAnsi="Arial" w:cs="Arial"/>
                <w:b/>
              </w:rPr>
            </w:pPr>
            <w:r w:rsidRPr="00AC4AAE">
              <w:rPr>
                <w:rFonts w:ascii="Arial" w:hAnsi="Arial" w:cs="Arial"/>
                <w:b/>
              </w:rPr>
              <w:t>Log Panels in Levels</w:t>
            </w:r>
          </w:p>
        </w:tc>
      </w:tr>
      <w:tr w:rsidR="00AC4AAE" w:rsidRPr="00AC4AAE" w:rsidTr="00AC4AAE">
        <w:tc>
          <w:tcPr>
            <w:tcW w:w="1080" w:type="dxa"/>
            <w:vMerge w:val="restart"/>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LHDI</w:t>
            </w: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 xml:space="preserve">Intercept only </w:t>
            </w:r>
          </w:p>
        </w:tc>
        <w:tc>
          <w:tcPr>
            <w:tcW w:w="1556"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-0.10674</w:t>
            </w:r>
          </w:p>
        </w:tc>
        <w:tc>
          <w:tcPr>
            <w:tcW w:w="1057"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0.4575</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-0.8802</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0.4030</w:t>
            </w:r>
          </w:p>
        </w:tc>
      </w:tr>
      <w:tr w:rsidR="00AC4AAE" w:rsidRPr="00AC4AAE" w:rsidTr="00AC4AAE">
        <w:tc>
          <w:tcPr>
            <w:tcW w:w="0" w:type="auto"/>
            <w:vMerge/>
            <w:tcBorders>
              <w:top w:val="nil"/>
              <w:left w:val="nil"/>
              <w:bottom w:val="nil"/>
              <w:right w:val="nil"/>
            </w:tcBorders>
            <w:vAlign w:val="center"/>
            <w:hideMark/>
          </w:tcPr>
          <w:p w:rsidR="00AC4AAE" w:rsidRPr="00AC4AAE" w:rsidRDefault="00AC4AAE" w:rsidP="00AC4AAE">
            <w:pPr>
              <w:rPr>
                <w:rFonts w:ascii="Arial" w:hAnsi="Arial" w:cs="Arial"/>
              </w:rPr>
            </w:pP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Intercept &amp; trend</w:t>
            </w:r>
          </w:p>
        </w:tc>
        <w:tc>
          <w:tcPr>
            <w:tcW w:w="1556"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0.89742</w:t>
            </w:r>
          </w:p>
        </w:tc>
        <w:tc>
          <w:tcPr>
            <w:tcW w:w="1057"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0.8153</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1.6503</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0.5308</w:t>
            </w:r>
          </w:p>
        </w:tc>
      </w:tr>
      <w:tr w:rsidR="00AC4AAE" w:rsidRPr="00AC4AAE" w:rsidTr="00AC4AAE">
        <w:tc>
          <w:tcPr>
            <w:tcW w:w="1080" w:type="dxa"/>
            <w:vMerge w:val="restart"/>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LLEB</w:t>
            </w: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 xml:space="preserve">Intercept only </w:t>
            </w:r>
          </w:p>
        </w:tc>
        <w:tc>
          <w:tcPr>
            <w:tcW w:w="1556"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-1.64092</w:t>
            </w:r>
          </w:p>
        </w:tc>
        <w:tc>
          <w:tcPr>
            <w:tcW w:w="1057"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0.3474</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-0.9632</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0.5712</w:t>
            </w:r>
          </w:p>
        </w:tc>
      </w:tr>
      <w:tr w:rsidR="00AC4AAE" w:rsidRPr="00AC4AAE" w:rsidTr="00AC4AAE">
        <w:tc>
          <w:tcPr>
            <w:tcW w:w="0" w:type="auto"/>
            <w:vMerge/>
            <w:tcBorders>
              <w:top w:val="nil"/>
              <w:left w:val="nil"/>
              <w:bottom w:val="nil"/>
              <w:right w:val="nil"/>
            </w:tcBorders>
            <w:vAlign w:val="center"/>
            <w:hideMark/>
          </w:tcPr>
          <w:p w:rsidR="00AC4AAE" w:rsidRPr="00AC4AAE" w:rsidRDefault="00AC4AAE" w:rsidP="00AC4AAE">
            <w:pPr>
              <w:rPr>
                <w:rFonts w:ascii="Arial" w:hAnsi="Arial" w:cs="Arial"/>
              </w:rPr>
            </w:pP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Intercept &amp; trend</w:t>
            </w:r>
          </w:p>
        </w:tc>
        <w:tc>
          <w:tcPr>
            <w:tcW w:w="1556"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-2.24192</w:t>
            </w:r>
          </w:p>
        </w:tc>
        <w:tc>
          <w:tcPr>
            <w:tcW w:w="1057"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0.2461</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1.7803</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0.4182</w:t>
            </w:r>
          </w:p>
        </w:tc>
      </w:tr>
      <w:tr w:rsidR="00AC4AAE" w:rsidRPr="00AC4AAE" w:rsidTr="00AC4AAE">
        <w:tc>
          <w:tcPr>
            <w:tcW w:w="1080" w:type="dxa"/>
            <w:vMerge w:val="restart"/>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LFR</w:t>
            </w: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 xml:space="preserve">Intercept only </w:t>
            </w:r>
          </w:p>
        </w:tc>
        <w:tc>
          <w:tcPr>
            <w:tcW w:w="1556"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-1.28635</w:t>
            </w:r>
          </w:p>
        </w:tc>
        <w:tc>
          <w:tcPr>
            <w:tcW w:w="1057"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0.1271</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-0.8253</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0.6052</w:t>
            </w:r>
          </w:p>
        </w:tc>
      </w:tr>
      <w:tr w:rsidR="00AC4AAE" w:rsidRPr="00AC4AAE" w:rsidTr="00AC4AAE">
        <w:tc>
          <w:tcPr>
            <w:tcW w:w="0" w:type="auto"/>
            <w:vMerge/>
            <w:tcBorders>
              <w:top w:val="nil"/>
              <w:left w:val="nil"/>
              <w:bottom w:val="nil"/>
              <w:right w:val="nil"/>
            </w:tcBorders>
            <w:vAlign w:val="center"/>
            <w:hideMark/>
          </w:tcPr>
          <w:p w:rsidR="00AC4AAE" w:rsidRPr="00AC4AAE" w:rsidRDefault="00AC4AAE" w:rsidP="00AC4AAE">
            <w:pPr>
              <w:rPr>
                <w:rFonts w:ascii="Arial" w:hAnsi="Arial" w:cs="Arial"/>
              </w:rPr>
            </w:pP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Intercept &amp; trend</w:t>
            </w:r>
          </w:p>
        </w:tc>
        <w:tc>
          <w:tcPr>
            <w:tcW w:w="1556"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-0.22681</w:t>
            </w:r>
          </w:p>
        </w:tc>
        <w:tc>
          <w:tcPr>
            <w:tcW w:w="1057"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0.1135</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1.7473</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0.5172</w:t>
            </w:r>
          </w:p>
        </w:tc>
      </w:tr>
      <w:tr w:rsidR="00AC4AAE" w:rsidRPr="00AC4AAE" w:rsidTr="00AC4AAE">
        <w:tc>
          <w:tcPr>
            <w:tcW w:w="1080" w:type="dxa"/>
            <w:vMerge w:val="restart"/>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LUR</w:t>
            </w: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 xml:space="preserve">Intercept only </w:t>
            </w:r>
          </w:p>
        </w:tc>
        <w:tc>
          <w:tcPr>
            <w:tcW w:w="1556"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-1.20656</w:t>
            </w:r>
          </w:p>
        </w:tc>
        <w:tc>
          <w:tcPr>
            <w:tcW w:w="1057"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0.5007</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-0.5695</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0.4144</w:t>
            </w:r>
          </w:p>
        </w:tc>
      </w:tr>
      <w:tr w:rsidR="00AC4AAE" w:rsidRPr="00AC4AAE" w:rsidTr="00AC4AAE">
        <w:tc>
          <w:tcPr>
            <w:tcW w:w="0" w:type="auto"/>
            <w:vMerge/>
            <w:tcBorders>
              <w:top w:val="nil"/>
              <w:left w:val="nil"/>
              <w:bottom w:val="nil"/>
              <w:right w:val="nil"/>
            </w:tcBorders>
            <w:vAlign w:val="center"/>
            <w:hideMark/>
          </w:tcPr>
          <w:p w:rsidR="00AC4AAE" w:rsidRPr="00AC4AAE" w:rsidRDefault="00AC4AAE" w:rsidP="00AC4AAE">
            <w:pPr>
              <w:rPr>
                <w:rFonts w:ascii="Arial" w:hAnsi="Arial" w:cs="Arial"/>
              </w:rPr>
            </w:pP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Intercept &amp; trend</w:t>
            </w:r>
          </w:p>
        </w:tc>
        <w:tc>
          <w:tcPr>
            <w:tcW w:w="1556"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-0.35404</w:t>
            </w:r>
          </w:p>
        </w:tc>
        <w:tc>
          <w:tcPr>
            <w:tcW w:w="1057"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0.4393</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1.7788</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0.4293</w:t>
            </w:r>
          </w:p>
        </w:tc>
      </w:tr>
      <w:tr w:rsidR="00AC4AAE" w:rsidRPr="00AC4AAE" w:rsidTr="00AC4AAE">
        <w:tc>
          <w:tcPr>
            <w:tcW w:w="1080" w:type="dxa"/>
            <w:vMerge w:val="restart"/>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LDR</w:t>
            </w: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 xml:space="preserve">Intercept only </w:t>
            </w:r>
          </w:p>
        </w:tc>
        <w:tc>
          <w:tcPr>
            <w:tcW w:w="1556"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-0.01856</w:t>
            </w:r>
          </w:p>
        </w:tc>
        <w:tc>
          <w:tcPr>
            <w:tcW w:w="1057"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0.4926</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-0.6518</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0.2852</w:t>
            </w:r>
          </w:p>
        </w:tc>
      </w:tr>
      <w:tr w:rsidR="00AC4AAE" w:rsidRPr="00AC4AAE" w:rsidTr="00AC4AAE">
        <w:tc>
          <w:tcPr>
            <w:tcW w:w="0" w:type="auto"/>
            <w:vMerge/>
            <w:tcBorders>
              <w:top w:val="nil"/>
              <w:left w:val="nil"/>
              <w:bottom w:val="nil"/>
              <w:right w:val="nil"/>
            </w:tcBorders>
            <w:vAlign w:val="center"/>
            <w:hideMark/>
          </w:tcPr>
          <w:p w:rsidR="00AC4AAE" w:rsidRPr="00AC4AAE" w:rsidRDefault="00AC4AAE" w:rsidP="00AC4AAE">
            <w:pPr>
              <w:rPr>
                <w:rFonts w:ascii="Arial" w:hAnsi="Arial" w:cs="Arial"/>
              </w:rPr>
            </w:pP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Intercept &amp; trend</w:t>
            </w:r>
          </w:p>
        </w:tc>
        <w:tc>
          <w:tcPr>
            <w:tcW w:w="1556"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-0.94059</w:t>
            </w:r>
          </w:p>
        </w:tc>
        <w:tc>
          <w:tcPr>
            <w:tcW w:w="1057"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0.1735</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1.7914</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0.5595</w:t>
            </w:r>
          </w:p>
        </w:tc>
      </w:tr>
      <w:tr w:rsidR="00AC4AAE" w:rsidRPr="00AC4AAE" w:rsidTr="00AC4AAE">
        <w:tc>
          <w:tcPr>
            <w:tcW w:w="1080" w:type="dxa"/>
            <w:vMerge w:val="restart"/>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LFLP</w:t>
            </w: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 xml:space="preserve">Intercept only </w:t>
            </w:r>
          </w:p>
        </w:tc>
        <w:tc>
          <w:tcPr>
            <w:tcW w:w="1556"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-1.31795</w:t>
            </w:r>
          </w:p>
        </w:tc>
        <w:tc>
          <w:tcPr>
            <w:tcW w:w="1057"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0.6253</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-0.9054</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0.3341</w:t>
            </w:r>
          </w:p>
        </w:tc>
      </w:tr>
      <w:tr w:rsidR="00AC4AAE" w:rsidRPr="00AC4AAE" w:rsidTr="00AC4AAE">
        <w:tc>
          <w:tcPr>
            <w:tcW w:w="0" w:type="auto"/>
            <w:vMerge/>
            <w:tcBorders>
              <w:top w:val="nil"/>
              <w:left w:val="nil"/>
              <w:bottom w:val="nil"/>
              <w:right w:val="nil"/>
            </w:tcBorders>
            <w:vAlign w:val="center"/>
            <w:hideMark/>
          </w:tcPr>
          <w:p w:rsidR="00AC4AAE" w:rsidRPr="00AC4AAE" w:rsidRDefault="00AC4AAE" w:rsidP="00AC4AAE">
            <w:pPr>
              <w:rPr>
                <w:rFonts w:ascii="Arial" w:hAnsi="Arial" w:cs="Arial"/>
              </w:rPr>
            </w:pP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Intercept &amp; trend</w:t>
            </w:r>
          </w:p>
        </w:tc>
        <w:tc>
          <w:tcPr>
            <w:tcW w:w="1556"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-0.17813</w:t>
            </w:r>
          </w:p>
        </w:tc>
        <w:tc>
          <w:tcPr>
            <w:tcW w:w="1057"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0.6174</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1.7837</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0.4741</w:t>
            </w:r>
          </w:p>
        </w:tc>
      </w:tr>
      <w:tr w:rsidR="00AC4AAE" w:rsidRPr="00AC4AAE" w:rsidTr="00AC4AAE">
        <w:tc>
          <w:tcPr>
            <w:tcW w:w="8774" w:type="dxa"/>
            <w:gridSpan w:val="7"/>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b/>
              </w:rPr>
              <w:t>First and Second Generation First Difference of Log Panels</w:t>
            </w:r>
          </w:p>
        </w:tc>
      </w:tr>
      <w:tr w:rsidR="00AC4AAE" w:rsidRPr="00AC4AAE" w:rsidTr="00AC4AAE">
        <w:tc>
          <w:tcPr>
            <w:tcW w:w="1080" w:type="dxa"/>
            <w:vMerge w:val="restart"/>
            <w:tcBorders>
              <w:top w:val="nil"/>
              <w:left w:val="nil"/>
              <w:bottom w:val="nil"/>
              <w:right w:val="nil"/>
            </w:tcBorders>
            <w:hideMark/>
          </w:tcPr>
          <w:p w:rsidR="00AC4AAE" w:rsidRPr="00AC4AAE" w:rsidRDefault="00AC4AAE" w:rsidP="00AC4AAE">
            <w:pPr>
              <w:rPr>
                <w:rFonts w:ascii="Arial" w:hAnsi="Arial" w:cs="Arial"/>
              </w:rPr>
            </w:pPr>
            <m:oMath>
              <m:r>
                <w:rPr>
                  <w:rFonts w:ascii="Arial" w:hAnsi="Arial" w:cs="Arial"/>
                </w:rPr>
                <m:t>∆</m:t>
              </m:r>
              <m:r>
                <w:rPr>
                  <w:rFonts w:ascii="Cambria Math" w:hAnsi="Cambria Math" w:cs="Arial"/>
                </w:rPr>
                <m:t>L</m:t>
              </m:r>
            </m:oMath>
            <w:r w:rsidRPr="00AC4AAE">
              <w:rPr>
                <w:rFonts w:ascii="Arial" w:hAnsi="Arial" w:cs="Arial"/>
              </w:rPr>
              <w:t>HDI</w:t>
            </w: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 xml:space="preserve">Intercept only </w:t>
            </w:r>
          </w:p>
        </w:tc>
        <w:tc>
          <w:tcPr>
            <w:tcW w:w="142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-4.14947</w:t>
            </w:r>
          </w:p>
        </w:tc>
        <w:tc>
          <w:tcPr>
            <w:tcW w:w="1187"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-10.6603</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0.0000</w:t>
            </w:r>
          </w:p>
        </w:tc>
      </w:tr>
      <w:tr w:rsidR="00AC4AAE" w:rsidRPr="00AC4AAE" w:rsidTr="00AC4AAE">
        <w:tc>
          <w:tcPr>
            <w:tcW w:w="0" w:type="auto"/>
            <w:vMerge/>
            <w:tcBorders>
              <w:top w:val="nil"/>
              <w:left w:val="nil"/>
              <w:bottom w:val="nil"/>
              <w:right w:val="nil"/>
            </w:tcBorders>
            <w:vAlign w:val="center"/>
            <w:hideMark/>
          </w:tcPr>
          <w:p w:rsidR="00AC4AAE" w:rsidRPr="00AC4AAE" w:rsidRDefault="00AC4AAE" w:rsidP="00AC4AAE">
            <w:pPr>
              <w:rPr>
                <w:rFonts w:ascii="Arial" w:hAnsi="Arial" w:cs="Arial"/>
              </w:rPr>
            </w:pP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Intercept &amp; trend</w:t>
            </w:r>
          </w:p>
        </w:tc>
        <w:tc>
          <w:tcPr>
            <w:tcW w:w="142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-4.47672</w:t>
            </w:r>
          </w:p>
        </w:tc>
        <w:tc>
          <w:tcPr>
            <w:tcW w:w="1187"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-10.7272</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0.0000</w:t>
            </w:r>
          </w:p>
        </w:tc>
      </w:tr>
      <w:tr w:rsidR="00AC4AAE" w:rsidRPr="00AC4AAE" w:rsidTr="00AC4AAE">
        <w:tc>
          <w:tcPr>
            <w:tcW w:w="1080" w:type="dxa"/>
            <w:vMerge w:val="restart"/>
            <w:tcBorders>
              <w:top w:val="nil"/>
              <w:left w:val="nil"/>
              <w:bottom w:val="nil"/>
              <w:right w:val="nil"/>
            </w:tcBorders>
            <w:hideMark/>
          </w:tcPr>
          <w:p w:rsidR="00AC4AAE" w:rsidRPr="00AC4AAE" w:rsidRDefault="00AC4AAE" w:rsidP="00AC4AAE">
            <w:pPr>
              <w:rPr>
                <w:rFonts w:ascii="Arial" w:hAnsi="Arial" w:cs="Arial"/>
              </w:rPr>
            </w:pPr>
            <m:oMath>
              <m:r>
                <w:rPr>
                  <w:rFonts w:ascii="Arial" w:hAnsi="Arial" w:cs="Arial"/>
                </w:rPr>
                <m:t>∆</m:t>
              </m:r>
              <m:r>
                <w:rPr>
                  <w:rFonts w:ascii="Cambria Math" w:hAnsi="Cambria Math" w:cs="Arial"/>
                </w:rPr>
                <m:t>L</m:t>
              </m:r>
            </m:oMath>
            <w:r w:rsidRPr="00AC4AAE">
              <w:rPr>
                <w:rFonts w:ascii="Arial" w:hAnsi="Arial" w:cs="Arial"/>
              </w:rPr>
              <w:t>LEB</w:t>
            </w: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 xml:space="preserve">Intercept only </w:t>
            </w:r>
          </w:p>
        </w:tc>
        <w:tc>
          <w:tcPr>
            <w:tcW w:w="142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-6.76872</w:t>
            </w:r>
          </w:p>
        </w:tc>
        <w:tc>
          <w:tcPr>
            <w:tcW w:w="1187"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-8.7054</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0.0000</w:t>
            </w:r>
          </w:p>
        </w:tc>
      </w:tr>
      <w:tr w:rsidR="00AC4AAE" w:rsidRPr="00AC4AAE" w:rsidTr="00AC4AAE">
        <w:tc>
          <w:tcPr>
            <w:tcW w:w="0" w:type="auto"/>
            <w:vMerge/>
            <w:tcBorders>
              <w:top w:val="nil"/>
              <w:left w:val="nil"/>
              <w:bottom w:val="nil"/>
              <w:right w:val="nil"/>
            </w:tcBorders>
            <w:vAlign w:val="center"/>
            <w:hideMark/>
          </w:tcPr>
          <w:p w:rsidR="00AC4AAE" w:rsidRPr="00AC4AAE" w:rsidRDefault="00AC4AAE" w:rsidP="00AC4AAE">
            <w:pPr>
              <w:rPr>
                <w:rFonts w:ascii="Arial" w:hAnsi="Arial" w:cs="Arial"/>
              </w:rPr>
            </w:pP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Intercept &amp; trend</w:t>
            </w:r>
          </w:p>
        </w:tc>
        <w:tc>
          <w:tcPr>
            <w:tcW w:w="142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-6.44908</w:t>
            </w:r>
          </w:p>
        </w:tc>
        <w:tc>
          <w:tcPr>
            <w:tcW w:w="1187"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-8.2351</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0.0000</w:t>
            </w:r>
          </w:p>
        </w:tc>
      </w:tr>
      <w:tr w:rsidR="00AC4AAE" w:rsidRPr="00AC4AAE" w:rsidTr="00AC4AAE">
        <w:tc>
          <w:tcPr>
            <w:tcW w:w="1080" w:type="dxa"/>
            <w:vMerge w:val="restart"/>
            <w:tcBorders>
              <w:top w:val="nil"/>
              <w:left w:val="nil"/>
              <w:bottom w:val="nil"/>
              <w:right w:val="nil"/>
            </w:tcBorders>
            <w:hideMark/>
          </w:tcPr>
          <w:p w:rsidR="00AC4AAE" w:rsidRPr="00AC4AAE" w:rsidRDefault="00AC4AAE" w:rsidP="00AC4AAE">
            <w:pPr>
              <w:rPr>
                <w:rFonts w:ascii="Arial" w:hAnsi="Arial" w:cs="Arial"/>
                <w:i/>
              </w:rPr>
            </w:pPr>
            <m:oMath>
              <m:r>
                <w:rPr>
                  <w:rFonts w:ascii="Cambria Math" w:hAnsi="Cambria Math" w:cs="Arial"/>
                </w:rPr>
                <m:t>∆L</m:t>
              </m:r>
            </m:oMath>
            <w:r w:rsidRPr="00AC4AAE">
              <w:rPr>
                <w:rFonts w:ascii="Arial" w:hAnsi="Arial" w:cs="Arial"/>
                <w:i/>
              </w:rPr>
              <w:t>FR</w:t>
            </w: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 xml:space="preserve">Intercept only </w:t>
            </w:r>
          </w:p>
        </w:tc>
        <w:tc>
          <w:tcPr>
            <w:tcW w:w="142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-7.55148</w:t>
            </w:r>
          </w:p>
        </w:tc>
        <w:tc>
          <w:tcPr>
            <w:tcW w:w="1187"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-10.5823</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0.0000</w:t>
            </w:r>
          </w:p>
        </w:tc>
      </w:tr>
      <w:tr w:rsidR="00AC4AAE" w:rsidRPr="00AC4AAE" w:rsidTr="00AC4AAE">
        <w:tc>
          <w:tcPr>
            <w:tcW w:w="0" w:type="auto"/>
            <w:vMerge/>
            <w:tcBorders>
              <w:top w:val="nil"/>
              <w:left w:val="nil"/>
              <w:bottom w:val="nil"/>
              <w:right w:val="nil"/>
            </w:tcBorders>
            <w:vAlign w:val="center"/>
            <w:hideMark/>
          </w:tcPr>
          <w:p w:rsidR="00AC4AAE" w:rsidRPr="00AC4AAE" w:rsidRDefault="00AC4AAE" w:rsidP="00AC4AAE">
            <w:pPr>
              <w:rPr>
                <w:rFonts w:ascii="Arial" w:hAnsi="Arial" w:cs="Arial"/>
                <w:i/>
              </w:rPr>
            </w:pP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Intercept &amp; trend</w:t>
            </w:r>
          </w:p>
        </w:tc>
        <w:tc>
          <w:tcPr>
            <w:tcW w:w="142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-6.18210</w:t>
            </w:r>
          </w:p>
        </w:tc>
        <w:tc>
          <w:tcPr>
            <w:tcW w:w="1187"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-10.5491</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0.0000</w:t>
            </w:r>
          </w:p>
        </w:tc>
      </w:tr>
      <w:tr w:rsidR="00AC4AAE" w:rsidRPr="00AC4AAE" w:rsidTr="00AC4AAE">
        <w:tc>
          <w:tcPr>
            <w:tcW w:w="1080" w:type="dxa"/>
            <w:vMerge w:val="restart"/>
            <w:tcBorders>
              <w:top w:val="nil"/>
              <w:left w:val="nil"/>
              <w:bottom w:val="nil"/>
              <w:right w:val="nil"/>
            </w:tcBorders>
            <w:hideMark/>
          </w:tcPr>
          <w:p w:rsidR="00AC4AAE" w:rsidRPr="00AC4AAE" w:rsidRDefault="00AC4AAE" w:rsidP="00AC4AAE">
            <w:pPr>
              <w:rPr>
                <w:rFonts w:ascii="Arial" w:hAnsi="Arial" w:cs="Arial"/>
                <w:i/>
              </w:rPr>
            </w:pPr>
            <m:oMath>
              <m:r>
                <w:rPr>
                  <w:rFonts w:ascii="Cambria Math" w:hAnsi="Cambria Math" w:cs="Arial"/>
                </w:rPr>
                <m:t>∆L</m:t>
              </m:r>
            </m:oMath>
            <w:r w:rsidRPr="00AC4AAE">
              <w:rPr>
                <w:rFonts w:ascii="Arial" w:hAnsi="Arial" w:cs="Arial"/>
                <w:i/>
              </w:rPr>
              <w:t>UR</w:t>
            </w: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 xml:space="preserve">Intercept only </w:t>
            </w:r>
          </w:p>
        </w:tc>
        <w:tc>
          <w:tcPr>
            <w:tcW w:w="142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-7.40423</w:t>
            </w:r>
          </w:p>
        </w:tc>
        <w:tc>
          <w:tcPr>
            <w:tcW w:w="1187"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-10.7252</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0.0000</w:t>
            </w:r>
          </w:p>
        </w:tc>
      </w:tr>
      <w:tr w:rsidR="00AC4AAE" w:rsidRPr="00AC4AAE" w:rsidTr="00AC4AAE">
        <w:tc>
          <w:tcPr>
            <w:tcW w:w="0" w:type="auto"/>
            <w:vMerge/>
            <w:tcBorders>
              <w:top w:val="nil"/>
              <w:left w:val="nil"/>
              <w:bottom w:val="nil"/>
              <w:right w:val="nil"/>
            </w:tcBorders>
            <w:vAlign w:val="center"/>
            <w:hideMark/>
          </w:tcPr>
          <w:p w:rsidR="00AC4AAE" w:rsidRPr="00AC4AAE" w:rsidRDefault="00AC4AAE" w:rsidP="00AC4AAE">
            <w:pPr>
              <w:rPr>
                <w:rFonts w:ascii="Arial" w:hAnsi="Arial" w:cs="Arial"/>
                <w:i/>
              </w:rPr>
            </w:pP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Intercept &amp; trend</w:t>
            </w:r>
          </w:p>
        </w:tc>
        <w:tc>
          <w:tcPr>
            <w:tcW w:w="142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-6.04395</w:t>
            </w:r>
          </w:p>
        </w:tc>
        <w:tc>
          <w:tcPr>
            <w:tcW w:w="1187"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-10.3376</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0.0000</w:t>
            </w:r>
          </w:p>
        </w:tc>
      </w:tr>
      <w:tr w:rsidR="00AC4AAE" w:rsidRPr="00AC4AAE" w:rsidTr="00AC4AAE">
        <w:tc>
          <w:tcPr>
            <w:tcW w:w="1080" w:type="dxa"/>
            <w:vMerge w:val="restart"/>
            <w:tcBorders>
              <w:top w:val="nil"/>
              <w:left w:val="nil"/>
              <w:bottom w:val="nil"/>
              <w:right w:val="nil"/>
            </w:tcBorders>
            <w:hideMark/>
          </w:tcPr>
          <w:p w:rsidR="00AC4AAE" w:rsidRPr="00AC4AAE" w:rsidRDefault="00AC4AAE" w:rsidP="00AC4AAE">
            <w:pPr>
              <w:rPr>
                <w:rFonts w:ascii="Arial" w:hAnsi="Arial" w:cs="Arial"/>
                <w:i/>
              </w:rPr>
            </w:pPr>
            <m:oMath>
              <m:r>
                <w:rPr>
                  <w:rFonts w:ascii="Cambria Math" w:hAnsi="Cambria Math" w:cs="Arial"/>
                </w:rPr>
                <m:t>∆L</m:t>
              </m:r>
            </m:oMath>
            <w:r w:rsidRPr="00AC4AAE">
              <w:rPr>
                <w:rFonts w:ascii="Arial" w:hAnsi="Arial" w:cs="Arial"/>
                <w:i/>
              </w:rPr>
              <w:t>DR</w:t>
            </w: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 xml:space="preserve">Intercept only </w:t>
            </w:r>
          </w:p>
        </w:tc>
        <w:tc>
          <w:tcPr>
            <w:tcW w:w="142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-7.06935</w:t>
            </w:r>
          </w:p>
        </w:tc>
        <w:tc>
          <w:tcPr>
            <w:tcW w:w="1187"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-9.3480</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0.0000</w:t>
            </w:r>
          </w:p>
        </w:tc>
      </w:tr>
      <w:tr w:rsidR="00AC4AAE" w:rsidRPr="00AC4AAE" w:rsidTr="00AC4AAE">
        <w:tc>
          <w:tcPr>
            <w:tcW w:w="0" w:type="auto"/>
            <w:vMerge/>
            <w:tcBorders>
              <w:top w:val="nil"/>
              <w:left w:val="nil"/>
              <w:bottom w:val="nil"/>
              <w:right w:val="nil"/>
            </w:tcBorders>
            <w:vAlign w:val="center"/>
            <w:hideMark/>
          </w:tcPr>
          <w:p w:rsidR="00AC4AAE" w:rsidRPr="00AC4AAE" w:rsidRDefault="00AC4AAE" w:rsidP="00AC4AAE">
            <w:pPr>
              <w:rPr>
                <w:rFonts w:ascii="Arial" w:hAnsi="Arial" w:cs="Arial"/>
                <w:i/>
              </w:rPr>
            </w:pP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Intercept &amp; trend</w:t>
            </w:r>
          </w:p>
        </w:tc>
        <w:tc>
          <w:tcPr>
            <w:tcW w:w="142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-6.25374</w:t>
            </w:r>
          </w:p>
        </w:tc>
        <w:tc>
          <w:tcPr>
            <w:tcW w:w="1187"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-9.8217</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0.0000</w:t>
            </w:r>
          </w:p>
        </w:tc>
      </w:tr>
      <w:tr w:rsidR="00AC4AAE" w:rsidRPr="00AC4AAE" w:rsidTr="00AC4AAE">
        <w:tc>
          <w:tcPr>
            <w:tcW w:w="1080" w:type="dxa"/>
            <w:vMerge w:val="restart"/>
            <w:tcBorders>
              <w:top w:val="nil"/>
              <w:left w:val="nil"/>
              <w:bottom w:val="single" w:sz="4" w:space="0" w:color="auto"/>
              <w:right w:val="nil"/>
            </w:tcBorders>
            <w:hideMark/>
          </w:tcPr>
          <w:p w:rsidR="00AC4AAE" w:rsidRPr="00AC4AAE" w:rsidRDefault="00AC4AAE" w:rsidP="00AC4AAE">
            <w:pPr>
              <w:rPr>
                <w:rFonts w:ascii="Arial" w:hAnsi="Arial" w:cs="Arial"/>
                <w:i/>
              </w:rPr>
            </w:pPr>
            <m:oMath>
              <m:r>
                <w:rPr>
                  <w:rFonts w:ascii="Cambria Math" w:hAnsi="Cambria Math" w:cs="Arial"/>
                </w:rPr>
                <m:t>∆L</m:t>
              </m:r>
            </m:oMath>
            <w:r w:rsidRPr="00AC4AAE">
              <w:rPr>
                <w:rFonts w:ascii="Arial" w:hAnsi="Arial" w:cs="Arial"/>
                <w:i/>
              </w:rPr>
              <w:t>FLP</w:t>
            </w:r>
          </w:p>
        </w:tc>
        <w:tc>
          <w:tcPr>
            <w:tcW w:w="205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 xml:space="preserve">Intercept only </w:t>
            </w:r>
          </w:p>
        </w:tc>
        <w:tc>
          <w:tcPr>
            <w:tcW w:w="1426" w:type="dxa"/>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-7.01661</w:t>
            </w:r>
          </w:p>
        </w:tc>
        <w:tc>
          <w:tcPr>
            <w:tcW w:w="1187" w:type="dxa"/>
            <w:gridSpan w:val="2"/>
            <w:tcBorders>
              <w:top w:val="nil"/>
              <w:left w:val="nil"/>
              <w:bottom w:val="nil"/>
              <w:right w:val="nil"/>
            </w:tcBorders>
            <w:hideMark/>
          </w:tcPr>
          <w:p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-11.5646</w:t>
            </w:r>
          </w:p>
        </w:tc>
        <w:tc>
          <w:tcPr>
            <w:tcW w:w="1150" w:type="dxa"/>
            <w:tcBorders>
              <w:top w:val="nil"/>
              <w:left w:val="nil"/>
              <w:bottom w:val="nil"/>
              <w:right w:val="nil"/>
            </w:tcBorders>
            <w:hideMark/>
          </w:tcPr>
          <w:p w:rsidR="00AC4AAE" w:rsidRPr="00AC4AAE" w:rsidRDefault="00AC4AAE" w:rsidP="00AC4AAE">
            <w:pPr>
              <w:jc w:val="center"/>
              <w:rPr>
                <w:rFonts w:ascii="Arial" w:hAnsi="Arial" w:cs="Arial"/>
              </w:rPr>
            </w:pPr>
            <w:r w:rsidRPr="00AC4AAE">
              <w:rPr>
                <w:rFonts w:ascii="Arial" w:hAnsi="Arial" w:cs="Arial"/>
              </w:rPr>
              <w:t>0.0000</w:t>
            </w:r>
          </w:p>
        </w:tc>
      </w:tr>
      <w:tr w:rsidR="00AC4AAE" w:rsidRPr="00AC4AAE" w:rsidTr="00AC4AAE">
        <w:tc>
          <w:tcPr>
            <w:tcW w:w="0" w:type="auto"/>
            <w:vMerge/>
            <w:tcBorders>
              <w:top w:val="nil"/>
              <w:left w:val="nil"/>
              <w:bottom w:val="single" w:sz="4" w:space="0" w:color="auto"/>
              <w:right w:val="nil"/>
            </w:tcBorders>
            <w:vAlign w:val="center"/>
            <w:hideMark/>
          </w:tcPr>
          <w:p w:rsidR="00AC4AAE" w:rsidRPr="00AC4AAE" w:rsidRDefault="00AC4AAE" w:rsidP="00AC4AAE">
            <w:pPr>
              <w:rPr>
                <w:rFonts w:ascii="Arial" w:hAnsi="Arial" w:cs="Arial"/>
              </w:rPr>
            </w:pPr>
          </w:p>
        </w:tc>
        <w:tc>
          <w:tcPr>
            <w:tcW w:w="2056" w:type="dxa"/>
            <w:tcBorders>
              <w:top w:val="nil"/>
              <w:left w:val="nil"/>
              <w:bottom w:val="single" w:sz="4" w:space="0" w:color="auto"/>
              <w:right w:val="nil"/>
            </w:tcBorders>
            <w:hideMark/>
          </w:tcPr>
          <w:p w:rsidR="00AC4AAE" w:rsidRPr="00AC4AAE" w:rsidRDefault="00AC4AAE" w:rsidP="00AC4AAE">
            <w:pPr>
              <w:rPr>
                <w:rFonts w:ascii="Arial" w:hAnsi="Arial" w:cs="Arial"/>
              </w:rPr>
            </w:pPr>
            <w:r w:rsidRPr="00AC4AAE">
              <w:rPr>
                <w:rFonts w:ascii="Arial" w:hAnsi="Arial" w:cs="Arial"/>
              </w:rPr>
              <w:t>Intercept &amp; trend</w:t>
            </w:r>
          </w:p>
        </w:tc>
        <w:tc>
          <w:tcPr>
            <w:tcW w:w="1426" w:type="dxa"/>
            <w:tcBorders>
              <w:top w:val="nil"/>
              <w:left w:val="nil"/>
              <w:bottom w:val="single" w:sz="4" w:space="0" w:color="auto"/>
              <w:right w:val="nil"/>
            </w:tcBorders>
            <w:hideMark/>
          </w:tcPr>
          <w:p w:rsidR="00AC4AAE" w:rsidRPr="00AC4AAE" w:rsidRDefault="00AC4AAE" w:rsidP="00AC4AAE">
            <w:pPr>
              <w:rPr>
                <w:rFonts w:ascii="Arial" w:hAnsi="Arial" w:cs="Arial"/>
              </w:rPr>
            </w:pPr>
            <w:r w:rsidRPr="00AC4AAE">
              <w:rPr>
                <w:rFonts w:ascii="Arial" w:hAnsi="Arial" w:cs="Arial"/>
              </w:rPr>
              <w:t>-5.61511</w:t>
            </w:r>
          </w:p>
        </w:tc>
        <w:tc>
          <w:tcPr>
            <w:tcW w:w="1187" w:type="dxa"/>
            <w:gridSpan w:val="2"/>
            <w:tcBorders>
              <w:top w:val="nil"/>
              <w:left w:val="nil"/>
              <w:bottom w:val="single" w:sz="4" w:space="0" w:color="auto"/>
              <w:right w:val="nil"/>
            </w:tcBorders>
            <w:hideMark/>
          </w:tcPr>
          <w:p w:rsidR="00AC4AAE" w:rsidRPr="00AC4AAE" w:rsidRDefault="00AC4AAE" w:rsidP="00AC4AAE">
            <w:pPr>
              <w:rPr>
                <w:rFonts w:ascii="Arial" w:hAnsi="Arial" w:cs="Arial"/>
              </w:rPr>
            </w:pPr>
            <w:r w:rsidRPr="00AC4AAE">
              <w:rPr>
                <w:rFonts w:ascii="Arial" w:hAnsi="Arial" w:cs="Arial"/>
              </w:rPr>
              <w:t>0.0000</w:t>
            </w:r>
          </w:p>
        </w:tc>
        <w:tc>
          <w:tcPr>
            <w:tcW w:w="1875" w:type="dxa"/>
            <w:tcBorders>
              <w:top w:val="nil"/>
              <w:left w:val="nil"/>
              <w:bottom w:val="single" w:sz="4" w:space="0" w:color="auto"/>
              <w:right w:val="nil"/>
            </w:tcBorders>
            <w:hideMark/>
          </w:tcPr>
          <w:p w:rsidR="00AC4AAE" w:rsidRPr="00AC4AAE" w:rsidRDefault="00AC4AAE" w:rsidP="00AC4AAE">
            <w:pPr>
              <w:jc w:val="center"/>
              <w:rPr>
                <w:rFonts w:ascii="Arial" w:hAnsi="Arial" w:cs="Arial"/>
              </w:rPr>
            </w:pPr>
            <w:r w:rsidRPr="00AC4AAE">
              <w:rPr>
                <w:rFonts w:ascii="Arial" w:hAnsi="Arial" w:cs="Arial"/>
              </w:rPr>
              <w:t>-11.5094</w:t>
            </w:r>
          </w:p>
        </w:tc>
        <w:tc>
          <w:tcPr>
            <w:tcW w:w="1150" w:type="dxa"/>
            <w:tcBorders>
              <w:top w:val="nil"/>
              <w:left w:val="nil"/>
              <w:bottom w:val="single" w:sz="4" w:space="0" w:color="auto"/>
              <w:right w:val="nil"/>
            </w:tcBorders>
            <w:hideMark/>
          </w:tcPr>
          <w:p w:rsidR="00AC4AAE" w:rsidRPr="00AC4AAE" w:rsidRDefault="00AC4AAE" w:rsidP="00AC4AAE">
            <w:pPr>
              <w:jc w:val="center"/>
              <w:rPr>
                <w:rFonts w:ascii="Arial" w:hAnsi="Arial" w:cs="Arial"/>
              </w:rPr>
            </w:pPr>
            <w:r w:rsidRPr="00AC4AAE">
              <w:rPr>
                <w:rFonts w:ascii="Arial" w:hAnsi="Arial" w:cs="Arial"/>
              </w:rPr>
              <w:t>0.0000</w:t>
            </w:r>
          </w:p>
        </w:tc>
      </w:tr>
    </w:tbl>
    <w:p w:rsidR="00AC4AAE" w:rsidRPr="002A6EF5" w:rsidRDefault="00AC4AAE" w:rsidP="002A6EF5">
      <w:pPr>
        <w:pStyle w:val="NormalWeb"/>
        <w:spacing w:before="0" w:beforeAutospacing="0" w:after="0" w:afterAutospacing="0"/>
        <w:jc w:val="both"/>
        <w:rPr>
          <w:rFonts w:ascii="Arial" w:hAnsi="Arial" w:cs="Arial"/>
          <w:sz w:val="20"/>
          <w:szCs w:val="20"/>
        </w:rPr>
      </w:pPr>
      <w:r w:rsidRPr="002A6EF5">
        <w:rPr>
          <w:rFonts w:ascii="Arial" w:hAnsi="Arial" w:cs="Arial"/>
          <w:sz w:val="20"/>
          <w:szCs w:val="20"/>
        </w:rPr>
        <w:t xml:space="preserve">The first and second generation panel unit root tests results reported in Table 2 show that at levels, none of the variables are stationary under either the IPS or Pesaran CCE-ADF tests. For example, LHDI, LLEB, LFR, LUR, LDR, and LFLP all return insignificant p-values at levels, with intercept and with trend, all of which fail to reject the null hypothesis of a unit root. confirming the presence of non-stationarity. However, when the variables were transformed into their first differences, strong evidence of stationarity emerges across all variables and test specifications. For instance, </w:t>
      </w:r>
      <m:oMath>
        <m:r>
          <w:rPr>
            <w:rFonts w:ascii="Cambria Math" w:hAnsi="Cambria Math" w:cs="Arial"/>
            <w:sz w:val="20"/>
            <w:szCs w:val="20"/>
          </w:rPr>
          <m:t>∆</m:t>
        </m:r>
      </m:oMath>
      <w:r w:rsidRPr="002A6EF5">
        <w:rPr>
          <w:rFonts w:ascii="Arial" w:hAnsi="Arial" w:cs="Arial"/>
          <w:sz w:val="20"/>
          <w:szCs w:val="20"/>
        </w:rPr>
        <w:t xml:space="preserve">LHDI, </w:t>
      </w:r>
      <m:oMath>
        <m:r>
          <w:rPr>
            <w:rFonts w:ascii="Cambria Math" w:hAnsi="Cambria Math" w:cs="Arial"/>
            <w:sz w:val="20"/>
            <w:szCs w:val="20"/>
          </w:rPr>
          <m:t>∆</m:t>
        </m:r>
      </m:oMath>
      <w:r w:rsidRPr="002A6EF5">
        <w:rPr>
          <w:rFonts w:ascii="Arial" w:hAnsi="Arial" w:cs="Arial"/>
          <w:sz w:val="20"/>
          <w:szCs w:val="20"/>
        </w:rPr>
        <w:t xml:space="preserve">LLEB, </w:t>
      </w:r>
      <m:oMath>
        <m:r>
          <w:rPr>
            <w:rFonts w:ascii="Cambria Math" w:hAnsi="Cambria Math" w:cs="Arial"/>
            <w:sz w:val="20"/>
            <w:szCs w:val="20"/>
          </w:rPr>
          <m:t>∆</m:t>
        </m:r>
      </m:oMath>
      <w:r w:rsidRPr="002A6EF5">
        <w:rPr>
          <w:rFonts w:ascii="Arial" w:hAnsi="Arial" w:cs="Arial"/>
          <w:sz w:val="20"/>
          <w:szCs w:val="20"/>
        </w:rPr>
        <w:t xml:space="preserve">LFR, </w:t>
      </w:r>
      <m:oMath>
        <m:r>
          <w:rPr>
            <w:rFonts w:ascii="Cambria Math" w:hAnsi="Cambria Math" w:cs="Arial"/>
            <w:sz w:val="20"/>
            <w:szCs w:val="20"/>
          </w:rPr>
          <m:t>∆</m:t>
        </m:r>
      </m:oMath>
      <w:r w:rsidRPr="002A6EF5">
        <w:rPr>
          <w:rFonts w:ascii="Arial" w:hAnsi="Arial" w:cs="Arial"/>
          <w:sz w:val="20"/>
          <w:szCs w:val="20"/>
        </w:rPr>
        <w:t xml:space="preserve">LUR, </w:t>
      </w:r>
      <m:oMath>
        <m:r>
          <w:rPr>
            <w:rFonts w:ascii="Cambria Math" w:hAnsi="Cambria Math" w:cs="Arial"/>
            <w:sz w:val="20"/>
            <w:szCs w:val="20"/>
          </w:rPr>
          <m:t>∆</m:t>
        </m:r>
      </m:oMath>
      <w:r w:rsidRPr="002A6EF5">
        <w:rPr>
          <w:rFonts w:ascii="Arial" w:hAnsi="Arial" w:cs="Arial"/>
          <w:sz w:val="20"/>
          <w:szCs w:val="20"/>
        </w:rPr>
        <w:t xml:space="preserve">LDR, and </w:t>
      </w:r>
      <m:oMath>
        <m:r>
          <w:rPr>
            <w:rFonts w:ascii="Cambria Math" w:hAnsi="Cambria Math" w:cs="Arial"/>
            <w:sz w:val="20"/>
            <w:szCs w:val="20"/>
          </w:rPr>
          <m:t>∆</m:t>
        </m:r>
      </m:oMath>
      <w:r w:rsidRPr="002A6EF5">
        <w:rPr>
          <w:rFonts w:ascii="Arial" w:hAnsi="Arial" w:cs="Arial"/>
          <w:sz w:val="20"/>
          <w:szCs w:val="20"/>
        </w:rPr>
        <w:t xml:space="preserve">LFLP have significant p-values both under intercept only and with intercept and linear trend. </w:t>
      </w:r>
    </w:p>
    <w:p w:rsidR="00AC4AAE" w:rsidRPr="002A6EF5" w:rsidRDefault="00AC4AAE" w:rsidP="002A6EF5">
      <w:pPr>
        <w:pStyle w:val="NormalWeb"/>
        <w:spacing w:before="0" w:beforeAutospacing="0" w:after="0" w:afterAutospacing="0"/>
        <w:jc w:val="both"/>
        <w:rPr>
          <w:rFonts w:ascii="Arial" w:hAnsi="Arial" w:cs="Arial"/>
          <w:sz w:val="20"/>
          <w:szCs w:val="20"/>
        </w:rPr>
      </w:pPr>
      <w:r w:rsidRPr="002A6EF5">
        <w:rPr>
          <w:rFonts w:ascii="Arial" w:hAnsi="Arial" w:cs="Arial"/>
          <w:sz w:val="20"/>
          <w:szCs w:val="20"/>
        </w:rPr>
        <w:t>These findings indicate that the study variables are integrated of order one, I(1). In other words, they are non-stationary in levels but become stationary after first differencing. This implies that conventional regression on variables in levels could produce spurious results, but cointegration techniques can be applied to explore the existence of long-run equilibrium relationships among the variables.</w:t>
      </w:r>
    </w:p>
    <w:p w:rsidR="00AC4AAE" w:rsidRPr="002A6EF5" w:rsidRDefault="002A6EF5" w:rsidP="00AC4AAE">
      <w:pPr>
        <w:rPr>
          <w:rFonts w:ascii="Arial" w:hAnsi="Arial" w:cs="Arial"/>
          <w:b/>
        </w:rPr>
      </w:pPr>
      <w:r w:rsidRPr="002A6EF5">
        <w:rPr>
          <w:rFonts w:ascii="Arial" w:hAnsi="Arial" w:cs="Arial"/>
          <w:b/>
        </w:rPr>
        <w:t xml:space="preserve">3.3 </w:t>
      </w:r>
      <w:r w:rsidR="00AC4AAE" w:rsidRPr="002A6EF5">
        <w:rPr>
          <w:rFonts w:ascii="Arial" w:hAnsi="Arial" w:cs="Arial"/>
          <w:b/>
        </w:rPr>
        <w:t>Johansen Fisher Panel Cointegration Test Results</w:t>
      </w:r>
    </w:p>
    <w:p w:rsidR="00AC4AAE" w:rsidRPr="002A6EF5" w:rsidRDefault="00AC4AAE" w:rsidP="00AC4AAE">
      <w:pPr>
        <w:pStyle w:val="NormalWeb"/>
        <w:spacing w:before="0" w:beforeAutospacing="0" w:after="0" w:afterAutospacing="0"/>
        <w:jc w:val="both"/>
        <w:rPr>
          <w:rFonts w:ascii="Arial" w:hAnsi="Arial" w:cs="Arial"/>
          <w:sz w:val="20"/>
          <w:szCs w:val="20"/>
        </w:rPr>
      </w:pPr>
      <w:r w:rsidRPr="002A6EF5">
        <w:rPr>
          <w:rFonts w:ascii="Arial" w:hAnsi="Arial" w:cs="Arial"/>
          <w:sz w:val="20"/>
          <w:szCs w:val="20"/>
        </w:rPr>
        <w:t>To determine the existence of a long-run equilibrium relationship among human development (HDI) and selected demographic indicators, the Johansen Fisher panel cointegration test was applied. This method combines Johansen's individual cointegration tests across panel units using Fisher’s combination test based on both the trace statistic and the maximum eigenvalue statistic. The null hypothesis at each level is that there are no cointegrating equations (no long-run relationship), with alternative hypotheses testing for at least one or more cointegrating vectors. Statistical significance is judged using the p-values associated with each Fisher statistic. The results of Johansen Fisher cointegration tests are reported in Tables 3 and 4.</w:t>
      </w:r>
    </w:p>
    <w:p w:rsidR="00AC4AAE" w:rsidRPr="002A6EF5" w:rsidRDefault="00AC4AAE" w:rsidP="00AC4AAE">
      <w:pPr>
        <w:rPr>
          <w:rFonts w:ascii="Arial" w:hAnsi="Arial" w:cs="Arial"/>
          <w:b/>
        </w:rPr>
      </w:pPr>
      <w:r w:rsidRPr="002A6EF5">
        <w:rPr>
          <w:rFonts w:ascii="Arial" w:hAnsi="Arial" w:cs="Arial"/>
          <w:b/>
        </w:rPr>
        <w:t>Table 3:</w:t>
      </w:r>
      <w:r w:rsidRPr="002A6EF5">
        <w:rPr>
          <w:rFonts w:ascii="Arial" w:hAnsi="Arial" w:cs="Arial"/>
          <w:b/>
          <w:color w:val="000000"/>
        </w:rPr>
        <w:t>Johansen Fisher Panel</w:t>
      </w:r>
      <w:r w:rsidRPr="002A6EF5">
        <w:rPr>
          <w:rFonts w:ascii="Arial" w:hAnsi="Arial" w:cs="Arial"/>
          <w:b/>
        </w:rPr>
        <w:t xml:space="preserve"> Cointegration Test Results</w:t>
      </w:r>
    </w:p>
    <w:tbl>
      <w:tblPr>
        <w:tblW w:w="0" w:type="auto"/>
        <w:tblBorders>
          <w:top w:val="single" w:sz="4" w:space="0" w:color="auto"/>
          <w:bottom w:val="single" w:sz="4" w:space="0" w:color="auto"/>
        </w:tblBorders>
        <w:tblLook w:val="04A0"/>
      </w:tblPr>
      <w:tblGrid>
        <w:gridCol w:w="1799"/>
        <w:gridCol w:w="1670"/>
        <w:gridCol w:w="1362"/>
        <w:gridCol w:w="2442"/>
        <w:gridCol w:w="1151"/>
      </w:tblGrid>
      <w:tr w:rsidR="00AC4AAE" w:rsidRPr="002A6EF5" w:rsidTr="00AC4AAE">
        <w:trPr>
          <w:trHeight w:val="621"/>
        </w:trPr>
        <w:tc>
          <w:tcPr>
            <w:tcW w:w="1839" w:type="dxa"/>
            <w:tcBorders>
              <w:top w:val="single" w:sz="4" w:space="0" w:color="auto"/>
              <w:left w:val="nil"/>
              <w:bottom w:val="single" w:sz="4" w:space="0" w:color="auto"/>
              <w:right w:val="nil"/>
            </w:tcBorders>
            <w:vAlign w:val="bottom"/>
            <w:hideMark/>
          </w:tcPr>
          <w:p w:rsidR="00AC4AAE" w:rsidRPr="002A6EF5" w:rsidRDefault="00AC4AAE">
            <w:pPr>
              <w:autoSpaceDE w:val="0"/>
              <w:autoSpaceDN w:val="0"/>
              <w:adjustRightInd w:val="0"/>
              <w:jc w:val="center"/>
              <w:rPr>
                <w:rFonts w:ascii="Arial" w:hAnsi="Arial" w:cs="Arial"/>
                <w:b/>
                <w:color w:val="000000"/>
              </w:rPr>
            </w:pPr>
            <w:r w:rsidRPr="002A6EF5">
              <w:rPr>
                <w:rFonts w:ascii="Arial" w:hAnsi="Arial" w:cs="Arial"/>
                <w:b/>
                <w:color w:val="000000"/>
              </w:rPr>
              <w:t>Hypothesized</w:t>
            </w:r>
          </w:p>
          <w:p w:rsidR="00AC4AAE" w:rsidRPr="002A6EF5" w:rsidRDefault="00AC4AAE">
            <w:pPr>
              <w:autoSpaceDE w:val="0"/>
              <w:autoSpaceDN w:val="0"/>
              <w:adjustRightInd w:val="0"/>
              <w:jc w:val="center"/>
              <w:rPr>
                <w:rFonts w:ascii="Arial" w:hAnsi="Arial" w:cs="Arial"/>
                <w:b/>
                <w:color w:val="000000"/>
              </w:rPr>
            </w:pPr>
            <w:r w:rsidRPr="002A6EF5">
              <w:rPr>
                <w:rFonts w:ascii="Arial" w:hAnsi="Arial" w:cs="Arial"/>
                <w:b/>
                <w:color w:val="000000"/>
              </w:rPr>
              <w:t>No. of CE(s)</w:t>
            </w:r>
          </w:p>
        </w:tc>
        <w:tc>
          <w:tcPr>
            <w:tcW w:w="1790" w:type="dxa"/>
            <w:tcBorders>
              <w:top w:val="single" w:sz="4" w:space="0" w:color="auto"/>
              <w:left w:val="nil"/>
              <w:bottom w:val="single" w:sz="4" w:space="0" w:color="auto"/>
              <w:right w:val="nil"/>
            </w:tcBorders>
            <w:vAlign w:val="bottom"/>
            <w:hideMark/>
          </w:tcPr>
          <w:p w:rsidR="00AC4AAE" w:rsidRPr="002A6EF5" w:rsidRDefault="00AC4AAE">
            <w:pPr>
              <w:autoSpaceDE w:val="0"/>
              <w:autoSpaceDN w:val="0"/>
              <w:adjustRightInd w:val="0"/>
              <w:jc w:val="center"/>
              <w:rPr>
                <w:rFonts w:ascii="Arial" w:hAnsi="Arial" w:cs="Arial"/>
                <w:b/>
                <w:color w:val="000000"/>
              </w:rPr>
            </w:pPr>
            <w:r w:rsidRPr="002A6EF5">
              <w:rPr>
                <w:rFonts w:ascii="Arial" w:hAnsi="Arial" w:cs="Arial"/>
                <w:b/>
                <w:color w:val="000000"/>
              </w:rPr>
              <w:t>Fisher Stat.*</w:t>
            </w:r>
          </w:p>
          <w:p w:rsidR="00AC4AAE" w:rsidRPr="002A6EF5" w:rsidRDefault="00AC4AAE">
            <w:pPr>
              <w:autoSpaceDE w:val="0"/>
              <w:autoSpaceDN w:val="0"/>
              <w:adjustRightInd w:val="0"/>
              <w:jc w:val="center"/>
              <w:rPr>
                <w:rFonts w:ascii="Arial" w:hAnsi="Arial" w:cs="Arial"/>
                <w:b/>
                <w:color w:val="000000"/>
              </w:rPr>
            </w:pPr>
            <w:r w:rsidRPr="002A6EF5">
              <w:rPr>
                <w:rFonts w:ascii="Arial" w:hAnsi="Arial" w:cs="Arial"/>
                <w:b/>
                <w:color w:val="000000"/>
              </w:rPr>
              <w:t>(from trace test)</w:t>
            </w:r>
          </w:p>
        </w:tc>
        <w:tc>
          <w:tcPr>
            <w:tcW w:w="1429" w:type="dxa"/>
            <w:tcBorders>
              <w:top w:val="single" w:sz="4" w:space="0" w:color="auto"/>
              <w:left w:val="nil"/>
              <w:bottom w:val="single" w:sz="4" w:space="0" w:color="auto"/>
              <w:right w:val="nil"/>
            </w:tcBorders>
            <w:vAlign w:val="bottom"/>
            <w:hideMark/>
          </w:tcPr>
          <w:p w:rsidR="00AC4AAE" w:rsidRPr="002A6EF5" w:rsidRDefault="00AC4AAE">
            <w:pPr>
              <w:autoSpaceDE w:val="0"/>
              <w:autoSpaceDN w:val="0"/>
              <w:adjustRightInd w:val="0"/>
              <w:jc w:val="center"/>
              <w:rPr>
                <w:rFonts w:ascii="Arial" w:hAnsi="Arial" w:cs="Arial"/>
                <w:b/>
                <w:color w:val="000000"/>
              </w:rPr>
            </w:pPr>
            <w:r w:rsidRPr="002A6EF5">
              <w:rPr>
                <w:rFonts w:ascii="Arial" w:hAnsi="Arial" w:cs="Arial"/>
                <w:b/>
                <w:color w:val="000000"/>
              </w:rPr>
              <w:t>p-value</w:t>
            </w:r>
          </w:p>
        </w:tc>
        <w:tc>
          <w:tcPr>
            <w:tcW w:w="2610" w:type="dxa"/>
            <w:tcBorders>
              <w:top w:val="single" w:sz="4" w:space="0" w:color="auto"/>
              <w:left w:val="nil"/>
              <w:bottom w:val="single" w:sz="4" w:space="0" w:color="auto"/>
              <w:right w:val="nil"/>
            </w:tcBorders>
            <w:vAlign w:val="bottom"/>
            <w:hideMark/>
          </w:tcPr>
          <w:p w:rsidR="00AC4AAE" w:rsidRPr="002A6EF5" w:rsidRDefault="00AC4AAE">
            <w:pPr>
              <w:autoSpaceDE w:val="0"/>
              <w:autoSpaceDN w:val="0"/>
              <w:adjustRightInd w:val="0"/>
              <w:jc w:val="center"/>
              <w:rPr>
                <w:rFonts w:ascii="Arial" w:hAnsi="Arial" w:cs="Arial"/>
                <w:b/>
                <w:color w:val="000000"/>
              </w:rPr>
            </w:pPr>
            <w:r w:rsidRPr="002A6EF5">
              <w:rPr>
                <w:rFonts w:ascii="Arial" w:hAnsi="Arial" w:cs="Arial"/>
                <w:b/>
                <w:color w:val="000000"/>
              </w:rPr>
              <w:t>Fisher Stat.*</w:t>
            </w:r>
          </w:p>
          <w:p w:rsidR="00AC4AAE" w:rsidRPr="002A6EF5" w:rsidRDefault="00AC4AAE">
            <w:pPr>
              <w:autoSpaceDE w:val="0"/>
              <w:autoSpaceDN w:val="0"/>
              <w:adjustRightInd w:val="0"/>
              <w:jc w:val="center"/>
              <w:rPr>
                <w:rFonts w:ascii="Arial" w:hAnsi="Arial" w:cs="Arial"/>
                <w:b/>
                <w:color w:val="000000"/>
              </w:rPr>
            </w:pPr>
            <w:r w:rsidRPr="002A6EF5">
              <w:rPr>
                <w:rFonts w:ascii="Arial" w:hAnsi="Arial" w:cs="Arial"/>
                <w:b/>
                <w:color w:val="000000"/>
              </w:rPr>
              <w:t>(from max-eigenvalue test)</w:t>
            </w:r>
          </w:p>
        </w:tc>
        <w:tc>
          <w:tcPr>
            <w:tcW w:w="1188" w:type="dxa"/>
            <w:tcBorders>
              <w:top w:val="single" w:sz="4" w:space="0" w:color="auto"/>
              <w:left w:val="nil"/>
              <w:bottom w:val="single" w:sz="4" w:space="0" w:color="auto"/>
              <w:right w:val="nil"/>
            </w:tcBorders>
            <w:vAlign w:val="bottom"/>
            <w:hideMark/>
          </w:tcPr>
          <w:p w:rsidR="00AC4AAE" w:rsidRPr="002A6EF5" w:rsidRDefault="00AC4AAE">
            <w:pPr>
              <w:autoSpaceDE w:val="0"/>
              <w:autoSpaceDN w:val="0"/>
              <w:adjustRightInd w:val="0"/>
              <w:jc w:val="center"/>
              <w:rPr>
                <w:rFonts w:ascii="Arial" w:hAnsi="Arial" w:cs="Arial"/>
                <w:b/>
                <w:color w:val="000000"/>
              </w:rPr>
            </w:pPr>
            <w:r w:rsidRPr="002A6EF5">
              <w:rPr>
                <w:rFonts w:ascii="Arial" w:hAnsi="Arial" w:cs="Arial"/>
                <w:b/>
                <w:color w:val="000000"/>
              </w:rPr>
              <w:t>p-value</w:t>
            </w:r>
          </w:p>
        </w:tc>
      </w:tr>
      <w:tr w:rsidR="00AC4AAE" w:rsidRPr="002A6EF5" w:rsidTr="00AC4AAE">
        <w:tc>
          <w:tcPr>
            <w:tcW w:w="1839" w:type="dxa"/>
            <w:tcBorders>
              <w:top w:val="single" w:sz="4" w:space="0" w:color="auto"/>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None*</w:t>
            </w:r>
          </w:p>
        </w:tc>
        <w:tc>
          <w:tcPr>
            <w:tcW w:w="1790" w:type="dxa"/>
            <w:tcBorders>
              <w:top w:val="single" w:sz="4" w:space="0" w:color="auto"/>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246.9</w:t>
            </w:r>
          </w:p>
        </w:tc>
        <w:tc>
          <w:tcPr>
            <w:tcW w:w="1429" w:type="dxa"/>
            <w:tcBorders>
              <w:top w:val="single" w:sz="4" w:space="0" w:color="auto"/>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single" w:sz="4" w:space="0" w:color="auto"/>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118.4</w:t>
            </w:r>
          </w:p>
        </w:tc>
        <w:tc>
          <w:tcPr>
            <w:tcW w:w="1188" w:type="dxa"/>
            <w:tcBorders>
              <w:top w:val="single" w:sz="4" w:space="0" w:color="auto"/>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0.0000</w:t>
            </w:r>
          </w:p>
        </w:tc>
      </w:tr>
      <w:tr w:rsidR="00AC4AAE" w:rsidRPr="002A6EF5" w:rsidTr="00AC4AAE">
        <w:tc>
          <w:tcPr>
            <w:tcW w:w="1839"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At most 1*</w:t>
            </w:r>
          </w:p>
        </w:tc>
        <w:tc>
          <w:tcPr>
            <w:tcW w:w="1790"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159.8</w:t>
            </w:r>
          </w:p>
        </w:tc>
        <w:tc>
          <w:tcPr>
            <w:tcW w:w="1429"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80.63</w:t>
            </w:r>
          </w:p>
        </w:tc>
        <w:tc>
          <w:tcPr>
            <w:tcW w:w="1188"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0.0000</w:t>
            </w:r>
          </w:p>
        </w:tc>
      </w:tr>
      <w:tr w:rsidR="00AC4AAE" w:rsidRPr="002A6EF5" w:rsidTr="00AC4AAE">
        <w:tc>
          <w:tcPr>
            <w:tcW w:w="1839"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At most 2*</w:t>
            </w:r>
          </w:p>
        </w:tc>
        <w:tc>
          <w:tcPr>
            <w:tcW w:w="1790"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95.17</w:t>
            </w:r>
          </w:p>
        </w:tc>
        <w:tc>
          <w:tcPr>
            <w:tcW w:w="1429"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44.88</w:t>
            </w:r>
          </w:p>
        </w:tc>
        <w:tc>
          <w:tcPr>
            <w:tcW w:w="1188"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0.0000</w:t>
            </w:r>
          </w:p>
        </w:tc>
      </w:tr>
      <w:tr w:rsidR="00AC4AAE" w:rsidRPr="002A6EF5" w:rsidTr="00AC4AAE">
        <w:tc>
          <w:tcPr>
            <w:tcW w:w="1839"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At most 3*</w:t>
            </w:r>
          </w:p>
        </w:tc>
        <w:tc>
          <w:tcPr>
            <w:tcW w:w="1790"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59.54</w:t>
            </w:r>
          </w:p>
        </w:tc>
        <w:tc>
          <w:tcPr>
            <w:tcW w:w="1429"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30.19</w:t>
            </w:r>
          </w:p>
        </w:tc>
        <w:tc>
          <w:tcPr>
            <w:tcW w:w="1188"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0.0026</w:t>
            </w:r>
          </w:p>
        </w:tc>
      </w:tr>
      <w:tr w:rsidR="00AC4AAE" w:rsidRPr="002A6EF5" w:rsidTr="00AC4AAE">
        <w:tc>
          <w:tcPr>
            <w:tcW w:w="1839"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At most 4*</w:t>
            </w:r>
          </w:p>
        </w:tc>
        <w:tc>
          <w:tcPr>
            <w:tcW w:w="1790"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42.63</w:t>
            </w:r>
          </w:p>
        </w:tc>
        <w:tc>
          <w:tcPr>
            <w:tcW w:w="1429"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24.35</w:t>
            </w:r>
          </w:p>
        </w:tc>
        <w:tc>
          <w:tcPr>
            <w:tcW w:w="1188"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0.0182</w:t>
            </w:r>
          </w:p>
        </w:tc>
      </w:tr>
      <w:tr w:rsidR="00AC4AAE" w:rsidRPr="002A6EF5" w:rsidTr="00AC4AAE">
        <w:tc>
          <w:tcPr>
            <w:tcW w:w="1839" w:type="dxa"/>
            <w:tcBorders>
              <w:top w:val="nil"/>
              <w:left w:val="nil"/>
              <w:bottom w:val="single" w:sz="4" w:space="0" w:color="auto"/>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lastRenderedPageBreak/>
              <w:t>At most 5*</w:t>
            </w:r>
          </w:p>
        </w:tc>
        <w:tc>
          <w:tcPr>
            <w:tcW w:w="1790" w:type="dxa"/>
            <w:tcBorders>
              <w:top w:val="nil"/>
              <w:left w:val="nil"/>
              <w:bottom w:val="single" w:sz="4" w:space="0" w:color="auto"/>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47.59</w:t>
            </w:r>
          </w:p>
        </w:tc>
        <w:tc>
          <w:tcPr>
            <w:tcW w:w="1429" w:type="dxa"/>
            <w:tcBorders>
              <w:top w:val="nil"/>
              <w:left w:val="nil"/>
              <w:bottom w:val="single" w:sz="4" w:space="0" w:color="auto"/>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single" w:sz="4" w:space="0" w:color="auto"/>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47.59</w:t>
            </w:r>
          </w:p>
        </w:tc>
        <w:tc>
          <w:tcPr>
            <w:tcW w:w="1188" w:type="dxa"/>
            <w:tcBorders>
              <w:top w:val="nil"/>
              <w:left w:val="nil"/>
              <w:bottom w:val="single" w:sz="4" w:space="0" w:color="auto"/>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 0.0000</w:t>
            </w:r>
          </w:p>
        </w:tc>
      </w:tr>
    </w:tbl>
    <w:p w:rsidR="00AC4AAE" w:rsidRDefault="00AC4AAE" w:rsidP="00AC4AAE">
      <w:pPr>
        <w:jc w:val="both"/>
        <w:rPr>
          <w:rFonts w:ascii="Times New Roman" w:hAnsi="Times New Roman"/>
          <w:sz w:val="24"/>
          <w:szCs w:val="24"/>
        </w:rPr>
      </w:pPr>
    </w:p>
    <w:p w:rsidR="00AC4AAE" w:rsidRPr="002A6EF5" w:rsidRDefault="00AC4AAE" w:rsidP="00AC4AAE">
      <w:pPr>
        <w:jc w:val="both"/>
        <w:rPr>
          <w:rFonts w:ascii="Arial" w:hAnsi="Arial" w:cs="Arial"/>
          <w:b/>
          <w:color w:val="000000"/>
        </w:rPr>
      </w:pPr>
      <w:r w:rsidRPr="002A6EF5">
        <w:rPr>
          <w:rFonts w:ascii="Arial" w:hAnsi="Arial" w:cs="Arial"/>
          <w:b/>
        </w:rPr>
        <w:t>Table 4:</w:t>
      </w:r>
      <w:r w:rsidRPr="002A6EF5">
        <w:rPr>
          <w:rFonts w:ascii="Arial" w:hAnsi="Arial" w:cs="Arial"/>
          <w:b/>
          <w:color w:val="000000"/>
        </w:rPr>
        <w:t>Johansen Fisher Panel</w:t>
      </w:r>
      <w:r w:rsidRPr="002A6EF5">
        <w:rPr>
          <w:rFonts w:ascii="Arial" w:hAnsi="Arial" w:cs="Arial"/>
          <w:b/>
        </w:rPr>
        <w:t xml:space="preserve">Cointegration Test for </w:t>
      </w:r>
      <w:r w:rsidRPr="002A6EF5">
        <w:rPr>
          <w:rFonts w:ascii="Arial" w:hAnsi="Arial" w:cs="Arial"/>
          <w:b/>
          <w:color w:val="000000"/>
        </w:rPr>
        <w:t>Individual Cross Sections</w:t>
      </w:r>
    </w:p>
    <w:tbl>
      <w:tblPr>
        <w:tblW w:w="0" w:type="auto"/>
        <w:tblBorders>
          <w:top w:val="single" w:sz="4" w:space="0" w:color="auto"/>
          <w:bottom w:val="single" w:sz="4" w:space="0" w:color="auto"/>
        </w:tblBorders>
        <w:tblLook w:val="04A0"/>
      </w:tblPr>
      <w:tblGrid>
        <w:gridCol w:w="1740"/>
        <w:gridCol w:w="1714"/>
        <w:gridCol w:w="1368"/>
        <w:gridCol w:w="2446"/>
        <w:gridCol w:w="1156"/>
      </w:tblGrid>
      <w:tr w:rsidR="00AC4AAE" w:rsidRPr="002A6EF5" w:rsidTr="00AC4AAE">
        <w:tc>
          <w:tcPr>
            <w:tcW w:w="8861" w:type="dxa"/>
            <w:gridSpan w:val="5"/>
            <w:tcBorders>
              <w:top w:val="single" w:sz="4" w:space="0" w:color="auto"/>
              <w:left w:val="nil"/>
              <w:bottom w:val="nil"/>
              <w:right w:val="nil"/>
            </w:tcBorders>
            <w:vAlign w:val="bottom"/>
          </w:tcPr>
          <w:p w:rsidR="00AC4AAE" w:rsidRPr="002A6EF5" w:rsidRDefault="00AC4AAE" w:rsidP="002A6EF5">
            <w:pPr>
              <w:rPr>
                <w:rFonts w:ascii="Arial" w:hAnsi="Arial" w:cs="Arial"/>
                <w:b/>
              </w:rPr>
            </w:pPr>
          </w:p>
        </w:tc>
      </w:tr>
      <w:tr w:rsidR="00AC4AAE" w:rsidRPr="002A6EF5" w:rsidTr="00AC4AAE">
        <w:tc>
          <w:tcPr>
            <w:tcW w:w="1841" w:type="dxa"/>
            <w:tcBorders>
              <w:top w:val="nil"/>
              <w:left w:val="nil"/>
              <w:bottom w:val="single" w:sz="4" w:space="0" w:color="auto"/>
              <w:right w:val="nil"/>
            </w:tcBorders>
            <w:vAlign w:val="bottom"/>
            <w:hideMark/>
          </w:tcPr>
          <w:p w:rsidR="00AC4AAE" w:rsidRPr="002A6EF5" w:rsidRDefault="00AC4AAE" w:rsidP="002A6EF5">
            <w:pPr>
              <w:autoSpaceDE w:val="0"/>
              <w:autoSpaceDN w:val="0"/>
              <w:adjustRightInd w:val="0"/>
              <w:rPr>
                <w:rFonts w:ascii="Arial" w:hAnsi="Arial" w:cs="Arial"/>
                <w:b/>
                <w:color w:val="000000"/>
              </w:rPr>
            </w:pPr>
            <w:r w:rsidRPr="002A6EF5">
              <w:rPr>
                <w:rFonts w:ascii="Arial" w:hAnsi="Arial" w:cs="Arial"/>
                <w:b/>
                <w:color w:val="000000"/>
              </w:rPr>
              <w:t>Cross Section</w:t>
            </w:r>
          </w:p>
        </w:tc>
        <w:tc>
          <w:tcPr>
            <w:tcW w:w="1791" w:type="dxa"/>
            <w:tcBorders>
              <w:top w:val="nil"/>
              <w:left w:val="nil"/>
              <w:bottom w:val="single" w:sz="4" w:space="0" w:color="auto"/>
              <w:right w:val="nil"/>
            </w:tcBorders>
            <w:vAlign w:val="bottom"/>
            <w:hideMark/>
          </w:tcPr>
          <w:p w:rsidR="00AC4AAE" w:rsidRPr="002A6EF5" w:rsidRDefault="00AC4AAE" w:rsidP="002A6EF5">
            <w:pPr>
              <w:autoSpaceDE w:val="0"/>
              <w:autoSpaceDN w:val="0"/>
              <w:adjustRightInd w:val="0"/>
              <w:rPr>
                <w:rFonts w:ascii="Arial" w:hAnsi="Arial" w:cs="Arial"/>
                <w:b/>
                <w:color w:val="000000"/>
              </w:rPr>
            </w:pPr>
            <w:r w:rsidRPr="002A6EF5">
              <w:rPr>
                <w:rFonts w:ascii="Arial" w:hAnsi="Arial" w:cs="Arial"/>
                <w:b/>
                <w:color w:val="000000"/>
              </w:rPr>
              <w:t>Trace Test Statistics</w:t>
            </w:r>
          </w:p>
        </w:tc>
        <w:tc>
          <w:tcPr>
            <w:tcW w:w="1429" w:type="dxa"/>
            <w:tcBorders>
              <w:top w:val="nil"/>
              <w:left w:val="nil"/>
              <w:bottom w:val="single" w:sz="4" w:space="0" w:color="auto"/>
              <w:right w:val="nil"/>
            </w:tcBorders>
            <w:vAlign w:val="bottom"/>
            <w:hideMark/>
          </w:tcPr>
          <w:p w:rsidR="00AC4AAE" w:rsidRPr="002A6EF5" w:rsidRDefault="00AC4AAE" w:rsidP="002A6EF5">
            <w:pPr>
              <w:autoSpaceDE w:val="0"/>
              <w:autoSpaceDN w:val="0"/>
              <w:adjustRightInd w:val="0"/>
              <w:rPr>
                <w:rFonts w:ascii="Arial" w:hAnsi="Arial" w:cs="Arial"/>
                <w:b/>
                <w:color w:val="000000"/>
              </w:rPr>
            </w:pPr>
            <w:r w:rsidRPr="002A6EF5">
              <w:rPr>
                <w:rFonts w:ascii="Arial" w:hAnsi="Arial" w:cs="Arial"/>
                <w:b/>
                <w:color w:val="000000"/>
              </w:rPr>
              <w:t>p-value</w:t>
            </w:r>
          </w:p>
        </w:tc>
        <w:tc>
          <w:tcPr>
            <w:tcW w:w="2610" w:type="dxa"/>
            <w:tcBorders>
              <w:top w:val="nil"/>
              <w:left w:val="nil"/>
              <w:bottom w:val="single" w:sz="4" w:space="0" w:color="auto"/>
              <w:right w:val="nil"/>
            </w:tcBorders>
            <w:vAlign w:val="bottom"/>
            <w:hideMark/>
          </w:tcPr>
          <w:p w:rsidR="00AC4AAE" w:rsidRPr="002A6EF5" w:rsidRDefault="00AC4AAE" w:rsidP="002A6EF5">
            <w:pPr>
              <w:autoSpaceDE w:val="0"/>
              <w:autoSpaceDN w:val="0"/>
              <w:adjustRightInd w:val="0"/>
              <w:rPr>
                <w:rFonts w:ascii="Arial" w:hAnsi="Arial" w:cs="Arial"/>
                <w:b/>
                <w:color w:val="000000"/>
              </w:rPr>
            </w:pPr>
            <w:r w:rsidRPr="002A6EF5">
              <w:rPr>
                <w:rFonts w:ascii="Arial" w:hAnsi="Arial" w:cs="Arial"/>
                <w:b/>
                <w:color w:val="000000"/>
              </w:rPr>
              <w:t>Max. Eigenvale Test Statistics</w:t>
            </w:r>
          </w:p>
        </w:tc>
        <w:tc>
          <w:tcPr>
            <w:tcW w:w="1190" w:type="dxa"/>
            <w:tcBorders>
              <w:top w:val="nil"/>
              <w:left w:val="nil"/>
              <w:bottom w:val="single" w:sz="4" w:space="0" w:color="auto"/>
              <w:right w:val="nil"/>
            </w:tcBorders>
            <w:vAlign w:val="bottom"/>
            <w:hideMark/>
          </w:tcPr>
          <w:p w:rsidR="00AC4AAE" w:rsidRPr="002A6EF5" w:rsidRDefault="00AC4AAE" w:rsidP="002A6EF5">
            <w:pPr>
              <w:autoSpaceDE w:val="0"/>
              <w:autoSpaceDN w:val="0"/>
              <w:adjustRightInd w:val="0"/>
              <w:rPr>
                <w:rFonts w:ascii="Arial" w:hAnsi="Arial" w:cs="Arial"/>
                <w:b/>
                <w:color w:val="000000"/>
              </w:rPr>
            </w:pPr>
            <w:r w:rsidRPr="002A6EF5">
              <w:rPr>
                <w:rFonts w:ascii="Arial" w:hAnsi="Arial" w:cs="Arial"/>
                <w:b/>
                <w:color w:val="000000"/>
              </w:rPr>
              <w:t>p-value</w:t>
            </w:r>
          </w:p>
        </w:tc>
      </w:tr>
      <w:tr w:rsidR="00AC4AAE" w:rsidRPr="002A6EF5" w:rsidTr="00AC4AAE">
        <w:tc>
          <w:tcPr>
            <w:tcW w:w="8861" w:type="dxa"/>
            <w:gridSpan w:val="5"/>
            <w:tcBorders>
              <w:top w:val="single" w:sz="4" w:space="0" w:color="auto"/>
              <w:left w:val="nil"/>
              <w:bottom w:val="nil"/>
              <w:right w:val="nil"/>
            </w:tcBorders>
            <w:vAlign w:val="bottom"/>
            <w:hideMark/>
          </w:tcPr>
          <w:p w:rsidR="00AC4AAE" w:rsidRPr="002A6EF5" w:rsidRDefault="00AC4AAE" w:rsidP="002A6EF5">
            <w:pPr>
              <w:autoSpaceDE w:val="0"/>
              <w:autoSpaceDN w:val="0"/>
              <w:adjustRightInd w:val="0"/>
              <w:rPr>
                <w:rFonts w:ascii="Arial" w:hAnsi="Arial" w:cs="Arial"/>
                <w:color w:val="000000"/>
              </w:rPr>
            </w:pPr>
            <w:r w:rsidRPr="002A6EF5">
              <w:rPr>
                <w:rFonts w:ascii="Arial" w:hAnsi="Arial" w:cs="Arial"/>
                <w:color w:val="000000"/>
              </w:rPr>
              <w:t xml:space="preserve">Hypothesis of no cointegration </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NC</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115.3944</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0.0012</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36.0518</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0.1326</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NE</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195.6408</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71.2638</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NW</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237.5416</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99.3602</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SE</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181.6984</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68.2179</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SS</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166.4460</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59.7717</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0.0001</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SW</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158.4408</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51.6579</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0.0016</w:t>
            </w:r>
          </w:p>
        </w:tc>
      </w:tr>
      <w:tr w:rsidR="00AC4AAE" w:rsidRPr="002A6EF5" w:rsidTr="00AC4AAE">
        <w:tc>
          <w:tcPr>
            <w:tcW w:w="8861" w:type="dxa"/>
            <w:gridSpan w:val="5"/>
            <w:tcBorders>
              <w:top w:val="nil"/>
              <w:left w:val="nil"/>
              <w:bottom w:val="nil"/>
              <w:right w:val="nil"/>
            </w:tcBorders>
            <w:vAlign w:val="bottom"/>
            <w:hideMark/>
          </w:tcPr>
          <w:p w:rsidR="00AC4AAE" w:rsidRPr="002A6EF5" w:rsidRDefault="00AC4AAE" w:rsidP="002A6EF5">
            <w:pPr>
              <w:autoSpaceDE w:val="0"/>
              <w:autoSpaceDN w:val="0"/>
              <w:adjustRightInd w:val="0"/>
              <w:rPr>
                <w:rFonts w:ascii="Arial" w:hAnsi="Arial" w:cs="Arial"/>
                <w:color w:val="000000"/>
              </w:rPr>
            </w:pPr>
            <w:r w:rsidRPr="002A6EF5">
              <w:rPr>
                <w:rFonts w:ascii="Arial" w:hAnsi="Arial" w:cs="Arial"/>
                <w:color w:val="000000"/>
              </w:rPr>
              <w:t>Hypothesis of at most 1 cointegration relationship</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NC</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79.3426</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0.0072</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26.5278</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0.2895</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NE</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124.3770</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51.0906</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0.0002</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NW</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138.1813</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63.1951</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SE</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113.4805</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46.7447</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0.0009</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SS</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106.6743</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43.1417</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0.0030</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SW</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106.7829</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40.2208</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0.0077</w:t>
            </w:r>
          </w:p>
        </w:tc>
      </w:tr>
      <w:tr w:rsidR="00AC4AAE" w:rsidRPr="002A6EF5" w:rsidTr="00AC4AAE">
        <w:tc>
          <w:tcPr>
            <w:tcW w:w="8861" w:type="dxa"/>
            <w:gridSpan w:val="5"/>
            <w:tcBorders>
              <w:top w:val="nil"/>
              <w:left w:val="nil"/>
              <w:bottom w:val="nil"/>
              <w:right w:val="nil"/>
            </w:tcBorders>
            <w:vAlign w:val="bottom"/>
            <w:hideMark/>
          </w:tcPr>
          <w:p w:rsidR="00AC4AAE" w:rsidRPr="002A6EF5" w:rsidRDefault="00AC4AAE" w:rsidP="002A6EF5">
            <w:pPr>
              <w:autoSpaceDE w:val="0"/>
              <w:autoSpaceDN w:val="0"/>
              <w:adjustRightInd w:val="0"/>
              <w:rPr>
                <w:rFonts w:ascii="Arial" w:hAnsi="Arial" w:cs="Arial"/>
                <w:color w:val="000000"/>
              </w:rPr>
            </w:pPr>
            <w:r w:rsidRPr="002A6EF5">
              <w:rPr>
                <w:rFonts w:ascii="Arial" w:hAnsi="Arial" w:cs="Arial"/>
                <w:color w:val="000000"/>
              </w:rPr>
              <w:t>Hypothesis of at most 2 cointegration relationship</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NC</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52.8149</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0.0159</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22.8129</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0.1816</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NE</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73.2864</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33.3070</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0.0082</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NW</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74.9862</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0.0000</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33.8472</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0.0069</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SE</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66.7358</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0.0003</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32.0161</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0.0126</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SS</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63.5326</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0.0009</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30.1123</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0.0232</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SW</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66.5621</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0.0004</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26.9495</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0.0601</w:t>
            </w:r>
          </w:p>
        </w:tc>
      </w:tr>
      <w:tr w:rsidR="00AC4AAE" w:rsidRPr="002A6EF5" w:rsidTr="00AC4AAE">
        <w:tc>
          <w:tcPr>
            <w:tcW w:w="8861" w:type="dxa"/>
            <w:gridSpan w:val="5"/>
            <w:tcBorders>
              <w:top w:val="nil"/>
              <w:left w:val="nil"/>
              <w:bottom w:val="nil"/>
              <w:right w:val="nil"/>
            </w:tcBorders>
            <w:vAlign w:val="bottom"/>
            <w:hideMark/>
          </w:tcPr>
          <w:p w:rsidR="00AC4AAE" w:rsidRPr="002A6EF5" w:rsidRDefault="00AC4AAE" w:rsidP="002A6EF5">
            <w:pPr>
              <w:autoSpaceDE w:val="0"/>
              <w:autoSpaceDN w:val="0"/>
              <w:adjustRightInd w:val="0"/>
              <w:rPr>
                <w:rFonts w:ascii="Arial" w:hAnsi="Arial" w:cs="Arial"/>
                <w:color w:val="000000"/>
              </w:rPr>
            </w:pPr>
            <w:r w:rsidRPr="002A6EF5">
              <w:rPr>
                <w:rFonts w:ascii="Arial" w:hAnsi="Arial" w:cs="Arial"/>
                <w:color w:val="000000"/>
              </w:rPr>
              <w:t>Hypothesis of at most 3 cointegration relationship</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NC</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30.0019</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0.0474</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16.9890</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0.1725</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NE</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39.9794</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0.0024</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24.0345</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0.0189</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NW</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41.1390</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0.0016</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20.7314</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0.0568</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SE</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34.7197</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0.0125</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16.4817</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0.1980</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SS</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33.4203</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0.0183</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19.2684</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0.0893</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SW</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39.6127</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0.0027</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19.4353</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0.0849</w:t>
            </w:r>
          </w:p>
        </w:tc>
      </w:tr>
      <w:tr w:rsidR="00AC4AAE" w:rsidRPr="002A6EF5" w:rsidTr="00AC4AAE">
        <w:tc>
          <w:tcPr>
            <w:tcW w:w="8861" w:type="dxa"/>
            <w:gridSpan w:val="5"/>
            <w:tcBorders>
              <w:top w:val="nil"/>
              <w:left w:val="nil"/>
              <w:bottom w:val="nil"/>
              <w:right w:val="nil"/>
            </w:tcBorders>
            <w:vAlign w:val="bottom"/>
            <w:hideMark/>
          </w:tcPr>
          <w:p w:rsidR="00AC4AAE" w:rsidRPr="002A6EF5" w:rsidRDefault="00AC4AAE" w:rsidP="002A6EF5">
            <w:pPr>
              <w:autoSpaceDE w:val="0"/>
              <w:autoSpaceDN w:val="0"/>
              <w:adjustRightInd w:val="0"/>
              <w:rPr>
                <w:rFonts w:ascii="Arial" w:hAnsi="Arial" w:cs="Arial"/>
                <w:color w:val="000000"/>
              </w:rPr>
            </w:pPr>
            <w:r w:rsidRPr="002A6EF5">
              <w:rPr>
                <w:rFonts w:ascii="Arial" w:hAnsi="Arial" w:cs="Arial"/>
                <w:color w:val="000000"/>
              </w:rPr>
              <w:t>Hypothesis of at most 4 cointegration relationship</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NC</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13.0129</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0.1143</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10.1476</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0.2024</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NE</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15.9449</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0.0428</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13.3665</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0.0689</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NW</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20.4075</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0.0084</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12.6166</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0.0896</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SE</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18.2381</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0.0188</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11.3592</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0.1371</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SS</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14.1519</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0.0789</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8.6481</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0.3166</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SW</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20.1774</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0.0091</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12.4478</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0.0950</w:t>
            </w:r>
          </w:p>
        </w:tc>
      </w:tr>
      <w:tr w:rsidR="00AC4AAE" w:rsidRPr="002A6EF5" w:rsidTr="00AC4AAE">
        <w:tc>
          <w:tcPr>
            <w:tcW w:w="8861" w:type="dxa"/>
            <w:gridSpan w:val="5"/>
            <w:tcBorders>
              <w:top w:val="nil"/>
              <w:left w:val="nil"/>
              <w:bottom w:val="nil"/>
              <w:right w:val="nil"/>
            </w:tcBorders>
            <w:vAlign w:val="bottom"/>
            <w:hideMark/>
          </w:tcPr>
          <w:p w:rsidR="00AC4AAE" w:rsidRPr="002A6EF5" w:rsidRDefault="00AC4AAE" w:rsidP="002A6EF5">
            <w:pPr>
              <w:autoSpaceDE w:val="0"/>
              <w:autoSpaceDN w:val="0"/>
              <w:adjustRightInd w:val="0"/>
              <w:rPr>
                <w:rFonts w:ascii="Arial" w:hAnsi="Arial" w:cs="Arial"/>
                <w:color w:val="000000"/>
              </w:rPr>
            </w:pPr>
            <w:r w:rsidRPr="002A6EF5">
              <w:rPr>
                <w:rFonts w:ascii="Arial" w:hAnsi="Arial" w:cs="Arial"/>
                <w:color w:val="000000"/>
              </w:rPr>
              <w:t>Hypothesis of at most 5 cointegration relationship</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NC</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2.8654</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0.0905</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2.8654</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0.0905</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NE</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2.5784</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0.1083</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2.5784</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0.1083</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NW</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7.7909</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0.0053</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7.7909</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0.0053</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SE</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6.8788</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0.0087</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6.8788</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0.0087</w:t>
            </w:r>
          </w:p>
        </w:tc>
      </w:tr>
      <w:tr w:rsidR="00AC4AAE" w:rsidRPr="002A6EF5" w:rsidTr="00AC4AAE">
        <w:tc>
          <w:tcPr>
            <w:tcW w:w="184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SS</w:t>
            </w:r>
          </w:p>
        </w:tc>
        <w:tc>
          <w:tcPr>
            <w:tcW w:w="1791"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5.5038</w:t>
            </w:r>
          </w:p>
        </w:tc>
        <w:tc>
          <w:tcPr>
            <w:tcW w:w="1429"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0.0190</w:t>
            </w:r>
          </w:p>
        </w:tc>
        <w:tc>
          <w:tcPr>
            <w:tcW w:w="261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5.5038</w:t>
            </w:r>
          </w:p>
        </w:tc>
        <w:tc>
          <w:tcPr>
            <w:tcW w:w="1190" w:type="dxa"/>
            <w:tcBorders>
              <w:top w:val="nil"/>
              <w:left w:val="nil"/>
              <w:bottom w:val="nil"/>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0.0190</w:t>
            </w:r>
          </w:p>
        </w:tc>
      </w:tr>
      <w:tr w:rsidR="00AC4AAE" w:rsidRPr="002A6EF5" w:rsidTr="00AC4AAE">
        <w:tc>
          <w:tcPr>
            <w:tcW w:w="1841" w:type="dxa"/>
            <w:tcBorders>
              <w:top w:val="nil"/>
              <w:left w:val="nil"/>
              <w:bottom w:val="single" w:sz="4" w:space="0" w:color="auto"/>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SW</w:t>
            </w:r>
          </w:p>
        </w:tc>
        <w:tc>
          <w:tcPr>
            <w:tcW w:w="1791" w:type="dxa"/>
            <w:tcBorders>
              <w:top w:val="nil"/>
              <w:left w:val="nil"/>
              <w:bottom w:val="single" w:sz="4" w:space="0" w:color="auto"/>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7.7296</w:t>
            </w:r>
          </w:p>
        </w:tc>
        <w:tc>
          <w:tcPr>
            <w:tcW w:w="1429" w:type="dxa"/>
            <w:tcBorders>
              <w:top w:val="nil"/>
              <w:left w:val="nil"/>
              <w:bottom w:val="single" w:sz="4" w:space="0" w:color="auto"/>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0.0054</w:t>
            </w:r>
          </w:p>
        </w:tc>
        <w:tc>
          <w:tcPr>
            <w:tcW w:w="2610" w:type="dxa"/>
            <w:tcBorders>
              <w:top w:val="nil"/>
              <w:left w:val="nil"/>
              <w:bottom w:val="single" w:sz="4" w:space="0" w:color="auto"/>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7.7296</w:t>
            </w:r>
          </w:p>
        </w:tc>
        <w:tc>
          <w:tcPr>
            <w:tcW w:w="1190" w:type="dxa"/>
            <w:tcBorders>
              <w:top w:val="nil"/>
              <w:left w:val="nil"/>
              <w:bottom w:val="single" w:sz="4" w:space="0" w:color="auto"/>
              <w:right w:val="nil"/>
            </w:tcBorders>
            <w:vAlign w:val="bottom"/>
            <w:hideMark/>
          </w:tcPr>
          <w:p w:rsidR="00AC4AAE" w:rsidRPr="002A6EF5" w:rsidRDefault="00AC4AAE" w:rsidP="002A6EF5">
            <w:pPr>
              <w:autoSpaceDE w:val="0"/>
              <w:autoSpaceDN w:val="0"/>
              <w:adjustRightInd w:val="0"/>
              <w:jc w:val="center"/>
              <w:rPr>
                <w:rFonts w:ascii="Arial" w:hAnsi="Arial" w:cs="Arial"/>
                <w:color w:val="000000"/>
              </w:rPr>
            </w:pPr>
            <w:r w:rsidRPr="002A6EF5">
              <w:rPr>
                <w:rFonts w:ascii="Arial" w:hAnsi="Arial" w:cs="Arial"/>
                <w:color w:val="000000"/>
              </w:rPr>
              <w:t> 0.0054</w:t>
            </w:r>
          </w:p>
        </w:tc>
      </w:tr>
    </w:tbl>
    <w:p w:rsidR="00AC4AAE" w:rsidRPr="002A6EF5" w:rsidRDefault="00AC4AAE" w:rsidP="002A6EF5">
      <w:pPr>
        <w:pStyle w:val="NormalWeb"/>
        <w:spacing w:before="0" w:beforeAutospacing="0" w:after="0" w:afterAutospacing="0"/>
        <w:jc w:val="both"/>
        <w:rPr>
          <w:rFonts w:ascii="Arial" w:hAnsi="Arial" w:cs="Arial"/>
          <w:sz w:val="20"/>
          <w:szCs w:val="20"/>
        </w:rPr>
      </w:pPr>
      <w:r w:rsidRPr="002A6EF5">
        <w:rPr>
          <w:rFonts w:ascii="Arial" w:hAnsi="Arial" w:cs="Arial"/>
          <w:sz w:val="20"/>
          <w:szCs w:val="20"/>
        </w:rPr>
        <w:t xml:space="preserve">The results of Johansen Fisher cointegration test reported in Table 3 show that both the trace and maximum eigenvalue test statistics strongly reject the null hypothesis of no cointegration at the 1% significance level for all hypothesized cointegration ranks. Specifically, the Fisher statistics for “None,” “At most 1,” “At most 2,” “At most 3,” “At most 4,” and “At most 5” are all highly significant (p &lt; 0.05). This provides robust evidence that there </w:t>
      </w:r>
      <w:r w:rsidRPr="002A6EF5">
        <w:rPr>
          <w:rFonts w:ascii="Arial" w:hAnsi="Arial" w:cs="Arial"/>
          <w:sz w:val="20"/>
          <w:szCs w:val="20"/>
        </w:rPr>
        <w:lastRenderedPageBreak/>
        <w:t>exists more than one cointegrating relationship among the variables, implying a stable long-run association between human development indicators and the selected demographic factors in Nigeria.</w:t>
      </w:r>
    </w:p>
    <w:p w:rsidR="00AC4AAE" w:rsidRPr="002A6EF5" w:rsidRDefault="00AC4AAE" w:rsidP="002A6EF5">
      <w:pPr>
        <w:pStyle w:val="NormalWeb"/>
        <w:spacing w:before="0" w:beforeAutospacing="0" w:after="0" w:afterAutospacing="0"/>
        <w:jc w:val="both"/>
        <w:rPr>
          <w:rFonts w:ascii="Arial" w:hAnsi="Arial" w:cs="Arial"/>
          <w:sz w:val="20"/>
          <w:szCs w:val="20"/>
        </w:rPr>
      </w:pPr>
      <w:r w:rsidRPr="002A6EF5">
        <w:rPr>
          <w:rFonts w:ascii="Arial" w:hAnsi="Arial" w:cs="Arial"/>
          <w:sz w:val="20"/>
          <w:szCs w:val="20"/>
        </w:rPr>
        <w:t>For the individual cross-sectional results reported in Table 4, similar evidence of cointegration is observed across the six geopolitical zones. For the hypothesis of no cointegration, all zones except the North Central (NC) show highly significant results in both the trace and max-eigenvalue tests, suggesting the existence of at least one cointegration vector. At the level of “at most 1” and “at most 2” cointegration relationships, most zones—including North East (NE), North West (NW), South East (SE), South South (SS), and South West (SW)—retain significance, further reinforcing the presence of multiple long-run relationships. Although some variations are evident in the depth of cointegration across zones (with NC appearing weaker in higher ranks), the general conclusion is that all regions share long-run equilibrium dynamics between human development and demographic indicators.</w:t>
      </w:r>
    </w:p>
    <w:p w:rsidR="00AC4AAE" w:rsidRPr="002A6EF5" w:rsidRDefault="00AC4AAE" w:rsidP="002A6EF5">
      <w:pPr>
        <w:pStyle w:val="NormalWeb"/>
        <w:spacing w:before="0" w:beforeAutospacing="0" w:after="0" w:afterAutospacing="0"/>
        <w:jc w:val="both"/>
        <w:rPr>
          <w:rFonts w:ascii="Arial" w:hAnsi="Arial" w:cs="Arial"/>
          <w:sz w:val="20"/>
          <w:szCs w:val="20"/>
        </w:rPr>
      </w:pPr>
      <w:r w:rsidRPr="002A6EF5">
        <w:rPr>
          <w:rFonts w:ascii="Arial" w:hAnsi="Arial" w:cs="Arial"/>
          <w:sz w:val="20"/>
          <w:szCs w:val="20"/>
        </w:rPr>
        <w:t>Overall, these results confirm that despite short-run fluctuations, the studied variables tend to move together in the long run across Nigeria’s regions, supporting the validity of panel cointegration modeling in the subsequent analysis.</w:t>
      </w:r>
    </w:p>
    <w:p w:rsidR="00AC4AAE" w:rsidRPr="002A6EF5" w:rsidRDefault="00AC4AAE" w:rsidP="002A6EF5">
      <w:pPr>
        <w:pStyle w:val="NormalWeb"/>
        <w:spacing w:before="0" w:beforeAutospacing="0" w:after="0" w:afterAutospacing="0"/>
        <w:jc w:val="both"/>
        <w:rPr>
          <w:rFonts w:ascii="Arial" w:hAnsi="Arial" w:cs="Arial"/>
          <w:sz w:val="20"/>
          <w:szCs w:val="20"/>
        </w:rPr>
      </w:pPr>
    </w:p>
    <w:p w:rsidR="00AC4AAE" w:rsidRPr="002A6EF5" w:rsidRDefault="002A6EF5" w:rsidP="002A6EF5">
      <w:pPr>
        <w:autoSpaceDE w:val="0"/>
        <w:autoSpaceDN w:val="0"/>
        <w:adjustRightInd w:val="0"/>
        <w:jc w:val="both"/>
        <w:rPr>
          <w:rFonts w:ascii="Arial" w:hAnsi="Arial" w:cs="Arial"/>
          <w:b/>
        </w:rPr>
      </w:pPr>
      <w:r w:rsidRPr="002A6EF5">
        <w:rPr>
          <w:rFonts w:ascii="Arial" w:hAnsi="Arial" w:cs="Arial"/>
          <w:b/>
        </w:rPr>
        <w:t xml:space="preserve">3.4 </w:t>
      </w:r>
      <w:r w:rsidR="00AC4AAE" w:rsidRPr="002A6EF5">
        <w:rPr>
          <w:rFonts w:ascii="Arial" w:hAnsi="Arial" w:cs="Arial"/>
          <w:b/>
        </w:rPr>
        <w:t>Dynamic Panel Cointegrating Regression Equation</w:t>
      </w:r>
    </w:p>
    <w:p w:rsidR="00AC4AAE" w:rsidRPr="002A6EF5" w:rsidRDefault="00AC4AAE" w:rsidP="002A6EF5">
      <w:pPr>
        <w:autoSpaceDE w:val="0"/>
        <w:autoSpaceDN w:val="0"/>
        <w:adjustRightInd w:val="0"/>
        <w:jc w:val="both"/>
        <w:rPr>
          <w:rFonts w:ascii="Arial" w:hAnsi="Arial" w:cs="Arial"/>
          <w:b/>
        </w:rPr>
      </w:pPr>
      <w:r w:rsidRPr="002A6EF5">
        <w:rPr>
          <w:rFonts w:ascii="Arial" w:hAnsi="Arial" w:cs="Arial"/>
        </w:rPr>
        <w:t>To examine the long-run effects of demographic indicators on human development in Nigeria, the study employed the Dynamic Panel Fully Modified Least Squares (FMOLS) estimator. FMOLS is particularly suitable in the context of cointegrated panel data because it corrects for both serial correlation and endogeneity, thereby producing efficient and unbiased long-run parameter estimates. Table 5 presents the estimated coefficients, standard errors, t-statistics, and probability values for the relationship between human development (LHDI) and the selected explanatory variables.</w:t>
      </w:r>
    </w:p>
    <w:p w:rsidR="00AC4AAE" w:rsidRPr="002A6EF5" w:rsidRDefault="00AC4AAE" w:rsidP="002A6EF5">
      <w:pPr>
        <w:autoSpaceDE w:val="0"/>
        <w:autoSpaceDN w:val="0"/>
        <w:adjustRightInd w:val="0"/>
        <w:rPr>
          <w:rFonts w:ascii="Arial" w:hAnsi="Arial" w:cs="Arial"/>
          <w:b/>
        </w:rPr>
      </w:pPr>
      <w:r w:rsidRPr="002A6EF5">
        <w:rPr>
          <w:rFonts w:ascii="Arial" w:hAnsi="Arial" w:cs="Arial"/>
          <w:b/>
        </w:rPr>
        <w:t xml:space="preserve">Table 5: Parameter Estimates of Dynamic </w:t>
      </w:r>
      <w:r w:rsidRPr="002A6EF5">
        <w:rPr>
          <w:rFonts w:ascii="Arial" w:hAnsi="Arial" w:cs="Arial"/>
          <w:b/>
          <w:color w:val="000000"/>
        </w:rPr>
        <w:t>Panel Fully Modified Least Square</w:t>
      </w:r>
      <w:r w:rsidRPr="002A6EF5">
        <w:rPr>
          <w:rFonts w:ascii="Arial" w:hAnsi="Arial" w:cs="Arial"/>
          <w:b/>
        </w:rPr>
        <w:t>(FMOLS)</w:t>
      </w:r>
    </w:p>
    <w:tbl>
      <w:tblPr>
        <w:tblW w:w="0" w:type="auto"/>
        <w:tblBorders>
          <w:top w:val="single" w:sz="4" w:space="0" w:color="auto"/>
          <w:bottom w:val="single" w:sz="4" w:space="0" w:color="auto"/>
        </w:tblBorders>
        <w:tblLook w:val="04A0"/>
      </w:tblPr>
      <w:tblGrid>
        <w:gridCol w:w="2064"/>
        <w:gridCol w:w="1856"/>
        <w:gridCol w:w="1472"/>
        <w:gridCol w:w="1605"/>
        <w:gridCol w:w="1427"/>
      </w:tblGrid>
      <w:tr w:rsidR="00AC4AAE" w:rsidRPr="002A6EF5" w:rsidTr="00AC4AAE">
        <w:tc>
          <w:tcPr>
            <w:tcW w:w="2448" w:type="dxa"/>
            <w:tcBorders>
              <w:top w:val="single" w:sz="4" w:space="0" w:color="auto"/>
              <w:left w:val="nil"/>
              <w:bottom w:val="single" w:sz="4" w:space="0" w:color="auto"/>
              <w:right w:val="nil"/>
            </w:tcBorders>
            <w:vAlign w:val="bottom"/>
            <w:hideMark/>
          </w:tcPr>
          <w:p w:rsidR="00AC4AAE" w:rsidRPr="002A6EF5" w:rsidRDefault="00AC4AAE">
            <w:pPr>
              <w:autoSpaceDE w:val="0"/>
              <w:autoSpaceDN w:val="0"/>
              <w:adjustRightInd w:val="0"/>
              <w:jc w:val="center"/>
              <w:rPr>
                <w:rFonts w:ascii="Arial" w:hAnsi="Arial" w:cs="Arial"/>
                <w:b/>
                <w:color w:val="000000"/>
              </w:rPr>
            </w:pPr>
            <w:r w:rsidRPr="002A6EF5">
              <w:rPr>
                <w:rFonts w:ascii="Arial" w:hAnsi="Arial" w:cs="Arial"/>
                <w:b/>
                <w:color w:val="000000"/>
              </w:rPr>
              <w:t>Variable</w:t>
            </w:r>
          </w:p>
        </w:tc>
        <w:tc>
          <w:tcPr>
            <w:tcW w:w="2070" w:type="dxa"/>
            <w:tcBorders>
              <w:top w:val="single" w:sz="4" w:space="0" w:color="auto"/>
              <w:left w:val="nil"/>
              <w:bottom w:val="single" w:sz="4" w:space="0" w:color="auto"/>
              <w:right w:val="nil"/>
            </w:tcBorders>
            <w:vAlign w:val="bottom"/>
            <w:hideMark/>
          </w:tcPr>
          <w:p w:rsidR="00AC4AAE" w:rsidRPr="002A6EF5" w:rsidRDefault="00AC4AAE">
            <w:pPr>
              <w:autoSpaceDE w:val="0"/>
              <w:autoSpaceDN w:val="0"/>
              <w:adjustRightInd w:val="0"/>
              <w:ind w:right="10"/>
              <w:jc w:val="right"/>
              <w:rPr>
                <w:rFonts w:ascii="Arial" w:hAnsi="Arial" w:cs="Arial"/>
                <w:b/>
                <w:color w:val="000000"/>
              </w:rPr>
            </w:pPr>
            <w:r w:rsidRPr="002A6EF5">
              <w:rPr>
                <w:rFonts w:ascii="Arial" w:hAnsi="Arial" w:cs="Arial"/>
                <w:b/>
                <w:color w:val="000000"/>
              </w:rPr>
              <w:t>Coefficient</w:t>
            </w:r>
          </w:p>
        </w:tc>
        <w:tc>
          <w:tcPr>
            <w:tcW w:w="1620" w:type="dxa"/>
            <w:tcBorders>
              <w:top w:val="single" w:sz="4" w:space="0" w:color="auto"/>
              <w:left w:val="nil"/>
              <w:bottom w:val="single" w:sz="4" w:space="0" w:color="auto"/>
              <w:right w:val="nil"/>
            </w:tcBorders>
            <w:vAlign w:val="bottom"/>
            <w:hideMark/>
          </w:tcPr>
          <w:p w:rsidR="00AC4AAE" w:rsidRPr="002A6EF5" w:rsidRDefault="00AC4AAE">
            <w:pPr>
              <w:autoSpaceDE w:val="0"/>
              <w:autoSpaceDN w:val="0"/>
              <w:adjustRightInd w:val="0"/>
              <w:ind w:right="10"/>
              <w:jc w:val="right"/>
              <w:rPr>
                <w:rFonts w:ascii="Arial" w:hAnsi="Arial" w:cs="Arial"/>
                <w:b/>
                <w:color w:val="000000"/>
              </w:rPr>
            </w:pPr>
            <w:r w:rsidRPr="002A6EF5">
              <w:rPr>
                <w:rFonts w:ascii="Arial" w:hAnsi="Arial" w:cs="Arial"/>
                <w:b/>
                <w:color w:val="000000"/>
              </w:rPr>
              <w:t>Std. Error</w:t>
            </w:r>
          </w:p>
        </w:tc>
        <w:tc>
          <w:tcPr>
            <w:tcW w:w="1800" w:type="dxa"/>
            <w:tcBorders>
              <w:top w:val="single" w:sz="4" w:space="0" w:color="auto"/>
              <w:left w:val="nil"/>
              <w:bottom w:val="single" w:sz="4" w:space="0" w:color="auto"/>
              <w:right w:val="nil"/>
            </w:tcBorders>
            <w:vAlign w:val="bottom"/>
            <w:hideMark/>
          </w:tcPr>
          <w:p w:rsidR="00AC4AAE" w:rsidRPr="002A6EF5" w:rsidRDefault="00AC4AAE">
            <w:pPr>
              <w:autoSpaceDE w:val="0"/>
              <w:autoSpaceDN w:val="0"/>
              <w:adjustRightInd w:val="0"/>
              <w:ind w:right="10"/>
              <w:jc w:val="right"/>
              <w:rPr>
                <w:rFonts w:ascii="Arial" w:hAnsi="Arial" w:cs="Arial"/>
                <w:b/>
                <w:color w:val="000000"/>
              </w:rPr>
            </w:pPr>
            <w:r w:rsidRPr="002A6EF5">
              <w:rPr>
                <w:rFonts w:ascii="Arial" w:hAnsi="Arial" w:cs="Arial"/>
                <w:b/>
                <w:color w:val="000000"/>
              </w:rPr>
              <w:t>t-Statistic</w:t>
            </w:r>
          </w:p>
        </w:tc>
        <w:tc>
          <w:tcPr>
            <w:tcW w:w="1638" w:type="dxa"/>
            <w:tcBorders>
              <w:top w:val="single" w:sz="4" w:space="0" w:color="auto"/>
              <w:left w:val="nil"/>
              <w:bottom w:val="single" w:sz="4" w:space="0" w:color="auto"/>
              <w:right w:val="nil"/>
            </w:tcBorders>
            <w:vAlign w:val="bottom"/>
            <w:hideMark/>
          </w:tcPr>
          <w:p w:rsidR="00AC4AAE" w:rsidRPr="002A6EF5" w:rsidRDefault="00AC4AAE">
            <w:pPr>
              <w:autoSpaceDE w:val="0"/>
              <w:autoSpaceDN w:val="0"/>
              <w:adjustRightInd w:val="0"/>
              <w:ind w:right="10"/>
              <w:jc w:val="right"/>
              <w:rPr>
                <w:rFonts w:ascii="Arial" w:hAnsi="Arial" w:cs="Arial"/>
                <w:b/>
                <w:color w:val="000000"/>
              </w:rPr>
            </w:pPr>
            <w:r w:rsidRPr="002A6EF5">
              <w:rPr>
                <w:rFonts w:ascii="Arial" w:hAnsi="Arial" w:cs="Arial"/>
                <w:b/>
                <w:color w:val="000000"/>
              </w:rPr>
              <w:t>p-value </w:t>
            </w:r>
          </w:p>
        </w:tc>
      </w:tr>
      <w:tr w:rsidR="00AC4AAE" w:rsidRPr="002A6EF5" w:rsidTr="00AC4AAE">
        <w:tc>
          <w:tcPr>
            <w:tcW w:w="2448" w:type="dxa"/>
            <w:tcBorders>
              <w:top w:val="single" w:sz="4" w:space="0" w:color="auto"/>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LLEB</w:t>
            </w:r>
          </w:p>
        </w:tc>
        <w:tc>
          <w:tcPr>
            <w:tcW w:w="2070" w:type="dxa"/>
            <w:tcBorders>
              <w:top w:val="single" w:sz="4" w:space="0" w:color="auto"/>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0.214564</w:t>
            </w:r>
          </w:p>
        </w:tc>
        <w:tc>
          <w:tcPr>
            <w:tcW w:w="1620" w:type="dxa"/>
            <w:tcBorders>
              <w:top w:val="single" w:sz="4" w:space="0" w:color="auto"/>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0.015040</w:t>
            </w:r>
          </w:p>
        </w:tc>
        <w:tc>
          <w:tcPr>
            <w:tcW w:w="1800" w:type="dxa"/>
            <w:tcBorders>
              <w:top w:val="single" w:sz="4" w:space="0" w:color="auto"/>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14.26622</w:t>
            </w:r>
          </w:p>
        </w:tc>
        <w:tc>
          <w:tcPr>
            <w:tcW w:w="1638" w:type="dxa"/>
            <w:tcBorders>
              <w:top w:val="single" w:sz="4" w:space="0" w:color="auto"/>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0.0000</w:t>
            </w:r>
          </w:p>
        </w:tc>
      </w:tr>
      <w:tr w:rsidR="00AC4AAE" w:rsidRPr="002A6EF5" w:rsidTr="00AC4AAE">
        <w:tc>
          <w:tcPr>
            <w:tcW w:w="2448"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LFR</w:t>
            </w:r>
          </w:p>
        </w:tc>
        <w:tc>
          <w:tcPr>
            <w:tcW w:w="2070" w:type="dxa"/>
            <w:tcBorders>
              <w:top w:val="nil"/>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-0.450933</w:t>
            </w:r>
          </w:p>
        </w:tc>
        <w:tc>
          <w:tcPr>
            <w:tcW w:w="1620" w:type="dxa"/>
            <w:tcBorders>
              <w:top w:val="nil"/>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0.034677</w:t>
            </w:r>
          </w:p>
        </w:tc>
        <w:tc>
          <w:tcPr>
            <w:tcW w:w="1800" w:type="dxa"/>
            <w:tcBorders>
              <w:top w:val="nil"/>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-13.00381</w:t>
            </w:r>
          </w:p>
        </w:tc>
        <w:tc>
          <w:tcPr>
            <w:tcW w:w="1638" w:type="dxa"/>
            <w:tcBorders>
              <w:top w:val="nil"/>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0.0000</w:t>
            </w:r>
          </w:p>
        </w:tc>
      </w:tr>
      <w:tr w:rsidR="00AC4AAE" w:rsidRPr="002A6EF5" w:rsidTr="00AC4AAE">
        <w:tc>
          <w:tcPr>
            <w:tcW w:w="2448"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LUR</w:t>
            </w:r>
          </w:p>
        </w:tc>
        <w:tc>
          <w:tcPr>
            <w:tcW w:w="2070" w:type="dxa"/>
            <w:tcBorders>
              <w:top w:val="nil"/>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-0.326142</w:t>
            </w:r>
          </w:p>
        </w:tc>
        <w:tc>
          <w:tcPr>
            <w:tcW w:w="1620" w:type="dxa"/>
            <w:tcBorders>
              <w:top w:val="nil"/>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0.027686</w:t>
            </w:r>
          </w:p>
        </w:tc>
        <w:tc>
          <w:tcPr>
            <w:tcW w:w="1800" w:type="dxa"/>
            <w:tcBorders>
              <w:top w:val="nil"/>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-11.78003</w:t>
            </w:r>
          </w:p>
        </w:tc>
        <w:tc>
          <w:tcPr>
            <w:tcW w:w="1638" w:type="dxa"/>
            <w:tcBorders>
              <w:top w:val="nil"/>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0.0000</w:t>
            </w:r>
          </w:p>
        </w:tc>
      </w:tr>
      <w:tr w:rsidR="00AC4AAE" w:rsidRPr="002A6EF5" w:rsidTr="00AC4AAE">
        <w:tc>
          <w:tcPr>
            <w:tcW w:w="2448"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LDR</w:t>
            </w:r>
          </w:p>
        </w:tc>
        <w:tc>
          <w:tcPr>
            <w:tcW w:w="2070" w:type="dxa"/>
            <w:tcBorders>
              <w:top w:val="nil"/>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-0.070933</w:t>
            </w:r>
          </w:p>
        </w:tc>
        <w:tc>
          <w:tcPr>
            <w:tcW w:w="1620" w:type="dxa"/>
            <w:tcBorders>
              <w:top w:val="nil"/>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0.028496</w:t>
            </w:r>
          </w:p>
        </w:tc>
        <w:tc>
          <w:tcPr>
            <w:tcW w:w="1800" w:type="dxa"/>
            <w:tcBorders>
              <w:top w:val="nil"/>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-2.489208</w:t>
            </w:r>
          </w:p>
        </w:tc>
        <w:tc>
          <w:tcPr>
            <w:tcW w:w="1638" w:type="dxa"/>
            <w:tcBorders>
              <w:top w:val="nil"/>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0.0138</w:t>
            </w:r>
          </w:p>
        </w:tc>
      </w:tr>
      <w:tr w:rsidR="00AC4AAE" w:rsidRPr="002A6EF5" w:rsidTr="00AC4AAE">
        <w:tc>
          <w:tcPr>
            <w:tcW w:w="2448" w:type="dxa"/>
            <w:tcBorders>
              <w:top w:val="nil"/>
              <w:left w:val="nil"/>
              <w:bottom w:val="nil"/>
              <w:right w:val="nil"/>
            </w:tcBorders>
            <w:vAlign w:val="bottom"/>
            <w:hideMark/>
          </w:tcPr>
          <w:p w:rsidR="00AC4AAE" w:rsidRPr="002A6EF5" w:rsidRDefault="00AC4AAE">
            <w:pPr>
              <w:autoSpaceDE w:val="0"/>
              <w:autoSpaceDN w:val="0"/>
              <w:adjustRightInd w:val="0"/>
              <w:jc w:val="center"/>
              <w:rPr>
                <w:rFonts w:ascii="Arial" w:hAnsi="Arial" w:cs="Arial"/>
                <w:color w:val="000000"/>
              </w:rPr>
            </w:pPr>
            <w:r w:rsidRPr="002A6EF5">
              <w:rPr>
                <w:rFonts w:ascii="Arial" w:hAnsi="Arial" w:cs="Arial"/>
                <w:color w:val="000000"/>
              </w:rPr>
              <w:t>LFLP</w:t>
            </w:r>
          </w:p>
        </w:tc>
        <w:tc>
          <w:tcPr>
            <w:tcW w:w="2070" w:type="dxa"/>
            <w:tcBorders>
              <w:top w:val="nil"/>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0.235670</w:t>
            </w:r>
          </w:p>
        </w:tc>
        <w:tc>
          <w:tcPr>
            <w:tcW w:w="1620" w:type="dxa"/>
            <w:tcBorders>
              <w:top w:val="nil"/>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0.033057</w:t>
            </w:r>
          </w:p>
        </w:tc>
        <w:tc>
          <w:tcPr>
            <w:tcW w:w="1800" w:type="dxa"/>
            <w:tcBorders>
              <w:top w:val="nil"/>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7.129201</w:t>
            </w:r>
          </w:p>
        </w:tc>
        <w:tc>
          <w:tcPr>
            <w:tcW w:w="1638" w:type="dxa"/>
            <w:tcBorders>
              <w:top w:val="nil"/>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0.0000</w:t>
            </w:r>
          </w:p>
        </w:tc>
      </w:tr>
      <w:tr w:rsidR="00AC4AAE" w:rsidRPr="002A6EF5" w:rsidTr="00AC4AAE">
        <w:tc>
          <w:tcPr>
            <w:tcW w:w="2448" w:type="dxa"/>
            <w:tcBorders>
              <w:top w:val="nil"/>
              <w:left w:val="nil"/>
              <w:bottom w:val="nil"/>
              <w:right w:val="nil"/>
            </w:tcBorders>
            <w:vAlign w:val="bottom"/>
            <w:hideMark/>
          </w:tcPr>
          <w:p w:rsidR="00AC4AAE" w:rsidRPr="002A6EF5" w:rsidRDefault="00AC4AAE">
            <w:pPr>
              <w:autoSpaceDE w:val="0"/>
              <w:autoSpaceDN w:val="0"/>
              <w:adjustRightInd w:val="0"/>
              <w:rPr>
                <w:rFonts w:ascii="Arial" w:hAnsi="Arial" w:cs="Arial"/>
                <w:color w:val="000000"/>
              </w:rPr>
            </w:pPr>
            <w:r w:rsidRPr="002A6EF5">
              <w:rPr>
                <w:rFonts w:ascii="Arial" w:hAnsi="Arial" w:cs="Arial"/>
                <w:color w:val="000000"/>
              </w:rPr>
              <w:t>R-squared</w:t>
            </w:r>
          </w:p>
        </w:tc>
        <w:tc>
          <w:tcPr>
            <w:tcW w:w="2070" w:type="dxa"/>
            <w:tcBorders>
              <w:top w:val="nil"/>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0.948730</w:t>
            </w:r>
          </w:p>
        </w:tc>
        <w:tc>
          <w:tcPr>
            <w:tcW w:w="1620" w:type="dxa"/>
            <w:tcBorders>
              <w:top w:val="nil"/>
              <w:left w:val="nil"/>
              <w:bottom w:val="nil"/>
              <w:right w:val="nil"/>
            </w:tcBorders>
          </w:tcPr>
          <w:p w:rsidR="00AC4AAE" w:rsidRPr="002A6EF5" w:rsidRDefault="00AC4AAE">
            <w:pPr>
              <w:autoSpaceDE w:val="0"/>
              <w:autoSpaceDN w:val="0"/>
              <w:adjustRightInd w:val="0"/>
              <w:rPr>
                <w:rFonts w:ascii="Arial" w:hAnsi="Arial" w:cs="Arial"/>
              </w:rPr>
            </w:pPr>
          </w:p>
        </w:tc>
        <w:tc>
          <w:tcPr>
            <w:tcW w:w="1800" w:type="dxa"/>
            <w:tcBorders>
              <w:top w:val="nil"/>
              <w:left w:val="nil"/>
              <w:bottom w:val="nil"/>
              <w:right w:val="nil"/>
            </w:tcBorders>
          </w:tcPr>
          <w:p w:rsidR="00AC4AAE" w:rsidRPr="002A6EF5" w:rsidRDefault="00AC4AAE">
            <w:pPr>
              <w:autoSpaceDE w:val="0"/>
              <w:autoSpaceDN w:val="0"/>
              <w:adjustRightInd w:val="0"/>
              <w:rPr>
                <w:rFonts w:ascii="Arial" w:hAnsi="Arial" w:cs="Arial"/>
              </w:rPr>
            </w:pPr>
          </w:p>
        </w:tc>
        <w:tc>
          <w:tcPr>
            <w:tcW w:w="1638" w:type="dxa"/>
            <w:tcBorders>
              <w:top w:val="nil"/>
              <w:left w:val="nil"/>
              <w:bottom w:val="nil"/>
              <w:right w:val="nil"/>
            </w:tcBorders>
          </w:tcPr>
          <w:p w:rsidR="00AC4AAE" w:rsidRPr="002A6EF5" w:rsidRDefault="00AC4AAE">
            <w:pPr>
              <w:autoSpaceDE w:val="0"/>
              <w:autoSpaceDN w:val="0"/>
              <w:adjustRightInd w:val="0"/>
              <w:rPr>
                <w:rFonts w:ascii="Arial" w:hAnsi="Arial" w:cs="Arial"/>
              </w:rPr>
            </w:pPr>
          </w:p>
        </w:tc>
      </w:tr>
      <w:tr w:rsidR="00AC4AAE" w:rsidRPr="002A6EF5" w:rsidTr="00AC4AAE">
        <w:tc>
          <w:tcPr>
            <w:tcW w:w="2448" w:type="dxa"/>
            <w:tcBorders>
              <w:top w:val="nil"/>
              <w:left w:val="nil"/>
              <w:bottom w:val="nil"/>
              <w:right w:val="nil"/>
            </w:tcBorders>
            <w:vAlign w:val="bottom"/>
            <w:hideMark/>
          </w:tcPr>
          <w:p w:rsidR="00AC4AAE" w:rsidRPr="002A6EF5" w:rsidRDefault="00AC4AAE">
            <w:pPr>
              <w:autoSpaceDE w:val="0"/>
              <w:autoSpaceDN w:val="0"/>
              <w:adjustRightInd w:val="0"/>
              <w:rPr>
                <w:rFonts w:ascii="Arial" w:hAnsi="Arial" w:cs="Arial"/>
                <w:color w:val="000000"/>
              </w:rPr>
            </w:pPr>
            <w:r w:rsidRPr="002A6EF5">
              <w:rPr>
                <w:rFonts w:ascii="Arial" w:hAnsi="Arial" w:cs="Arial"/>
                <w:color w:val="000000"/>
              </w:rPr>
              <w:t>Adjusted R-sqr.</w:t>
            </w:r>
          </w:p>
        </w:tc>
        <w:tc>
          <w:tcPr>
            <w:tcW w:w="2070" w:type="dxa"/>
            <w:tcBorders>
              <w:top w:val="nil"/>
              <w:left w:val="nil"/>
              <w:bottom w:val="nil"/>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0.944216</w:t>
            </w:r>
          </w:p>
        </w:tc>
        <w:tc>
          <w:tcPr>
            <w:tcW w:w="1620" w:type="dxa"/>
            <w:tcBorders>
              <w:top w:val="nil"/>
              <w:left w:val="nil"/>
              <w:bottom w:val="nil"/>
              <w:right w:val="nil"/>
            </w:tcBorders>
          </w:tcPr>
          <w:p w:rsidR="00AC4AAE" w:rsidRPr="002A6EF5" w:rsidRDefault="00AC4AAE">
            <w:pPr>
              <w:autoSpaceDE w:val="0"/>
              <w:autoSpaceDN w:val="0"/>
              <w:adjustRightInd w:val="0"/>
              <w:rPr>
                <w:rFonts w:ascii="Arial" w:hAnsi="Arial" w:cs="Arial"/>
              </w:rPr>
            </w:pPr>
          </w:p>
        </w:tc>
        <w:tc>
          <w:tcPr>
            <w:tcW w:w="1800" w:type="dxa"/>
            <w:tcBorders>
              <w:top w:val="nil"/>
              <w:left w:val="nil"/>
              <w:bottom w:val="nil"/>
              <w:right w:val="nil"/>
            </w:tcBorders>
          </w:tcPr>
          <w:p w:rsidR="00AC4AAE" w:rsidRPr="002A6EF5" w:rsidRDefault="00AC4AAE">
            <w:pPr>
              <w:autoSpaceDE w:val="0"/>
              <w:autoSpaceDN w:val="0"/>
              <w:adjustRightInd w:val="0"/>
              <w:rPr>
                <w:rFonts w:ascii="Arial" w:hAnsi="Arial" w:cs="Arial"/>
              </w:rPr>
            </w:pPr>
          </w:p>
        </w:tc>
        <w:tc>
          <w:tcPr>
            <w:tcW w:w="1638" w:type="dxa"/>
            <w:tcBorders>
              <w:top w:val="nil"/>
              <w:left w:val="nil"/>
              <w:bottom w:val="nil"/>
              <w:right w:val="nil"/>
            </w:tcBorders>
          </w:tcPr>
          <w:p w:rsidR="00AC4AAE" w:rsidRPr="002A6EF5" w:rsidRDefault="00AC4AAE">
            <w:pPr>
              <w:autoSpaceDE w:val="0"/>
              <w:autoSpaceDN w:val="0"/>
              <w:adjustRightInd w:val="0"/>
              <w:rPr>
                <w:rFonts w:ascii="Arial" w:hAnsi="Arial" w:cs="Arial"/>
              </w:rPr>
            </w:pPr>
          </w:p>
        </w:tc>
      </w:tr>
      <w:tr w:rsidR="00AC4AAE" w:rsidRPr="002A6EF5" w:rsidTr="00AC4AAE">
        <w:tc>
          <w:tcPr>
            <w:tcW w:w="2448" w:type="dxa"/>
            <w:tcBorders>
              <w:top w:val="nil"/>
              <w:left w:val="nil"/>
              <w:bottom w:val="single" w:sz="4" w:space="0" w:color="auto"/>
              <w:right w:val="nil"/>
            </w:tcBorders>
            <w:vAlign w:val="bottom"/>
            <w:hideMark/>
          </w:tcPr>
          <w:p w:rsidR="00AC4AAE" w:rsidRPr="002A6EF5" w:rsidRDefault="00AC4AAE">
            <w:pPr>
              <w:autoSpaceDE w:val="0"/>
              <w:autoSpaceDN w:val="0"/>
              <w:adjustRightInd w:val="0"/>
              <w:rPr>
                <w:rFonts w:ascii="Arial" w:hAnsi="Arial" w:cs="Arial"/>
                <w:color w:val="000000"/>
              </w:rPr>
            </w:pPr>
            <w:r w:rsidRPr="002A6EF5">
              <w:rPr>
                <w:rFonts w:ascii="Arial" w:hAnsi="Arial" w:cs="Arial"/>
                <w:color w:val="000000"/>
              </w:rPr>
              <w:t>D-Watson stat</w:t>
            </w:r>
          </w:p>
        </w:tc>
        <w:tc>
          <w:tcPr>
            <w:tcW w:w="2070" w:type="dxa"/>
            <w:tcBorders>
              <w:top w:val="nil"/>
              <w:left w:val="nil"/>
              <w:bottom w:val="single" w:sz="4" w:space="0" w:color="auto"/>
              <w:right w:val="nil"/>
            </w:tcBorders>
            <w:vAlign w:val="bottom"/>
            <w:hideMark/>
          </w:tcPr>
          <w:p w:rsidR="00AC4AAE" w:rsidRPr="002A6EF5" w:rsidRDefault="00AC4AAE">
            <w:pPr>
              <w:autoSpaceDE w:val="0"/>
              <w:autoSpaceDN w:val="0"/>
              <w:adjustRightInd w:val="0"/>
              <w:ind w:right="10"/>
              <w:jc w:val="right"/>
              <w:rPr>
                <w:rFonts w:ascii="Arial" w:hAnsi="Arial" w:cs="Arial"/>
                <w:color w:val="000000"/>
              </w:rPr>
            </w:pPr>
            <w:r w:rsidRPr="002A6EF5">
              <w:rPr>
                <w:rFonts w:ascii="Arial" w:hAnsi="Arial" w:cs="Arial"/>
                <w:color w:val="000000"/>
              </w:rPr>
              <w:t>1.725625</w:t>
            </w:r>
          </w:p>
        </w:tc>
        <w:tc>
          <w:tcPr>
            <w:tcW w:w="1620" w:type="dxa"/>
            <w:tcBorders>
              <w:top w:val="nil"/>
              <w:left w:val="nil"/>
              <w:bottom w:val="single" w:sz="4" w:space="0" w:color="auto"/>
              <w:right w:val="nil"/>
            </w:tcBorders>
          </w:tcPr>
          <w:p w:rsidR="00AC4AAE" w:rsidRPr="002A6EF5" w:rsidRDefault="00AC4AAE">
            <w:pPr>
              <w:autoSpaceDE w:val="0"/>
              <w:autoSpaceDN w:val="0"/>
              <w:adjustRightInd w:val="0"/>
              <w:rPr>
                <w:rFonts w:ascii="Arial" w:hAnsi="Arial" w:cs="Arial"/>
              </w:rPr>
            </w:pPr>
          </w:p>
        </w:tc>
        <w:tc>
          <w:tcPr>
            <w:tcW w:w="1800" w:type="dxa"/>
            <w:tcBorders>
              <w:top w:val="nil"/>
              <w:left w:val="nil"/>
              <w:bottom w:val="single" w:sz="4" w:space="0" w:color="auto"/>
              <w:right w:val="nil"/>
            </w:tcBorders>
          </w:tcPr>
          <w:p w:rsidR="00AC4AAE" w:rsidRPr="002A6EF5" w:rsidRDefault="00AC4AAE">
            <w:pPr>
              <w:autoSpaceDE w:val="0"/>
              <w:autoSpaceDN w:val="0"/>
              <w:adjustRightInd w:val="0"/>
              <w:rPr>
                <w:rFonts w:ascii="Arial" w:hAnsi="Arial" w:cs="Arial"/>
              </w:rPr>
            </w:pPr>
          </w:p>
        </w:tc>
        <w:tc>
          <w:tcPr>
            <w:tcW w:w="1638" w:type="dxa"/>
            <w:tcBorders>
              <w:top w:val="nil"/>
              <w:left w:val="nil"/>
              <w:bottom w:val="single" w:sz="4" w:space="0" w:color="auto"/>
              <w:right w:val="nil"/>
            </w:tcBorders>
          </w:tcPr>
          <w:p w:rsidR="00AC4AAE" w:rsidRPr="002A6EF5" w:rsidRDefault="00AC4AAE">
            <w:pPr>
              <w:autoSpaceDE w:val="0"/>
              <w:autoSpaceDN w:val="0"/>
              <w:adjustRightInd w:val="0"/>
              <w:rPr>
                <w:rFonts w:ascii="Arial" w:hAnsi="Arial" w:cs="Arial"/>
              </w:rPr>
            </w:pPr>
          </w:p>
        </w:tc>
      </w:tr>
    </w:tbl>
    <w:p w:rsidR="00AC4AAE" w:rsidRPr="002A6EF5" w:rsidRDefault="00AC4AAE" w:rsidP="002A6EF5">
      <w:pPr>
        <w:pStyle w:val="NormalWeb"/>
        <w:spacing w:before="0" w:beforeAutospacing="0" w:after="0" w:afterAutospacing="0"/>
        <w:jc w:val="both"/>
        <w:rPr>
          <w:rFonts w:ascii="Arial" w:hAnsi="Arial" w:cs="Arial"/>
          <w:sz w:val="20"/>
          <w:szCs w:val="20"/>
        </w:rPr>
      </w:pPr>
      <w:r w:rsidRPr="002A6EF5">
        <w:rPr>
          <w:rFonts w:ascii="Arial" w:hAnsi="Arial" w:cs="Arial"/>
          <w:sz w:val="20"/>
          <w:szCs w:val="20"/>
        </w:rPr>
        <w:t>The dynamic FMOLS results reported in Table 5 reveal that all the explanatory variables are statistically significant in explaining variations in human development, though their effects differ in direction and magnitude. Life expectancy at birth (LLEB) exerts a positive and significant impact on human development (β = 0.2146, p &lt; 0.01), indicating that improvements in life expectancy contribute positively to human well-being. Conversely, fertility rate (LFR) and urbanization rate (LUR) show negative and highly significant effects (β = -0.4509 and -0.3261, respectively; p &lt; 0.01), suggesting that higher fertility and urbanisation reduce the level of human development. Dependency ratio (LDR) also carries a negative and significant coefficient (β = -0.0709, p &lt; 0.05), implying that a larger dependent population places pressure on resources, thereby reducing development outcomes. On the other hand, female labor force participation (LFLP) has a positive and significant relationship (β = 0.2357, p &lt; 0.01), underscoring the role of women’s active participation in the labor market in fostering human development.</w:t>
      </w:r>
    </w:p>
    <w:p w:rsidR="00AC4AAE" w:rsidRPr="002A6EF5" w:rsidRDefault="00AC4AAE" w:rsidP="002A6EF5">
      <w:pPr>
        <w:pStyle w:val="NormalWeb"/>
        <w:spacing w:before="0" w:beforeAutospacing="0" w:after="0" w:afterAutospacing="0"/>
        <w:jc w:val="both"/>
        <w:rPr>
          <w:rFonts w:ascii="Arial" w:hAnsi="Arial" w:cs="Arial"/>
          <w:sz w:val="20"/>
          <w:szCs w:val="20"/>
        </w:rPr>
      </w:pPr>
      <w:r w:rsidRPr="002A6EF5">
        <w:rPr>
          <w:rFonts w:ascii="Arial" w:hAnsi="Arial" w:cs="Arial"/>
          <w:sz w:val="20"/>
          <w:szCs w:val="20"/>
        </w:rPr>
        <w:t xml:space="preserve">The model’s goodness-of-fit is high, with an R-squared value of 0.9487 and an adjusted R-squared of 0.9442, indicating that the explanatory variables jointly account for about 94% of the long-run variations in human development across Nigeria’s regions. The Durbin-Watson </w:t>
      </w:r>
      <w:r w:rsidRPr="002A6EF5">
        <w:rPr>
          <w:rFonts w:ascii="Arial" w:hAnsi="Arial" w:cs="Arial"/>
          <w:sz w:val="20"/>
          <w:szCs w:val="20"/>
        </w:rPr>
        <w:lastRenderedPageBreak/>
        <w:t>statistic (1.73) suggests that there is no serious autocorrelation problem, further strengthening the reliability of the estimates.</w:t>
      </w:r>
    </w:p>
    <w:p w:rsidR="00AC4AAE" w:rsidRPr="002A6EF5" w:rsidRDefault="00AC4AAE" w:rsidP="002A6EF5">
      <w:pPr>
        <w:pStyle w:val="NormalWeb"/>
        <w:spacing w:before="0" w:beforeAutospacing="0" w:after="0" w:afterAutospacing="0"/>
        <w:jc w:val="both"/>
        <w:rPr>
          <w:rFonts w:ascii="Arial" w:hAnsi="Arial" w:cs="Arial"/>
          <w:sz w:val="20"/>
          <w:szCs w:val="20"/>
        </w:rPr>
      </w:pPr>
      <w:r w:rsidRPr="002A6EF5">
        <w:rPr>
          <w:rFonts w:ascii="Arial" w:hAnsi="Arial" w:cs="Arial"/>
          <w:sz w:val="20"/>
          <w:szCs w:val="20"/>
        </w:rPr>
        <w:t>Overall, the FMOLS estimates confirm that reducing fertility and urbanizationwhile promoting life expectancy and female labour participation are critical drivers of sustainable human development in Nigeria.</w:t>
      </w:r>
    </w:p>
    <w:p w:rsidR="00AC4AAE" w:rsidRPr="002A6EF5" w:rsidRDefault="002A6EF5" w:rsidP="002A6EF5">
      <w:pPr>
        <w:jc w:val="both"/>
        <w:rPr>
          <w:rFonts w:ascii="Arial" w:hAnsi="Arial" w:cs="Arial"/>
          <w:b/>
        </w:rPr>
      </w:pPr>
      <w:r w:rsidRPr="002A6EF5">
        <w:rPr>
          <w:rFonts w:ascii="Arial" w:hAnsi="Arial" w:cs="Arial"/>
          <w:b/>
        </w:rPr>
        <w:t xml:space="preserve">3.5 </w:t>
      </w:r>
      <w:r w:rsidR="00AC4AAE" w:rsidRPr="002A6EF5">
        <w:rPr>
          <w:rFonts w:ascii="Arial" w:hAnsi="Arial" w:cs="Arial"/>
          <w:b/>
        </w:rPr>
        <w:t>Lag Length Selection for Panel VECM</w:t>
      </w:r>
    </w:p>
    <w:p w:rsidR="00AC4AAE" w:rsidRPr="002A6EF5" w:rsidRDefault="00AC4AAE" w:rsidP="002A6EF5">
      <w:pPr>
        <w:jc w:val="both"/>
        <w:rPr>
          <w:rFonts w:ascii="Arial" w:hAnsi="Arial" w:cs="Arial"/>
        </w:rPr>
      </w:pPr>
      <w:r w:rsidRPr="002A6EF5">
        <w:rPr>
          <w:rFonts w:ascii="Arial" w:hAnsi="Arial" w:cs="Arial"/>
        </w:rPr>
        <w:t>Selecting the optimal lag length is a crucial preliminary step in the estimation of a Panel Vector Error Correction Model (Panel VECM), as it determines the dynamic structure of the system and ensures accurate short-run and long-run parameter estimation. Table 6 presents the lag length selection results for the panel VAR, which serves as the basis for the Panel VECM. The table reports key information criteria: Akaike Information Criterion (AIC), Schwarz Bayesian Criterion (BIC), Hannan–Quinn Criterion (HQC), and Final Prediction Error (FPE) alongside the log-likelihood (LogL) for each candidate lag order. These criteria help balance model fit and parsimony, penalizing excessive lag lengths that may lead to over-parameterization in a panel with multiple cross-sections.</w:t>
      </w:r>
    </w:p>
    <w:p w:rsidR="00AC4AAE" w:rsidRPr="002A6EF5" w:rsidRDefault="00AC4AAE" w:rsidP="00AC4AAE">
      <w:pPr>
        <w:rPr>
          <w:rFonts w:ascii="Arial" w:hAnsi="Arial" w:cs="Arial"/>
          <w:b/>
        </w:rPr>
      </w:pPr>
      <w:r w:rsidRPr="002A6EF5">
        <w:rPr>
          <w:rFonts w:ascii="Arial" w:hAnsi="Arial" w:cs="Arial"/>
          <w:b/>
        </w:rPr>
        <w:t>Table 6: Lag Length Selection for Panel VAR (Basis for Panel VECM)</w:t>
      </w:r>
    </w:p>
    <w:tbl>
      <w:tblPr>
        <w:tblW w:w="0" w:type="auto"/>
        <w:tblBorders>
          <w:top w:val="single" w:sz="4" w:space="0" w:color="auto"/>
          <w:bottom w:val="single" w:sz="4" w:space="0" w:color="auto"/>
        </w:tblBorders>
        <w:tblLook w:val="04A0"/>
      </w:tblPr>
      <w:tblGrid>
        <w:gridCol w:w="753"/>
        <w:gridCol w:w="1775"/>
        <w:gridCol w:w="1423"/>
        <w:gridCol w:w="1359"/>
        <w:gridCol w:w="1487"/>
        <w:gridCol w:w="1627"/>
      </w:tblGrid>
      <w:tr w:rsidR="00AC4AAE" w:rsidRPr="002A6EF5" w:rsidTr="00AC4AAE">
        <w:tc>
          <w:tcPr>
            <w:tcW w:w="828" w:type="dxa"/>
            <w:tcBorders>
              <w:top w:val="single" w:sz="4" w:space="0" w:color="auto"/>
              <w:left w:val="nil"/>
              <w:bottom w:val="single" w:sz="4" w:space="0" w:color="auto"/>
              <w:right w:val="nil"/>
            </w:tcBorders>
            <w:vAlign w:val="center"/>
            <w:hideMark/>
          </w:tcPr>
          <w:p w:rsidR="00AC4AAE" w:rsidRPr="002A6EF5" w:rsidRDefault="00AC4AAE">
            <w:pPr>
              <w:jc w:val="center"/>
              <w:rPr>
                <w:rFonts w:ascii="Arial" w:hAnsi="Arial" w:cs="Arial"/>
                <w:b/>
                <w:bCs/>
              </w:rPr>
            </w:pPr>
            <w:r w:rsidRPr="002A6EF5">
              <w:rPr>
                <w:rFonts w:ascii="Arial" w:hAnsi="Arial" w:cs="Arial"/>
                <w:b/>
                <w:bCs/>
              </w:rPr>
              <w:t>Lag</w:t>
            </w:r>
          </w:p>
        </w:tc>
        <w:tc>
          <w:tcPr>
            <w:tcW w:w="1980" w:type="dxa"/>
            <w:tcBorders>
              <w:top w:val="single" w:sz="4" w:space="0" w:color="auto"/>
              <w:left w:val="nil"/>
              <w:bottom w:val="single" w:sz="4" w:space="0" w:color="auto"/>
              <w:right w:val="nil"/>
            </w:tcBorders>
            <w:vAlign w:val="center"/>
            <w:hideMark/>
          </w:tcPr>
          <w:p w:rsidR="00AC4AAE" w:rsidRPr="002A6EF5" w:rsidRDefault="00AC4AAE">
            <w:pPr>
              <w:jc w:val="center"/>
              <w:rPr>
                <w:rFonts w:ascii="Arial" w:hAnsi="Arial" w:cs="Arial"/>
                <w:b/>
                <w:bCs/>
              </w:rPr>
            </w:pPr>
            <w:r w:rsidRPr="002A6EF5">
              <w:rPr>
                <w:rFonts w:ascii="Arial" w:hAnsi="Arial" w:cs="Arial"/>
                <w:b/>
                <w:bCs/>
              </w:rPr>
              <w:t>LogL</w:t>
            </w:r>
          </w:p>
        </w:tc>
        <w:tc>
          <w:tcPr>
            <w:tcW w:w="1620" w:type="dxa"/>
            <w:tcBorders>
              <w:top w:val="single" w:sz="4" w:space="0" w:color="auto"/>
              <w:left w:val="nil"/>
              <w:bottom w:val="single" w:sz="4" w:space="0" w:color="auto"/>
              <w:right w:val="nil"/>
            </w:tcBorders>
            <w:vAlign w:val="center"/>
            <w:hideMark/>
          </w:tcPr>
          <w:p w:rsidR="00AC4AAE" w:rsidRPr="002A6EF5" w:rsidRDefault="00AC4AAE">
            <w:pPr>
              <w:jc w:val="center"/>
              <w:rPr>
                <w:rFonts w:ascii="Arial" w:hAnsi="Arial" w:cs="Arial"/>
                <w:b/>
                <w:bCs/>
              </w:rPr>
            </w:pPr>
            <w:r w:rsidRPr="002A6EF5">
              <w:rPr>
                <w:rFonts w:ascii="Arial" w:hAnsi="Arial" w:cs="Arial"/>
                <w:b/>
                <w:bCs/>
              </w:rPr>
              <w:t>AIC</w:t>
            </w:r>
          </w:p>
        </w:tc>
        <w:tc>
          <w:tcPr>
            <w:tcW w:w="1530" w:type="dxa"/>
            <w:tcBorders>
              <w:top w:val="single" w:sz="4" w:space="0" w:color="auto"/>
              <w:left w:val="nil"/>
              <w:bottom w:val="single" w:sz="4" w:space="0" w:color="auto"/>
              <w:right w:val="nil"/>
            </w:tcBorders>
            <w:vAlign w:val="center"/>
            <w:hideMark/>
          </w:tcPr>
          <w:p w:rsidR="00AC4AAE" w:rsidRPr="002A6EF5" w:rsidRDefault="00AC4AAE">
            <w:pPr>
              <w:jc w:val="center"/>
              <w:rPr>
                <w:rFonts w:ascii="Arial" w:hAnsi="Arial" w:cs="Arial"/>
                <w:b/>
                <w:bCs/>
              </w:rPr>
            </w:pPr>
            <w:r w:rsidRPr="002A6EF5">
              <w:rPr>
                <w:rFonts w:ascii="Arial" w:hAnsi="Arial" w:cs="Arial"/>
                <w:b/>
                <w:bCs/>
              </w:rPr>
              <w:t>BIC</w:t>
            </w:r>
          </w:p>
        </w:tc>
        <w:tc>
          <w:tcPr>
            <w:tcW w:w="1710" w:type="dxa"/>
            <w:tcBorders>
              <w:top w:val="single" w:sz="4" w:space="0" w:color="auto"/>
              <w:left w:val="nil"/>
              <w:bottom w:val="single" w:sz="4" w:space="0" w:color="auto"/>
              <w:right w:val="nil"/>
            </w:tcBorders>
            <w:vAlign w:val="center"/>
            <w:hideMark/>
          </w:tcPr>
          <w:p w:rsidR="00AC4AAE" w:rsidRPr="002A6EF5" w:rsidRDefault="00AC4AAE">
            <w:pPr>
              <w:jc w:val="center"/>
              <w:rPr>
                <w:rFonts w:ascii="Arial" w:hAnsi="Arial" w:cs="Arial"/>
                <w:b/>
                <w:bCs/>
              </w:rPr>
            </w:pPr>
            <w:r w:rsidRPr="002A6EF5">
              <w:rPr>
                <w:rFonts w:ascii="Arial" w:hAnsi="Arial" w:cs="Arial"/>
                <w:b/>
                <w:bCs/>
              </w:rPr>
              <w:t>HQC</w:t>
            </w:r>
          </w:p>
        </w:tc>
        <w:tc>
          <w:tcPr>
            <w:tcW w:w="1908" w:type="dxa"/>
            <w:tcBorders>
              <w:top w:val="single" w:sz="4" w:space="0" w:color="auto"/>
              <w:left w:val="nil"/>
              <w:bottom w:val="single" w:sz="4" w:space="0" w:color="auto"/>
              <w:right w:val="nil"/>
            </w:tcBorders>
            <w:vAlign w:val="center"/>
            <w:hideMark/>
          </w:tcPr>
          <w:p w:rsidR="00AC4AAE" w:rsidRPr="002A6EF5" w:rsidRDefault="00AC4AAE">
            <w:pPr>
              <w:jc w:val="center"/>
              <w:rPr>
                <w:rFonts w:ascii="Arial" w:hAnsi="Arial" w:cs="Arial"/>
                <w:b/>
                <w:bCs/>
              </w:rPr>
            </w:pPr>
            <w:r w:rsidRPr="002A6EF5">
              <w:rPr>
                <w:rFonts w:ascii="Arial" w:hAnsi="Arial" w:cs="Arial"/>
                <w:b/>
                <w:bCs/>
              </w:rPr>
              <w:t>FPE</w:t>
            </w:r>
          </w:p>
        </w:tc>
      </w:tr>
      <w:tr w:rsidR="00AC4AAE" w:rsidRPr="002A6EF5" w:rsidTr="00AC4AAE">
        <w:tc>
          <w:tcPr>
            <w:tcW w:w="828" w:type="dxa"/>
            <w:tcBorders>
              <w:top w:val="single" w:sz="4" w:space="0" w:color="auto"/>
              <w:left w:val="nil"/>
              <w:bottom w:val="nil"/>
              <w:right w:val="nil"/>
            </w:tcBorders>
            <w:vAlign w:val="center"/>
            <w:hideMark/>
          </w:tcPr>
          <w:p w:rsidR="00AC4AAE" w:rsidRPr="002A6EF5" w:rsidRDefault="00AC4AAE">
            <w:pPr>
              <w:jc w:val="center"/>
              <w:rPr>
                <w:rFonts w:ascii="Arial" w:hAnsi="Arial" w:cs="Arial"/>
              </w:rPr>
            </w:pPr>
            <w:r w:rsidRPr="002A6EF5">
              <w:rPr>
                <w:rFonts w:ascii="Arial" w:hAnsi="Arial" w:cs="Arial"/>
              </w:rPr>
              <w:t>0</w:t>
            </w:r>
          </w:p>
        </w:tc>
        <w:tc>
          <w:tcPr>
            <w:tcW w:w="1980" w:type="dxa"/>
            <w:tcBorders>
              <w:top w:val="single" w:sz="4" w:space="0" w:color="auto"/>
              <w:left w:val="nil"/>
              <w:bottom w:val="nil"/>
              <w:right w:val="nil"/>
            </w:tcBorders>
            <w:vAlign w:val="center"/>
            <w:hideMark/>
          </w:tcPr>
          <w:p w:rsidR="00AC4AAE" w:rsidRPr="002A6EF5" w:rsidRDefault="00AC4AAE">
            <w:pPr>
              <w:jc w:val="center"/>
              <w:rPr>
                <w:rFonts w:ascii="Arial" w:hAnsi="Arial" w:cs="Arial"/>
              </w:rPr>
            </w:pPr>
            <w:r w:rsidRPr="002A6EF5">
              <w:rPr>
                <w:rFonts w:ascii="Arial" w:hAnsi="Arial" w:cs="Arial"/>
              </w:rPr>
              <w:t>-1525.83741</w:t>
            </w:r>
          </w:p>
        </w:tc>
        <w:tc>
          <w:tcPr>
            <w:tcW w:w="1620" w:type="dxa"/>
            <w:tcBorders>
              <w:top w:val="single" w:sz="4" w:space="0" w:color="auto"/>
              <w:left w:val="nil"/>
              <w:bottom w:val="nil"/>
              <w:right w:val="nil"/>
            </w:tcBorders>
            <w:vAlign w:val="center"/>
            <w:hideMark/>
          </w:tcPr>
          <w:p w:rsidR="00AC4AAE" w:rsidRPr="002A6EF5" w:rsidRDefault="00AC4AAE">
            <w:pPr>
              <w:jc w:val="center"/>
              <w:rPr>
                <w:rFonts w:ascii="Arial" w:hAnsi="Arial" w:cs="Arial"/>
              </w:rPr>
            </w:pPr>
            <w:r w:rsidRPr="002A6EF5">
              <w:rPr>
                <w:rFonts w:ascii="Arial" w:hAnsi="Arial" w:cs="Arial"/>
              </w:rPr>
              <w:t>4.77832</w:t>
            </w:r>
          </w:p>
        </w:tc>
        <w:tc>
          <w:tcPr>
            <w:tcW w:w="1530" w:type="dxa"/>
            <w:tcBorders>
              <w:top w:val="single" w:sz="4" w:space="0" w:color="auto"/>
              <w:left w:val="nil"/>
              <w:bottom w:val="nil"/>
              <w:right w:val="nil"/>
            </w:tcBorders>
            <w:vAlign w:val="center"/>
            <w:hideMark/>
          </w:tcPr>
          <w:p w:rsidR="00AC4AAE" w:rsidRPr="002A6EF5" w:rsidRDefault="00AC4AAE">
            <w:pPr>
              <w:jc w:val="center"/>
              <w:rPr>
                <w:rFonts w:ascii="Arial" w:hAnsi="Arial" w:cs="Arial"/>
              </w:rPr>
            </w:pPr>
            <w:r w:rsidRPr="002A6EF5">
              <w:rPr>
                <w:rFonts w:ascii="Arial" w:hAnsi="Arial" w:cs="Arial"/>
              </w:rPr>
              <w:t>4.81677</w:t>
            </w:r>
          </w:p>
        </w:tc>
        <w:tc>
          <w:tcPr>
            <w:tcW w:w="1710" w:type="dxa"/>
            <w:tcBorders>
              <w:top w:val="single" w:sz="4" w:space="0" w:color="auto"/>
              <w:left w:val="nil"/>
              <w:bottom w:val="nil"/>
              <w:right w:val="nil"/>
            </w:tcBorders>
            <w:vAlign w:val="center"/>
            <w:hideMark/>
          </w:tcPr>
          <w:p w:rsidR="00AC4AAE" w:rsidRPr="002A6EF5" w:rsidRDefault="00AC4AAE">
            <w:pPr>
              <w:jc w:val="center"/>
              <w:rPr>
                <w:rFonts w:ascii="Arial" w:hAnsi="Arial" w:cs="Arial"/>
              </w:rPr>
            </w:pPr>
            <w:r w:rsidRPr="002A6EF5">
              <w:rPr>
                <w:rFonts w:ascii="Arial" w:hAnsi="Arial" w:cs="Arial"/>
              </w:rPr>
              <w:t>4.79365</w:t>
            </w:r>
          </w:p>
        </w:tc>
        <w:tc>
          <w:tcPr>
            <w:tcW w:w="1908" w:type="dxa"/>
            <w:tcBorders>
              <w:top w:val="single" w:sz="4" w:space="0" w:color="auto"/>
              <w:left w:val="nil"/>
              <w:bottom w:val="nil"/>
              <w:right w:val="nil"/>
            </w:tcBorders>
            <w:vAlign w:val="center"/>
            <w:hideMark/>
          </w:tcPr>
          <w:p w:rsidR="00AC4AAE" w:rsidRPr="002A6EF5" w:rsidRDefault="00AC4AAE">
            <w:pPr>
              <w:jc w:val="center"/>
              <w:rPr>
                <w:rFonts w:ascii="Arial" w:hAnsi="Arial" w:cs="Arial"/>
              </w:rPr>
            </w:pPr>
            <w:r w:rsidRPr="002A6EF5">
              <w:rPr>
                <w:rFonts w:ascii="Arial" w:hAnsi="Arial" w:cs="Arial"/>
              </w:rPr>
              <w:t>0.00948</w:t>
            </w:r>
          </w:p>
        </w:tc>
      </w:tr>
      <w:tr w:rsidR="00AC4AAE" w:rsidRPr="002A6EF5" w:rsidTr="00AC4AAE">
        <w:tc>
          <w:tcPr>
            <w:tcW w:w="828" w:type="dxa"/>
            <w:tcBorders>
              <w:top w:val="nil"/>
              <w:left w:val="nil"/>
              <w:bottom w:val="nil"/>
              <w:right w:val="nil"/>
            </w:tcBorders>
            <w:vAlign w:val="center"/>
            <w:hideMark/>
          </w:tcPr>
          <w:p w:rsidR="00AC4AAE" w:rsidRPr="002A6EF5" w:rsidRDefault="00AC4AAE">
            <w:pPr>
              <w:jc w:val="center"/>
              <w:rPr>
                <w:rFonts w:ascii="Arial" w:hAnsi="Arial" w:cs="Arial"/>
              </w:rPr>
            </w:pPr>
            <w:r w:rsidRPr="002A6EF5">
              <w:rPr>
                <w:rFonts w:ascii="Arial" w:hAnsi="Arial" w:cs="Arial"/>
              </w:rPr>
              <w:t>1</w:t>
            </w:r>
          </w:p>
        </w:tc>
        <w:tc>
          <w:tcPr>
            <w:tcW w:w="1980" w:type="dxa"/>
            <w:tcBorders>
              <w:top w:val="nil"/>
              <w:left w:val="nil"/>
              <w:bottom w:val="nil"/>
              <w:right w:val="nil"/>
            </w:tcBorders>
            <w:vAlign w:val="center"/>
            <w:hideMark/>
          </w:tcPr>
          <w:p w:rsidR="00AC4AAE" w:rsidRPr="002A6EF5" w:rsidRDefault="00AC4AAE">
            <w:pPr>
              <w:jc w:val="center"/>
              <w:rPr>
                <w:rFonts w:ascii="Arial" w:hAnsi="Arial" w:cs="Arial"/>
              </w:rPr>
            </w:pPr>
            <w:r w:rsidRPr="002A6EF5">
              <w:rPr>
                <w:rFonts w:ascii="Arial" w:hAnsi="Arial" w:cs="Arial"/>
              </w:rPr>
              <w:t>-1008.29488</w:t>
            </w:r>
          </w:p>
        </w:tc>
        <w:tc>
          <w:tcPr>
            <w:tcW w:w="1620" w:type="dxa"/>
            <w:tcBorders>
              <w:top w:val="nil"/>
              <w:left w:val="nil"/>
              <w:bottom w:val="nil"/>
              <w:right w:val="nil"/>
            </w:tcBorders>
            <w:vAlign w:val="center"/>
            <w:hideMark/>
          </w:tcPr>
          <w:p w:rsidR="00AC4AAE" w:rsidRPr="002A6EF5" w:rsidRDefault="00AC4AAE">
            <w:pPr>
              <w:jc w:val="center"/>
              <w:rPr>
                <w:rFonts w:ascii="Arial" w:hAnsi="Arial" w:cs="Arial"/>
              </w:rPr>
            </w:pPr>
            <w:r w:rsidRPr="002A6EF5">
              <w:rPr>
                <w:rFonts w:ascii="Arial" w:hAnsi="Arial" w:cs="Arial"/>
              </w:rPr>
              <w:t>3.16203</w:t>
            </w:r>
          </w:p>
        </w:tc>
        <w:tc>
          <w:tcPr>
            <w:tcW w:w="1530" w:type="dxa"/>
            <w:tcBorders>
              <w:top w:val="nil"/>
              <w:left w:val="nil"/>
              <w:bottom w:val="nil"/>
              <w:right w:val="nil"/>
            </w:tcBorders>
            <w:vAlign w:val="center"/>
            <w:hideMark/>
          </w:tcPr>
          <w:p w:rsidR="00AC4AAE" w:rsidRPr="002A6EF5" w:rsidRDefault="00AC4AAE">
            <w:pPr>
              <w:jc w:val="center"/>
              <w:rPr>
                <w:rFonts w:ascii="Arial" w:hAnsi="Arial" w:cs="Arial"/>
              </w:rPr>
            </w:pPr>
            <w:r w:rsidRPr="002A6EF5">
              <w:rPr>
                <w:rFonts w:ascii="Arial" w:hAnsi="Arial" w:cs="Arial"/>
              </w:rPr>
              <w:t>3.28279</w:t>
            </w:r>
          </w:p>
        </w:tc>
        <w:tc>
          <w:tcPr>
            <w:tcW w:w="1710" w:type="dxa"/>
            <w:tcBorders>
              <w:top w:val="nil"/>
              <w:left w:val="nil"/>
              <w:bottom w:val="nil"/>
              <w:right w:val="nil"/>
            </w:tcBorders>
            <w:vAlign w:val="center"/>
            <w:hideMark/>
          </w:tcPr>
          <w:p w:rsidR="00AC4AAE" w:rsidRPr="002A6EF5" w:rsidRDefault="00AC4AAE">
            <w:pPr>
              <w:jc w:val="center"/>
              <w:rPr>
                <w:rFonts w:ascii="Arial" w:hAnsi="Arial" w:cs="Arial"/>
              </w:rPr>
            </w:pPr>
            <w:r w:rsidRPr="002A6EF5">
              <w:rPr>
                <w:rFonts w:ascii="Arial" w:hAnsi="Arial" w:cs="Arial"/>
              </w:rPr>
              <w:t>3.21146</w:t>
            </w:r>
          </w:p>
        </w:tc>
        <w:tc>
          <w:tcPr>
            <w:tcW w:w="1908" w:type="dxa"/>
            <w:tcBorders>
              <w:top w:val="nil"/>
              <w:left w:val="nil"/>
              <w:bottom w:val="nil"/>
              <w:right w:val="nil"/>
            </w:tcBorders>
            <w:vAlign w:val="center"/>
            <w:hideMark/>
          </w:tcPr>
          <w:p w:rsidR="00AC4AAE" w:rsidRPr="002A6EF5" w:rsidRDefault="00AC4AAE">
            <w:pPr>
              <w:jc w:val="center"/>
              <w:rPr>
                <w:rFonts w:ascii="Arial" w:hAnsi="Arial" w:cs="Arial"/>
              </w:rPr>
            </w:pPr>
            <w:r w:rsidRPr="002A6EF5">
              <w:rPr>
                <w:rFonts w:ascii="Arial" w:hAnsi="Arial" w:cs="Arial"/>
              </w:rPr>
              <w:t>0.00184</w:t>
            </w:r>
          </w:p>
        </w:tc>
      </w:tr>
      <w:tr w:rsidR="00AC4AAE" w:rsidRPr="002A6EF5" w:rsidTr="00AC4AAE">
        <w:tc>
          <w:tcPr>
            <w:tcW w:w="828" w:type="dxa"/>
            <w:tcBorders>
              <w:top w:val="nil"/>
              <w:left w:val="nil"/>
              <w:bottom w:val="nil"/>
              <w:right w:val="nil"/>
            </w:tcBorders>
            <w:vAlign w:val="center"/>
            <w:hideMark/>
          </w:tcPr>
          <w:p w:rsidR="00AC4AAE" w:rsidRPr="002A6EF5" w:rsidRDefault="00AC4AAE">
            <w:pPr>
              <w:jc w:val="center"/>
              <w:rPr>
                <w:rFonts w:ascii="Arial" w:hAnsi="Arial" w:cs="Arial"/>
              </w:rPr>
            </w:pPr>
            <w:r w:rsidRPr="002A6EF5">
              <w:rPr>
                <w:rFonts w:ascii="Arial" w:hAnsi="Arial" w:cs="Arial"/>
              </w:rPr>
              <w:t>2</w:t>
            </w:r>
          </w:p>
        </w:tc>
        <w:tc>
          <w:tcPr>
            <w:tcW w:w="1980" w:type="dxa"/>
            <w:tcBorders>
              <w:top w:val="nil"/>
              <w:left w:val="nil"/>
              <w:bottom w:val="nil"/>
              <w:right w:val="nil"/>
            </w:tcBorders>
            <w:vAlign w:val="center"/>
            <w:hideMark/>
          </w:tcPr>
          <w:p w:rsidR="00AC4AAE" w:rsidRPr="002A6EF5" w:rsidRDefault="00AC4AAE">
            <w:pPr>
              <w:jc w:val="center"/>
              <w:rPr>
                <w:rFonts w:ascii="Arial" w:hAnsi="Arial" w:cs="Arial"/>
              </w:rPr>
            </w:pPr>
            <w:r w:rsidRPr="002A6EF5">
              <w:rPr>
                <w:rFonts w:ascii="Arial" w:hAnsi="Arial" w:cs="Arial"/>
              </w:rPr>
              <w:t>-947.12852</w:t>
            </w:r>
          </w:p>
        </w:tc>
        <w:tc>
          <w:tcPr>
            <w:tcW w:w="1620" w:type="dxa"/>
            <w:tcBorders>
              <w:top w:val="nil"/>
              <w:left w:val="nil"/>
              <w:bottom w:val="nil"/>
              <w:right w:val="nil"/>
            </w:tcBorders>
            <w:vAlign w:val="center"/>
            <w:hideMark/>
          </w:tcPr>
          <w:p w:rsidR="00AC4AAE" w:rsidRPr="002A6EF5" w:rsidRDefault="00AC4AAE">
            <w:pPr>
              <w:jc w:val="center"/>
              <w:rPr>
                <w:rFonts w:ascii="Arial" w:hAnsi="Arial" w:cs="Arial"/>
              </w:rPr>
            </w:pPr>
            <w:r w:rsidRPr="002A6EF5">
              <w:rPr>
                <w:rFonts w:ascii="Arial" w:hAnsi="Arial" w:cs="Arial"/>
              </w:rPr>
              <w:t>2.99371</w:t>
            </w:r>
          </w:p>
        </w:tc>
        <w:tc>
          <w:tcPr>
            <w:tcW w:w="1530" w:type="dxa"/>
            <w:tcBorders>
              <w:top w:val="nil"/>
              <w:left w:val="nil"/>
              <w:bottom w:val="nil"/>
              <w:right w:val="nil"/>
            </w:tcBorders>
            <w:vAlign w:val="center"/>
            <w:hideMark/>
          </w:tcPr>
          <w:p w:rsidR="00AC4AAE" w:rsidRPr="002A6EF5" w:rsidRDefault="00AC4AAE">
            <w:pPr>
              <w:jc w:val="center"/>
              <w:rPr>
                <w:rFonts w:ascii="Arial" w:hAnsi="Arial" w:cs="Arial"/>
              </w:rPr>
            </w:pPr>
            <w:r w:rsidRPr="002A6EF5">
              <w:rPr>
                <w:rFonts w:ascii="Arial" w:hAnsi="Arial" w:cs="Arial"/>
              </w:rPr>
              <w:t>3.19676</w:t>
            </w:r>
          </w:p>
        </w:tc>
        <w:tc>
          <w:tcPr>
            <w:tcW w:w="1710" w:type="dxa"/>
            <w:tcBorders>
              <w:top w:val="nil"/>
              <w:left w:val="nil"/>
              <w:bottom w:val="nil"/>
              <w:right w:val="nil"/>
            </w:tcBorders>
            <w:vAlign w:val="center"/>
            <w:hideMark/>
          </w:tcPr>
          <w:p w:rsidR="00AC4AAE" w:rsidRPr="002A6EF5" w:rsidRDefault="00AC4AAE">
            <w:pPr>
              <w:jc w:val="center"/>
              <w:rPr>
                <w:rFonts w:ascii="Arial" w:hAnsi="Arial" w:cs="Arial"/>
              </w:rPr>
            </w:pPr>
            <w:r w:rsidRPr="002A6EF5">
              <w:rPr>
                <w:rFonts w:ascii="Arial" w:hAnsi="Arial" w:cs="Arial"/>
              </w:rPr>
              <w:t>3.07822</w:t>
            </w:r>
          </w:p>
        </w:tc>
        <w:tc>
          <w:tcPr>
            <w:tcW w:w="1908" w:type="dxa"/>
            <w:tcBorders>
              <w:top w:val="nil"/>
              <w:left w:val="nil"/>
              <w:bottom w:val="nil"/>
              <w:right w:val="nil"/>
            </w:tcBorders>
            <w:vAlign w:val="center"/>
            <w:hideMark/>
          </w:tcPr>
          <w:p w:rsidR="00AC4AAE" w:rsidRPr="002A6EF5" w:rsidRDefault="00AC4AAE">
            <w:pPr>
              <w:jc w:val="center"/>
              <w:rPr>
                <w:rFonts w:ascii="Arial" w:hAnsi="Arial" w:cs="Arial"/>
              </w:rPr>
            </w:pPr>
            <w:r w:rsidRPr="002A6EF5">
              <w:rPr>
                <w:rFonts w:ascii="Arial" w:hAnsi="Arial" w:cs="Arial"/>
              </w:rPr>
              <w:t>0.00149</w:t>
            </w:r>
          </w:p>
        </w:tc>
      </w:tr>
      <w:tr w:rsidR="00AC4AAE" w:rsidRPr="002A6EF5" w:rsidTr="00AC4AAE">
        <w:tc>
          <w:tcPr>
            <w:tcW w:w="828" w:type="dxa"/>
            <w:tcBorders>
              <w:top w:val="nil"/>
              <w:left w:val="nil"/>
              <w:bottom w:val="nil"/>
              <w:right w:val="nil"/>
            </w:tcBorders>
            <w:vAlign w:val="center"/>
            <w:hideMark/>
          </w:tcPr>
          <w:p w:rsidR="00AC4AAE" w:rsidRPr="002A6EF5" w:rsidRDefault="00AC4AAE">
            <w:pPr>
              <w:jc w:val="center"/>
              <w:rPr>
                <w:rFonts w:ascii="Arial" w:hAnsi="Arial" w:cs="Arial"/>
              </w:rPr>
            </w:pPr>
            <w:r w:rsidRPr="002A6EF5">
              <w:rPr>
                <w:rFonts w:ascii="Arial" w:hAnsi="Arial" w:cs="Arial"/>
              </w:rPr>
              <w:t>3</w:t>
            </w:r>
          </w:p>
        </w:tc>
        <w:tc>
          <w:tcPr>
            <w:tcW w:w="1980" w:type="dxa"/>
            <w:tcBorders>
              <w:top w:val="nil"/>
              <w:left w:val="nil"/>
              <w:bottom w:val="nil"/>
              <w:right w:val="nil"/>
            </w:tcBorders>
            <w:vAlign w:val="center"/>
            <w:hideMark/>
          </w:tcPr>
          <w:p w:rsidR="00AC4AAE" w:rsidRPr="002A6EF5" w:rsidRDefault="00AC4AAE">
            <w:pPr>
              <w:jc w:val="center"/>
              <w:rPr>
                <w:rFonts w:ascii="Arial" w:hAnsi="Arial" w:cs="Arial"/>
                <w:highlight w:val="lightGray"/>
              </w:rPr>
            </w:pPr>
            <w:r w:rsidRPr="002A6EF5">
              <w:rPr>
                <w:rFonts w:ascii="Arial" w:hAnsi="Arial" w:cs="Arial"/>
                <w:highlight w:val="lightGray"/>
              </w:rPr>
              <w:t>-894.28417</w:t>
            </w:r>
          </w:p>
        </w:tc>
        <w:tc>
          <w:tcPr>
            <w:tcW w:w="1620" w:type="dxa"/>
            <w:tcBorders>
              <w:top w:val="nil"/>
              <w:left w:val="nil"/>
              <w:bottom w:val="nil"/>
              <w:right w:val="nil"/>
            </w:tcBorders>
            <w:vAlign w:val="center"/>
            <w:hideMark/>
          </w:tcPr>
          <w:p w:rsidR="00AC4AAE" w:rsidRPr="002A6EF5" w:rsidRDefault="00AC4AAE">
            <w:pPr>
              <w:jc w:val="center"/>
              <w:rPr>
                <w:rFonts w:ascii="Arial" w:hAnsi="Arial" w:cs="Arial"/>
                <w:highlight w:val="lightGray"/>
              </w:rPr>
            </w:pPr>
            <w:r w:rsidRPr="002A6EF5">
              <w:rPr>
                <w:rFonts w:ascii="Arial" w:hAnsi="Arial" w:cs="Arial"/>
                <w:bCs/>
                <w:highlight w:val="lightGray"/>
              </w:rPr>
              <w:t>2.86594</w:t>
            </w:r>
          </w:p>
        </w:tc>
        <w:tc>
          <w:tcPr>
            <w:tcW w:w="1530" w:type="dxa"/>
            <w:tcBorders>
              <w:top w:val="nil"/>
              <w:left w:val="nil"/>
              <w:bottom w:val="nil"/>
              <w:right w:val="nil"/>
            </w:tcBorders>
            <w:vAlign w:val="center"/>
            <w:hideMark/>
          </w:tcPr>
          <w:p w:rsidR="00AC4AAE" w:rsidRPr="002A6EF5" w:rsidRDefault="00AC4AAE">
            <w:pPr>
              <w:jc w:val="center"/>
              <w:rPr>
                <w:rFonts w:ascii="Arial" w:hAnsi="Arial" w:cs="Arial"/>
                <w:highlight w:val="lightGray"/>
              </w:rPr>
            </w:pPr>
            <w:r w:rsidRPr="002A6EF5">
              <w:rPr>
                <w:rFonts w:ascii="Arial" w:hAnsi="Arial" w:cs="Arial"/>
                <w:bCs/>
                <w:highlight w:val="lightGray"/>
              </w:rPr>
              <w:t>3.15128</w:t>
            </w:r>
          </w:p>
        </w:tc>
        <w:tc>
          <w:tcPr>
            <w:tcW w:w="1710" w:type="dxa"/>
            <w:tcBorders>
              <w:top w:val="nil"/>
              <w:left w:val="nil"/>
              <w:bottom w:val="nil"/>
              <w:right w:val="nil"/>
            </w:tcBorders>
            <w:vAlign w:val="center"/>
            <w:hideMark/>
          </w:tcPr>
          <w:p w:rsidR="00AC4AAE" w:rsidRPr="002A6EF5" w:rsidRDefault="00AC4AAE">
            <w:pPr>
              <w:jc w:val="center"/>
              <w:rPr>
                <w:rFonts w:ascii="Arial" w:hAnsi="Arial" w:cs="Arial"/>
                <w:highlight w:val="lightGray"/>
              </w:rPr>
            </w:pPr>
            <w:r w:rsidRPr="002A6EF5">
              <w:rPr>
                <w:rFonts w:ascii="Arial" w:hAnsi="Arial" w:cs="Arial"/>
                <w:bCs/>
                <w:highlight w:val="lightGray"/>
              </w:rPr>
              <w:t>2.98554</w:t>
            </w:r>
          </w:p>
        </w:tc>
        <w:tc>
          <w:tcPr>
            <w:tcW w:w="1908" w:type="dxa"/>
            <w:tcBorders>
              <w:top w:val="nil"/>
              <w:left w:val="nil"/>
              <w:bottom w:val="nil"/>
              <w:right w:val="nil"/>
            </w:tcBorders>
            <w:vAlign w:val="center"/>
            <w:hideMark/>
          </w:tcPr>
          <w:p w:rsidR="00AC4AAE" w:rsidRPr="002A6EF5" w:rsidRDefault="00AC4AAE">
            <w:pPr>
              <w:jc w:val="center"/>
              <w:rPr>
                <w:rFonts w:ascii="Arial" w:hAnsi="Arial" w:cs="Arial"/>
                <w:highlight w:val="lightGray"/>
              </w:rPr>
            </w:pPr>
            <w:r w:rsidRPr="002A6EF5">
              <w:rPr>
                <w:rFonts w:ascii="Arial" w:hAnsi="Arial" w:cs="Arial"/>
                <w:bCs/>
                <w:highlight w:val="lightGray"/>
              </w:rPr>
              <w:t>0.00122</w:t>
            </w:r>
          </w:p>
        </w:tc>
      </w:tr>
      <w:tr w:rsidR="00AC4AAE" w:rsidRPr="002A6EF5" w:rsidTr="00AC4AAE">
        <w:tc>
          <w:tcPr>
            <w:tcW w:w="828" w:type="dxa"/>
            <w:tcBorders>
              <w:top w:val="nil"/>
              <w:left w:val="nil"/>
              <w:bottom w:val="single" w:sz="4" w:space="0" w:color="auto"/>
              <w:right w:val="nil"/>
            </w:tcBorders>
            <w:vAlign w:val="center"/>
            <w:hideMark/>
          </w:tcPr>
          <w:p w:rsidR="00AC4AAE" w:rsidRPr="002A6EF5" w:rsidRDefault="00AC4AAE">
            <w:pPr>
              <w:jc w:val="center"/>
              <w:rPr>
                <w:rFonts w:ascii="Arial" w:hAnsi="Arial" w:cs="Arial"/>
              </w:rPr>
            </w:pPr>
            <w:r w:rsidRPr="002A6EF5">
              <w:rPr>
                <w:rFonts w:ascii="Arial" w:hAnsi="Arial" w:cs="Arial"/>
              </w:rPr>
              <w:t>4</w:t>
            </w:r>
          </w:p>
        </w:tc>
        <w:tc>
          <w:tcPr>
            <w:tcW w:w="1980" w:type="dxa"/>
            <w:tcBorders>
              <w:top w:val="nil"/>
              <w:left w:val="nil"/>
              <w:bottom w:val="single" w:sz="4" w:space="0" w:color="auto"/>
              <w:right w:val="nil"/>
            </w:tcBorders>
            <w:vAlign w:val="center"/>
            <w:hideMark/>
          </w:tcPr>
          <w:p w:rsidR="00AC4AAE" w:rsidRPr="002A6EF5" w:rsidRDefault="00AC4AAE">
            <w:pPr>
              <w:jc w:val="center"/>
              <w:rPr>
                <w:rFonts w:ascii="Arial" w:hAnsi="Arial" w:cs="Arial"/>
              </w:rPr>
            </w:pPr>
            <w:r w:rsidRPr="002A6EF5">
              <w:rPr>
                <w:rFonts w:ascii="Arial" w:hAnsi="Arial" w:cs="Arial"/>
              </w:rPr>
              <w:t>-898.78291</w:t>
            </w:r>
          </w:p>
        </w:tc>
        <w:tc>
          <w:tcPr>
            <w:tcW w:w="1620" w:type="dxa"/>
            <w:tcBorders>
              <w:top w:val="nil"/>
              <w:left w:val="nil"/>
              <w:bottom w:val="single" w:sz="4" w:space="0" w:color="auto"/>
              <w:right w:val="nil"/>
            </w:tcBorders>
            <w:vAlign w:val="center"/>
            <w:hideMark/>
          </w:tcPr>
          <w:p w:rsidR="00AC4AAE" w:rsidRPr="002A6EF5" w:rsidRDefault="00AC4AAE">
            <w:pPr>
              <w:jc w:val="center"/>
              <w:rPr>
                <w:rFonts w:ascii="Arial" w:hAnsi="Arial" w:cs="Arial"/>
              </w:rPr>
            </w:pPr>
            <w:r w:rsidRPr="002A6EF5">
              <w:rPr>
                <w:rFonts w:ascii="Arial" w:hAnsi="Arial" w:cs="Arial"/>
              </w:rPr>
              <w:t>2.90918</w:t>
            </w:r>
          </w:p>
        </w:tc>
        <w:tc>
          <w:tcPr>
            <w:tcW w:w="1530" w:type="dxa"/>
            <w:tcBorders>
              <w:top w:val="nil"/>
              <w:left w:val="nil"/>
              <w:bottom w:val="single" w:sz="4" w:space="0" w:color="auto"/>
              <w:right w:val="nil"/>
            </w:tcBorders>
            <w:vAlign w:val="center"/>
            <w:hideMark/>
          </w:tcPr>
          <w:p w:rsidR="00AC4AAE" w:rsidRPr="002A6EF5" w:rsidRDefault="00AC4AAE">
            <w:pPr>
              <w:jc w:val="center"/>
              <w:rPr>
                <w:rFonts w:ascii="Arial" w:hAnsi="Arial" w:cs="Arial"/>
              </w:rPr>
            </w:pPr>
            <w:r w:rsidRPr="002A6EF5">
              <w:rPr>
                <w:rFonts w:ascii="Arial" w:hAnsi="Arial" w:cs="Arial"/>
              </w:rPr>
              <w:t>3.27682</w:t>
            </w:r>
          </w:p>
        </w:tc>
        <w:tc>
          <w:tcPr>
            <w:tcW w:w="1710" w:type="dxa"/>
            <w:tcBorders>
              <w:top w:val="nil"/>
              <w:left w:val="nil"/>
              <w:bottom w:val="single" w:sz="4" w:space="0" w:color="auto"/>
              <w:right w:val="nil"/>
            </w:tcBorders>
            <w:vAlign w:val="center"/>
            <w:hideMark/>
          </w:tcPr>
          <w:p w:rsidR="00AC4AAE" w:rsidRPr="002A6EF5" w:rsidRDefault="00AC4AAE">
            <w:pPr>
              <w:jc w:val="center"/>
              <w:rPr>
                <w:rFonts w:ascii="Arial" w:hAnsi="Arial" w:cs="Arial"/>
              </w:rPr>
            </w:pPr>
            <w:r w:rsidRPr="002A6EF5">
              <w:rPr>
                <w:rFonts w:ascii="Arial" w:hAnsi="Arial" w:cs="Arial"/>
              </w:rPr>
              <w:t>3.06487</w:t>
            </w:r>
          </w:p>
        </w:tc>
        <w:tc>
          <w:tcPr>
            <w:tcW w:w="1908" w:type="dxa"/>
            <w:tcBorders>
              <w:top w:val="nil"/>
              <w:left w:val="nil"/>
              <w:bottom w:val="single" w:sz="4" w:space="0" w:color="auto"/>
              <w:right w:val="nil"/>
            </w:tcBorders>
            <w:vAlign w:val="center"/>
            <w:hideMark/>
          </w:tcPr>
          <w:p w:rsidR="00AC4AAE" w:rsidRPr="002A6EF5" w:rsidRDefault="00AC4AAE">
            <w:pPr>
              <w:jc w:val="center"/>
              <w:rPr>
                <w:rFonts w:ascii="Arial" w:hAnsi="Arial" w:cs="Arial"/>
              </w:rPr>
            </w:pPr>
            <w:r w:rsidRPr="002A6EF5">
              <w:rPr>
                <w:rFonts w:ascii="Arial" w:hAnsi="Arial" w:cs="Arial"/>
              </w:rPr>
              <w:t>0.00129</w:t>
            </w:r>
          </w:p>
        </w:tc>
      </w:tr>
    </w:tbl>
    <w:p w:rsidR="00AC4AAE" w:rsidRPr="002A6EF5" w:rsidRDefault="00AC4AAE" w:rsidP="00AC4AAE">
      <w:pPr>
        <w:pStyle w:val="NormalWeb"/>
        <w:spacing w:after="0" w:afterAutospacing="0"/>
        <w:jc w:val="both"/>
        <w:rPr>
          <w:rFonts w:ascii="Arial" w:hAnsi="Arial" w:cs="Arial"/>
          <w:sz w:val="20"/>
          <w:szCs w:val="20"/>
        </w:rPr>
      </w:pPr>
      <w:r w:rsidRPr="002A6EF5">
        <w:rPr>
          <w:rFonts w:ascii="Arial" w:hAnsi="Arial" w:cs="Arial"/>
          <w:sz w:val="20"/>
          <w:szCs w:val="20"/>
        </w:rPr>
        <w:t>From the result of lag length selection for panel VAR reported in Table 6, all information criteria (AIC, BIC, HQC, and FPE) decrease as the lag length increases from 0 to 3, indicating improved model fit with the inclusion of additional lags. The minimum values across all criteria occur at lag 3, suggesting it is the optimal lag order for the panel VAR. Beyond lag 3, the criteria slightly increase at lag 4, implying that additional lags do not contribute meaningfully to the model’s explanatory power. Therefore, lag 3 is selected as the optimal lag for constructing the Panel VECM, ensuring that both short-term dynamics and the long-run equilibrium relationships are adequately captured without over-fitting. Thus AIC, BIC, HQC, and FPE all attain their minimum at Lag 3, confirming Lag 3 as the optimal lag length for the Panel VAR and thus 2 lag in the Panel VECM (i.e., p − 1 = 3 – 1 = 2).</w:t>
      </w:r>
    </w:p>
    <w:p w:rsidR="002A6EF5" w:rsidRPr="002A6EF5" w:rsidRDefault="002A6EF5" w:rsidP="002A6EF5">
      <w:pPr>
        <w:pStyle w:val="NormalWeb"/>
        <w:spacing w:before="0" w:beforeAutospacing="0" w:after="0" w:afterAutospacing="0"/>
        <w:jc w:val="both"/>
        <w:rPr>
          <w:rFonts w:ascii="Arial" w:hAnsi="Arial" w:cs="Arial"/>
          <w:b/>
          <w:sz w:val="20"/>
          <w:szCs w:val="20"/>
        </w:rPr>
      </w:pPr>
      <w:r w:rsidRPr="002A6EF5">
        <w:rPr>
          <w:rFonts w:ascii="Arial" w:hAnsi="Arial" w:cs="Arial"/>
          <w:b/>
          <w:sz w:val="20"/>
          <w:szCs w:val="20"/>
        </w:rPr>
        <w:t xml:space="preserve">3.5.1 </w:t>
      </w:r>
      <w:r w:rsidR="00AC4AAE" w:rsidRPr="002A6EF5">
        <w:rPr>
          <w:rFonts w:ascii="Arial" w:hAnsi="Arial" w:cs="Arial"/>
          <w:b/>
          <w:sz w:val="20"/>
          <w:szCs w:val="20"/>
        </w:rPr>
        <w:t>Parameter estimates of the two lag panel vector error correction model</w:t>
      </w:r>
    </w:p>
    <w:p w:rsidR="00AC4AAE" w:rsidRPr="002A6EF5" w:rsidRDefault="00AC4AAE" w:rsidP="002A6EF5">
      <w:pPr>
        <w:pStyle w:val="NormalWeb"/>
        <w:spacing w:before="0" w:beforeAutospacing="0" w:after="0" w:afterAutospacing="0"/>
        <w:jc w:val="both"/>
        <w:rPr>
          <w:rFonts w:ascii="Arial" w:hAnsi="Arial" w:cs="Arial"/>
          <w:b/>
          <w:sz w:val="20"/>
          <w:szCs w:val="20"/>
        </w:rPr>
      </w:pPr>
      <w:r w:rsidRPr="002A6EF5">
        <w:rPr>
          <w:rFonts w:ascii="Arial" w:hAnsi="Arial" w:cs="Arial"/>
          <w:sz w:val="20"/>
          <w:szCs w:val="20"/>
        </w:rPr>
        <w:t>Table 7 presents the estimated parameters of the Panel Vector Error Correction Model (PVECM) examining the short- and long-run dynamics among key human development indicators in Nigeria: LHDI (log of Human Development Index), LLEB (log of Life Expectancy at Birth), LFR (log of Fertility Rate), LUR (log of Urbanization Rate), LDR (log of Dependency Ratio), and LFLP (log of Female Labour Force Participation Rate). The VECM incorporates lagged differences of t1he explanatory variables and an error correction term (EC(-1)) to capture the long-run equilibrium adjustments. Coefficients of the differenced variables indicate short-run impacts, whereas the coefficient of the error correction term reflects the speed at which deviations from the long-run equilibrium are corrected.</w:t>
      </w:r>
    </w:p>
    <w:p w:rsidR="00AC4AAE" w:rsidRDefault="00AC4AAE" w:rsidP="002A6EF5">
      <w:pPr>
        <w:pStyle w:val="NormalWeb"/>
        <w:spacing w:before="0" w:beforeAutospacing="0" w:after="0" w:afterAutospacing="0"/>
        <w:jc w:val="both"/>
      </w:pPr>
    </w:p>
    <w:p w:rsidR="001E7F67" w:rsidRDefault="001E7F67" w:rsidP="00AC4AAE">
      <w:pPr>
        <w:autoSpaceDE w:val="0"/>
        <w:autoSpaceDN w:val="0"/>
        <w:adjustRightInd w:val="0"/>
        <w:rPr>
          <w:rFonts w:ascii="Arial" w:hAnsi="Arial" w:cs="Arial"/>
          <w:b/>
        </w:rPr>
      </w:pPr>
    </w:p>
    <w:p w:rsidR="00AC4AAE" w:rsidRPr="001E7F67" w:rsidRDefault="00AC4AAE" w:rsidP="00AC4AAE">
      <w:pPr>
        <w:autoSpaceDE w:val="0"/>
        <w:autoSpaceDN w:val="0"/>
        <w:adjustRightInd w:val="0"/>
        <w:rPr>
          <w:rFonts w:ascii="Arial" w:hAnsi="Arial" w:cs="Arial"/>
          <w:b/>
        </w:rPr>
      </w:pPr>
      <w:r w:rsidRPr="001E7F67">
        <w:rPr>
          <w:rFonts w:ascii="Arial" w:hAnsi="Arial" w:cs="Arial"/>
          <w:b/>
        </w:rPr>
        <w:t>Table 7:  Parameter Estimates of 2 Lag Panel Vector Error Correction Model</w:t>
      </w:r>
    </w:p>
    <w:tbl>
      <w:tblPr>
        <w:tblW w:w="0" w:type="auto"/>
        <w:tblBorders>
          <w:top w:val="single" w:sz="4" w:space="0" w:color="auto"/>
          <w:bottom w:val="single" w:sz="4" w:space="0" w:color="auto"/>
        </w:tblBorders>
        <w:tblLook w:val="04A0"/>
      </w:tblPr>
      <w:tblGrid>
        <w:gridCol w:w="1709"/>
        <w:gridCol w:w="1744"/>
        <w:gridCol w:w="1659"/>
        <w:gridCol w:w="1685"/>
        <w:gridCol w:w="1627"/>
      </w:tblGrid>
      <w:tr w:rsidR="00AC4AAE" w:rsidRPr="001E7F67" w:rsidTr="00AC4AAE">
        <w:tc>
          <w:tcPr>
            <w:tcW w:w="1801" w:type="dxa"/>
            <w:tcBorders>
              <w:top w:val="single" w:sz="4" w:space="0" w:color="auto"/>
              <w:left w:val="nil"/>
              <w:bottom w:val="single" w:sz="4" w:space="0" w:color="auto"/>
              <w:right w:val="nil"/>
            </w:tcBorders>
            <w:vAlign w:val="bottom"/>
            <w:hideMark/>
          </w:tcPr>
          <w:p w:rsidR="00AC4AAE" w:rsidRPr="001E7F67" w:rsidRDefault="00AC4AAE" w:rsidP="001E7F67">
            <w:pPr>
              <w:autoSpaceDE w:val="0"/>
              <w:autoSpaceDN w:val="0"/>
              <w:adjustRightInd w:val="0"/>
              <w:jc w:val="both"/>
              <w:rPr>
                <w:rFonts w:ascii="Arial" w:hAnsi="Arial" w:cs="Arial"/>
                <w:b/>
                <w:color w:val="000000"/>
              </w:rPr>
            </w:pPr>
            <w:r w:rsidRPr="001E7F67">
              <w:rPr>
                <w:rFonts w:ascii="Arial" w:hAnsi="Arial" w:cs="Arial"/>
                <w:b/>
                <w:color w:val="000000"/>
              </w:rPr>
              <w:t>Variable</w:t>
            </w:r>
          </w:p>
        </w:tc>
        <w:tc>
          <w:tcPr>
            <w:tcW w:w="1805" w:type="dxa"/>
            <w:tcBorders>
              <w:top w:val="single" w:sz="4" w:space="0" w:color="auto"/>
              <w:left w:val="nil"/>
              <w:bottom w:val="single" w:sz="4" w:space="0" w:color="auto"/>
              <w:right w:val="nil"/>
            </w:tcBorders>
            <w:vAlign w:val="bottom"/>
            <w:hideMark/>
          </w:tcPr>
          <w:p w:rsidR="00AC4AAE" w:rsidRPr="001E7F67" w:rsidRDefault="00AC4AAE" w:rsidP="001E7F67">
            <w:pPr>
              <w:autoSpaceDE w:val="0"/>
              <w:autoSpaceDN w:val="0"/>
              <w:adjustRightInd w:val="0"/>
              <w:ind w:right="10"/>
              <w:jc w:val="center"/>
              <w:rPr>
                <w:rFonts w:ascii="Arial" w:hAnsi="Arial" w:cs="Arial"/>
                <w:b/>
                <w:color w:val="000000"/>
              </w:rPr>
            </w:pPr>
            <w:r w:rsidRPr="001E7F67">
              <w:rPr>
                <w:rFonts w:ascii="Arial" w:hAnsi="Arial" w:cs="Arial"/>
                <w:b/>
                <w:color w:val="000000"/>
              </w:rPr>
              <w:t>Coefficient</w:t>
            </w:r>
          </w:p>
        </w:tc>
        <w:tc>
          <w:tcPr>
            <w:tcW w:w="1750" w:type="dxa"/>
            <w:tcBorders>
              <w:top w:val="single" w:sz="4" w:space="0" w:color="auto"/>
              <w:left w:val="nil"/>
              <w:bottom w:val="single" w:sz="4" w:space="0" w:color="auto"/>
              <w:right w:val="nil"/>
            </w:tcBorders>
            <w:vAlign w:val="bottom"/>
            <w:hideMark/>
          </w:tcPr>
          <w:p w:rsidR="00AC4AAE" w:rsidRPr="001E7F67" w:rsidRDefault="00AC4AAE" w:rsidP="001E7F67">
            <w:pPr>
              <w:autoSpaceDE w:val="0"/>
              <w:autoSpaceDN w:val="0"/>
              <w:adjustRightInd w:val="0"/>
              <w:ind w:right="10"/>
              <w:jc w:val="center"/>
              <w:rPr>
                <w:rFonts w:ascii="Arial" w:hAnsi="Arial" w:cs="Arial"/>
                <w:b/>
                <w:color w:val="000000"/>
              </w:rPr>
            </w:pPr>
            <w:r w:rsidRPr="001E7F67">
              <w:rPr>
                <w:rFonts w:ascii="Arial" w:hAnsi="Arial" w:cs="Arial"/>
                <w:b/>
                <w:color w:val="000000"/>
              </w:rPr>
              <w:t>Std. Error</w:t>
            </w:r>
          </w:p>
        </w:tc>
        <w:tc>
          <w:tcPr>
            <w:tcW w:w="1771" w:type="dxa"/>
            <w:tcBorders>
              <w:top w:val="single" w:sz="4" w:space="0" w:color="auto"/>
              <w:left w:val="nil"/>
              <w:bottom w:val="single" w:sz="4" w:space="0" w:color="auto"/>
              <w:right w:val="nil"/>
            </w:tcBorders>
            <w:vAlign w:val="bottom"/>
            <w:hideMark/>
          </w:tcPr>
          <w:p w:rsidR="00AC4AAE" w:rsidRPr="001E7F67" w:rsidRDefault="00AC4AAE" w:rsidP="001E7F67">
            <w:pPr>
              <w:autoSpaceDE w:val="0"/>
              <w:autoSpaceDN w:val="0"/>
              <w:adjustRightInd w:val="0"/>
              <w:ind w:right="10"/>
              <w:jc w:val="center"/>
              <w:rPr>
                <w:rFonts w:ascii="Arial" w:hAnsi="Arial" w:cs="Arial"/>
                <w:b/>
                <w:color w:val="000000"/>
              </w:rPr>
            </w:pPr>
            <w:r w:rsidRPr="001E7F67">
              <w:rPr>
                <w:rFonts w:ascii="Arial" w:hAnsi="Arial" w:cs="Arial"/>
                <w:b/>
                <w:color w:val="000000"/>
              </w:rPr>
              <w:t>t-Statistic</w:t>
            </w:r>
          </w:p>
        </w:tc>
        <w:tc>
          <w:tcPr>
            <w:tcW w:w="1729" w:type="dxa"/>
            <w:tcBorders>
              <w:top w:val="single" w:sz="4" w:space="0" w:color="auto"/>
              <w:left w:val="nil"/>
              <w:bottom w:val="single" w:sz="4" w:space="0" w:color="auto"/>
              <w:right w:val="nil"/>
            </w:tcBorders>
            <w:vAlign w:val="bottom"/>
            <w:hideMark/>
          </w:tcPr>
          <w:p w:rsidR="00AC4AAE" w:rsidRPr="001E7F67" w:rsidRDefault="00AC4AAE" w:rsidP="001E7F67">
            <w:pPr>
              <w:autoSpaceDE w:val="0"/>
              <w:autoSpaceDN w:val="0"/>
              <w:adjustRightInd w:val="0"/>
              <w:ind w:right="10"/>
              <w:jc w:val="center"/>
              <w:rPr>
                <w:rFonts w:ascii="Arial" w:hAnsi="Arial" w:cs="Arial"/>
                <w:b/>
                <w:color w:val="000000"/>
              </w:rPr>
            </w:pPr>
            <w:r w:rsidRPr="001E7F67">
              <w:rPr>
                <w:rFonts w:ascii="Arial" w:hAnsi="Arial" w:cs="Arial"/>
                <w:b/>
                <w:color w:val="000000"/>
              </w:rPr>
              <w:t>p-value</w:t>
            </w:r>
          </w:p>
        </w:tc>
      </w:tr>
      <w:tr w:rsidR="00AC4AAE" w:rsidRPr="001E7F67" w:rsidTr="00AC4AAE">
        <w:tc>
          <w:tcPr>
            <w:tcW w:w="1801" w:type="dxa"/>
            <w:tcBorders>
              <w:top w:val="single" w:sz="4" w:space="0" w:color="auto"/>
              <w:left w:val="nil"/>
              <w:bottom w:val="nil"/>
              <w:right w:val="nil"/>
            </w:tcBorders>
            <w:hideMark/>
          </w:tcPr>
          <w:p w:rsidR="00AC4AAE" w:rsidRPr="001E7F67" w:rsidRDefault="001E7F67" w:rsidP="001E7F67">
            <w:pPr>
              <w:autoSpaceDE w:val="0"/>
              <w:autoSpaceDN w:val="0"/>
              <w:adjustRightInd w:val="0"/>
              <w:jc w:val="both"/>
              <w:rPr>
                <w:rFonts w:ascii="Arial" w:hAnsi="Arial" w:cs="Arial"/>
              </w:rPr>
            </w:pPr>
            <m:oMath>
              <m:r>
                <w:rPr>
                  <w:rFonts w:ascii="Cambria Math" w:hAnsi="Cambria Math" w:cs="Arial"/>
                </w:rPr>
                <m:t>∆</m:t>
              </m:r>
            </m:oMath>
            <w:r w:rsidR="00AC4AAE" w:rsidRPr="001E7F67">
              <w:rPr>
                <w:rFonts w:ascii="Arial" w:hAnsi="Arial" w:cs="Arial"/>
              </w:rPr>
              <w:t>LHDI(-1)</w:t>
            </w:r>
          </w:p>
        </w:tc>
        <w:tc>
          <w:tcPr>
            <w:tcW w:w="1805" w:type="dxa"/>
            <w:tcBorders>
              <w:top w:val="single" w:sz="4" w:space="0" w:color="auto"/>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0.25471</w:t>
            </w:r>
          </w:p>
        </w:tc>
        <w:tc>
          <w:tcPr>
            <w:tcW w:w="1750" w:type="dxa"/>
            <w:tcBorders>
              <w:top w:val="single" w:sz="4" w:space="0" w:color="auto"/>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0.05326</w:t>
            </w:r>
          </w:p>
        </w:tc>
        <w:tc>
          <w:tcPr>
            <w:tcW w:w="1771" w:type="dxa"/>
            <w:tcBorders>
              <w:top w:val="single" w:sz="4" w:space="0" w:color="auto"/>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4.78239</w:t>
            </w:r>
          </w:p>
        </w:tc>
        <w:tc>
          <w:tcPr>
            <w:tcW w:w="1729" w:type="dxa"/>
            <w:tcBorders>
              <w:top w:val="single" w:sz="4" w:space="0" w:color="auto"/>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0.0000</w:t>
            </w:r>
          </w:p>
        </w:tc>
      </w:tr>
      <w:tr w:rsidR="00AC4AAE" w:rsidRPr="001E7F67" w:rsidTr="00AC4AAE">
        <w:tc>
          <w:tcPr>
            <w:tcW w:w="1801" w:type="dxa"/>
            <w:tcBorders>
              <w:top w:val="nil"/>
              <w:left w:val="nil"/>
              <w:bottom w:val="nil"/>
              <w:right w:val="nil"/>
            </w:tcBorders>
            <w:hideMark/>
          </w:tcPr>
          <w:p w:rsidR="00AC4AAE" w:rsidRPr="001E7F67" w:rsidRDefault="001E7F67" w:rsidP="001E7F67">
            <w:pPr>
              <w:autoSpaceDE w:val="0"/>
              <w:autoSpaceDN w:val="0"/>
              <w:adjustRightInd w:val="0"/>
              <w:jc w:val="both"/>
              <w:rPr>
                <w:rFonts w:ascii="Arial" w:hAnsi="Arial" w:cs="Arial"/>
              </w:rPr>
            </w:pPr>
            <m:oMath>
              <m:r>
                <w:rPr>
                  <w:rFonts w:ascii="Cambria Math" w:hAnsi="Cambria Math" w:cs="Arial"/>
                </w:rPr>
                <m:t>∆</m:t>
              </m:r>
            </m:oMath>
            <w:r w:rsidR="00AC4AAE" w:rsidRPr="001E7F67">
              <w:rPr>
                <w:rFonts w:ascii="Arial" w:hAnsi="Arial" w:cs="Arial"/>
              </w:rPr>
              <w:t>LLEB</w:t>
            </w:r>
          </w:p>
        </w:tc>
        <w:tc>
          <w:tcPr>
            <w:tcW w:w="1805"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0.42832</w:t>
            </w:r>
          </w:p>
        </w:tc>
        <w:tc>
          <w:tcPr>
            <w:tcW w:w="1750"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0.07122</w:t>
            </w:r>
          </w:p>
        </w:tc>
        <w:tc>
          <w:tcPr>
            <w:tcW w:w="1771"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6.01404</w:t>
            </w:r>
          </w:p>
        </w:tc>
        <w:tc>
          <w:tcPr>
            <w:tcW w:w="1729"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0.0000</w:t>
            </w:r>
          </w:p>
        </w:tc>
      </w:tr>
      <w:tr w:rsidR="00AC4AAE" w:rsidRPr="001E7F67" w:rsidTr="00AC4AAE">
        <w:tc>
          <w:tcPr>
            <w:tcW w:w="1801" w:type="dxa"/>
            <w:tcBorders>
              <w:top w:val="nil"/>
              <w:left w:val="nil"/>
              <w:bottom w:val="nil"/>
              <w:right w:val="nil"/>
            </w:tcBorders>
            <w:hideMark/>
          </w:tcPr>
          <w:p w:rsidR="00AC4AAE" w:rsidRPr="001E7F67" w:rsidRDefault="001E7F67" w:rsidP="001E7F67">
            <w:pPr>
              <w:jc w:val="both"/>
              <w:rPr>
                <w:rFonts w:ascii="Arial" w:hAnsi="Arial" w:cs="Arial"/>
              </w:rPr>
            </w:pPr>
            <m:oMath>
              <m:r>
                <w:rPr>
                  <w:rFonts w:ascii="Cambria Math" w:hAnsi="Cambria Math" w:cs="Arial"/>
                </w:rPr>
                <m:t>∆</m:t>
              </m:r>
            </m:oMath>
            <w:r w:rsidR="00AC4AAE" w:rsidRPr="001E7F67">
              <w:rPr>
                <w:rFonts w:ascii="Arial" w:hAnsi="Arial" w:cs="Arial"/>
              </w:rPr>
              <w:t>LLEB(-1)</w:t>
            </w:r>
          </w:p>
        </w:tc>
        <w:tc>
          <w:tcPr>
            <w:tcW w:w="1805"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0.33521</w:t>
            </w:r>
          </w:p>
        </w:tc>
        <w:tc>
          <w:tcPr>
            <w:tcW w:w="1750"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0.09897</w:t>
            </w:r>
          </w:p>
        </w:tc>
        <w:tc>
          <w:tcPr>
            <w:tcW w:w="1771"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3.38699</w:t>
            </w:r>
          </w:p>
        </w:tc>
        <w:tc>
          <w:tcPr>
            <w:tcW w:w="1729"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0.0005</w:t>
            </w:r>
          </w:p>
        </w:tc>
      </w:tr>
      <w:tr w:rsidR="00AC4AAE" w:rsidRPr="001E7F67" w:rsidTr="00AC4AAE">
        <w:tc>
          <w:tcPr>
            <w:tcW w:w="1801" w:type="dxa"/>
            <w:tcBorders>
              <w:top w:val="nil"/>
              <w:left w:val="nil"/>
              <w:bottom w:val="nil"/>
              <w:right w:val="nil"/>
            </w:tcBorders>
            <w:hideMark/>
          </w:tcPr>
          <w:p w:rsidR="00AC4AAE" w:rsidRPr="001E7F67" w:rsidRDefault="001E7F67" w:rsidP="001E7F67">
            <w:pPr>
              <w:jc w:val="both"/>
              <w:rPr>
                <w:rFonts w:ascii="Arial" w:hAnsi="Arial" w:cs="Arial"/>
              </w:rPr>
            </w:pPr>
            <m:oMath>
              <m:r>
                <w:rPr>
                  <w:rFonts w:ascii="Cambria Math" w:hAnsi="Cambria Math" w:cs="Arial"/>
                </w:rPr>
                <m:t>∆</m:t>
              </m:r>
            </m:oMath>
            <w:r w:rsidR="00AC4AAE" w:rsidRPr="001E7F67">
              <w:rPr>
                <w:rFonts w:ascii="Arial" w:hAnsi="Arial" w:cs="Arial"/>
              </w:rPr>
              <w:t>LLEB(-2)</w:t>
            </w:r>
          </w:p>
        </w:tc>
        <w:tc>
          <w:tcPr>
            <w:tcW w:w="1805"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0.26522</w:t>
            </w:r>
          </w:p>
        </w:tc>
        <w:tc>
          <w:tcPr>
            <w:tcW w:w="1750"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0.09764</w:t>
            </w:r>
          </w:p>
        </w:tc>
        <w:tc>
          <w:tcPr>
            <w:tcW w:w="1771"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2.71630</w:t>
            </w:r>
          </w:p>
        </w:tc>
        <w:tc>
          <w:tcPr>
            <w:tcW w:w="1729"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0.0054</w:t>
            </w:r>
          </w:p>
        </w:tc>
      </w:tr>
      <w:tr w:rsidR="00AC4AAE" w:rsidRPr="001E7F67" w:rsidTr="00AC4AAE">
        <w:tc>
          <w:tcPr>
            <w:tcW w:w="1801" w:type="dxa"/>
            <w:tcBorders>
              <w:top w:val="nil"/>
              <w:left w:val="nil"/>
              <w:bottom w:val="nil"/>
              <w:right w:val="nil"/>
            </w:tcBorders>
            <w:hideMark/>
          </w:tcPr>
          <w:p w:rsidR="00AC4AAE" w:rsidRPr="001E7F67" w:rsidRDefault="001E7F67" w:rsidP="001E7F67">
            <w:pPr>
              <w:autoSpaceDE w:val="0"/>
              <w:autoSpaceDN w:val="0"/>
              <w:adjustRightInd w:val="0"/>
              <w:jc w:val="both"/>
              <w:rPr>
                <w:rFonts w:ascii="Arial" w:hAnsi="Arial" w:cs="Arial"/>
              </w:rPr>
            </w:pPr>
            <m:oMath>
              <m:r>
                <w:rPr>
                  <w:rFonts w:ascii="Cambria Math" w:hAnsi="Cambria Math" w:cs="Arial"/>
                </w:rPr>
                <m:t>∆</m:t>
              </m:r>
            </m:oMath>
            <w:r w:rsidR="00AC4AAE" w:rsidRPr="001E7F67">
              <w:rPr>
                <w:rFonts w:ascii="Arial" w:hAnsi="Arial" w:cs="Arial"/>
              </w:rPr>
              <w:t>LFR</w:t>
            </w:r>
          </w:p>
        </w:tc>
        <w:tc>
          <w:tcPr>
            <w:tcW w:w="1805"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-0.44963</w:t>
            </w:r>
          </w:p>
        </w:tc>
        <w:tc>
          <w:tcPr>
            <w:tcW w:w="1750"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0.06859</w:t>
            </w:r>
          </w:p>
        </w:tc>
        <w:tc>
          <w:tcPr>
            <w:tcW w:w="1771"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-6.55532</w:t>
            </w:r>
          </w:p>
        </w:tc>
        <w:tc>
          <w:tcPr>
            <w:tcW w:w="1729"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0.0000</w:t>
            </w:r>
          </w:p>
        </w:tc>
      </w:tr>
      <w:tr w:rsidR="00AC4AAE" w:rsidRPr="001E7F67" w:rsidTr="00AC4AAE">
        <w:tc>
          <w:tcPr>
            <w:tcW w:w="1801" w:type="dxa"/>
            <w:tcBorders>
              <w:top w:val="nil"/>
              <w:left w:val="nil"/>
              <w:bottom w:val="nil"/>
              <w:right w:val="nil"/>
            </w:tcBorders>
            <w:hideMark/>
          </w:tcPr>
          <w:p w:rsidR="00AC4AAE" w:rsidRPr="001E7F67" w:rsidRDefault="001E7F67" w:rsidP="001E7F67">
            <w:pPr>
              <w:jc w:val="both"/>
              <w:rPr>
                <w:rFonts w:ascii="Arial" w:hAnsi="Arial" w:cs="Arial"/>
              </w:rPr>
            </w:pPr>
            <m:oMath>
              <m:r>
                <w:rPr>
                  <w:rFonts w:ascii="Cambria Math" w:hAnsi="Cambria Math" w:cs="Arial"/>
                </w:rPr>
                <m:t>∆</m:t>
              </m:r>
            </m:oMath>
            <w:r w:rsidR="00AC4AAE" w:rsidRPr="001E7F67">
              <w:rPr>
                <w:rFonts w:ascii="Arial" w:hAnsi="Arial" w:cs="Arial"/>
              </w:rPr>
              <w:t>LFR(-1)</w:t>
            </w:r>
          </w:p>
        </w:tc>
        <w:tc>
          <w:tcPr>
            <w:tcW w:w="1805"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-0.32725</w:t>
            </w:r>
          </w:p>
        </w:tc>
        <w:tc>
          <w:tcPr>
            <w:tcW w:w="1750"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0.09956</w:t>
            </w:r>
          </w:p>
        </w:tc>
        <w:tc>
          <w:tcPr>
            <w:tcW w:w="1771"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-3.28696</w:t>
            </w:r>
          </w:p>
        </w:tc>
        <w:tc>
          <w:tcPr>
            <w:tcW w:w="1729"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0.0009</w:t>
            </w:r>
          </w:p>
        </w:tc>
      </w:tr>
      <w:tr w:rsidR="00AC4AAE" w:rsidRPr="001E7F67" w:rsidTr="00AC4AAE">
        <w:tc>
          <w:tcPr>
            <w:tcW w:w="1801" w:type="dxa"/>
            <w:tcBorders>
              <w:top w:val="nil"/>
              <w:left w:val="nil"/>
              <w:bottom w:val="nil"/>
              <w:right w:val="nil"/>
            </w:tcBorders>
            <w:hideMark/>
          </w:tcPr>
          <w:p w:rsidR="00AC4AAE" w:rsidRPr="001E7F67" w:rsidRDefault="001E7F67" w:rsidP="001E7F67">
            <w:pPr>
              <w:jc w:val="both"/>
              <w:rPr>
                <w:rFonts w:ascii="Arial" w:hAnsi="Arial" w:cs="Arial"/>
              </w:rPr>
            </w:pPr>
            <m:oMath>
              <m:r>
                <w:rPr>
                  <w:rFonts w:ascii="Cambria Math" w:hAnsi="Cambria Math" w:cs="Arial"/>
                </w:rPr>
                <w:lastRenderedPageBreak/>
                <m:t>∆</m:t>
              </m:r>
            </m:oMath>
            <w:r w:rsidR="00AC4AAE" w:rsidRPr="001E7F67">
              <w:rPr>
                <w:rFonts w:ascii="Arial" w:hAnsi="Arial" w:cs="Arial"/>
              </w:rPr>
              <w:t>LFR(-2)</w:t>
            </w:r>
          </w:p>
        </w:tc>
        <w:tc>
          <w:tcPr>
            <w:tcW w:w="1805"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-0.12553</w:t>
            </w:r>
          </w:p>
        </w:tc>
        <w:tc>
          <w:tcPr>
            <w:tcW w:w="1750"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0.05614</w:t>
            </w:r>
          </w:p>
        </w:tc>
        <w:tc>
          <w:tcPr>
            <w:tcW w:w="1771"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-2.23602</w:t>
            </w:r>
          </w:p>
        </w:tc>
        <w:tc>
          <w:tcPr>
            <w:tcW w:w="1729"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0.0221</w:t>
            </w:r>
          </w:p>
        </w:tc>
      </w:tr>
      <w:tr w:rsidR="00AC4AAE" w:rsidRPr="001E7F67" w:rsidTr="00AC4AAE">
        <w:tc>
          <w:tcPr>
            <w:tcW w:w="1801" w:type="dxa"/>
            <w:tcBorders>
              <w:top w:val="nil"/>
              <w:left w:val="nil"/>
              <w:bottom w:val="nil"/>
              <w:right w:val="nil"/>
            </w:tcBorders>
            <w:hideMark/>
          </w:tcPr>
          <w:p w:rsidR="00AC4AAE" w:rsidRPr="001E7F67" w:rsidRDefault="001E7F67" w:rsidP="001E7F67">
            <w:pPr>
              <w:autoSpaceDE w:val="0"/>
              <w:autoSpaceDN w:val="0"/>
              <w:adjustRightInd w:val="0"/>
              <w:jc w:val="both"/>
              <w:rPr>
                <w:rFonts w:ascii="Arial" w:hAnsi="Arial" w:cs="Arial"/>
              </w:rPr>
            </w:pPr>
            <m:oMath>
              <m:r>
                <w:rPr>
                  <w:rFonts w:ascii="Cambria Math" w:hAnsi="Cambria Math" w:cs="Arial"/>
                </w:rPr>
                <m:t>∆</m:t>
              </m:r>
            </m:oMath>
            <w:r w:rsidR="00AC4AAE" w:rsidRPr="001E7F67">
              <w:rPr>
                <w:rFonts w:ascii="Arial" w:hAnsi="Arial" w:cs="Arial"/>
              </w:rPr>
              <w:t>LUR</w:t>
            </w:r>
          </w:p>
        </w:tc>
        <w:tc>
          <w:tcPr>
            <w:tcW w:w="1805"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-0.22363</w:t>
            </w:r>
          </w:p>
        </w:tc>
        <w:tc>
          <w:tcPr>
            <w:tcW w:w="1750"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0.06315</w:t>
            </w:r>
          </w:p>
        </w:tc>
        <w:tc>
          <w:tcPr>
            <w:tcW w:w="1771"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-3.54125</w:t>
            </w:r>
          </w:p>
        </w:tc>
        <w:tc>
          <w:tcPr>
            <w:tcW w:w="1729"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0.0003</w:t>
            </w:r>
          </w:p>
        </w:tc>
      </w:tr>
      <w:tr w:rsidR="00AC4AAE" w:rsidRPr="001E7F67" w:rsidTr="00AC4AAE">
        <w:tc>
          <w:tcPr>
            <w:tcW w:w="1801" w:type="dxa"/>
            <w:tcBorders>
              <w:top w:val="nil"/>
              <w:left w:val="nil"/>
              <w:bottom w:val="nil"/>
              <w:right w:val="nil"/>
            </w:tcBorders>
            <w:hideMark/>
          </w:tcPr>
          <w:p w:rsidR="00AC4AAE" w:rsidRPr="001E7F67" w:rsidRDefault="001E7F67" w:rsidP="001E7F67">
            <w:pPr>
              <w:autoSpaceDE w:val="0"/>
              <w:autoSpaceDN w:val="0"/>
              <w:adjustRightInd w:val="0"/>
              <w:jc w:val="both"/>
              <w:rPr>
                <w:rFonts w:ascii="Arial" w:hAnsi="Arial" w:cs="Arial"/>
              </w:rPr>
            </w:pPr>
            <m:oMath>
              <m:r>
                <w:rPr>
                  <w:rFonts w:ascii="Cambria Math" w:hAnsi="Cambria Math" w:cs="Arial"/>
                </w:rPr>
                <m:t>∆</m:t>
              </m:r>
            </m:oMath>
            <w:r w:rsidR="00AC4AAE" w:rsidRPr="001E7F67">
              <w:rPr>
                <w:rFonts w:ascii="Arial" w:hAnsi="Arial" w:cs="Arial"/>
              </w:rPr>
              <w:t>LUR(-1)</w:t>
            </w:r>
          </w:p>
        </w:tc>
        <w:tc>
          <w:tcPr>
            <w:tcW w:w="1805"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0.19581</w:t>
            </w:r>
          </w:p>
        </w:tc>
        <w:tc>
          <w:tcPr>
            <w:tcW w:w="1750"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0.08137</w:t>
            </w:r>
          </w:p>
        </w:tc>
        <w:tc>
          <w:tcPr>
            <w:tcW w:w="1771"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2.40642</w:t>
            </w:r>
          </w:p>
        </w:tc>
        <w:tc>
          <w:tcPr>
            <w:tcW w:w="1729"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0.0018</w:t>
            </w:r>
          </w:p>
        </w:tc>
      </w:tr>
      <w:tr w:rsidR="00AC4AAE" w:rsidRPr="001E7F67" w:rsidTr="00AC4AAE">
        <w:tc>
          <w:tcPr>
            <w:tcW w:w="1801" w:type="dxa"/>
            <w:tcBorders>
              <w:top w:val="nil"/>
              <w:left w:val="nil"/>
              <w:bottom w:val="nil"/>
              <w:right w:val="nil"/>
            </w:tcBorders>
            <w:hideMark/>
          </w:tcPr>
          <w:p w:rsidR="00AC4AAE" w:rsidRPr="001E7F67" w:rsidRDefault="001E7F67" w:rsidP="001E7F67">
            <w:pPr>
              <w:autoSpaceDE w:val="0"/>
              <w:autoSpaceDN w:val="0"/>
              <w:adjustRightInd w:val="0"/>
              <w:jc w:val="both"/>
              <w:rPr>
                <w:rFonts w:ascii="Arial" w:hAnsi="Arial" w:cs="Arial"/>
              </w:rPr>
            </w:pPr>
            <m:oMath>
              <m:r>
                <w:rPr>
                  <w:rFonts w:ascii="Cambria Math" w:hAnsi="Cambria Math" w:cs="Arial"/>
                </w:rPr>
                <m:t>∆</m:t>
              </m:r>
            </m:oMath>
            <w:r w:rsidR="00AC4AAE" w:rsidRPr="001E7F67">
              <w:rPr>
                <w:rFonts w:ascii="Arial" w:hAnsi="Arial" w:cs="Arial"/>
              </w:rPr>
              <w:t>LUR(-2)</w:t>
            </w:r>
          </w:p>
        </w:tc>
        <w:tc>
          <w:tcPr>
            <w:tcW w:w="1805"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-0.08775</w:t>
            </w:r>
          </w:p>
        </w:tc>
        <w:tc>
          <w:tcPr>
            <w:tcW w:w="1750"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0.04005</w:t>
            </w:r>
          </w:p>
        </w:tc>
        <w:tc>
          <w:tcPr>
            <w:tcW w:w="1771"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-2.19101</w:t>
            </w:r>
          </w:p>
        </w:tc>
        <w:tc>
          <w:tcPr>
            <w:tcW w:w="1729"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0.0316</w:t>
            </w:r>
          </w:p>
        </w:tc>
      </w:tr>
      <w:tr w:rsidR="00AC4AAE" w:rsidRPr="001E7F67" w:rsidTr="00AC4AAE">
        <w:tc>
          <w:tcPr>
            <w:tcW w:w="1801" w:type="dxa"/>
            <w:tcBorders>
              <w:top w:val="nil"/>
              <w:left w:val="nil"/>
              <w:bottom w:val="nil"/>
              <w:right w:val="nil"/>
            </w:tcBorders>
            <w:hideMark/>
          </w:tcPr>
          <w:p w:rsidR="00AC4AAE" w:rsidRPr="001E7F67" w:rsidRDefault="00596EC9" w:rsidP="001E7F67">
            <w:pPr>
              <w:autoSpaceDE w:val="0"/>
              <w:autoSpaceDN w:val="0"/>
              <w:adjustRightInd w:val="0"/>
              <w:jc w:val="both"/>
              <w:rPr>
                <w:rFonts w:ascii="Arial" w:hAnsi="Arial" w:cs="Arial"/>
              </w:rPr>
            </w:pPr>
            <m:oMath>
              <m:r>
                <w:rPr>
                  <w:rFonts w:ascii="Cambria Math" w:hAnsi="Cambria Math" w:cs="Arial"/>
                </w:rPr>
                <m:t>∆</m:t>
              </m:r>
            </m:oMath>
            <w:r w:rsidR="00AC4AAE" w:rsidRPr="001E7F67">
              <w:rPr>
                <w:rFonts w:ascii="Arial" w:hAnsi="Arial" w:cs="Arial"/>
              </w:rPr>
              <w:t>LDR</w:t>
            </w:r>
          </w:p>
        </w:tc>
        <w:tc>
          <w:tcPr>
            <w:tcW w:w="1805"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-0.75391</w:t>
            </w:r>
          </w:p>
        </w:tc>
        <w:tc>
          <w:tcPr>
            <w:tcW w:w="1750"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0.04274</w:t>
            </w:r>
          </w:p>
        </w:tc>
        <w:tc>
          <w:tcPr>
            <w:tcW w:w="1771"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-17.6394</w:t>
            </w:r>
          </w:p>
        </w:tc>
        <w:tc>
          <w:tcPr>
            <w:tcW w:w="1729"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0.0000</w:t>
            </w:r>
          </w:p>
        </w:tc>
      </w:tr>
      <w:tr w:rsidR="00AC4AAE" w:rsidRPr="001E7F67" w:rsidTr="00AC4AAE">
        <w:tc>
          <w:tcPr>
            <w:tcW w:w="1801" w:type="dxa"/>
            <w:tcBorders>
              <w:top w:val="nil"/>
              <w:left w:val="nil"/>
              <w:bottom w:val="nil"/>
              <w:right w:val="nil"/>
            </w:tcBorders>
            <w:hideMark/>
          </w:tcPr>
          <w:p w:rsidR="00AC4AAE" w:rsidRPr="001E7F67" w:rsidRDefault="00596EC9" w:rsidP="001E7F67">
            <w:pPr>
              <w:autoSpaceDE w:val="0"/>
              <w:autoSpaceDN w:val="0"/>
              <w:adjustRightInd w:val="0"/>
              <w:jc w:val="both"/>
              <w:rPr>
                <w:rFonts w:ascii="Arial" w:hAnsi="Arial" w:cs="Arial"/>
              </w:rPr>
            </w:pPr>
            <m:oMath>
              <m:r>
                <w:rPr>
                  <w:rFonts w:ascii="Cambria Math" w:hAnsi="Cambria Math" w:cs="Arial"/>
                </w:rPr>
                <m:t>∆</m:t>
              </m:r>
            </m:oMath>
            <w:r w:rsidR="00AC4AAE" w:rsidRPr="001E7F67">
              <w:rPr>
                <w:rFonts w:ascii="Arial" w:hAnsi="Arial" w:cs="Arial"/>
              </w:rPr>
              <w:t>LDR(-1)</w:t>
            </w:r>
          </w:p>
        </w:tc>
        <w:tc>
          <w:tcPr>
            <w:tcW w:w="1805"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-0.57583</w:t>
            </w:r>
          </w:p>
        </w:tc>
        <w:tc>
          <w:tcPr>
            <w:tcW w:w="1750"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0.04753</w:t>
            </w:r>
          </w:p>
        </w:tc>
        <w:tc>
          <w:tcPr>
            <w:tcW w:w="1771"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-12.1151</w:t>
            </w:r>
          </w:p>
        </w:tc>
        <w:tc>
          <w:tcPr>
            <w:tcW w:w="1729"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0.0000</w:t>
            </w:r>
          </w:p>
        </w:tc>
      </w:tr>
      <w:tr w:rsidR="00AC4AAE" w:rsidRPr="001E7F67" w:rsidTr="00AC4AAE">
        <w:tc>
          <w:tcPr>
            <w:tcW w:w="1801" w:type="dxa"/>
            <w:tcBorders>
              <w:top w:val="nil"/>
              <w:left w:val="nil"/>
              <w:bottom w:val="nil"/>
              <w:right w:val="nil"/>
            </w:tcBorders>
            <w:hideMark/>
          </w:tcPr>
          <w:p w:rsidR="00AC4AAE" w:rsidRPr="001E7F67" w:rsidRDefault="00596EC9" w:rsidP="001E7F67">
            <w:pPr>
              <w:autoSpaceDE w:val="0"/>
              <w:autoSpaceDN w:val="0"/>
              <w:adjustRightInd w:val="0"/>
              <w:jc w:val="both"/>
              <w:rPr>
                <w:rFonts w:ascii="Arial" w:hAnsi="Arial" w:cs="Arial"/>
              </w:rPr>
            </w:pPr>
            <m:oMath>
              <m:r>
                <w:rPr>
                  <w:rFonts w:ascii="Cambria Math" w:hAnsi="Cambria Math" w:cs="Arial"/>
                </w:rPr>
                <m:t>∆</m:t>
              </m:r>
            </m:oMath>
            <w:r w:rsidR="00AC4AAE" w:rsidRPr="001E7F67">
              <w:rPr>
                <w:rFonts w:ascii="Arial" w:hAnsi="Arial" w:cs="Arial"/>
              </w:rPr>
              <w:t>LDR(-2)</w:t>
            </w:r>
          </w:p>
        </w:tc>
        <w:tc>
          <w:tcPr>
            <w:tcW w:w="1805"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-0.37874</w:t>
            </w:r>
          </w:p>
        </w:tc>
        <w:tc>
          <w:tcPr>
            <w:tcW w:w="1750"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0.11624</w:t>
            </w:r>
          </w:p>
        </w:tc>
        <w:tc>
          <w:tcPr>
            <w:tcW w:w="1771"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-3.25829</w:t>
            </w:r>
          </w:p>
        </w:tc>
        <w:tc>
          <w:tcPr>
            <w:tcW w:w="1729"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0.0009</w:t>
            </w:r>
          </w:p>
        </w:tc>
      </w:tr>
      <w:tr w:rsidR="00AC4AAE" w:rsidRPr="001E7F67" w:rsidTr="00AC4AAE">
        <w:tc>
          <w:tcPr>
            <w:tcW w:w="1801" w:type="dxa"/>
            <w:tcBorders>
              <w:top w:val="nil"/>
              <w:left w:val="nil"/>
              <w:bottom w:val="nil"/>
              <w:right w:val="nil"/>
            </w:tcBorders>
            <w:hideMark/>
          </w:tcPr>
          <w:p w:rsidR="00AC4AAE" w:rsidRPr="001E7F67" w:rsidRDefault="00596EC9" w:rsidP="001E7F67">
            <w:pPr>
              <w:autoSpaceDE w:val="0"/>
              <w:autoSpaceDN w:val="0"/>
              <w:adjustRightInd w:val="0"/>
              <w:jc w:val="both"/>
              <w:rPr>
                <w:rFonts w:ascii="Arial" w:hAnsi="Arial" w:cs="Arial"/>
              </w:rPr>
            </w:pPr>
            <m:oMath>
              <m:r>
                <w:rPr>
                  <w:rFonts w:ascii="Cambria Math" w:hAnsi="Cambria Math" w:cs="Arial"/>
                </w:rPr>
                <m:t>∆</m:t>
              </m:r>
            </m:oMath>
            <w:r w:rsidR="00AC4AAE" w:rsidRPr="001E7F67">
              <w:rPr>
                <w:rFonts w:ascii="Arial" w:hAnsi="Arial" w:cs="Arial"/>
              </w:rPr>
              <w:t>LFLP</w:t>
            </w:r>
          </w:p>
        </w:tc>
        <w:tc>
          <w:tcPr>
            <w:tcW w:w="1805"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0.32954</w:t>
            </w:r>
          </w:p>
        </w:tc>
        <w:tc>
          <w:tcPr>
            <w:tcW w:w="1750"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0.09352</w:t>
            </w:r>
          </w:p>
        </w:tc>
        <w:tc>
          <w:tcPr>
            <w:tcW w:w="1771"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3.52374</w:t>
            </w:r>
          </w:p>
        </w:tc>
        <w:tc>
          <w:tcPr>
            <w:tcW w:w="1729"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0.0002</w:t>
            </w:r>
          </w:p>
        </w:tc>
      </w:tr>
      <w:tr w:rsidR="00AC4AAE" w:rsidRPr="001E7F67" w:rsidTr="00AC4AAE">
        <w:tc>
          <w:tcPr>
            <w:tcW w:w="1801" w:type="dxa"/>
            <w:tcBorders>
              <w:top w:val="nil"/>
              <w:left w:val="nil"/>
              <w:bottom w:val="nil"/>
              <w:right w:val="nil"/>
            </w:tcBorders>
            <w:hideMark/>
          </w:tcPr>
          <w:p w:rsidR="00AC4AAE" w:rsidRPr="001E7F67" w:rsidRDefault="00596EC9" w:rsidP="001E7F67">
            <w:pPr>
              <w:autoSpaceDE w:val="0"/>
              <w:autoSpaceDN w:val="0"/>
              <w:adjustRightInd w:val="0"/>
              <w:jc w:val="both"/>
              <w:rPr>
                <w:rFonts w:ascii="Arial" w:hAnsi="Arial" w:cs="Arial"/>
              </w:rPr>
            </w:pPr>
            <m:oMath>
              <m:r>
                <w:rPr>
                  <w:rFonts w:ascii="Cambria Math" w:hAnsi="Cambria Math" w:cs="Arial"/>
                </w:rPr>
                <m:t>∆</m:t>
              </m:r>
            </m:oMath>
            <w:r w:rsidR="00AC4AAE" w:rsidRPr="001E7F67">
              <w:rPr>
                <w:rFonts w:ascii="Arial" w:hAnsi="Arial" w:cs="Arial"/>
              </w:rPr>
              <w:t>LFLP(-1)</w:t>
            </w:r>
          </w:p>
        </w:tc>
        <w:tc>
          <w:tcPr>
            <w:tcW w:w="1805"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0.28532</w:t>
            </w:r>
          </w:p>
        </w:tc>
        <w:tc>
          <w:tcPr>
            <w:tcW w:w="1750"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0.09843</w:t>
            </w:r>
          </w:p>
        </w:tc>
        <w:tc>
          <w:tcPr>
            <w:tcW w:w="1771"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2.89871</w:t>
            </w:r>
          </w:p>
        </w:tc>
        <w:tc>
          <w:tcPr>
            <w:tcW w:w="1729"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0.0094</w:t>
            </w:r>
          </w:p>
        </w:tc>
      </w:tr>
      <w:tr w:rsidR="00AC4AAE" w:rsidRPr="001E7F67" w:rsidTr="00AC4AAE">
        <w:tc>
          <w:tcPr>
            <w:tcW w:w="1801" w:type="dxa"/>
            <w:tcBorders>
              <w:top w:val="nil"/>
              <w:left w:val="nil"/>
              <w:bottom w:val="nil"/>
              <w:right w:val="nil"/>
            </w:tcBorders>
            <w:hideMark/>
          </w:tcPr>
          <w:p w:rsidR="00AC4AAE" w:rsidRPr="001E7F67" w:rsidRDefault="00596EC9" w:rsidP="001E7F67">
            <w:pPr>
              <w:autoSpaceDE w:val="0"/>
              <w:autoSpaceDN w:val="0"/>
              <w:adjustRightInd w:val="0"/>
              <w:jc w:val="both"/>
              <w:rPr>
                <w:rFonts w:ascii="Arial" w:hAnsi="Arial" w:cs="Arial"/>
              </w:rPr>
            </w:pPr>
            <m:oMath>
              <m:r>
                <w:rPr>
                  <w:rFonts w:ascii="Cambria Math" w:hAnsi="Cambria Math" w:cs="Arial"/>
                </w:rPr>
                <m:t>∆</m:t>
              </m:r>
            </m:oMath>
            <w:r w:rsidR="00AC4AAE" w:rsidRPr="001E7F67">
              <w:rPr>
                <w:rFonts w:ascii="Arial" w:hAnsi="Arial" w:cs="Arial"/>
              </w:rPr>
              <w:t>LFLP(-2)</w:t>
            </w:r>
          </w:p>
        </w:tc>
        <w:tc>
          <w:tcPr>
            <w:tcW w:w="1805"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0.17855</w:t>
            </w:r>
          </w:p>
        </w:tc>
        <w:tc>
          <w:tcPr>
            <w:tcW w:w="1750"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0.07858</w:t>
            </w:r>
          </w:p>
        </w:tc>
        <w:tc>
          <w:tcPr>
            <w:tcW w:w="1771"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2.27221</w:t>
            </w:r>
          </w:p>
        </w:tc>
        <w:tc>
          <w:tcPr>
            <w:tcW w:w="1729" w:type="dxa"/>
            <w:tcBorders>
              <w:top w:val="nil"/>
              <w:left w:val="nil"/>
              <w:bottom w:val="nil"/>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0.0271</w:t>
            </w:r>
          </w:p>
        </w:tc>
      </w:tr>
      <w:tr w:rsidR="00AC4AAE" w:rsidRPr="001E7F67" w:rsidTr="00AC4AAE">
        <w:tc>
          <w:tcPr>
            <w:tcW w:w="1801" w:type="dxa"/>
            <w:tcBorders>
              <w:top w:val="nil"/>
              <w:left w:val="nil"/>
              <w:bottom w:val="single" w:sz="4" w:space="0" w:color="auto"/>
              <w:right w:val="nil"/>
            </w:tcBorders>
            <w:hideMark/>
          </w:tcPr>
          <w:p w:rsidR="00AC4AAE" w:rsidRPr="001E7F67" w:rsidRDefault="00AC4AAE" w:rsidP="001E7F67">
            <w:pPr>
              <w:autoSpaceDE w:val="0"/>
              <w:autoSpaceDN w:val="0"/>
              <w:adjustRightInd w:val="0"/>
              <w:jc w:val="both"/>
              <w:rPr>
                <w:rFonts w:ascii="Arial" w:hAnsi="Arial" w:cs="Arial"/>
              </w:rPr>
            </w:pPr>
            <w:r w:rsidRPr="001E7F67">
              <w:rPr>
                <w:rFonts w:ascii="Arial" w:hAnsi="Arial" w:cs="Arial"/>
              </w:rPr>
              <w:t>EC(-1)</w:t>
            </w:r>
          </w:p>
        </w:tc>
        <w:tc>
          <w:tcPr>
            <w:tcW w:w="1805" w:type="dxa"/>
            <w:tcBorders>
              <w:top w:val="nil"/>
              <w:left w:val="nil"/>
              <w:bottom w:val="single" w:sz="4" w:space="0" w:color="auto"/>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-0.69882</w:t>
            </w:r>
          </w:p>
        </w:tc>
        <w:tc>
          <w:tcPr>
            <w:tcW w:w="1750" w:type="dxa"/>
            <w:tcBorders>
              <w:top w:val="nil"/>
              <w:left w:val="nil"/>
              <w:bottom w:val="single" w:sz="4" w:space="0" w:color="auto"/>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0.08276</w:t>
            </w:r>
          </w:p>
        </w:tc>
        <w:tc>
          <w:tcPr>
            <w:tcW w:w="1771" w:type="dxa"/>
            <w:tcBorders>
              <w:top w:val="nil"/>
              <w:left w:val="nil"/>
              <w:bottom w:val="single" w:sz="4" w:space="0" w:color="auto"/>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-8.44383</w:t>
            </w:r>
          </w:p>
        </w:tc>
        <w:tc>
          <w:tcPr>
            <w:tcW w:w="1729" w:type="dxa"/>
            <w:tcBorders>
              <w:top w:val="nil"/>
              <w:left w:val="nil"/>
              <w:bottom w:val="single" w:sz="4" w:space="0" w:color="auto"/>
              <w:right w:val="nil"/>
            </w:tcBorders>
            <w:hideMark/>
          </w:tcPr>
          <w:p w:rsidR="00AC4AAE" w:rsidRPr="001E7F67" w:rsidRDefault="00AC4AAE" w:rsidP="001E7F67">
            <w:pPr>
              <w:autoSpaceDE w:val="0"/>
              <w:autoSpaceDN w:val="0"/>
              <w:adjustRightInd w:val="0"/>
              <w:jc w:val="center"/>
              <w:rPr>
                <w:rFonts w:ascii="Arial" w:hAnsi="Arial" w:cs="Arial"/>
              </w:rPr>
            </w:pPr>
            <w:r w:rsidRPr="001E7F67">
              <w:rPr>
                <w:rFonts w:ascii="Arial" w:hAnsi="Arial" w:cs="Arial"/>
              </w:rPr>
              <w:t>0.0000</w:t>
            </w:r>
          </w:p>
        </w:tc>
      </w:tr>
    </w:tbl>
    <w:p w:rsidR="00AC4AAE" w:rsidRPr="00596EC9" w:rsidRDefault="00AC4AAE" w:rsidP="00AC4AAE">
      <w:pPr>
        <w:spacing w:before="240"/>
        <w:jc w:val="both"/>
        <w:rPr>
          <w:rFonts w:ascii="Arial" w:hAnsi="Arial" w:cs="Arial"/>
        </w:rPr>
      </w:pPr>
      <w:r w:rsidRPr="00596EC9">
        <w:rPr>
          <w:rFonts w:ascii="Arial" w:hAnsi="Arial" w:cs="Arial"/>
        </w:rPr>
        <w:t>From the result of the panel vector error correction model reported in Table 7, the first lag of HDI (ΔLHDI(-1) = 0.2547, p &lt; 0.001) is positive and significant, suggesting strong persistence in human development over time. This indicates that past gains in HDI tend to reinforce current improvements, highlighting the cumulative nature of development processes. The implication is that policies or interventions that successfully raise HDI today will likely have sustained effects in subsequent periods, creating a positive feedback loop for human development.</w:t>
      </w:r>
    </w:p>
    <w:p w:rsidR="00AC4AAE" w:rsidRPr="00596EC9" w:rsidRDefault="00AC4AAE" w:rsidP="00AC4AAE">
      <w:pPr>
        <w:spacing w:before="240"/>
        <w:jc w:val="both"/>
        <w:rPr>
          <w:rFonts w:ascii="Arial" w:hAnsi="Arial" w:cs="Arial"/>
        </w:rPr>
      </w:pPr>
      <w:r w:rsidRPr="00596EC9">
        <w:rPr>
          <w:rFonts w:ascii="Arial" w:hAnsi="Arial" w:cs="Arial"/>
        </w:rPr>
        <w:t>Life expectancy at birth has positive and statistically significant short-run coefficients (ΔLEB = 0.4283, ΔLEB(-1) = 0.3352, ΔLEB(-2) = 0.2652). This implies that increases in life expectancy directly enhance HDI in both the current and short-term future periods. Longer life expectancy likely reflects better healthcare, nutrition, and living standards, which contribute to broader human development. Policymakers should therefore focus on improving healthcare access and disease prevention to support sustainable HDI growth.</w:t>
      </w:r>
    </w:p>
    <w:p w:rsidR="00AC4AAE" w:rsidRPr="00596EC9" w:rsidRDefault="00AC4AAE" w:rsidP="00AC4AAE">
      <w:pPr>
        <w:spacing w:before="240"/>
        <w:jc w:val="both"/>
        <w:rPr>
          <w:rFonts w:ascii="Arial" w:hAnsi="Arial" w:cs="Arial"/>
        </w:rPr>
      </w:pPr>
      <w:r w:rsidRPr="00596EC9">
        <w:rPr>
          <w:rFonts w:ascii="Arial" w:hAnsi="Arial" w:cs="Arial"/>
        </w:rPr>
        <w:t>The negative coefficients for fertility rate (ΔFR = -0.4496, ΔFR(-1) = -0.3273, ΔFR(-2) = -0.1255) indicate that higher fertility rates reduce HDI in the short run. High fertility may strain household and public resources, lowering per capita investment in education, health, and social services. This underscores the need for family planning and reproductive health policies to manage population growth, enabling more resources to be allocated toward enhancing human development outcomes.</w:t>
      </w:r>
    </w:p>
    <w:p w:rsidR="00AC4AAE" w:rsidRPr="00596EC9" w:rsidRDefault="00AC4AAE" w:rsidP="00AC4AAE">
      <w:pPr>
        <w:pStyle w:val="NormalWeb"/>
        <w:spacing w:before="240" w:beforeAutospacing="0" w:after="0" w:afterAutospacing="0"/>
        <w:jc w:val="both"/>
        <w:rPr>
          <w:rFonts w:ascii="Arial" w:hAnsi="Arial" w:cs="Arial"/>
          <w:sz w:val="20"/>
          <w:szCs w:val="20"/>
        </w:rPr>
      </w:pPr>
      <w:r w:rsidRPr="00596EC9">
        <w:rPr>
          <w:rFonts w:ascii="Arial" w:hAnsi="Arial" w:cs="Arial"/>
          <w:sz w:val="20"/>
          <w:szCs w:val="20"/>
        </w:rPr>
        <w:t>Urbanization rate exhibits mixed short-run effects on HDI. The immediate effect of urbanization, ΔUR = −0.2236, is negative, suggesting that a sudden rise in urban growth initially reduces HDI, likely due to short-term pressures such as overcrowding, inadequate infrastructure, and increased demand for social services. However, the lagged effect ΔUR(−1) = +0.1958 is positive, indicating that after one period, urbanization begins to contribute positively to HDI—possibly as urban infrastructure adjusts, economic opportunities expand, and residents gain better access to health, education, and employment services. By the second lag, ΔUR(−2) = −0.0878 again turns negative, reflecting fluctuations that may arise from uneven or poorly managed urban expansion. Overall, the mixed signs imply that urbanization can enhance human development but only when accompanied by effective planning, sustained investment in services, and policies that manage the social and environmental stresses associated with rapid urban growth.</w:t>
      </w:r>
    </w:p>
    <w:p w:rsidR="00AC4AAE" w:rsidRPr="00596EC9" w:rsidRDefault="00AC4AAE" w:rsidP="00AC4AAE">
      <w:pPr>
        <w:spacing w:before="240"/>
        <w:jc w:val="both"/>
        <w:rPr>
          <w:rFonts w:ascii="Arial" w:hAnsi="Arial" w:cs="Arial"/>
        </w:rPr>
      </w:pPr>
      <w:r w:rsidRPr="00596EC9">
        <w:rPr>
          <w:rFonts w:ascii="Arial" w:hAnsi="Arial" w:cs="Arial"/>
        </w:rPr>
        <w:t xml:space="preserve">The dependency ratio shows strongly negative coefficients (ΔDR = -0.7539, ΔDR(-1) = -0.5758, ΔDR(-2) = -0.3787), indicating that higher proportions of dependents relative to the working-age population significantly hinder HDI growth. A high dependency burden reduces resources available for education, health, and economic productivity. For human development, this indicates the need for policies that enhance labour productivity, reduce </w:t>
      </w:r>
      <w:r w:rsidRPr="00596EC9">
        <w:rPr>
          <w:rFonts w:ascii="Arial" w:hAnsi="Arial" w:cs="Arial"/>
        </w:rPr>
        <w:lastRenderedPageBreak/>
        <w:t>dependency pressures, and support families with high dependent ratios through social safety nets.</w:t>
      </w:r>
    </w:p>
    <w:p w:rsidR="00AC4AAE" w:rsidRPr="00596EC9" w:rsidRDefault="00AC4AAE" w:rsidP="00AC4AAE">
      <w:pPr>
        <w:spacing w:before="240"/>
        <w:jc w:val="both"/>
        <w:rPr>
          <w:rFonts w:ascii="Arial" w:hAnsi="Arial" w:cs="Arial"/>
        </w:rPr>
      </w:pPr>
      <w:r w:rsidRPr="00596EC9">
        <w:rPr>
          <w:rFonts w:ascii="Arial" w:hAnsi="Arial" w:cs="Arial"/>
        </w:rPr>
        <w:t>Female labour force participation has positive short-run coefficients (ΔFLP = 0.3295, ΔFLP(-1) = 0.2853, ΔFLP(-2) = 0.1786), suggesting that increasing women’s participation in the workforce boosts HDI. Greater female participation promotes economic growth, income distribution, and empowerment, which in turn improves living standards and human development. Policies enhancing female education, employment opportunities, and work–life balance can therefore be key drivers for sustainable improvements in HDI.</w:t>
      </w:r>
    </w:p>
    <w:p w:rsidR="00AC4AAE" w:rsidRPr="00596EC9" w:rsidRDefault="00AC4AAE" w:rsidP="00AC4AAE">
      <w:pPr>
        <w:spacing w:before="240"/>
        <w:jc w:val="both"/>
        <w:rPr>
          <w:rFonts w:ascii="Arial" w:hAnsi="Arial" w:cs="Arial"/>
        </w:rPr>
      </w:pPr>
      <w:r w:rsidRPr="00596EC9">
        <w:rPr>
          <w:rFonts w:ascii="Arial" w:hAnsi="Arial" w:cs="Arial"/>
        </w:rPr>
        <w:t>The error correction coefficient (-0.6988, p &lt; 0.001) is negative and statistically significant, confirming the existence of a long-run equilibrium among these development indicators. Deviations from equilibrium are corrected at a speed of approximately 70% per period, indicating strong adjustment dynamics. This highlights that while short-run shocks may temporarily disrupt HDI, the system tends to restore balance relatively quickly, emphasizing the resilience of human development processes when guided by stable social and economic policies.</w:t>
      </w:r>
    </w:p>
    <w:p w:rsidR="00AC4AAE" w:rsidRPr="00596EC9" w:rsidRDefault="00596EC9" w:rsidP="00596EC9">
      <w:pPr>
        <w:pStyle w:val="NormalWeb"/>
        <w:spacing w:before="0" w:beforeAutospacing="0" w:after="0" w:afterAutospacing="0"/>
        <w:jc w:val="both"/>
        <w:rPr>
          <w:rFonts w:ascii="Arial" w:hAnsi="Arial" w:cs="Arial"/>
          <w:b/>
          <w:sz w:val="20"/>
          <w:szCs w:val="20"/>
        </w:rPr>
      </w:pPr>
      <w:r w:rsidRPr="00596EC9">
        <w:rPr>
          <w:rFonts w:ascii="Arial" w:hAnsi="Arial" w:cs="Arial"/>
          <w:b/>
          <w:sz w:val="20"/>
          <w:szCs w:val="20"/>
        </w:rPr>
        <w:t xml:space="preserve">3.5.2 </w:t>
      </w:r>
      <w:r w:rsidR="00AC4AAE" w:rsidRPr="00596EC9">
        <w:rPr>
          <w:rFonts w:ascii="Arial" w:hAnsi="Arial" w:cs="Arial"/>
          <w:b/>
          <w:sz w:val="20"/>
          <w:szCs w:val="20"/>
        </w:rPr>
        <w:t>Pesaran CD test for the estimated panel VECM</w:t>
      </w:r>
    </w:p>
    <w:p w:rsidR="00AC4AAE" w:rsidRPr="00596EC9" w:rsidRDefault="00AC4AAE" w:rsidP="00AC4AAE">
      <w:pPr>
        <w:jc w:val="both"/>
        <w:rPr>
          <w:rFonts w:ascii="Arial" w:hAnsi="Arial" w:cs="Arial"/>
        </w:rPr>
      </w:pPr>
      <w:r w:rsidRPr="00596EC9">
        <w:rPr>
          <w:rFonts w:ascii="Arial" w:hAnsi="Arial" w:cs="Arial"/>
        </w:rPr>
        <w:t>The Pesaran Cross-sectional Dependence (CD) test is applied to the estimated Panel VECM at lag 2 to assess whether residuals across panel units are correlated. This diagnostic is crucial in panel econometrics because the presence of cross-sectional dependence can bias standard errors and lead to invalid inference. The test is conducted for all differenced variables included in the VECM: Human Development Index (DLHDI), Life Expectancy at Birth (DLLEB), Fertility Rate (DLFR), Urbanization Rate (DLUR), Dependency Ratio (DLDR), and Female Labour Force Participation (DLFLP) across lags 0, 1, and 2 as reported in Table 8.</w:t>
      </w:r>
    </w:p>
    <w:p w:rsidR="00AC4AAE" w:rsidRPr="00596EC9" w:rsidRDefault="00AC4AAE" w:rsidP="00596EC9">
      <w:pPr>
        <w:pStyle w:val="NormalWeb"/>
        <w:spacing w:before="0" w:beforeAutospacing="0" w:after="0" w:afterAutospacing="0"/>
        <w:jc w:val="both"/>
        <w:rPr>
          <w:rFonts w:ascii="Arial" w:hAnsi="Arial" w:cs="Arial"/>
          <w:b/>
          <w:sz w:val="20"/>
          <w:szCs w:val="20"/>
        </w:rPr>
      </w:pPr>
      <w:r w:rsidRPr="00596EC9">
        <w:rPr>
          <w:rFonts w:ascii="Arial" w:hAnsi="Arial" w:cs="Arial"/>
          <w:b/>
          <w:sz w:val="20"/>
          <w:szCs w:val="20"/>
        </w:rPr>
        <w:t>Table 8: Pesaran CD Test of Estimated Lag 2 Panel VECM</w:t>
      </w:r>
    </w:p>
    <w:tbl>
      <w:tblPr>
        <w:tblW w:w="0" w:type="auto"/>
        <w:tblBorders>
          <w:top w:val="single" w:sz="4" w:space="0" w:color="auto"/>
          <w:bottom w:val="single" w:sz="4" w:space="0" w:color="auto"/>
        </w:tblBorders>
        <w:tblLook w:val="04A0"/>
      </w:tblPr>
      <w:tblGrid>
        <w:gridCol w:w="1608"/>
        <w:gridCol w:w="1299"/>
        <w:gridCol w:w="2197"/>
        <w:gridCol w:w="1585"/>
        <w:gridCol w:w="1735"/>
      </w:tblGrid>
      <w:tr w:rsidR="00AC4AAE" w:rsidRPr="00596EC9" w:rsidTr="00AC4AAE">
        <w:tc>
          <w:tcPr>
            <w:tcW w:w="1728" w:type="dxa"/>
            <w:tcBorders>
              <w:top w:val="single" w:sz="4" w:space="0" w:color="auto"/>
              <w:left w:val="nil"/>
              <w:bottom w:val="single" w:sz="4" w:space="0" w:color="auto"/>
              <w:right w:val="nil"/>
            </w:tcBorders>
            <w:vAlign w:val="center"/>
            <w:hideMark/>
          </w:tcPr>
          <w:p w:rsidR="00AC4AAE" w:rsidRPr="00596EC9" w:rsidRDefault="00AC4AAE">
            <w:pPr>
              <w:jc w:val="center"/>
              <w:rPr>
                <w:rFonts w:ascii="Arial" w:hAnsi="Arial" w:cs="Arial"/>
                <w:b/>
                <w:bCs/>
              </w:rPr>
            </w:pPr>
            <w:r w:rsidRPr="00596EC9">
              <w:rPr>
                <w:rFonts w:ascii="Arial" w:hAnsi="Arial" w:cs="Arial"/>
                <w:b/>
                <w:bCs/>
              </w:rPr>
              <w:t>Variable</w:t>
            </w:r>
          </w:p>
        </w:tc>
        <w:tc>
          <w:tcPr>
            <w:tcW w:w="1440" w:type="dxa"/>
            <w:tcBorders>
              <w:top w:val="single" w:sz="4" w:space="0" w:color="auto"/>
              <w:left w:val="nil"/>
              <w:bottom w:val="single" w:sz="4" w:space="0" w:color="auto"/>
              <w:right w:val="nil"/>
            </w:tcBorders>
            <w:vAlign w:val="center"/>
            <w:hideMark/>
          </w:tcPr>
          <w:p w:rsidR="00AC4AAE" w:rsidRPr="00596EC9" w:rsidRDefault="00AC4AAE">
            <w:pPr>
              <w:jc w:val="center"/>
              <w:rPr>
                <w:rFonts w:ascii="Arial" w:hAnsi="Arial" w:cs="Arial"/>
                <w:b/>
                <w:bCs/>
              </w:rPr>
            </w:pPr>
            <w:r w:rsidRPr="00596EC9">
              <w:rPr>
                <w:rFonts w:ascii="Arial" w:hAnsi="Arial" w:cs="Arial"/>
                <w:b/>
                <w:bCs/>
              </w:rPr>
              <w:t>Lag</w:t>
            </w:r>
          </w:p>
        </w:tc>
        <w:tc>
          <w:tcPr>
            <w:tcW w:w="2430" w:type="dxa"/>
            <w:tcBorders>
              <w:top w:val="single" w:sz="4" w:space="0" w:color="auto"/>
              <w:left w:val="nil"/>
              <w:bottom w:val="single" w:sz="4" w:space="0" w:color="auto"/>
              <w:right w:val="nil"/>
            </w:tcBorders>
            <w:vAlign w:val="center"/>
            <w:hideMark/>
          </w:tcPr>
          <w:p w:rsidR="00AC4AAE" w:rsidRPr="00596EC9" w:rsidRDefault="00AC4AAE">
            <w:pPr>
              <w:jc w:val="center"/>
              <w:rPr>
                <w:rFonts w:ascii="Arial" w:hAnsi="Arial" w:cs="Arial"/>
                <w:b/>
                <w:bCs/>
              </w:rPr>
            </w:pPr>
            <w:r w:rsidRPr="00596EC9">
              <w:rPr>
                <w:rFonts w:ascii="Arial" w:hAnsi="Arial" w:cs="Arial"/>
                <w:b/>
                <w:bCs/>
              </w:rPr>
              <w:t>CD Test Statistic</w:t>
            </w:r>
          </w:p>
        </w:tc>
        <w:tc>
          <w:tcPr>
            <w:tcW w:w="1710" w:type="dxa"/>
            <w:tcBorders>
              <w:top w:val="single" w:sz="4" w:space="0" w:color="auto"/>
              <w:left w:val="nil"/>
              <w:bottom w:val="single" w:sz="4" w:space="0" w:color="auto"/>
              <w:right w:val="nil"/>
            </w:tcBorders>
            <w:vAlign w:val="center"/>
            <w:hideMark/>
          </w:tcPr>
          <w:p w:rsidR="00AC4AAE" w:rsidRPr="00596EC9" w:rsidRDefault="00AC4AAE">
            <w:pPr>
              <w:jc w:val="center"/>
              <w:rPr>
                <w:rFonts w:ascii="Arial" w:hAnsi="Arial" w:cs="Arial"/>
                <w:b/>
                <w:bCs/>
              </w:rPr>
            </w:pPr>
            <w:r w:rsidRPr="00596EC9">
              <w:rPr>
                <w:rFonts w:ascii="Arial" w:hAnsi="Arial" w:cs="Arial"/>
                <w:b/>
                <w:bCs/>
              </w:rPr>
              <w:t>z-Value</w:t>
            </w:r>
          </w:p>
        </w:tc>
        <w:tc>
          <w:tcPr>
            <w:tcW w:w="1890" w:type="dxa"/>
            <w:tcBorders>
              <w:top w:val="single" w:sz="4" w:space="0" w:color="auto"/>
              <w:left w:val="nil"/>
              <w:bottom w:val="single" w:sz="4" w:space="0" w:color="auto"/>
              <w:right w:val="nil"/>
            </w:tcBorders>
            <w:vAlign w:val="center"/>
            <w:hideMark/>
          </w:tcPr>
          <w:p w:rsidR="00AC4AAE" w:rsidRPr="00596EC9" w:rsidRDefault="00AC4AAE">
            <w:pPr>
              <w:jc w:val="center"/>
              <w:rPr>
                <w:rFonts w:ascii="Arial" w:hAnsi="Arial" w:cs="Arial"/>
                <w:b/>
                <w:bCs/>
              </w:rPr>
            </w:pPr>
            <w:r w:rsidRPr="00596EC9">
              <w:rPr>
                <w:rFonts w:ascii="Arial" w:hAnsi="Arial" w:cs="Arial"/>
                <w:b/>
                <w:bCs/>
              </w:rPr>
              <w:t>p-Value</w:t>
            </w:r>
          </w:p>
        </w:tc>
      </w:tr>
      <w:tr w:rsidR="00AC4AAE" w:rsidRPr="00596EC9" w:rsidTr="00AC4AAE">
        <w:tc>
          <w:tcPr>
            <w:tcW w:w="1728" w:type="dxa"/>
            <w:tcBorders>
              <w:top w:val="single" w:sz="4" w:space="0" w:color="auto"/>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DLHDI</w:t>
            </w:r>
          </w:p>
        </w:tc>
        <w:tc>
          <w:tcPr>
            <w:tcW w:w="1440" w:type="dxa"/>
            <w:tcBorders>
              <w:top w:val="single" w:sz="4" w:space="0" w:color="auto"/>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w:t>
            </w:r>
          </w:p>
        </w:tc>
        <w:tc>
          <w:tcPr>
            <w:tcW w:w="2430" w:type="dxa"/>
            <w:tcBorders>
              <w:top w:val="single" w:sz="4" w:space="0" w:color="auto"/>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0.10234</w:t>
            </w:r>
          </w:p>
        </w:tc>
        <w:tc>
          <w:tcPr>
            <w:tcW w:w="1710" w:type="dxa"/>
            <w:tcBorders>
              <w:top w:val="single" w:sz="4" w:space="0" w:color="auto"/>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0.07821</w:t>
            </w:r>
          </w:p>
        </w:tc>
        <w:tc>
          <w:tcPr>
            <w:tcW w:w="1890" w:type="dxa"/>
            <w:tcBorders>
              <w:top w:val="single" w:sz="4" w:space="0" w:color="auto"/>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0.93801</w:t>
            </w:r>
          </w:p>
        </w:tc>
      </w:tr>
      <w:tr w:rsidR="00AC4AAE" w:rsidRPr="00596EC9" w:rsidTr="00AC4AAE">
        <w:tc>
          <w:tcPr>
            <w:tcW w:w="1728"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DLHDI</w:t>
            </w:r>
          </w:p>
        </w:tc>
        <w:tc>
          <w:tcPr>
            <w:tcW w:w="144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1</w:t>
            </w:r>
          </w:p>
        </w:tc>
        <w:tc>
          <w:tcPr>
            <w:tcW w:w="243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0.25432</w:t>
            </w:r>
          </w:p>
        </w:tc>
        <w:tc>
          <w:tcPr>
            <w:tcW w:w="171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0.18745</w:t>
            </w:r>
          </w:p>
        </w:tc>
        <w:tc>
          <w:tcPr>
            <w:tcW w:w="189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0.85123</w:t>
            </w:r>
          </w:p>
        </w:tc>
      </w:tr>
      <w:tr w:rsidR="00AC4AAE" w:rsidRPr="00596EC9" w:rsidTr="00AC4AAE">
        <w:tc>
          <w:tcPr>
            <w:tcW w:w="1728"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DLHDI</w:t>
            </w:r>
          </w:p>
        </w:tc>
        <w:tc>
          <w:tcPr>
            <w:tcW w:w="144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2</w:t>
            </w:r>
          </w:p>
        </w:tc>
        <w:tc>
          <w:tcPr>
            <w:tcW w:w="243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0.31245</w:t>
            </w:r>
          </w:p>
        </w:tc>
        <w:tc>
          <w:tcPr>
            <w:tcW w:w="171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0.21578</w:t>
            </w:r>
          </w:p>
        </w:tc>
        <w:tc>
          <w:tcPr>
            <w:tcW w:w="189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0.82964</w:t>
            </w:r>
          </w:p>
        </w:tc>
      </w:tr>
      <w:tr w:rsidR="00AC4AAE" w:rsidRPr="00596EC9" w:rsidTr="00AC4AAE">
        <w:tc>
          <w:tcPr>
            <w:tcW w:w="1728"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DLLEB</w:t>
            </w:r>
          </w:p>
        </w:tc>
        <w:tc>
          <w:tcPr>
            <w:tcW w:w="144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w:t>
            </w:r>
          </w:p>
        </w:tc>
        <w:tc>
          <w:tcPr>
            <w:tcW w:w="243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0.11873</w:t>
            </w:r>
          </w:p>
        </w:tc>
        <w:tc>
          <w:tcPr>
            <w:tcW w:w="171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0.09241</w:t>
            </w:r>
          </w:p>
        </w:tc>
        <w:tc>
          <w:tcPr>
            <w:tcW w:w="189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0.92655</w:t>
            </w:r>
          </w:p>
        </w:tc>
      </w:tr>
      <w:tr w:rsidR="00AC4AAE" w:rsidRPr="00596EC9" w:rsidTr="00AC4AAE">
        <w:tc>
          <w:tcPr>
            <w:tcW w:w="1728"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DLLEB</w:t>
            </w:r>
          </w:p>
        </w:tc>
        <w:tc>
          <w:tcPr>
            <w:tcW w:w="144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1</w:t>
            </w:r>
          </w:p>
        </w:tc>
        <w:tc>
          <w:tcPr>
            <w:tcW w:w="243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0.19873</w:t>
            </w:r>
          </w:p>
        </w:tc>
        <w:tc>
          <w:tcPr>
            <w:tcW w:w="171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0.13492</w:t>
            </w:r>
          </w:p>
        </w:tc>
        <w:tc>
          <w:tcPr>
            <w:tcW w:w="189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0.89215</w:t>
            </w:r>
          </w:p>
        </w:tc>
      </w:tr>
      <w:tr w:rsidR="00AC4AAE" w:rsidRPr="00596EC9" w:rsidTr="00AC4AAE">
        <w:tc>
          <w:tcPr>
            <w:tcW w:w="1728"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DLLEB</w:t>
            </w:r>
          </w:p>
        </w:tc>
        <w:tc>
          <w:tcPr>
            <w:tcW w:w="144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2</w:t>
            </w:r>
          </w:p>
        </w:tc>
        <w:tc>
          <w:tcPr>
            <w:tcW w:w="243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0.27541</w:t>
            </w:r>
          </w:p>
        </w:tc>
        <w:tc>
          <w:tcPr>
            <w:tcW w:w="171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0.16233</w:t>
            </w:r>
          </w:p>
        </w:tc>
        <w:tc>
          <w:tcPr>
            <w:tcW w:w="189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0.87092</w:t>
            </w:r>
          </w:p>
        </w:tc>
      </w:tr>
      <w:tr w:rsidR="00AC4AAE" w:rsidRPr="00596EC9" w:rsidTr="00AC4AAE">
        <w:tc>
          <w:tcPr>
            <w:tcW w:w="1728"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DLFR</w:t>
            </w:r>
          </w:p>
        </w:tc>
        <w:tc>
          <w:tcPr>
            <w:tcW w:w="144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w:t>
            </w:r>
          </w:p>
        </w:tc>
        <w:tc>
          <w:tcPr>
            <w:tcW w:w="243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0.13241</w:t>
            </w:r>
          </w:p>
        </w:tc>
        <w:tc>
          <w:tcPr>
            <w:tcW w:w="171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0.09732</w:t>
            </w:r>
          </w:p>
        </w:tc>
        <w:tc>
          <w:tcPr>
            <w:tcW w:w="189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0.92218</w:t>
            </w:r>
          </w:p>
        </w:tc>
      </w:tr>
      <w:tr w:rsidR="00AC4AAE" w:rsidRPr="00596EC9" w:rsidTr="00AC4AAE">
        <w:tc>
          <w:tcPr>
            <w:tcW w:w="1728"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DLFR</w:t>
            </w:r>
          </w:p>
        </w:tc>
        <w:tc>
          <w:tcPr>
            <w:tcW w:w="144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1</w:t>
            </w:r>
          </w:p>
        </w:tc>
        <w:tc>
          <w:tcPr>
            <w:tcW w:w="243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0.32105</w:t>
            </w:r>
          </w:p>
        </w:tc>
        <w:tc>
          <w:tcPr>
            <w:tcW w:w="171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0.25467</w:t>
            </w:r>
          </w:p>
        </w:tc>
        <w:tc>
          <w:tcPr>
            <w:tcW w:w="189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0.79984</w:t>
            </w:r>
          </w:p>
        </w:tc>
      </w:tr>
      <w:tr w:rsidR="00AC4AAE" w:rsidRPr="00596EC9" w:rsidTr="00AC4AAE">
        <w:tc>
          <w:tcPr>
            <w:tcW w:w="1728"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DLFR</w:t>
            </w:r>
          </w:p>
        </w:tc>
        <w:tc>
          <w:tcPr>
            <w:tcW w:w="144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2</w:t>
            </w:r>
          </w:p>
        </w:tc>
        <w:tc>
          <w:tcPr>
            <w:tcW w:w="243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0.28754</w:t>
            </w:r>
          </w:p>
        </w:tc>
        <w:tc>
          <w:tcPr>
            <w:tcW w:w="171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0.20345</w:t>
            </w:r>
          </w:p>
        </w:tc>
        <w:tc>
          <w:tcPr>
            <w:tcW w:w="189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0.83817</w:t>
            </w:r>
          </w:p>
        </w:tc>
      </w:tr>
      <w:tr w:rsidR="00AC4AAE" w:rsidRPr="00596EC9" w:rsidTr="00AC4AAE">
        <w:tc>
          <w:tcPr>
            <w:tcW w:w="1728"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DLUR</w:t>
            </w:r>
          </w:p>
        </w:tc>
        <w:tc>
          <w:tcPr>
            <w:tcW w:w="144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w:t>
            </w:r>
          </w:p>
        </w:tc>
        <w:tc>
          <w:tcPr>
            <w:tcW w:w="243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0.14235</w:t>
            </w:r>
          </w:p>
        </w:tc>
        <w:tc>
          <w:tcPr>
            <w:tcW w:w="171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0.10541</w:t>
            </w:r>
          </w:p>
        </w:tc>
        <w:tc>
          <w:tcPr>
            <w:tcW w:w="189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0.91738</w:t>
            </w:r>
          </w:p>
        </w:tc>
      </w:tr>
      <w:tr w:rsidR="00AC4AAE" w:rsidRPr="00596EC9" w:rsidTr="00AC4AAE">
        <w:tc>
          <w:tcPr>
            <w:tcW w:w="1728"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DLUR</w:t>
            </w:r>
          </w:p>
        </w:tc>
        <w:tc>
          <w:tcPr>
            <w:tcW w:w="144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1</w:t>
            </w:r>
          </w:p>
        </w:tc>
        <w:tc>
          <w:tcPr>
            <w:tcW w:w="243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0.19864</w:t>
            </w:r>
          </w:p>
        </w:tc>
        <w:tc>
          <w:tcPr>
            <w:tcW w:w="171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0.14752</w:t>
            </w:r>
          </w:p>
        </w:tc>
        <w:tc>
          <w:tcPr>
            <w:tcW w:w="189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0.88216</w:t>
            </w:r>
          </w:p>
        </w:tc>
      </w:tr>
      <w:tr w:rsidR="00AC4AAE" w:rsidRPr="00596EC9" w:rsidTr="00AC4AAE">
        <w:tc>
          <w:tcPr>
            <w:tcW w:w="1728"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DLUR</w:t>
            </w:r>
          </w:p>
        </w:tc>
        <w:tc>
          <w:tcPr>
            <w:tcW w:w="144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2</w:t>
            </w:r>
          </w:p>
        </w:tc>
        <w:tc>
          <w:tcPr>
            <w:tcW w:w="243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0.24235</w:t>
            </w:r>
          </w:p>
        </w:tc>
        <w:tc>
          <w:tcPr>
            <w:tcW w:w="171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0.17894</w:t>
            </w:r>
          </w:p>
        </w:tc>
        <w:tc>
          <w:tcPr>
            <w:tcW w:w="189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0.85712</w:t>
            </w:r>
          </w:p>
        </w:tc>
      </w:tr>
      <w:tr w:rsidR="00AC4AAE" w:rsidRPr="00596EC9" w:rsidTr="00AC4AAE">
        <w:tc>
          <w:tcPr>
            <w:tcW w:w="1728"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DLDR</w:t>
            </w:r>
          </w:p>
        </w:tc>
        <w:tc>
          <w:tcPr>
            <w:tcW w:w="144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w:t>
            </w:r>
          </w:p>
        </w:tc>
        <w:tc>
          <w:tcPr>
            <w:tcW w:w="243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0.12641</w:t>
            </w:r>
          </w:p>
        </w:tc>
        <w:tc>
          <w:tcPr>
            <w:tcW w:w="171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0.09123</w:t>
            </w:r>
          </w:p>
        </w:tc>
        <w:tc>
          <w:tcPr>
            <w:tcW w:w="189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0.92745</w:t>
            </w:r>
          </w:p>
        </w:tc>
      </w:tr>
      <w:tr w:rsidR="00AC4AAE" w:rsidRPr="00596EC9" w:rsidTr="00AC4AAE">
        <w:tc>
          <w:tcPr>
            <w:tcW w:w="1728"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DLDR</w:t>
            </w:r>
          </w:p>
        </w:tc>
        <w:tc>
          <w:tcPr>
            <w:tcW w:w="144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1</w:t>
            </w:r>
          </w:p>
        </w:tc>
        <w:tc>
          <w:tcPr>
            <w:tcW w:w="243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0.17632</w:t>
            </w:r>
          </w:p>
        </w:tc>
        <w:tc>
          <w:tcPr>
            <w:tcW w:w="171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0.12984</w:t>
            </w:r>
          </w:p>
        </w:tc>
        <w:tc>
          <w:tcPr>
            <w:tcW w:w="189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0.89732</w:t>
            </w:r>
          </w:p>
        </w:tc>
      </w:tr>
      <w:tr w:rsidR="00AC4AAE" w:rsidRPr="00596EC9" w:rsidTr="00AC4AAE">
        <w:tc>
          <w:tcPr>
            <w:tcW w:w="1728"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DLDR</w:t>
            </w:r>
          </w:p>
        </w:tc>
        <w:tc>
          <w:tcPr>
            <w:tcW w:w="144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2</w:t>
            </w:r>
          </w:p>
        </w:tc>
        <w:tc>
          <w:tcPr>
            <w:tcW w:w="243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0.21145</w:t>
            </w:r>
          </w:p>
        </w:tc>
        <w:tc>
          <w:tcPr>
            <w:tcW w:w="171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0.15231</w:t>
            </w:r>
          </w:p>
        </w:tc>
        <w:tc>
          <w:tcPr>
            <w:tcW w:w="189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0.87914</w:t>
            </w:r>
          </w:p>
        </w:tc>
      </w:tr>
      <w:tr w:rsidR="00AC4AAE" w:rsidRPr="00596EC9" w:rsidTr="00AC4AAE">
        <w:tc>
          <w:tcPr>
            <w:tcW w:w="1728"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DLFLP</w:t>
            </w:r>
          </w:p>
        </w:tc>
        <w:tc>
          <w:tcPr>
            <w:tcW w:w="144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w:t>
            </w:r>
          </w:p>
        </w:tc>
        <w:tc>
          <w:tcPr>
            <w:tcW w:w="243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0.13892</w:t>
            </w:r>
          </w:p>
        </w:tc>
        <w:tc>
          <w:tcPr>
            <w:tcW w:w="171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0.10154</w:t>
            </w:r>
          </w:p>
        </w:tc>
        <w:tc>
          <w:tcPr>
            <w:tcW w:w="189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0.91847</w:t>
            </w:r>
          </w:p>
        </w:tc>
      </w:tr>
      <w:tr w:rsidR="00AC4AAE" w:rsidRPr="00596EC9" w:rsidTr="00AC4AAE">
        <w:tc>
          <w:tcPr>
            <w:tcW w:w="1728"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DLFLP</w:t>
            </w:r>
          </w:p>
        </w:tc>
        <w:tc>
          <w:tcPr>
            <w:tcW w:w="144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1</w:t>
            </w:r>
          </w:p>
        </w:tc>
        <w:tc>
          <w:tcPr>
            <w:tcW w:w="243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0.23451</w:t>
            </w:r>
          </w:p>
        </w:tc>
        <w:tc>
          <w:tcPr>
            <w:tcW w:w="171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0.16982</w:t>
            </w:r>
          </w:p>
        </w:tc>
        <w:tc>
          <w:tcPr>
            <w:tcW w:w="1890" w:type="dxa"/>
            <w:tcBorders>
              <w:top w:val="nil"/>
              <w:left w:val="nil"/>
              <w:bottom w:val="nil"/>
              <w:right w:val="nil"/>
            </w:tcBorders>
            <w:vAlign w:val="center"/>
            <w:hideMark/>
          </w:tcPr>
          <w:p w:rsidR="00AC4AAE" w:rsidRPr="00596EC9" w:rsidRDefault="00AC4AAE">
            <w:pPr>
              <w:rPr>
                <w:rFonts w:ascii="Arial" w:hAnsi="Arial" w:cs="Arial"/>
              </w:rPr>
            </w:pPr>
            <w:r w:rsidRPr="00596EC9">
              <w:rPr>
                <w:rFonts w:ascii="Arial" w:hAnsi="Arial" w:cs="Arial"/>
              </w:rPr>
              <w:t>0.86342</w:t>
            </w:r>
          </w:p>
        </w:tc>
      </w:tr>
      <w:tr w:rsidR="00AC4AAE" w:rsidRPr="00596EC9" w:rsidTr="00AC4AAE">
        <w:tc>
          <w:tcPr>
            <w:tcW w:w="1728" w:type="dxa"/>
            <w:tcBorders>
              <w:top w:val="nil"/>
              <w:left w:val="nil"/>
              <w:bottom w:val="single" w:sz="4" w:space="0" w:color="auto"/>
              <w:right w:val="nil"/>
            </w:tcBorders>
            <w:vAlign w:val="center"/>
            <w:hideMark/>
          </w:tcPr>
          <w:p w:rsidR="00AC4AAE" w:rsidRPr="00596EC9" w:rsidRDefault="00AC4AAE">
            <w:pPr>
              <w:rPr>
                <w:rFonts w:ascii="Arial" w:hAnsi="Arial" w:cs="Arial"/>
              </w:rPr>
            </w:pPr>
            <w:r w:rsidRPr="00596EC9">
              <w:rPr>
                <w:rFonts w:ascii="Arial" w:hAnsi="Arial" w:cs="Arial"/>
              </w:rPr>
              <w:t>DLFLP</w:t>
            </w:r>
          </w:p>
        </w:tc>
        <w:tc>
          <w:tcPr>
            <w:tcW w:w="1440" w:type="dxa"/>
            <w:tcBorders>
              <w:top w:val="nil"/>
              <w:left w:val="nil"/>
              <w:bottom w:val="single" w:sz="4" w:space="0" w:color="auto"/>
              <w:right w:val="nil"/>
            </w:tcBorders>
            <w:vAlign w:val="center"/>
            <w:hideMark/>
          </w:tcPr>
          <w:p w:rsidR="00AC4AAE" w:rsidRPr="00596EC9" w:rsidRDefault="00AC4AAE">
            <w:pPr>
              <w:rPr>
                <w:rFonts w:ascii="Arial" w:hAnsi="Arial" w:cs="Arial"/>
              </w:rPr>
            </w:pPr>
            <w:r w:rsidRPr="00596EC9">
              <w:rPr>
                <w:rFonts w:ascii="Arial" w:hAnsi="Arial" w:cs="Arial"/>
              </w:rPr>
              <w:t>2</w:t>
            </w:r>
          </w:p>
        </w:tc>
        <w:tc>
          <w:tcPr>
            <w:tcW w:w="2430" w:type="dxa"/>
            <w:tcBorders>
              <w:top w:val="nil"/>
              <w:left w:val="nil"/>
              <w:bottom w:val="single" w:sz="4" w:space="0" w:color="auto"/>
              <w:right w:val="nil"/>
            </w:tcBorders>
            <w:vAlign w:val="center"/>
            <w:hideMark/>
          </w:tcPr>
          <w:p w:rsidR="00AC4AAE" w:rsidRPr="00596EC9" w:rsidRDefault="00AC4AAE">
            <w:pPr>
              <w:rPr>
                <w:rFonts w:ascii="Arial" w:hAnsi="Arial" w:cs="Arial"/>
              </w:rPr>
            </w:pPr>
            <w:r w:rsidRPr="00596EC9">
              <w:rPr>
                <w:rFonts w:ascii="Arial" w:hAnsi="Arial" w:cs="Arial"/>
              </w:rPr>
              <w:t>0.25741</w:t>
            </w:r>
          </w:p>
        </w:tc>
        <w:tc>
          <w:tcPr>
            <w:tcW w:w="1710" w:type="dxa"/>
            <w:tcBorders>
              <w:top w:val="nil"/>
              <w:left w:val="nil"/>
              <w:bottom w:val="single" w:sz="4" w:space="0" w:color="auto"/>
              <w:right w:val="nil"/>
            </w:tcBorders>
            <w:vAlign w:val="center"/>
            <w:hideMark/>
          </w:tcPr>
          <w:p w:rsidR="00AC4AAE" w:rsidRPr="00596EC9" w:rsidRDefault="00AC4AAE">
            <w:pPr>
              <w:rPr>
                <w:rFonts w:ascii="Arial" w:hAnsi="Arial" w:cs="Arial"/>
              </w:rPr>
            </w:pPr>
            <w:r w:rsidRPr="00596EC9">
              <w:rPr>
                <w:rFonts w:ascii="Arial" w:hAnsi="Arial" w:cs="Arial"/>
              </w:rPr>
              <w:t>0.19234</w:t>
            </w:r>
          </w:p>
        </w:tc>
        <w:tc>
          <w:tcPr>
            <w:tcW w:w="1890" w:type="dxa"/>
            <w:tcBorders>
              <w:top w:val="nil"/>
              <w:left w:val="nil"/>
              <w:bottom w:val="single" w:sz="4" w:space="0" w:color="auto"/>
              <w:right w:val="nil"/>
            </w:tcBorders>
            <w:vAlign w:val="center"/>
            <w:hideMark/>
          </w:tcPr>
          <w:p w:rsidR="00AC4AAE" w:rsidRPr="00596EC9" w:rsidRDefault="00AC4AAE">
            <w:pPr>
              <w:rPr>
                <w:rFonts w:ascii="Arial" w:hAnsi="Arial" w:cs="Arial"/>
              </w:rPr>
            </w:pPr>
            <w:r w:rsidRPr="00596EC9">
              <w:rPr>
                <w:rFonts w:ascii="Arial" w:hAnsi="Arial" w:cs="Arial"/>
              </w:rPr>
              <w:t>0.84631</w:t>
            </w:r>
          </w:p>
        </w:tc>
      </w:tr>
    </w:tbl>
    <w:p w:rsidR="00AC4AAE" w:rsidRPr="00596EC9" w:rsidRDefault="00972FE6" w:rsidP="00AC4AAE">
      <w:pPr>
        <w:pStyle w:val="NormalWeb"/>
        <w:spacing w:after="0" w:afterAutospacing="0"/>
        <w:jc w:val="both"/>
        <w:rPr>
          <w:rFonts w:ascii="Arial" w:hAnsi="Arial" w:cs="Arial"/>
          <w:sz w:val="20"/>
          <w:szCs w:val="20"/>
        </w:rPr>
      </w:pPr>
      <w:r w:rsidRPr="00972FE6">
        <w:rPr>
          <w:rFonts w:ascii="Arial" w:hAnsi="Arial" w:cs="Arial"/>
          <w:sz w:val="20"/>
          <w:szCs w:val="20"/>
          <w:highlight w:val="yellow"/>
        </w:rPr>
        <w:t>From Table 8, we see that</w:t>
      </w:r>
      <w:r>
        <w:rPr>
          <w:rFonts w:ascii="Arial" w:hAnsi="Arial" w:cs="Arial"/>
          <w:sz w:val="20"/>
          <w:szCs w:val="20"/>
        </w:rPr>
        <w:t xml:space="preserve"> t</w:t>
      </w:r>
      <w:r w:rsidR="00AC4AAE" w:rsidRPr="00596EC9">
        <w:rPr>
          <w:rFonts w:ascii="Arial" w:hAnsi="Arial" w:cs="Arial"/>
          <w:sz w:val="20"/>
          <w:szCs w:val="20"/>
        </w:rPr>
        <w:t>he results of Pesaran CD test show that all variables at all lags have p-values greater than 0.05, indicating no significant cross-sectional dependence. This suggests that shocks or innovations in one cross-sectional unit do not systematically affect other units in the panel. The implication is that the estimated Panel VECM results can be interpreted without the need for corrective measures for cross-sectional dependence, ensuring reliable and unbiased inference for policy and empirical analysis.</w:t>
      </w:r>
    </w:p>
    <w:p w:rsidR="00AC4AAE" w:rsidRDefault="00AC4AAE" w:rsidP="00AC4AAE">
      <w:pPr>
        <w:jc w:val="both"/>
        <w:rPr>
          <w:rFonts w:ascii="Times New Roman" w:hAnsi="Times New Roman"/>
          <w:b/>
          <w:sz w:val="24"/>
          <w:szCs w:val="24"/>
        </w:rPr>
      </w:pPr>
    </w:p>
    <w:p w:rsidR="00574C8D" w:rsidRDefault="00574C8D" w:rsidP="00AC4AAE">
      <w:pPr>
        <w:jc w:val="both"/>
        <w:rPr>
          <w:rFonts w:ascii="Arial" w:hAnsi="Arial" w:cs="Arial"/>
          <w:b/>
        </w:rPr>
      </w:pPr>
    </w:p>
    <w:p w:rsidR="00574C8D" w:rsidRDefault="00574C8D" w:rsidP="00AC4AAE">
      <w:pPr>
        <w:jc w:val="both"/>
        <w:rPr>
          <w:rFonts w:ascii="Arial" w:hAnsi="Arial" w:cs="Arial"/>
          <w:b/>
        </w:rPr>
      </w:pPr>
    </w:p>
    <w:p w:rsidR="00AC4AAE" w:rsidRPr="00596EC9" w:rsidRDefault="00596EC9" w:rsidP="00AC4AAE">
      <w:pPr>
        <w:jc w:val="both"/>
        <w:rPr>
          <w:rFonts w:ascii="Arial" w:hAnsi="Arial" w:cs="Arial"/>
          <w:b/>
        </w:rPr>
      </w:pPr>
      <w:r w:rsidRPr="00596EC9">
        <w:rPr>
          <w:rFonts w:ascii="Arial" w:hAnsi="Arial" w:cs="Arial"/>
          <w:b/>
        </w:rPr>
        <w:t xml:space="preserve">3.6 </w:t>
      </w:r>
      <w:r w:rsidR="00AC4AAE" w:rsidRPr="00596EC9">
        <w:rPr>
          <w:rFonts w:ascii="Arial" w:hAnsi="Arial" w:cs="Arial"/>
          <w:b/>
        </w:rPr>
        <w:t>Panel Causality Test Results</w:t>
      </w:r>
    </w:p>
    <w:p w:rsidR="00AC4AAE" w:rsidRPr="00596EC9" w:rsidRDefault="00AC4AAE" w:rsidP="00AC4AAE">
      <w:pPr>
        <w:jc w:val="both"/>
        <w:rPr>
          <w:rFonts w:ascii="Arial" w:hAnsi="Arial" w:cs="Arial"/>
        </w:rPr>
      </w:pPr>
      <w:r w:rsidRPr="00596EC9">
        <w:rPr>
          <w:rFonts w:ascii="Arial" w:hAnsi="Arial" w:cs="Arial"/>
        </w:rPr>
        <w:t>The Dumitrescu-Hurlin (2012) panel causality test was applied to examine the direction of causal relationships among key determinants of human development in the study panel from 1995 to 2024. The test evaluates whether lagged values of one variable predict another across heterogeneous cross-sections, allowing for cross-sectional variation in the causal effects. Here, the variables include the logarithmic first differences of human development index (ΔLHDI), life expectancy at birth (ΔLLEB), fertility rate (ΔLFR), urbanization rate (ΔLUR), dependency ratio (ΔLDR), and female labour participation (ΔLFLP), with a lag length of 2. The result of Dumitrescu-Hurlin panel causality test is presented in Table 9. The pairwise Granger causality tests examine the predictive relationship between key demographic variables and the human development index (HDI) using 2 lags over the period 1995-2024. The results are presented in Table 10.</w:t>
      </w:r>
    </w:p>
    <w:p w:rsidR="00AC4AAE" w:rsidRPr="00596EC9" w:rsidRDefault="00AC4AAE" w:rsidP="00AC4AAE">
      <w:pPr>
        <w:autoSpaceDE w:val="0"/>
        <w:autoSpaceDN w:val="0"/>
        <w:adjustRightInd w:val="0"/>
        <w:rPr>
          <w:rFonts w:ascii="Arial" w:hAnsi="Arial" w:cs="Arial"/>
          <w:b/>
          <w:color w:val="000000"/>
        </w:rPr>
      </w:pPr>
      <w:r w:rsidRPr="00596EC9">
        <w:rPr>
          <w:rFonts w:ascii="Arial" w:hAnsi="Arial" w:cs="Arial"/>
          <w:b/>
        </w:rPr>
        <w:t xml:space="preserve">Table 9: </w:t>
      </w:r>
      <w:r w:rsidRPr="00596EC9">
        <w:rPr>
          <w:rFonts w:ascii="Arial" w:hAnsi="Arial" w:cs="Arial"/>
          <w:b/>
          <w:color w:val="000000"/>
        </w:rPr>
        <w:t>Pairwise DumitrescuHurlin Panel Causality Tests Result</w:t>
      </w:r>
    </w:p>
    <w:tbl>
      <w:tblPr>
        <w:tblW w:w="0" w:type="auto"/>
        <w:tblInd w:w="-252" w:type="dxa"/>
        <w:tblBorders>
          <w:top w:val="single" w:sz="4" w:space="0" w:color="auto"/>
          <w:bottom w:val="single" w:sz="4" w:space="0" w:color="auto"/>
        </w:tblBorders>
        <w:tblLook w:val="04A0"/>
      </w:tblPr>
      <w:tblGrid>
        <w:gridCol w:w="5046"/>
        <w:gridCol w:w="1237"/>
        <w:gridCol w:w="1318"/>
        <w:gridCol w:w="1075"/>
      </w:tblGrid>
      <w:tr w:rsidR="00AC4AAE" w:rsidRPr="00596EC9" w:rsidTr="00AC4AAE">
        <w:tc>
          <w:tcPr>
            <w:tcW w:w="5124" w:type="dxa"/>
            <w:tcBorders>
              <w:top w:val="single" w:sz="4" w:space="0" w:color="auto"/>
              <w:left w:val="nil"/>
              <w:bottom w:val="single" w:sz="4" w:space="0" w:color="auto"/>
              <w:right w:val="nil"/>
            </w:tcBorders>
            <w:vAlign w:val="bottom"/>
            <w:hideMark/>
          </w:tcPr>
          <w:p w:rsidR="00AC4AAE" w:rsidRPr="00596EC9" w:rsidRDefault="00AC4AAE">
            <w:pPr>
              <w:autoSpaceDE w:val="0"/>
              <w:autoSpaceDN w:val="0"/>
              <w:adjustRightInd w:val="0"/>
              <w:jc w:val="center"/>
              <w:rPr>
                <w:rFonts w:ascii="Arial" w:hAnsi="Arial" w:cs="Arial"/>
                <w:b/>
                <w:color w:val="000000"/>
              </w:rPr>
            </w:pPr>
            <w:r w:rsidRPr="00596EC9">
              <w:rPr>
                <w:rFonts w:ascii="Arial" w:hAnsi="Arial" w:cs="Arial"/>
                <w:b/>
                <w:color w:val="000000"/>
              </w:rPr>
              <w:t>Null Hypothesis</w:t>
            </w:r>
          </w:p>
        </w:tc>
        <w:tc>
          <w:tcPr>
            <w:tcW w:w="1243" w:type="dxa"/>
            <w:tcBorders>
              <w:top w:val="single" w:sz="4" w:space="0" w:color="auto"/>
              <w:left w:val="nil"/>
              <w:bottom w:val="single" w:sz="4" w:space="0" w:color="auto"/>
              <w:right w:val="nil"/>
            </w:tcBorders>
            <w:vAlign w:val="bottom"/>
            <w:hideMark/>
          </w:tcPr>
          <w:p w:rsidR="00AC4AAE" w:rsidRPr="00596EC9" w:rsidRDefault="00AC4AAE">
            <w:pPr>
              <w:autoSpaceDE w:val="0"/>
              <w:autoSpaceDN w:val="0"/>
              <w:adjustRightInd w:val="0"/>
              <w:jc w:val="center"/>
              <w:rPr>
                <w:rFonts w:ascii="Arial" w:hAnsi="Arial" w:cs="Arial"/>
                <w:b/>
                <w:color w:val="000000"/>
              </w:rPr>
            </w:pPr>
            <w:r w:rsidRPr="00596EC9">
              <w:rPr>
                <w:rFonts w:ascii="Arial" w:hAnsi="Arial" w:cs="Arial"/>
                <w:b/>
                <w:color w:val="000000"/>
              </w:rPr>
              <w:t>W-Stat.</w:t>
            </w:r>
          </w:p>
        </w:tc>
        <w:tc>
          <w:tcPr>
            <w:tcW w:w="1326" w:type="dxa"/>
            <w:tcBorders>
              <w:top w:val="single" w:sz="4" w:space="0" w:color="auto"/>
              <w:left w:val="nil"/>
              <w:bottom w:val="single" w:sz="4" w:space="0" w:color="auto"/>
              <w:right w:val="nil"/>
            </w:tcBorders>
            <w:vAlign w:val="bottom"/>
            <w:hideMark/>
          </w:tcPr>
          <w:p w:rsidR="00AC4AAE" w:rsidRPr="00596EC9" w:rsidRDefault="00AC4AAE">
            <w:pPr>
              <w:autoSpaceDE w:val="0"/>
              <w:autoSpaceDN w:val="0"/>
              <w:adjustRightInd w:val="0"/>
              <w:jc w:val="center"/>
              <w:rPr>
                <w:rFonts w:ascii="Arial" w:hAnsi="Arial" w:cs="Arial"/>
                <w:b/>
                <w:color w:val="000000"/>
              </w:rPr>
            </w:pPr>
            <w:r w:rsidRPr="00596EC9">
              <w:rPr>
                <w:rFonts w:ascii="Arial" w:hAnsi="Arial" w:cs="Arial"/>
                <w:b/>
                <w:color w:val="000000"/>
              </w:rPr>
              <w:t>Zbar-Stat.</w:t>
            </w:r>
          </w:p>
        </w:tc>
        <w:tc>
          <w:tcPr>
            <w:tcW w:w="1081" w:type="dxa"/>
            <w:tcBorders>
              <w:top w:val="single" w:sz="4" w:space="0" w:color="auto"/>
              <w:left w:val="nil"/>
              <w:bottom w:val="single" w:sz="4" w:space="0" w:color="auto"/>
              <w:right w:val="nil"/>
            </w:tcBorders>
            <w:vAlign w:val="bottom"/>
            <w:hideMark/>
          </w:tcPr>
          <w:p w:rsidR="00AC4AAE" w:rsidRPr="00596EC9" w:rsidRDefault="00AC4AAE">
            <w:pPr>
              <w:autoSpaceDE w:val="0"/>
              <w:autoSpaceDN w:val="0"/>
              <w:adjustRightInd w:val="0"/>
              <w:ind w:right="10"/>
              <w:jc w:val="center"/>
              <w:rPr>
                <w:rFonts w:ascii="Arial" w:hAnsi="Arial" w:cs="Arial"/>
                <w:b/>
                <w:color w:val="000000"/>
              </w:rPr>
            </w:pPr>
            <w:r w:rsidRPr="00596EC9">
              <w:rPr>
                <w:rFonts w:ascii="Arial" w:hAnsi="Arial" w:cs="Arial"/>
                <w:b/>
                <w:color w:val="000000"/>
              </w:rPr>
              <w:t>p-value</w:t>
            </w:r>
          </w:p>
        </w:tc>
      </w:tr>
      <w:tr w:rsidR="00AC4AAE" w:rsidRPr="00596EC9" w:rsidTr="00AC4AAE">
        <w:tc>
          <w:tcPr>
            <w:tcW w:w="5124" w:type="dxa"/>
            <w:tcBorders>
              <w:top w:val="single" w:sz="4" w:space="0" w:color="auto"/>
              <w:left w:val="nil"/>
              <w:bottom w:val="nil"/>
              <w:right w:val="nil"/>
            </w:tcBorders>
            <w:vAlign w:val="bottom"/>
            <w:hideMark/>
          </w:tcPr>
          <w:p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DLLEB does not homogeneously cause DLHDI</w:t>
            </w:r>
          </w:p>
        </w:tc>
        <w:tc>
          <w:tcPr>
            <w:tcW w:w="1243" w:type="dxa"/>
            <w:tcBorders>
              <w:top w:val="single" w:sz="4" w:space="0" w:color="auto"/>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10.2596</w:t>
            </w:r>
          </w:p>
        </w:tc>
        <w:tc>
          <w:tcPr>
            <w:tcW w:w="1326" w:type="dxa"/>
            <w:tcBorders>
              <w:top w:val="single" w:sz="4" w:space="0" w:color="auto"/>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9.94661</w:t>
            </w:r>
          </w:p>
        </w:tc>
        <w:tc>
          <w:tcPr>
            <w:tcW w:w="1081" w:type="dxa"/>
            <w:tcBorders>
              <w:top w:val="single" w:sz="4" w:space="0" w:color="auto"/>
              <w:left w:val="nil"/>
              <w:bottom w:val="nil"/>
              <w:right w:val="nil"/>
            </w:tcBorders>
            <w:vAlign w:val="bottom"/>
            <w:hideMark/>
          </w:tcPr>
          <w:p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0.0000</w:t>
            </w:r>
          </w:p>
        </w:tc>
      </w:tr>
      <w:tr w:rsidR="00AC4AAE" w:rsidRPr="00596EC9" w:rsidTr="00AC4AAE">
        <w:tc>
          <w:tcPr>
            <w:tcW w:w="5124" w:type="dxa"/>
            <w:tcBorders>
              <w:top w:val="nil"/>
              <w:left w:val="nil"/>
              <w:bottom w:val="nil"/>
              <w:right w:val="nil"/>
            </w:tcBorders>
            <w:vAlign w:val="bottom"/>
            <w:hideMark/>
          </w:tcPr>
          <w:p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DLHDI does not homogeneously cause DLLEB</w:t>
            </w:r>
          </w:p>
        </w:tc>
        <w:tc>
          <w:tcPr>
            <w:tcW w:w="1243"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12.4776</w:t>
            </w:r>
          </w:p>
        </w:tc>
        <w:tc>
          <w:tcPr>
            <w:tcW w:w="1326"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11.1625</w:t>
            </w:r>
          </w:p>
        </w:tc>
        <w:tc>
          <w:tcPr>
            <w:tcW w:w="1081" w:type="dxa"/>
            <w:tcBorders>
              <w:top w:val="nil"/>
              <w:left w:val="nil"/>
              <w:bottom w:val="nil"/>
              <w:right w:val="nil"/>
            </w:tcBorders>
            <w:vAlign w:val="bottom"/>
            <w:hideMark/>
          </w:tcPr>
          <w:p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0.0000</w:t>
            </w:r>
          </w:p>
        </w:tc>
      </w:tr>
      <w:tr w:rsidR="00AC4AAE" w:rsidRPr="00596EC9" w:rsidTr="00AC4AAE">
        <w:tc>
          <w:tcPr>
            <w:tcW w:w="5124" w:type="dxa"/>
            <w:tcBorders>
              <w:top w:val="nil"/>
              <w:left w:val="nil"/>
              <w:bottom w:val="nil"/>
              <w:right w:val="nil"/>
            </w:tcBorders>
            <w:vAlign w:val="bottom"/>
            <w:hideMark/>
          </w:tcPr>
          <w:p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DLFR does not homogeneously cause DLHDI</w:t>
            </w:r>
          </w:p>
        </w:tc>
        <w:tc>
          <w:tcPr>
            <w:tcW w:w="1243"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12.2073</w:t>
            </w:r>
          </w:p>
        </w:tc>
        <w:tc>
          <w:tcPr>
            <w:tcW w:w="1326"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10.1635</w:t>
            </w:r>
          </w:p>
        </w:tc>
        <w:tc>
          <w:tcPr>
            <w:tcW w:w="1081" w:type="dxa"/>
            <w:tcBorders>
              <w:top w:val="nil"/>
              <w:left w:val="nil"/>
              <w:bottom w:val="nil"/>
              <w:right w:val="nil"/>
            </w:tcBorders>
            <w:vAlign w:val="bottom"/>
            <w:hideMark/>
          </w:tcPr>
          <w:p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0.0000</w:t>
            </w:r>
          </w:p>
        </w:tc>
      </w:tr>
      <w:tr w:rsidR="00AC4AAE" w:rsidRPr="00596EC9" w:rsidTr="00AC4AAE">
        <w:tc>
          <w:tcPr>
            <w:tcW w:w="5124" w:type="dxa"/>
            <w:tcBorders>
              <w:top w:val="nil"/>
              <w:left w:val="nil"/>
              <w:bottom w:val="nil"/>
              <w:right w:val="nil"/>
            </w:tcBorders>
            <w:vAlign w:val="bottom"/>
            <w:hideMark/>
          </w:tcPr>
          <w:p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DLHDI does not homogeneously cause DLFR</w:t>
            </w:r>
          </w:p>
        </w:tc>
        <w:tc>
          <w:tcPr>
            <w:tcW w:w="1243"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1.42521</w:t>
            </w:r>
          </w:p>
        </w:tc>
        <w:tc>
          <w:tcPr>
            <w:tcW w:w="1326"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-0.77820</w:t>
            </w:r>
          </w:p>
        </w:tc>
        <w:tc>
          <w:tcPr>
            <w:tcW w:w="1081" w:type="dxa"/>
            <w:tcBorders>
              <w:top w:val="nil"/>
              <w:left w:val="nil"/>
              <w:bottom w:val="nil"/>
              <w:right w:val="nil"/>
            </w:tcBorders>
            <w:vAlign w:val="bottom"/>
            <w:hideMark/>
          </w:tcPr>
          <w:p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0.4364</w:t>
            </w:r>
          </w:p>
        </w:tc>
      </w:tr>
      <w:tr w:rsidR="00AC4AAE" w:rsidRPr="00596EC9" w:rsidTr="00AC4AAE">
        <w:tc>
          <w:tcPr>
            <w:tcW w:w="5124" w:type="dxa"/>
            <w:tcBorders>
              <w:top w:val="nil"/>
              <w:left w:val="nil"/>
              <w:bottom w:val="nil"/>
              <w:right w:val="nil"/>
            </w:tcBorders>
            <w:vAlign w:val="bottom"/>
            <w:hideMark/>
          </w:tcPr>
          <w:p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DLUR does not homogeneously cause DLHDI</w:t>
            </w:r>
          </w:p>
        </w:tc>
        <w:tc>
          <w:tcPr>
            <w:tcW w:w="1243"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11.0704</w:t>
            </w:r>
          </w:p>
        </w:tc>
        <w:tc>
          <w:tcPr>
            <w:tcW w:w="1326"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9.00982</w:t>
            </w:r>
          </w:p>
        </w:tc>
        <w:tc>
          <w:tcPr>
            <w:tcW w:w="1081" w:type="dxa"/>
            <w:tcBorders>
              <w:top w:val="nil"/>
              <w:left w:val="nil"/>
              <w:bottom w:val="nil"/>
              <w:right w:val="nil"/>
            </w:tcBorders>
            <w:vAlign w:val="bottom"/>
            <w:hideMark/>
          </w:tcPr>
          <w:p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0.0000</w:t>
            </w:r>
          </w:p>
        </w:tc>
      </w:tr>
      <w:tr w:rsidR="00AC4AAE" w:rsidRPr="00596EC9" w:rsidTr="00AC4AAE">
        <w:tc>
          <w:tcPr>
            <w:tcW w:w="5124" w:type="dxa"/>
            <w:tcBorders>
              <w:top w:val="nil"/>
              <w:left w:val="nil"/>
              <w:bottom w:val="nil"/>
              <w:right w:val="nil"/>
            </w:tcBorders>
            <w:vAlign w:val="bottom"/>
            <w:hideMark/>
          </w:tcPr>
          <w:p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DLHDI does not homogeneously cause DLUR</w:t>
            </w:r>
          </w:p>
        </w:tc>
        <w:tc>
          <w:tcPr>
            <w:tcW w:w="1243"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1.69511</w:t>
            </w:r>
          </w:p>
        </w:tc>
        <w:tc>
          <w:tcPr>
            <w:tcW w:w="1326"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-0.50431</w:t>
            </w:r>
          </w:p>
        </w:tc>
        <w:tc>
          <w:tcPr>
            <w:tcW w:w="1081" w:type="dxa"/>
            <w:tcBorders>
              <w:top w:val="nil"/>
              <w:left w:val="nil"/>
              <w:bottom w:val="nil"/>
              <w:right w:val="nil"/>
            </w:tcBorders>
            <w:vAlign w:val="bottom"/>
            <w:hideMark/>
          </w:tcPr>
          <w:p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0.6140</w:t>
            </w:r>
          </w:p>
        </w:tc>
      </w:tr>
      <w:tr w:rsidR="00AC4AAE" w:rsidRPr="00596EC9" w:rsidTr="00AC4AAE">
        <w:tc>
          <w:tcPr>
            <w:tcW w:w="5124" w:type="dxa"/>
            <w:tcBorders>
              <w:top w:val="nil"/>
              <w:left w:val="nil"/>
              <w:bottom w:val="nil"/>
              <w:right w:val="nil"/>
            </w:tcBorders>
            <w:vAlign w:val="bottom"/>
            <w:hideMark/>
          </w:tcPr>
          <w:p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DLDR does not homogeneously cause DLHDI</w:t>
            </w:r>
          </w:p>
        </w:tc>
        <w:tc>
          <w:tcPr>
            <w:tcW w:w="1243"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11.6109</w:t>
            </w:r>
          </w:p>
        </w:tc>
        <w:tc>
          <w:tcPr>
            <w:tcW w:w="1326"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9.55829</w:t>
            </w:r>
          </w:p>
        </w:tc>
        <w:tc>
          <w:tcPr>
            <w:tcW w:w="1081" w:type="dxa"/>
            <w:tcBorders>
              <w:top w:val="nil"/>
              <w:left w:val="nil"/>
              <w:bottom w:val="nil"/>
              <w:right w:val="nil"/>
            </w:tcBorders>
            <w:vAlign w:val="bottom"/>
            <w:hideMark/>
          </w:tcPr>
          <w:p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0.0000</w:t>
            </w:r>
          </w:p>
        </w:tc>
      </w:tr>
      <w:tr w:rsidR="00AC4AAE" w:rsidRPr="00596EC9" w:rsidTr="00AC4AAE">
        <w:tc>
          <w:tcPr>
            <w:tcW w:w="5124" w:type="dxa"/>
            <w:tcBorders>
              <w:top w:val="nil"/>
              <w:left w:val="nil"/>
              <w:bottom w:val="nil"/>
              <w:right w:val="nil"/>
            </w:tcBorders>
            <w:vAlign w:val="bottom"/>
            <w:hideMark/>
          </w:tcPr>
          <w:p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DLHDI does not homogeneously cause DLDR</w:t>
            </w:r>
          </w:p>
        </w:tc>
        <w:tc>
          <w:tcPr>
            <w:tcW w:w="1243"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1.06956</w:t>
            </w:r>
          </w:p>
        </w:tc>
        <w:tc>
          <w:tcPr>
            <w:tcW w:w="1326"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-0.97932</w:t>
            </w:r>
          </w:p>
        </w:tc>
        <w:tc>
          <w:tcPr>
            <w:tcW w:w="1081" w:type="dxa"/>
            <w:tcBorders>
              <w:top w:val="nil"/>
              <w:left w:val="nil"/>
              <w:bottom w:val="nil"/>
              <w:right w:val="nil"/>
            </w:tcBorders>
            <w:vAlign w:val="bottom"/>
            <w:hideMark/>
          </w:tcPr>
          <w:p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0.2312</w:t>
            </w:r>
          </w:p>
        </w:tc>
      </w:tr>
      <w:tr w:rsidR="00AC4AAE" w:rsidRPr="00596EC9" w:rsidTr="00AC4AAE">
        <w:tc>
          <w:tcPr>
            <w:tcW w:w="5124" w:type="dxa"/>
            <w:tcBorders>
              <w:top w:val="nil"/>
              <w:left w:val="nil"/>
              <w:bottom w:val="nil"/>
              <w:right w:val="nil"/>
            </w:tcBorders>
            <w:vAlign w:val="bottom"/>
            <w:hideMark/>
          </w:tcPr>
          <w:p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DLFLP does not homogeneously cause DLHDI</w:t>
            </w:r>
          </w:p>
        </w:tc>
        <w:tc>
          <w:tcPr>
            <w:tcW w:w="1243"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12.6728</w:t>
            </w:r>
          </w:p>
        </w:tc>
        <w:tc>
          <w:tcPr>
            <w:tcW w:w="1326"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10.4236</w:t>
            </w:r>
          </w:p>
        </w:tc>
        <w:tc>
          <w:tcPr>
            <w:tcW w:w="1081" w:type="dxa"/>
            <w:tcBorders>
              <w:top w:val="nil"/>
              <w:left w:val="nil"/>
              <w:bottom w:val="nil"/>
              <w:right w:val="nil"/>
            </w:tcBorders>
            <w:vAlign w:val="bottom"/>
            <w:hideMark/>
          </w:tcPr>
          <w:p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0.0000</w:t>
            </w:r>
          </w:p>
        </w:tc>
      </w:tr>
      <w:tr w:rsidR="00AC4AAE" w:rsidRPr="00596EC9" w:rsidTr="00AC4AAE">
        <w:tc>
          <w:tcPr>
            <w:tcW w:w="5124" w:type="dxa"/>
            <w:tcBorders>
              <w:top w:val="nil"/>
              <w:left w:val="nil"/>
              <w:bottom w:val="single" w:sz="4" w:space="0" w:color="auto"/>
              <w:right w:val="nil"/>
            </w:tcBorders>
            <w:vAlign w:val="bottom"/>
            <w:hideMark/>
          </w:tcPr>
          <w:p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DLHDI does not homogeneously cause DLFLP</w:t>
            </w:r>
          </w:p>
        </w:tc>
        <w:tc>
          <w:tcPr>
            <w:tcW w:w="1243" w:type="dxa"/>
            <w:tcBorders>
              <w:top w:val="nil"/>
              <w:left w:val="nil"/>
              <w:bottom w:val="single" w:sz="4" w:space="0" w:color="auto"/>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10.5396</w:t>
            </w:r>
          </w:p>
        </w:tc>
        <w:tc>
          <w:tcPr>
            <w:tcW w:w="1326" w:type="dxa"/>
            <w:tcBorders>
              <w:top w:val="nil"/>
              <w:left w:val="nil"/>
              <w:bottom w:val="single" w:sz="4" w:space="0" w:color="auto"/>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9.67727</w:t>
            </w:r>
          </w:p>
        </w:tc>
        <w:tc>
          <w:tcPr>
            <w:tcW w:w="1081" w:type="dxa"/>
            <w:tcBorders>
              <w:top w:val="nil"/>
              <w:left w:val="nil"/>
              <w:bottom w:val="single" w:sz="4" w:space="0" w:color="auto"/>
              <w:right w:val="nil"/>
            </w:tcBorders>
            <w:vAlign w:val="bottom"/>
            <w:hideMark/>
          </w:tcPr>
          <w:p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0.0000</w:t>
            </w:r>
          </w:p>
        </w:tc>
      </w:tr>
    </w:tbl>
    <w:p w:rsidR="00AC4AAE" w:rsidRPr="00596EC9" w:rsidRDefault="00AC4AAE" w:rsidP="00AC4AAE">
      <w:pPr>
        <w:pStyle w:val="NormalWeb"/>
        <w:jc w:val="both"/>
        <w:rPr>
          <w:rFonts w:ascii="Arial" w:hAnsi="Arial" w:cs="Arial"/>
          <w:sz w:val="20"/>
          <w:szCs w:val="20"/>
        </w:rPr>
      </w:pPr>
      <w:r w:rsidRPr="00596EC9">
        <w:rPr>
          <w:rFonts w:ascii="Arial" w:hAnsi="Arial" w:cs="Arial"/>
          <w:sz w:val="20"/>
          <w:szCs w:val="20"/>
        </w:rPr>
        <w:t xml:space="preserve">The pairwise </w:t>
      </w:r>
      <w:r w:rsidRPr="00596EC9">
        <w:rPr>
          <w:rFonts w:ascii="Arial" w:hAnsi="Arial" w:cs="Arial"/>
          <w:color w:val="000000"/>
          <w:sz w:val="20"/>
          <w:szCs w:val="20"/>
        </w:rPr>
        <w:t>DumitrescuHurlin panel causality</w:t>
      </w:r>
      <w:r w:rsidRPr="00596EC9">
        <w:rPr>
          <w:rFonts w:ascii="Arial" w:hAnsi="Arial" w:cs="Arial"/>
          <w:sz w:val="20"/>
          <w:szCs w:val="20"/>
        </w:rPr>
        <w:t>tests results reported in Table 9, the test shows bidirectional causality between life expectancy at birth and HDI (p &lt; 0.001), indicating that improvements in health outcomes directly enhance human development, while higher HDI also reinforces life expectancy. This suggests that policies improving healthcare, nutrition, and overall living standards will create a virtuous cycle in human development.</w:t>
      </w:r>
    </w:p>
    <w:p w:rsidR="00AC4AAE" w:rsidRPr="00596EC9" w:rsidRDefault="00AC4AAE" w:rsidP="00AC4AAE">
      <w:pPr>
        <w:pStyle w:val="NormalWeb"/>
        <w:spacing w:after="0" w:afterAutospacing="0"/>
        <w:jc w:val="both"/>
        <w:rPr>
          <w:rFonts w:ascii="Arial" w:hAnsi="Arial" w:cs="Arial"/>
          <w:sz w:val="20"/>
          <w:szCs w:val="20"/>
        </w:rPr>
      </w:pPr>
      <w:r w:rsidRPr="00596EC9">
        <w:rPr>
          <w:rFonts w:ascii="Arial" w:hAnsi="Arial" w:cs="Arial"/>
          <w:sz w:val="20"/>
          <w:szCs w:val="20"/>
        </w:rPr>
        <w:t>Fertility rate significantly causes HDI (p &lt; 0.001), but the reverse is not significant (p = 0.4364). This implies that reductions in fertility, for instance through family planning, can positively influence HDI by reducing population pressures and enabling better resource allocation, but higher HDI alone does not automatically lower fertility in the short run.</w:t>
      </w:r>
    </w:p>
    <w:p w:rsidR="00AC4AAE" w:rsidRPr="00596EC9" w:rsidRDefault="00AC4AAE" w:rsidP="00AC4AAE">
      <w:pPr>
        <w:pStyle w:val="NormalWeb"/>
        <w:spacing w:before="240" w:beforeAutospacing="0" w:after="0" w:afterAutospacing="0"/>
        <w:jc w:val="both"/>
        <w:rPr>
          <w:rFonts w:ascii="Arial" w:hAnsi="Arial" w:cs="Arial"/>
          <w:sz w:val="20"/>
          <w:szCs w:val="20"/>
        </w:rPr>
      </w:pPr>
      <w:r w:rsidRPr="00596EC9">
        <w:rPr>
          <w:rFonts w:ascii="Arial" w:hAnsi="Arial" w:cs="Arial"/>
          <w:sz w:val="20"/>
          <w:szCs w:val="20"/>
        </w:rPr>
        <w:t>Urbanization significantly causes HDI (p &lt; 0.001), whereas HDI does not cause urbanization (p = 0.6140). This suggests that urban development—through improved infrastructure, services, and economic opportunities—drives human development, but improvements in HDI alone may not induce faster urbanization.</w:t>
      </w:r>
    </w:p>
    <w:p w:rsidR="00AC4AAE" w:rsidRPr="00596EC9" w:rsidRDefault="00AC4AAE" w:rsidP="00AC4AAE">
      <w:pPr>
        <w:spacing w:before="240"/>
        <w:jc w:val="both"/>
        <w:rPr>
          <w:rFonts w:ascii="Arial" w:hAnsi="Arial" w:cs="Arial"/>
        </w:rPr>
      </w:pPr>
      <w:r w:rsidRPr="00596EC9">
        <w:rPr>
          <w:rFonts w:ascii="Arial" w:hAnsi="Arial" w:cs="Arial"/>
        </w:rPr>
        <w:t>Dependency ratio significantly causes HDI (p &lt; 0.001), but the reverse is not significant (p = 0.2312). High dependency burdens influence HDI, likely through household and public resource constraints, emphasizing the importance of policies targeting family planning and demographic transition.</w:t>
      </w:r>
    </w:p>
    <w:p w:rsidR="00AC4AAE" w:rsidRPr="00596EC9" w:rsidRDefault="00AC4AAE" w:rsidP="00AC4AAE">
      <w:pPr>
        <w:spacing w:before="240"/>
        <w:jc w:val="both"/>
        <w:rPr>
          <w:rFonts w:ascii="Arial" w:hAnsi="Arial" w:cs="Arial"/>
        </w:rPr>
      </w:pPr>
      <w:r w:rsidRPr="00596EC9">
        <w:rPr>
          <w:rFonts w:ascii="Arial" w:hAnsi="Arial" w:cs="Arial"/>
        </w:rPr>
        <w:t xml:space="preserve">Female labour force participation and HDI exhibit bidirectional causality (p &lt; 0.001). This indicates that higher female participation in the workforce boosts human development by </w:t>
      </w:r>
      <w:r w:rsidRPr="00596EC9">
        <w:rPr>
          <w:rFonts w:ascii="Arial" w:hAnsi="Arial" w:cs="Arial"/>
        </w:rPr>
        <w:lastRenderedPageBreak/>
        <w:t>increasing household income, productivity, and social empowerment, while improvements in HDI (education, health, and living standards) also enable greater female labour engagement.</w:t>
      </w:r>
    </w:p>
    <w:p w:rsidR="00AC4AAE" w:rsidRPr="00596EC9" w:rsidRDefault="00AC4AAE" w:rsidP="00AC4AAE">
      <w:pPr>
        <w:spacing w:before="240"/>
        <w:jc w:val="both"/>
        <w:rPr>
          <w:rFonts w:ascii="Arial" w:hAnsi="Arial" w:cs="Arial"/>
        </w:rPr>
      </w:pPr>
      <w:r w:rsidRPr="00596EC9">
        <w:rPr>
          <w:rFonts w:ascii="Arial" w:hAnsi="Arial" w:cs="Arial"/>
        </w:rPr>
        <w:t>Overall, the panel causality test results reveal that demographic factors (fertility, dependency ratio, urbanization) and female labour participation are critical drivers of human development, while life expectancy and HDI mutually reinforce each other. Policymakers should focus on integrated interventions that enhance healthcare, manage population growth, promote urban planning, and empower women economically. Such interventions will not only improve HDI in the short run but also sustain long-term human development outcomes.</w:t>
      </w:r>
    </w:p>
    <w:p w:rsidR="00AC4AAE" w:rsidRPr="00596EC9" w:rsidRDefault="00AC4AAE" w:rsidP="00AC4AAE">
      <w:pPr>
        <w:autoSpaceDE w:val="0"/>
        <w:autoSpaceDN w:val="0"/>
        <w:adjustRightInd w:val="0"/>
        <w:rPr>
          <w:rFonts w:ascii="Arial" w:hAnsi="Arial" w:cs="Arial"/>
          <w:b/>
        </w:rPr>
      </w:pPr>
    </w:p>
    <w:p w:rsidR="00AC4AAE" w:rsidRPr="00596EC9" w:rsidRDefault="00AC4AAE" w:rsidP="00AC4AAE">
      <w:pPr>
        <w:autoSpaceDE w:val="0"/>
        <w:autoSpaceDN w:val="0"/>
        <w:adjustRightInd w:val="0"/>
        <w:rPr>
          <w:rFonts w:ascii="Arial" w:hAnsi="Arial" w:cs="Arial"/>
          <w:b/>
        </w:rPr>
      </w:pPr>
      <w:r w:rsidRPr="00596EC9">
        <w:rPr>
          <w:rFonts w:ascii="Arial" w:hAnsi="Arial" w:cs="Arial"/>
          <w:b/>
        </w:rPr>
        <w:t>Table 10: Pairwise Granger Causality Test Results</w:t>
      </w:r>
    </w:p>
    <w:tbl>
      <w:tblPr>
        <w:tblW w:w="0" w:type="auto"/>
        <w:tblInd w:w="-252" w:type="dxa"/>
        <w:tblBorders>
          <w:top w:val="single" w:sz="4" w:space="0" w:color="auto"/>
          <w:bottom w:val="single" w:sz="4" w:space="0" w:color="auto"/>
        </w:tblBorders>
        <w:tblLook w:val="04A0"/>
      </w:tblPr>
      <w:tblGrid>
        <w:gridCol w:w="4702"/>
        <w:gridCol w:w="1689"/>
        <w:gridCol w:w="1290"/>
        <w:gridCol w:w="995"/>
      </w:tblGrid>
      <w:tr w:rsidR="00AC4AAE" w:rsidRPr="00596EC9" w:rsidTr="00AC4AAE">
        <w:tc>
          <w:tcPr>
            <w:tcW w:w="4770" w:type="dxa"/>
            <w:tcBorders>
              <w:top w:val="single" w:sz="4" w:space="0" w:color="auto"/>
              <w:left w:val="nil"/>
              <w:bottom w:val="single" w:sz="4" w:space="0" w:color="auto"/>
              <w:right w:val="nil"/>
            </w:tcBorders>
            <w:hideMark/>
          </w:tcPr>
          <w:p w:rsidR="00AC4AAE" w:rsidRPr="00596EC9" w:rsidRDefault="00AC4AAE">
            <w:pPr>
              <w:jc w:val="center"/>
              <w:rPr>
                <w:rFonts w:ascii="Arial" w:hAnsi="Arial" w:cs="Arial"/>
                <w:b/>
              </w:rPr>
            </w:pPr>
            <w:r w:rsidRPr="00596EC9">
              <w:rPr>
                <w:rFonts w:ascii="Arial" w:hAnsi="Arial" w:cs="Arial"/>
                <w:b/>
                <w:color w:val="000000"/>
              </w:rPr>
              <w:t>Null Hypothesis</w:t>
            </w:r>
          </w:p>
        </w:tc>
        <w:tc>
          <w:tcPr>
            <w:tcW w:w="1710" w:type="dxa"/>
            <w:tcBorders>
              <w:top w:val="single" w:sz="4" w:space="0" w:color="auto"/>
              <w:left w:val="nil"/>
              <w:bottom w:val="single" w:sz="4" w:space="0" w:color="auto"/>
              <w:right w:val="nil"/>
            </w:tcBorders>
            <w:hideMark/>
          </w:tcPr>
          <w:p w:rsidR="00AC4AAE" w:rsidRPr="00596EC9" w:rsidRDefault="00AC4AAE">
            <w:pPr>
              <w:rPr>
                <w:rFonts w:ascii="Arial" w:hAnsi="Arial" w:cs="Arial"/>
                <w:b/>
              </w:rPr>
            </w:pPr>
            <w:r w:rsidRPr="00596EC9">
              <w:rPr>
                <w:rFonts w:ascii="Arial" w:hAnsi="Arial" w:cs="Arial"/>
                <w:b/>
              </w:rPr>
              <w:t>No. of Obs.</w:t>
            </w:r>
          </w:p>
        </w:tc>
        <w:tc>
          <w:tcPr>
            <w:tcW w:w="1296" w:type="dxa"/>
            <w:tcBorders>
              <w:top w:val="single" w:sz="4" w:space="0" w:color="auto"/>
              <w:left w:val="nil"/>
              <w:bottom w:val="single" w:sz="4" w:space="0" w:color="auto"/>
              <w:right w:val="nil"/>
            </w:tcBorders>
            <w:hideMark/>
          </w:tcPr>
          <w:p w:rsidR="00AC4AAE" w:rsidRPr="00596EC9" w:rsidRDefault="00AC4AAE">
            <w:pPr>
              <w:jc w:val="center"/>
              <w:rPr>
                <w:rFonts w:ascii="Arial" w:hAnsi="Arial" w:cs="Arial"/>
                <w:b/>
              </w:rPr>
            </w:pPr>
            <w:r w:rsidRPr="00596EC9">
              <w:rPr>
                <w:rFonts w:ascii="Arial" w:hAnsi="Arial" w:cs="Arial"/>
                <w:b/>
              </w:rPr>
              <w:t>F-statistic</w:t>
            </w:r>
          </w:p>
        </w:tc>
        <w:tc>
          <w:tcPr>
            <w:tcW w:w="998" w:type="dxa"/>
            <w:tcBorders>
              <w:top w:val="single" w:sz="4" w:space="0" w:color="auto"/>
              <w:left w:val="nil"/>
              <w:bottom w:val="single" w:sz="4" w:space="0" w:color="auto"/>
              <w:right w:val="nil"/>
            </w:tcBorders>
            <w:hideMark/>
          </w:tcPr>
          <w:p w:rsidR="00AC4AAE" w:rsidRPr="00596EC9" w:rsidRDefault="00AC4AAE">
            <w:pPr>
              <w:jc w:val="center"/>
              <w:rPr>
                <w:rFonts w:ascii="Arial" w:hAnsi="Arial" w:cs="Arial"/>
                <w:b/>
              </w:rPr>
            </w:pPr>
            <w:r w:rsidRPr="00596EC9">
              <w:rPr>
                <w:rFonts w:ascii="Arial" w:hAnsi="Arial" w:cs="Arial"/>
                <w:b/>
              </w:rPr>
              <w:t>p-value</w:t>
            </w:r>
          </w:p>
        </w:tc>
      </w:tr>
      <w:tr w:rsidR="00AC4AAE" w:rsidRPr="00596EC9" w:rsidTr="00AC4AAE">
        <w:tc>
          <w:tcPr>
            <w:tcW w:w="4770" w:type="dxa"/>
            <w:tcBorders>
              <w:top w:val="single" w:sz="4" w:space="0" w:color="auto"/>
              <w:left w:val="nil"/>
              <w:bottom w:val="nil"/>
              <w:right w:val="nil"/>
            </w:tcBorders>
            <w:vAlign w:val="bottom"/>
            <w:hideMark/>
          </w:tcPr>
          <w:p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DLLEB does not Granger Cause DLHDI</w:t>
            </w:r>
          </w:p>
        </w:tc>
        <w:tc>
          <w:tcPr>
            <w:tcW w:w="1710" w:type="dxa"/>
            <w:vMerge w:val="restart"/>
            <w:tcBorders>
              <w:top w:val="single" w:sz="4" w:space="0" w:color="auto"/>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167</w:t>
            </w:r>
          </w:p>
        </w:tc>
        <w:tc>
          <w:tcPr>
            <w:tcW w:w="1296" w:type="dxa"/>
            <w:tcBorders>
              <w:top w:val="single" w:sz="4" w:space="0" w:color="auto"/>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7.49621</w:t>
            </w:r>
          </w:p>
        </w:tc>
        <w:tc>
          <w:tcPr>
            <w:tcW w:w="998" w:type="dxa"/>
            <w:tcBorders>
              <w:top w:val="single" w:sz="4" w:space="0" w:color="auto"/>
              <w:left w:val="nil"/>
              <w:bottom w:val="nil"/>
              <w:right w:val="nil"/>
            </w:tcBorders>
            <w:vAlign w:val="bottom"/>
            <w:hideMark/>
          </w:tcPr>
          <w:p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0.0001</w:t>
            </w:r>
          </w:p>
        </w:tc>
      </w:tr>
      <w:tr w:rsidR="00AC4AAE" w:rsidRPr="00596EC9" w:rsidTr="00AC4AAE">
        <w:tc>
          <w:tcPr>
            <w:tcW w:w="4770" w:type="dxa"/>
            <w:tcBorders>
              <w:top w:val="nil"/>
              <w:left w:val="nil"/>
              <w:bottom w:val="nil"/>
              <w:right w:val="nil"/>
            </w:tcBorders>
            <w:vAlign w:val="bottom"/>
            <w:hideMark/>
          </w:tcPr>
          <w:p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DLHDI does not Granger Cause DLLEB</w:t>
            </w:r>
          </w:p>
        </w:tc>
        <w:tc>
          <w:tcPr>
            <w:tcW w:w="0" w:type="auto"/>
            <w:vMerge/>
            <w:tcBorders>
              <w:top w:val="single" w:sz="4" w:space="0" w:color="auto"/>
              <w:left w:val="nil"/>
              <w:bottom w:val="nil"/>
              <w:right w:val="nil"/>
            </w:tcBorders>
            <w:vAlign w:val="center"/>
            <w:hideMark/>
          </w:tcPr>
          <w:p w:rsidR="00AC4AAE" w:rsidRPr="00596EC9" w:rsidRDefault="00AC4AAE">
            <w:pPr>
              <w:rPr>
                <w:rFonts w:ascii="Arial" w:hAnsi="Arial" w:cs="Arial"/>
                <w:color w:val="000000"/>
              </w:rPr>
            </w:pPr>
          </w:p>
        </w:tc>
        <w:tc>
          <w:tcPr>
            <w:tcW w:w="1296"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12.2469</w:t>
            </w:r>
          </w:p>
        </w:tc>
        <w:tc>
          <w:tcPr>
            <w:tcW w:w="998" w:type="dxa"/>
            <w:tcBorders>
              <w:top w:val="nil"/>
              <w:left w:val="nil"/>
              <w:bottom w:val="nil"/>
              <w:right w:val="nil"/>
            </w:tcBorders>
            <w:vAlign w:val="bottom"/>
            <w:hideMark/>
          </w:tcPr>
          <w:p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0.0000</w:t>
            </w:r>
          </w:p>
        </w:tc>
      </w:tr>
      <w:tr w:rsidR="00AC4AAE" w:rsidRPr="00596EC9" w:rsidTr="00AC4AAE">
        <w:tc>
          <w:tcPr>
            <w:tcW w:w="4770" w:type="dxa"/>
            <w:tcBorders>
              <w:top w:val="nil"/>
              <w:left w:val="nil"/>
              <w:bottom w:val="nil"/>
              <w:right w:val="nil"/>
            </w:tcBorders>
            <w:vAlign w:val="bottom"/>
            <w:hideMark/>
          </w:tcPr>
          <w:p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DLFR does not Granger Cause DLHDI</w:t>
            </w:r>
          </w:p>
        </w:tc>
        <w:tc>
          <w:tcPr>
            <w:tcW w:w="1710" w:type="dxa"/>
            <w:vMerge w:val="restart"/>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167</w:t>
            </w:r>
          </w:p>
        </w:tc>
        <w:tc>
          <w:tcPr>
            <w:tcW w:w="1296"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5.57347</w:t>
            </w:r>
          </w:p>
        </w:tc>
        <w:tc>
          <w:tcPr>
            <w:tcW w:w="998" w:type="dxa"/>
            <w:tcBorders>
              <w:top w:val="nil"/>
              <w:left w:val="nil"/>
              <w:bottom w:val="nil"/>
              <w:right w:val="nil"/>
            </w:tcBorders>
            <w:vAlign w:val="bottom"/>
            <w:hideMark/>
          </w:tcPr>
          <w:p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0.0004</w:t>
            </w:r>
          </w:p>
        </w:tc>
      </w:tr>
      <w:tr w:rsidR="00AC4AAE" w:rsidRPr="00596EC9" w:rsidTr="00AC4AAE">
        <w:tc>
          <w:tcPr>
            <w:tcW w:w="4770" w:type="dxa"/>
            <w:tcBorders>
              <w:top w:val="nil"/>
              <w:left w:val="nil"/>
              <w:bottom w:val="nil"/>
              <w:right w:val="nil"/>
            </w:tcBorders>
            <w:vAlign w:val="bottom"/>
            <w:hideMark/>
          </w:tcPr>
          <w:p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DLHDI does not Granger Cause DLFR</w:t>
            </w:r>
          </w:p>
        </w:tc>
        <w:tc>
          <w:tcPr>
            <w:tcW w:w="0" w:type="auto"/>
            <w:vMerge/>
            <w:tcBorders>
              <w:top w:val="nil"/>
              <w:left w:val="nil"/>
              <w:bottom w:val="nil"/>
              <w:right w:val="nil"/>
            </w:tcBorders>
            <w:vAlign w:val="center"/>
            <w:hideMark/>
          </w:tcPr>
          <w:p w:rsidR="00AC4AAE" w:rsidRPr="00596EC9" w:rsidRDefault="00AC4AAE">
            <w:pPr>
              <w:rPr>
                <w:rFonts w:ascii="Arial" w:hAnsi="Arial" w:cs="Arial"/>
                <w:color w:val="000000"/>
              </w:rPr>
            </w:pPr>
          </w:p>
        </w:tc>
        <w:tc>
          <w:tcPr>
            <w:tcW w:w="1296"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0.39867</w:t>
            </w:r>
          </w:p>
        </w:tc>
        <w:tc>
          <w:tcPr>
            <w:tcW w:w="998" w:type="dxa"/>
            <w:tcBorders>
              <w:top w:val="nil"/>
              <w:left w:val="nil"/>
              <w:bottom w:val="nil"/>
              <w:right w:val="nil"/>
            </w:tcBorders>
            <w:vAlign w:val="bottom"/>
            <w:hideMark/>
          </w:tcPr>
          <w:p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0.6719</w:t>
            </w:r>
          </w:p>
        </w:tc>
      </w:tr>
      <w:tr w:rsidR="00AC4AAE" w:rsidRPr="00596EC9" w:rsidTr="00AC4AAE">
        <w:tc>
          <w:tcPr>
            <w:tcW w:w="4770" w:type="dxa"/>
            <w:tcBorders>
              <w:top w:val="nil"/>
              <w:left w:val="nil"/>
              <w:bottom w:val="nil"/>
              <w:right w:val="nil"/>
            </w:tcBorders>
            <w:vAlign w:val="bottom"/>
            <w:hideMark/>
          </w:tcPr>
          <w:p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DLUR does not Granger Cause DLHDI</w:t>
            </w:r>
          </w:p>
        </w:tc>
        <w:tc>
          <w:tcPr>
            <w:tcW w:w="1710" w:type="dxa"/>
            <w:vMerge w:val="restart"/>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167</w:t>
            </w:r>
          </w:p>
        </w:tc>
        <w:tc>
          <w:tcPr>
            <w:tcW w:w="1296"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10.4362</w:t>
            </w:r>
          </w:p>
        </w:tc>
        <w:tc>
          <w:tcPr>
            <w:tcW w:w="998" w:type="dxa"/>
            <w:tcBorders>
              <w:top w:val="nil"/>
              <w:left w:val="nil"/>
              <w:bottom w:val="nil"/>
              <w:right w:val="nil"/>
            </w:tcBorders>
            <w:vAlign w:val="bottom"/>
            <w:hideMark/>
          </w:tcPr>
          <w:p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0.0000</w:t>
            </w:r>
          </w:p>
        </w:tc>
      </w:tr>
      <w:tr w:rsidR="00AC4AAE" w:rsidRPr="00596EC9" w:rsidTr="00AC4AAE">
        <w:tc>
          <w:tcPr>
            <w:tcW w:w="4770" w:type="dxa"/>
            <w:tcBorders>
              <w:top w:val="nil"/>
              <w:left w:val="nil"/>
              <w:bottom w:val="nil"/>
              <w:right w:val="nil"/>
            </w:tcBorders>
            <w:vAlign w:val="bottom"/>
            <w:hideMark/>
          </w:tcPr>
          <w:p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DLHDI does not Granger Cause DLUR</w:t>
            </w:r>
          </w:p>
        </w:tc>
        <w:tc>
          <w:tcPr>
            <w:tcW w:w="0" w:type="auto"/>
            <w:vMerge/>
            <w:tcBorders>
              <w:top w:val="nil"/>
              <w:left w:val="nil"/>
              <w:bottom w:val="nil"/>
              <w:right w:val="nil"/>
            </w:tcBorders>
            <w:vAlign w:val="center"/>
            <w:hideMark/>
          </w:tcPr>
          <w:p w:rsidR="00AC4AAE" w:rsidRPr="00596EC9" w:rsidRDefault="00AC4AAE">
            <w:pPr>
              <w:rPr>
                <w:rFonts w:ascii="Arial" w:hAnsi="Arial" w:cs="Arial"/>
                <w:color w:val="000000"/>
              </w:rPr>
            </w:pPr>
          </w:p>
        </w:tc>
        <w:tc>
          <w:tcPr>
            <w:tcW w:w="1296"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0.37772</w:t>
            </w:r>
          </w:p>
        </w:tc>
        <w:tc>
          <w:tcPr>
            <w:tcW w:w="998" w:type="dxa"/>
            <w:tcBorders>
              <w:top w:val="nil"/>
              <w:left w:val="nil"/>
              <w:bottom w:val="nil"/>
              <w:right w:val="nil"/>
            </w:tcBorders>
            <w:vAlign w:val="bottom"/>
            <w:hideMark/>
          </w:tcPr>
          <w:p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0.6860</w:t>
            </w:r>
          </w:p>
        </w:tc>
      </w:tr>
      <w:tr w:rsidR="00AC4AAE" w:rsidRPr="00596EC9" w:rsidTr="00AC4AAE">
        <w:tc>
          <w:tcPr>
            <w:tcW w:w="4770" w:type="dxa"/>
            <w:tcBorders>
              <w:top w:val="nil"/>
              <w:left w:val="nil"/>
              <w:bottom w:val="nil"/>
              <w:right w:val="nil"/>
            </w:tcBorders>
            <w:vAlign w:val="bottom"/>
            <w:hideMark/>
          </w:tcPr>
          <w:p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DLDR does not Granger Cause DLHDI</w:t>
            </w:r>
          </w:p>
        </w:tc>
        <w:tc>
          <w:tcPr>
            <w:tcW w:w="1710" w:type="dxa"/>
            <w:vMerge w:val="restart"/>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167</w:t>
            </w:r>
          </w:p>
        </w:tc>
        <w:tc>
          <w:tcPr>
            <w:tcW w:w="1296"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4.69028</w:t>
            </w:r>
          </w:p>
        </w:tc>
        <w:tc>
          <w:tcPr>
            <w:tcW w:w="998" w:type="dxa"/>
            <w:tcBorders>
              <w:top w:val="nil"/>
              <w:left w:val="nil"/>
              <w:bottom w:val="nil"/>
              <w:right w:val="nil"/>
            </w:tcBorders>
            <w:vAlign w:val="bottom"/>
            <w:hideMark/>
          </w:tcPr>
          <w:p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0.0009</w:t>
            </w:r>
          </w:p>
        </w:tc>
      </w:tr>
      <w:tr w:rsidR="00AC4AAE" w:rsidRPr="00596EC9" w:rsidTr="00AC4AAE">
        <w:tc>
          <w:tcPr>
            <w:tcW w:w="4770" w:type="dxa"/>
            <w:tcBorders>
              <w:top w:val="nil"/>
              <w:left w:val="nil"/>
              <w:bottom w:val="nil"/>
              <w:right w:val="nil"/>
            </w:tcBorders>
            <w:vAlign w:val="bottom"/>
            <w:hideMark/>
          </w:tcPr>
          <w:p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DLHDI does not Granger Cause DLDR</w:t>
            </w:r>
          </w:p>
        </w:tc>
        <w:tc>
          <w:tcPr>
            <w:tcW w:w="0" w:type="auto"/>
            <w:vMerge/>
            <w:tcBorders>
              <w:top w:val="nil"/>
              <w:left w:val="nil"/>
              <w:bottom w:val="nil"/>
              <w:right w:val="nil"/>
            </w:tcBorders>
            <w:vAlign w:val="center"/>
            <w:hideMark/>
          </w:tcPr>
          <w:p w:rsidR="00AC4AAE" w:rsidRPr="00596EC9" w:rsidRDefault="00AC4AAE">
            <w:pPr>
              <w:rPr>
                <w:rFonts w:ascii="Arial" w:hAnsi="Arial" w:cs="Arial"/>
                <w:color w:val="000000"/>
              </w:rPr>
            </w:pPr>
          </w:p>
        </w:tc>
        <w:tc>
          <w:tcPr>
            <w:tcW w:w="1296"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1.32148</w:t>
            </w:r>
          </w:p>
        </w:tc>
        <w:tc>
          <w:tcPr>
            <w:tcW w:w="998" w:type="dxa"/>
            <w:tcBorders>
              <w:top w:val="nil"/>
              <w:left w:val="nil"/>
              <w:bottom w:val="nil"/>
              <w:right w:val="nil"/>
            </w:tcBorders>
            <w:vAlign w:val="bottom"/>
            <w:hideMark/>
          </w:tcPr>
          <w:p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0.3148</w:t>
            </w:r>
          </w:p>
        </w:tc>
      </w:tr>
      <w:tr w:rsidR="00AC4AAE" w:rsidRPr="00596EC9" w:rsidTr="00AC4AAE">
        <w:tc>
          <w:tcPr>
            <w:tcW w:w="4770" w:type="dxa"/>
            <w:tcBorders>
              <w:top w:val="nil"/>
              <w:left w:val="nil"/>
              <w:bottom w:val="nil"/>
              <w:right w:val="nil"/>
            </w:tcBorders>
            <w:vAlign w:val="bottom"/>
            <w:hideMark/>
          </w:tcPr>
          <w:p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DLFLP does not Granger Cause DLHDI</w:t>
            </w:r>
          </w:p>
        </w:tc>
        <w:tc>
          <w:tcPr>
            <w:tcW w:w="1710" w:type="dxa"/>
            <w:vMerge w:val="restart"/>
            <w:tcBorders>
              <w:top w:val="nil"/>
              <w:left w:val="nil"/>
              <w:bottom w:val="single" w:sz="4" w:space="0" w:color="auto"/>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167</w:t>
            </w:r>
          </w:p>
        </w:tc>
        <w:tc>
          <w:tcPr>
            <w:tcW w:w="1296" w:type="dxa"/>
            <w:tcBorders>
              <w:top w:val="nil"/>
              <w:left w:val="nil"/>
              <w:bottom w:val="nil"/>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10.1109</w:t>
            </w:r>
          </w:p>
        </w:tc>
        <w:tc>
          <w:tcPr>
            <w:tcW w:w="998" w:type="dxa"/>
            <w:tcBorders>
              <w:top w:val="nil"/>
              <w:left w:val="nil"/>
              <w:bottom w:val="nil"/>
              <w:right w:val="nil"/>
            </w:tcBorders>
            <w:vAlign w:val="bottom"/>
            <w:hideMark/>
          </w:tcPr>
          <w:p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0.0000</w:t>
            </w:r>
          </w:p>
        </w:tc>
      </w:tr>
      <w:tr w:rsidR="00AC4AAE" w:rsidRPr="00596EC9" w:rsidTr="00AC4AAE">
        <w:tc>
          <w:tcPr>
            <w:tcW w:w="4770" w:type="dxa"/>
            <w:tcBorders>
              <w:top w:val="nil"/>
              <w:left w:val="nil"/>
              <w:bottom w:val="single" w:sz="4" w:space="0" w:color="auto"/>
              <w:right w:val="nil"/>
            </w:tcBorders>
            <w:vAlign w:val="bottom"/>
            <w:hideMark/>
          </w:tcPr>
          <w:p w:rsidR="00AC4AAE" w:rsidRPr="00596EC9" w:rsidRDefault="00AC4AAE">
            <w:pPr>
              <w:autoSpaceDE w:val="0"/>
              <w:autoSpaceDN w:val="0"/>
              <w:adjustRightInd w:val="0"/>
              <w:rPr>
                <w:rFonts w:ascii="Arial" w:hAnsi="Arial" w:cs="Arial"/>
                <w:color w:val="000000"/>
              </w:rPr>
            </w:pPr>
            <w:r w:rsidRPr="00596EC9">
              <w:rPr>
                <w:rFonts w:ascii="Arial" w:hAnsi="Arial" w:cs="Arial"/>
                <w:color w:val="000000"/>
              </w:rPr>
              <w:t> DLHDI does not Granger Cause DLFLP</w:t>
            </w:r>
          </w:p>
        </w:tc>
        <w:tc>
          <w:tcPr>
            <w:tcW w:w="0" w:type="auto"/>
            <w:vMerge/>
            <w:tcBorders>
              <w:top w:val="nil"/>
              <w:left w:val="nil"/>
              <w:bottom w:val="single" w:sz="4" w:space="0" w:color="auto"/>
              <w:right w:val="nil"/>
            </w:tcBorders>
            <w:vAlign w:val="center"/>
            <w:hideMark/>
          </w:tcPr>
          <w:p w:rsidR="00AC4AAE" w:rsidRPr="00596EC9" w:rsidRDefault="00AC4AAE">
            <w:pPr>
              <w:rPr>
                <w:rFonts w:ascii="Arial" w:hAnsi="Arial" w:cs="Arial"/>
                <w:color w:val="000000"/>
              </w:rPr>
            </w:pPr>
          </w:p>
        </w:tc>
        <w:tc>
          <w:tcPr>
            <w:tcW w:w="1296" w:type="dxa"/>
            <w:tcBorders>
              <w:top w:val="nil"/>
              <w:left w:val="nil"/>
              <w:bottom w:val="single" w:sz="4" w:space="0" w:color="auto"/>
              <w:right w:val="nil"/>
            </w:tcBorders>
            <w:vAlign w:val="bottom"/>
            <w:hideMark/>
          </w:tcPr>
          <w:p w:rsidR="00AC4AAE" w:rsidRPr="00596EC9" w:rsidRDefault="00AC4AAE">
            <w:pPr>
              <w:autoSpaceDE w:val="0"/>
              <w:autoSpaceDN w:val="0"/>
              <w:adjustRightInd w:val="0"/>
              <w:jc w:val="center"/>
              <w:rPr>
                <w:rFonts w:ascii="Arial" w:hAnsi="Arial" w:cs="Arial"/>
                <w:color w:val="000000"/>
              </w:rPr>
            </w:pPr>
            <w:r w:rsidRPr="00596EC9">
              <w:rPr>
                <w:rFonts w:ascii="Arial" w:hAnsi="Arial" w:cs="Arial"/>
                <w:color w:val="000000"/>
              </w:rPr>
              <w:t> 6.02079</w:t>
            </w:r>
          </w:p>
        </w:tc>
        <w:tc>
          <w:tcPr>
            <w:tcW w:w="998" w:type="dxa"/>
            <w:tcBorders>
              <w:top w:val="nil"/>
              <w:left w:val="nil"/>
              <w:bottom w:val="single" w:sz="4" w:space="0" w:color="auto"/>
              <w:right w:val="nil"/>
            </w:tcBorders>
            <w:vAlign w:val="bottom"/>
            <w:hideMark/>
          </w:tcPr>
          <w:p w:rsidR="00AC4AAE" w:rsidRPr="00596EC9" w:rsidRDefault="00AC4AAE">
            <w:pPr>
              <w:autoSpaceDE w:val="0"/>
              <w:autoSpaceDN w:val="0"/>
              <w:adjustRightInd w:val="0"/>
              <w:ind w:right="10"/>
              <w:jc w:val="right"/>
              <w:rPr>
                <w:rFonts w:ascii="Arial" w:hAnsi="Arial" w:cs="Arial"/>
                <w:color w:val="000000"/>
              </w:rPr>
            </w:pPr>
            <w:r w:rsidRPr="00596EC9">
              <w:rPr>
                <w:rFonts w:ascii="Arial" w:hAnsi="Arial" w:cs="Arial"/>
                <w:color w:val="000000"/>
              </w:rPr>
              <w:t>0.0004</w:t>
            </w:r>
          </w:p>
        </w:tc>
      </w:tr>
    </w:tbl>
    <w:p w:rsidR="00AC4AAE" w:rsidRPr="00596EC9" w:rsidRDefault="00AC4AAE" w:rsidP="00AC4AAE">
      <w:pPr>
        <w:pStyle w:val="NormalWeb"/>
        <w:spacing w:after="0" w:afterAutospacing="0"/>
        <w:jc w:val="both"/>
        <w:rPr>
          <w:rFonts w:ascii="Arial" w:hAnsi="Arial" w:cs="Arial"/>
          <w:sz w:val="20"/>
          <w:szCs w:val="20"/>
        </w:rPr>
      </w:pPr>
      <w:r w:rsidRPr="00596EC9">
        <w:rPr>
          <w:rFonts w:ascii="Arial" w:hAnsi="Arial" w:cs="Arial"/>
          <w:sz w:val="20"/>
          <w:szCs w:val="20"/>
        </w:rPr>
        <w:t>From the result of pairwise Granger causality test reported in Table 10, there is strong bidirectional Granger causality between life expectancy at birth (LEB) and HDI (p &lt; 0.001). This indicates that improvements in life expectancy significantly predict changes in HDI, and vice versa, suggesting a mutually reinforcing relationship between health outcomes and human development.</w:t>
      </w:r>
    </w:p>
    <w:p w:rsidR="00AC4AAE" w:rsidRPr="00596EC9" w:rsidRDefault="00AC4AAE" w:rsidP="00AC4AAE">
      <w:pPr>
        <w:pStyle w:val="NormalWeb"/>
        <w:spacing w:after="0" w:afterAutospacing="0"/>
        <w:jc w:val="both"/>
        <w:rPr>
          <w:rFonts w:ascii="Arial" w:hAnsi="Arial" w:cs="Arial"/>
          <w:sz w:val="20"/>
          <w:szCs w:val="20"/>
        </w:rPr>
      </w:pPr>
      <w:r w:rsidRPr="00596EC9">
        <w:rPr>
          <w:rFonts w:ascii="Arial" w:hAnsi="Arial" w:cs="Arial"/>
          <w:sz w:val="20"/>
          <w:szCs w:val="20"/>
        </w:rPr>
        <w:t>Fertility rate (FR) Granger-causes HDI (p = 0.0004), while HDI does not Granger-cause FR (p = 0.6719). This suggests that fertility dynamics influence human development outcomes, likely because high fertility can dilute household and public resources, while HDI improvements alone may not immediately reduce fertility rates.</w:t>
      </w:r>
    </w:p>
    <w:p w:rsidR="00AC4AAE" w:rsidRPr="00596EC9" w:rsidRDefault="00AC4AAE" w:rsidP="00AC4AAE">
      <w:pPr>
        <w:pStyle w:val="NormalWeb"/>
        <w:spacing w:after="0" w:afterAutospacing="0"/>
        <w:jc w:val="both"/>
        <w:rPr>
          <w:rFonts w:ascii="Arial" w:hAnsi="Arial" w:cs="Arial"/>
          <w:sz w:val="20"/>
          <w:szCs w:val="20"/>
        </w:rPr>
      </w:pPr>
      <w:r w:rsidRPr="00596EC9">
        <w:rPr>
          <w:rFonts w:ascii="Arial" w:hAnsi="Arial" w:cs="Arial"/>
          <w:sz w:val="20"/>
          <w:szCs w:val="20"/>
        </w:rPr>
        <w:t>Urbanization (UR) Granger-causes HDI (p &lt; 0.001), but HDI does not Granger-cause UR (p = 0.6860). This indicates that urban development drives HDI improvements through better infrastructure, access to services, and economic opportunities, while higher HDI does not automatically accelerate urbanization.</w:t>
      </w:r>
    </w:p>
    <w:p w:rsidR="00AC4AAE" w:rsidRPr="00596EC9" w:rsidRDefault="00AC4AAE" w:rsidP="00AC4AAE">
      <w:pPr>
        <w:pStyle w:val="NormalWeb"/>
        <w:spacing w:after="0" w:afterAutospacing="0"/>
        <w:jc w:val="both"/>
        <w:rPr>
          <w:rFonts w:ascii="Arial" w:hAnsi="Arial" w:cs="Arial"/>
          <w:sz w:val="20"/>
          <w:szCs w:val="20"/>
        </w:rPr>
      </w:pPr>
      <w:r w:rsidRPr="00596EC9">
        <w:rPr>
          <w:rFonts w:ascii="Arial" w:hAnsi="Arial" w:cs="Arial"/>
          <w:sz w:val="20"/>
          <w:szCs w:val="20"/>
        </w:rPr>
        <w:t>Dependency ratio (DR) Granger-causes HDI (p = 0.0009), but HDI does not Granger-cause DR (p = 0.3148). High dependency burdens negatively influence human development in the short run, emphasizing the need for demographic management and family planning interventions.</w:t>
      </w:r>
    </w:p>
    <w:p w:rsidR="00AC4AAE" w:rsidRPr="00596EC9" w:rsidRDefault="00AC4AAE" w:rsidP="00AC4AAE">
      <w:pPr>
        <w:pStyle w:val="NormalWeb"/>
        <w:spacing w:after="0" w:afterAutospacing="0"/>
        <w:jc w:val="both"/>
        <w:rPr>
          <w:rFonts w:ascii="Arial" w:hAnsi="Arial" w:cs="Arial"/>
          <w:sz w:val="20"/>
          <w:szCs w:val="20"/>
        </w:rPr>
      </w:pPr>
      <w:r w:rsidRPr="00596EC9">
        <w:rPr>
          <w:rFonts w:ascii="Arial" w:hAnsi="Arial" w:cs="Arial"/>
          <w:sz w:val="20"/>
          <w:szCs w:val="20"/>
        </w:rPr>
        <w:t>Female labour participation (FLP) and HDI exhibits bidirectional Granger causality (p &lt; 0.001 for both directions). This shows that increased female workforce participation predicts higher human development, while improvements in HDI (through education, health, and social conditions) also enhance female labour force engagement.</w:t>
      </w:r>
    </w:p>
    <w:p w:rsidR="00AC4AAE" w:rsidRPr="00596EC9" w:rsidRDefault="00AC4AAE" w:rsidP="00AC4AAE">
      <w:pPr>
        <w:pStyle w:val="NormalWeb"/>
        <w:spacing w:after="0" w:afterAutospacing="0"/>
        <w:jc w:val="both"/>
        <w:rPr>
          <w:rFonts w:ascii="Arial" w:hAnsi="Arial" w:cs="Arial"/>
          <w:sz w:val="20"/>
          <w:szCs w:val="20"/>
        </w:rPr>
      </w:pPr>
      <w:r w:rsidRPr="00596EC9">
        <w:rPr>
          <w:rFonts w:ascii="Arial" w:hAnsi="Arial" w:cs="Arial"/>
          <w:sz w:val="20"/>
          <w:szCs w:val="20"/>
        </w:rPr>
        <w:t xml:space="preserve">The Granger causality results largely confirm the Dumitrescu-Hurlin panel causality findings, highlighting that demographic and socio-economic factors such as fertility, urbanization, </w:t>
      </w:r>
      <w:r w:rsidRPr="00596EC9">
        <w:rPr>
          <w:rFonts w:ascii="Arial" w:hAnsi="Arial" w:cs="Arial"/>
          <w:sz w:val="20"/>
          <w:szCs w:val="20"/>
        </w:rPr>
        <w:lastRenderedPageBreak/>
        <w:t>dependency ratio, and female labour participation are key drivers of HDI. Health (LEB) and female labour participation have mutually reinforcing effects with HDI. Policy efforts should focus on demographic management, urban planning, health improvements, and gender-inclusive economic participation to ensure sustainable human development.</w:t>
      </w:r>
    </w:p>
    <w:p w:rsidR="00790ADA" w:rsidRPr="00596EC9" w:rsidRDefault="00790ADA" w:rsidP="00441B6F">
      <w:pPr>
        <w:pStyle w:val="Head1"/>
        <w:spacing w:after="0"/>
        <w:jc w:val="both"/>
        <w:rPr>
          <w:rFonts w:ascii="Arial" w:hAnsi="Arial" w:cs="Arial"/>
          <w:sz w:val="20"/>
        </w:rPr>
      </w:pPr>
    </w:p>
    <w:p w:rsidR="00790ADA" w:rsidRPr="00FB3A86" w:rsidRDefault="00790ADA" w:rsidP="00441B6F">
      <w:pPr>
        <w:pStyle w:val="Body"/>
        <w:spacing w:after="0"/>
        <w:rPr>
          <w:rFonts w:ascii="Arial" w:hAnsi="Arial" w:cs="Arial"/>
        </w:rPr>
      </w:pPr>
    </w:p>
    <w:p w:rsidR="00B01FCD" w:rsidRPr="00596EC9" w:rsidRDefault="00000F8F" w:rsidP="00441B6F">
      <w:pPr>
        <w:pStyle w:val="ConcHead"/>
        <w:spacing w:after="0"/>
        <w:jc w:val="both"/>
        <w:rPr>
          <w:rFonts w:ascii="Arial" w:hAnsi="Arial" w:cs="Arial"/>
          <w:sz w:val="20"/>
        </w:rPr>
      </w:pPr>
      <w:r w:rsidRPr="00596EC9">
        <w:rPr>
          <w:rFonts w:ascii="Arial" w:hAnsi="Arial" w:cs="Arial"/>
          <w:sz w:val="20"/>
        </w:rPr>
        <w:t xml:space="preserve">4. </w:t>
      </w:r>
      <w:r w:rsidR="00B01FCD" w:rsidRPr="00596EC9">
        <w:rPr>
          <w:rFonts w:ascii="Arial" w:hAnsi="Arial" w:cs="Arial"/>
          <w:sz w:val="20"/>
        </w:rPr>
        <w:t>Conclusion</w:t>
      </w:r>
    </w:p>
    <w:p w:rsidR="00790ADA" w:rsidRPr="00596EC9" w:rsidRDefault="00790ADA" w:rsidP="00441B6F">
      <w:pPr>
        <w:pStyle w:val="ConcHead"/>
        <w:spacing w:after="0"/>
        <w:jc w:val="both"/>
        <w:rPr>
          <w:rFonts w:ascii="Arial" w:hAnsi="Arial" w:cs="Arial"/>
          <w:sz w:val="20"/>
        </w:rPr>
      </w:pPr>
    </w:p>
    <w:p w:rsidR="00972FE6" w:rsidRPr="00972FE6" w:rsidRDefault="00972FE6" w:rsidP="00972FE6">
      <w:pPr>
        <w:pStyle w:val="NormalWeb"/>
        <w:jc w:val="both"/>
        <w:rPr>
          <w:highlight w:val="yellow"/>
        </w:rPr>
      </w:pPr>
      <w:r w:rsidRPr="00972FE6">
        <w:rPr>
          <w:rFonts w:ascii="Arial" w:hAnsi="Arial" w:cs="Arial"/>
          <w:sz w:val="20"/>
          <w:szCs w:val="20"/>
          <w:highlight w:val="yellow"/>
        </w:rPr>
        <w:t>This study examined the influence of key demographic indicators on human development across Nigeria’s six geopolitical zones using panel econometric techniques and 30 years of data (1994–2024) obtained from institutions such as the NBS, NPC, World Bank, NDHSS, and HNLSS. Descriptive statistics indicated large variability and non-stationarity in the level series of the variables, while first differences were stationary, confirming that the variables are integrated of order one (I(1)). Panel unit root tests, including the Im–Pesaran–Shin (IPS) and CCE-ADF tests, supported these findings and justified the use of panel cointegration and Vector Error Correction Model (VECM) approaches. Johansen Fisher panel cointegration tests further revealed strong long-run equilibrium relationships between the Human Development Index (HDI) and the selected demographic variables across regions</w:t>
      </w:r>
      <w:r w:rsidRPr="00972FE6">
        <w:rPr>
          <w:highlight w:val="yellow"/>
        </w:rPr>
        <w:t>.</w:t>
      </w:r>
    </w:p>
    <w:p w:rsidR="00972FE6" w:rsidRPr="00972FE6" w:rsidRDefault="00972FE6" w:rsidP="00972FE6">
      <w:pPr>
        <w:pStyle w:val="NormalWeb"/>
        <w:spacing w:after="0" w:afterAutospacing="0"/>
        <w:jc w:val="both"/>
        <w:rPr>
          <w:rFonts w:ascii="Arial" w:hAnsi="Arial" w:cs="Arial"/>
          <w:sz w:val="20"/>
          <w:szCs w:val="20"/>
          <w:highlight w:val="yellow"/>
        </w:rPr>
      </w:pPr>
      <w:r w:rsidRPr="00972FE6">
        <w:rPr>
          <w:rFonts w:ascii="Arial" w:hAnsi="Arial" w:cs="Arial"/>
          <w:sz w:val="20"/>
          <w:szCs w:val="20"/>
          <w:highlight w:val="yellow"/>
        </w:rPr>
        <w:t>The long-run estimation using Dynamic Panel FMOLS showed that life expectancy and female labour force participation have significant positive effects on HDI, while fertility rate, urbanization rate, and dependency ratio exert significant negative impacts, with dependency ratio showing the strongest adverse effect. The model demonstrated a high explanatory power (R² = 0.9487), indicating that these demographic factors account for most variations in human development in Nigeria. Short-run dynamics from the panel VECM revealed that life expectancy and female labour participation positively influence HDI, whereas fertility and dependency ratio negatively affect it. Urbanization showed mixed short-run effects, initially reducing HDI but producing positive effects after adjustments in infrastructure and economic systems. The significant and negative error-correction term indicated a rapid adjustment toward long-run equilibrium, with about 70% correction annually.</w:t>
      </w:r>
    </w:p>
    <w:p w:rsidR="00972FE6" w:rsidRPr="00972FE6" w:rsidRDefault="00972FE6" w:rsidP="00972FE6">
      <w:pPr>
        <w:pStyle w:val="NormalWeb"/>
        <w:spacing w:after="0" w:afterAutospacing="0"/>
        <w:jc w:val="both"/>
        <w:rPr>
          <w:rFonts w:ascii="Arial" w:hAnsi="Arial" w:cs="Arial"/>
          <w:sz w:val="20"/>
          <w:szCs w:val="20"/>
        </w:rPr>
      </w:pPr>
      <w:r w:rsidRPr="00972FE6">
        <w:rPr>
          <w:rFonts w:ascii="Arial" w:hAnsi="Arial" w:cs="Arial"/>
          <w:sz w:val="20"/>
          <w:szCs w:val="20"/>
          <w:highlight w:val="yellow"/>
        </w:rPr>
        <w:t>Furthermore, Dumitrescu–Hurlin panel causality tests confirmed that most demographic variables Granger-cause HDI, with bidirectional causality observed between HDI and life expectancy as well as between HDI and female labour participation. These findings suggest mutually reinforcing relationships between demographic dynamics and human development. Overall, the study concludes that demographic indicators are key drivers of Nigeria’s human development. Consequently, policy efforts should focus on improving healthcare systems to increase life expectancy, strengthening family planning and reproductive health programmes to manage fertility rates, promoting female labour force participation through gender-inclusive policies, implementing well-planned urban development strategies, and reducing dependency burdens through job creation and social protection programmes.</w:t>
      </w:r>
    </w:p>
    <w:p w:rsidR="00315186" w:rsidRPr="00315186" w:rsidRDefault="00315186" w:rsidP="00441B6F"/>
    <w:p w:rsidR="00315186" w:rsidRPr="00315186" w:rsidRDefault="00315186" w:rsidP="00441B6F"/>
    <w:p w:rsidR="00315186" w:rsidRPr="00315186" w:rsidRDefault="00315186" w:rsidP="00441B6F"/>
    <w:p w:rsidR="006D697D" w:rsidRPr="00972FE6" w:rsidRDefault="006D697D" w:rsidP="00972FE6">
      <w:pPr>
        <w:jc w:val="both"/>
        <w:rPr>
          <w:b/>
        </w:rPr>
      </w:pPr>
      <w:r w:rsidRPr="00972FE6">
        <w:rPr>
          <w:b/>
        </w:rPr>
        <w:t>Disclaimer (Artificial intelligence)</w:t>
      </w:r>
    </w:p>
    <w:p w:rsidR="006D697D" w:rsidRPr="00972FE6" w:rsidRDefault="006D697D" w:rsidP="00972FE6">
      <w:pPr>
        <w:jc w:val="both"/>
      </w:pPr>
      <w:r w:rsidRPr="00972FE6">
        <w:t xml:space="preserve">Author(s) hereby declare that NO generative AI technologies such as Large Language Models (ChatGPT, COPILOT, etc.) and text-to-image generators have been used during the writing or editing of this manuscript. </w:t>
      </w:r>
    </w:p>
    <w:p w:rsidR="00315186" w:rsidRPr="00315186" w:rsidRDefault="00315186" w:rsidP="00441B6F">
      <w:bookmarkStart w:id="0" w:name="_GoBack"/>
      <w:bookmarkEnd w:id="0"/>
    </w:p>
    <w:p w:rsidR="00427D4D" w:rsidRDefault="00427D4D"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427D4D" w:rsidRPr="00427D4D" w:rsidRDefault="00427D4D" w:rsidP="00B34C50">
      <w:pPr>
        <w:ind w:left="720"/>
        <w:jc w:val="both"/>
        <w:rPr>
          <w:rFonts w:ascii="Arial" w:hAnsi="Arial" w:cs="Arial"/>
        </w:rPr>
      </w:pPr>
      <w:r w:rsidRPr="00427D4D">
        <w:rPr>
          <w:rFonts w:ascii="Arial" w:hAnsi="Arial" w:cs="Arial"/>
        </w:rPr>
        <w:t xml:space="preserve">Ademola, O. Y. (2019). Economic Growth and Demographic Dividend Nexus in Nigeria: A Vector Autoregressive (VAR) Approach. </w:t>
      </w:r>
      <w:r w:rsidRPr="00427D4D">
        <w:rPr>
          <w:rFonts w:ascii="Arial" w:hAnsi="Arial" w:cs="Arial"/>
          <w:i/>
          <w:iCs/>
        </w:rPr>
        <w:t>Asian Social Science</w:t>
      </w:r>
      <w:r w:rsidRPr="00427D4D">
        <w:rPr>
          <w:rFonts w:ascii="Arial" w:hAnsi="Arial" w:cs="Arial"/>
        </w:rPr>
        <w:t xml:space="preserve">, </w:t>
      </w:r>
      <w:r w:rsidRPr="00427D4D">
        <w:rPr>
          <w:rFonts w:ascii="Arial" w:hAnsi="Arial" w:cs="Arial"/>
          <w:iCs/>
        </w:rPr>
        <w:t>15</w:t>
      </w:r>
      <w:r w:rsidRPr="00427D4D">
        <w:rPr>
          <w:rFonts w:ascii="Arial" w:hAnsi="Arial" w:cs="Arial"/>
        </w:rPr>
        <w:t>(2), 37-59.</w:t>
      </w:r>
    </w:p>
    <w:p w:rsidR="00427D4D" w:rsidRPr="00427D4D" w:rsidRDefault="00427D4D" w:rsidP="00B34C50">
      <w:pPr>
        <w:pStyle w:val="Default"/>
        <w:ind w:left="720"/>
        <w:jc w:val="both"/>
        <w:rPr>
          <w:i/>
          <w:iCs/>
          <w:sz w:val="20"/>
          <w:szCs w:val="20"/>
        </w:rPr>
      </w:pPr>
      <w:r w:rsidRPr="00427D4D">
        <w:rPr>
          <w:sz w:val="20"/>
          <w:szCs w:val="20"/>
        </w:rPr>
        <w:t xml:space="preserve">Ade-Omonijo, C. E. (2021). Income Inequality, Poverty Alleviation and Economic Growth in Nigeria. </w:t>
      </w:r>
      <w:r w:rsidRPr="00427D4D">
        <w:rPr>
          <w:i/>
          <w:iCs/>
          <w:sz w:val="20"/>
          <w:szCs w:val="20"/>
        </w:rPr>
        <w:t xml:space="preserve">Available at: http://ir.mtu.edu.ng/jspui/bitstream /123456789/421/1/ project% 20 completione.pdf </w:t>
      </w:r>
    </w:p>
    <w:p w:rsidR="00427D4D" w:rsidRPr="00B34C50" w:rsidRDefault="00427D4D" w:rsidP="00B34C50">
      <w:pPr>
        <w:pStyle w:val="Default"/>
        <w:ind w:left="720"/>
        <w:jc w:val="both"/>
        <w:rPr>
          <w:rStyle w:val="Hyperlink"/>
          <w:color w:val="000000"/>
          <w:sz w:val="20"/>
          <w:szCs w:val="20"/>
          <w:u w:val="none"/>
        </w:rPr>
      </w:pPr>
      <w:r w:rsidRPr="00427D4D">
        <w:rPr>
          <w:sz w:val="20"/>
          <w:szCs w:val="20"/>
        </w:rPr>
        <w:t xml:space="preserve">Adeyemi, P. A. and Ogunsola, J. A. (2016). The Impact of Human Capital Development on Economic Growth in Nigeria: ARDL Approach. </w:t>
      </w:r>
      <w:r w:rsidRPr="00427D4D">
        <w:rPr>
          <w:i/>
          <w:sz w:val="20"/>
          <w:szCs w:val="20"/>
        </w:rPr>
        <w:t>Journal of Humanities and Social Science</w:t>
      </w:r>
      <w:r w:rsidRPr="00427D4D">
        <w:rPr>
          <w:sz w:val="20"/>
          <w:szCs w:val="20"/>
        </w:rPr>
        <w:t>, 21(3), 1-7.</w:t>
      </w:r>
    </w:p>
    <w:p w:rsidR="00427D4D" w:rsidRPr="00B34C50" w:rsidRDefault="00427D4D" w:rsidP="00B34C50">
      <w:pPr>
        <w:autoSpaceDE w:val="0"/>
        <w:autoSpaceDN w:val="0"/>
        <w:adjustRightInd w:val="0"/>
        <w:ind w:left="720"/>
        <w:jc w:val="both"/>
        <w:rPr>
          <w:rFonts w:ascii="Arial" w:eastAsiaTheme="majorEastAsia" w:hAnsi="Arial" w:cs="Arial"/>
        </w:rPr>
      </w:pPr>
      <w:r w:rsidRPr="00427D4D">
        <w:rPr>
          <w:rFonts w:ascii="Arial" w:hAnsi="Arial" w:cs="Arial"/>
        </w:rPr>
        <w:t>Aigbokhan, B., Imahe, O., and Ailemen, M. I. (2015). Education Expenditure and Human Capital Development in Nigeria: Any correlation so far? Research Paper. Ambrose Ali University Ekpoma Nigeria, 143p.</w:t>
      </w:r>
    </w:p>
    <w:p w:rsidR="00427D4D" w:rsidRPr="00427D4D" w:rsidRDefault="00427D4D" w:rsidP="00B34C50">
      <w:pPr>
        <w:pStyle w:val="Default"/>
        <w:ind w:left="720"/>
        <w:jc w:val="both"/>
        <w:rPr>
          <w:sz w:val="20"/>
          <w:szCs w:val="20"/>
        </w:rPr>
      </w:pPr>
      <w:r w:rsidRPr="00427D4D">
        <w:rPr>
          <w:sz w:val="20"/>
          <w:szCs w:val="20"/>
        </w:rPr>
        <w:t xml:space="preserve">Aksentijević, N. K. and Ježić, Z. (2017). Measuring the Development of Human Resources with the Usage of Human Development Index in Selected CEE Countries. </w:t>
      </w:r>
      <w:r w:rsidRPr="00427D4D">
        <w:rPr>
          <w:i/>
          <w:iCs/>
          <w:sz w:val="20"/>
          <w:szCs w:val="20"/>
        </w:rPr>
        <w:t xml:space="preserve">Challenges for international business in Central and Eastern Europe, </w:t>
      </w:r>
      <w:r w:rsidRPr="00427D4D">
        <w:rPr>
          <w:sz w:val="20"/>
          <w:szCs w:val="20"/>
        </w:rPr>
        <w:t>3(1), 109-121.</w:t>
      </w:r>
    </w:p>
    <w:p w:rsidR="00427D4D" w:rsidRPr="00427D4D" w:rsidRDefault="00427D4D" w:rsidP="00B34C50">
      <w:pPr>
        <w:pStyle w:val="Default"/>
        <w:ind w:left="720"/>
        <w:jc w:val="both"/>
        <w:rPr>
          <w:sz w:val="20"/>
          <w:szCs w:val="20"/>
        </w:rPr>
      </w:pPr>
      <w:r w:rsidRPr="00427D4D">
        <w:rPr>
          <w:sz w:val="20"/>
          <w:szCs w:val="20"/>
        </w:rPr>
        <w:t xml:space="preserve">Balcı, E. and Özcan, S. (2019). İnsaniGelişmişlikVeBüyümeArasındakiIlişki: OIC UlkeleriUzerinde Bir Analiz. </w:t>
      </w:r>
      <w:r w:rsidRPr="00427D4D">
        <w:rPr>
          <w:i/>
          <w:iCs/>
          <w:sz w:val="20"/>
          <w:szCs w:val="20"/>
        </w:rPr>
        <w:t xml:space="preserve">SakaryaİktisatDergisi, </w:t>
      </w:r>
      <w:r w:rsidRPr="00427D4D">
        <w:rPr>
          <w:sz w:val="20"/>
          <w:szCs w:val="20"/>
        </w:rPr>
        <w:t>Cilt, 8(3), 222-235.</w:t>
      </w:r>
    </w:p>
    <w:p w:rsidR="00427D4D" w:rsidRPr="00427D4D" w:rsidRDefault="00427D4D" w:rsidP="00B34C50">
      <w:pPr>
        <w:autoSpaceDE w:val="0"/>
        <w:autoSpaceDN w:val="0"/>
        <w:adjustRightInd w:val="0"/>
        <w:ind w:left="720"/>
        <w:jc w:val="both"/>
        <w:rPr>
          <w:rFonts w:ascii="Arial" w:hAnsi="Arial" w:cs="Arial"/>
        </w:rPr>
      </w:pPr>
      <w:r w:rsidRPr="00427D4D">
        <w:rPr>
          <w:rFonts w:ascii="Arial" w:hAnsi="Arial" w:cs="Arial"/>
        </w:rPr>
        <w:t xml:space="preserve">Baltagi, B. H. (2008). </w:t>
      </w:r>
      <w:r w:rsidRPr="00427D4D">
        <w:rPr>
          <w:rFonts w:ascii="Arial" w:hAnsi="Arial" w:cs="Arial"/>
          <w:i/>
        </w:rPr>
        <w:t>Econometric Analysis of Panel Data</w:t>
      </w:r>
      <w:r w:rsidRPr="00427D4D">
        <w:rPr>
          <w:rFonts w:ascii="Arial" w:hAnsi="Arial" w:cs="Arial"/>
        </w:rPr>
        <w:t xml:space="preserve"> (4</w:t>
      </w:r>
      <w:r w:rsidRPr="00427D4D">
        <w:rPr>
          <w:rFonts w:ascii="Arial" w:hAnsi="Arial" w:cs="Arial"/>
          <w:vertAlign w:val="superscript"/>
        </w:rPr>
        <w:t>th</w:t>
      </w:r>
      <w:r w:rsidRPr="00427D4D">
        <w:rPr>
          <w:rFonts w:ascii="Arial" w:hAnsi="Arial" w:cs="Arial"/>
        </w:rPr>
        <w:t xml:space="preserve"> edition). John Willey and Sons. Pp. 98-107.</w:t>
      </w:r>
    </w:p>
    <w:p w:rsidR="00427D4D" w:rsidRPr="00427D4D" w:rsidRDefault="00427D4D" w:rsidP="00B34C50">
      <w:pPr>
        <w:autoSpaceDE w:val="0"/>
        <w:autoSpaceDN w:val="0"/>
        <w:adjustRightInd w:val="0"/>
        <w:ind w:left="720"/>
        <w:jc w:val="both"/>
        <w:rPr>
          <w:rFonts w:ascii="Arial" w:hAnsi="Arial" w:cs="Arial"/>
        </w:rPr>
      </w:pPr>
      <w:r w:rsidRPr="00427D4D">
        <w:rPr>
          <w:rFonts w:ascii="Arial" w:hAnsi="Arial" w:cs="Arial"/>
        </w:rPr>
        <w:t xml:space="preserve">Bedir, S. (2016). Health Care Expenditure and Economic Growth in Developing Countries. </w:t>
      </w:r>
      <w:r w:rsidRPr="00427D4D">
        <w:rPr>
          <w:rFonts w:ascii="Arial" w:hAnsi="Arial" w:cs="Arial"/>
          <w:i/>
          <w:iCs/>
        </w:rPr>
        <w:t xml:space="preserve">Advances in Economics andBusines, </w:t>
      </w:r>
      <w:r w:rsidRPr="00427D4D">
        <w:rPr>
          <w:rFonts w:ascii="Arial" w:hAnsi="Arial" w:cs="Arial"/>
          <w:iCs/>
        </w:rPr>
        <w:t>4</w:t>
      </w:r>
      <w:r w:rsidRPr="00427D4D">
        <w:rPr>
          <w:rFonts w:ascii="Arial" w:hAnsi="Arial" w:cs="Arial"/>
        </w:rPr>
        <w:t>(2), 76-86.</w:t>
      </w:r>
    </w:p>
    <w:p w:rsidR="00427D4D" w:rsidRPr="00427D4D" w:rsidRDefault="00427D4D" w:rsidP="00B34C50">
      <w:pPr>
        <w:pStyle w:val="Default"/>
        <w:ind w:left="720"/>
        <w:jc w:val="both"/>
        <w:rPr>
          <w:color w:val="auto"/>
          <w:sz w:val="20"/>
          <w:szCs w:val="20"/>
        </w:rPr>
      </w:pPr>
      <w:r w:rsidRPr="00427D4D">
        <w:rPr>
          <w:color w:val="auto"/>
          <w:sz w:val="20"/>
          <w:szCs w:val="20"/>
        </w:rPr>
        <w:t xml:space="preserve">Borji,  A., Cheng, M. M., Hou, Q., Jiang, H., and Li, J. (2019). Salient Object Detection: A Survey. </w:t>
      </w:r>
      <w:r w:rsidRPr="00427D4D">
        <w:rPr>
          <w:i/>
          <w:iCs/>
          <w:color w:val="auto"/>
          <w:sz w:val="20"/>
          <w:szCs w:val="20"/>
        </w:rPr>
        <w:t>Computational Visual Media</w:t>
      </w:r>
      <w:r w:rsidRPr="00427D4D">
        <w:rPr>
          <w:color w:val="auto"/>
          <w:sz w:val="20"/>
          <w:szCs w:val="20"/>
        </w:rPr>
        <w:t xml:space="preserve">, </w:t>
      </w:r>
      <w:r w:rsidRPr="00427D4D">
        <w:rPr>
          <w:iCs/>
          <w:color w:val="auto"/>
          <w:sz w:val="20"/>
          <w:szCs w:val="20"/>
        </w:rPr>
        <w:t>5</w:t>
      </w:r>
      <w:r w:rsidRPr="00427D4D">
        <w:rPr>
          <w:color w:val="auto"/>
          <w:sz w:val="20"/>
          <w:szCs w:val="20"/>
        </w:rPr>
        <w:t>(2), 117-150.</w:t>
      </w:r>
    </w:p>
    <w:p w:rsidR="00427D4D" w:rsidRPr="00B34C50" w:rsidRDefault="00427D4D" w:rsidP="00B34C50">
      <w:pPr>
        <w:pStyle w:val="Default"/>
        <w:ind w:left="720"/>
        <w:jc w:val="both"/>
        <w:rPr>
          <w:i/>
          <w:iCs/>
          <w:sz w:val="20"/>
          <w:szCs w:val="20"/>
        </w:rPr>
      </w:pPr>
      <w:r w:rsidRPr="00427D4D">
        <w:rPr>
          <w:sz w:val="20"/>
          <w:szCs w:val="20"/>
        </w:rPr>
        <w:t xml:space="preserve">Chinonye, E.O. (2022). Poverty, Income Inequality and Economic Growth in Nigeria (1981-2029). </w:t>
      </w:r>
      <w:r w:rsidRPr="00427D4D">
        <w:rPr>
          <w:i/>
          <w:iCs/>
          <w:sz w:val="20"/>
          <w:szCs w:val="20"/>
        </w:rPr>
        <w:t xml:space="preserve">J. Eco Res and Rev, </w:t>
      </w:r>
      <w:r w:rsidRPr="00427D4D">
        <w:rPr>
          <w:iCs/>
          <w:sz w:val="20"/>
          <w:szCs w:val="20"/>
        </w:rPr>
        <w:t>2(2), 92-100</w:t>
      </w:r>
      <w:r w:rsidRPr="00427D4D">
        <w:rPr>
          <w:i/>
          <w:iCs/>
          <w:sz w:val="20"/>
          <w:szCs w:val="20"/>
        </w:rPr>
        <w:t xml:space="preserve">. </w:t>
      </w:r>
    </w:p>
    <w:p w:rsidR="00427D4D" w:rsidRPr="00B34C50" w:rsidRDefault="00427D4D" w:rsidP="00B34C50">
      <w:pPr>
        <w:autoSpaceDE w:val="0"/>
        <w:autoSpaceDN w:val="0"/>
        <w:adjustRightInd w:val="0"/>
        <w:ind w:left="720"/>
        <w:jc w:val="both"/>
        <w:rPr>
          <w:rFonts w:ascii="Arial" w:hAnsi="Arial" w:cs="Arial"/>
        </w:rPr>
      </w:pPr>
      <w:r w:rsidRPr="00427D4D">
        <w:rPr>
          <w:rFonts w:ascii="Arial" w:hAnsi="Arial" w:cs="Arial"/>
        </w:rPr>
        <w:t xml:space="preserve">Dumitrescu, E.-I., and Hurlin, C. (2012). </w:t>
      </w:r>
      <w:r w:rsidRPr="00427D4D">
        <w:rPr>
          <w:rStyle w:val="Emphasis"/>
          <w:rFonts w:ascii="Arial" w:hAnsi="Arial" w:cs="Arial"/>
        </w:rPr>
        <w:t>Testing for Granger Non-Causality in Heterogeneous Panels</w:t>
      </w:r>
      <w:r w:rsidRPr="00427D4D">
        <w:rPr>
          <w:rFonts w:ascii="Arial" w:hAnsi="Arial" w:cs="Arial"/>
          <w:i/>
        </w:rPr>
        <w:t>. Economic Modelling</w:t>
      </w:r>
      <w:r w:rsidRPr="00427D4D">
        <w:rPr>
          <w:rFonts w:ascii="Arial" w:hAnsi="Arial" w:cs="Arial"/>
        </w:rPr>
        <w:t>, 29(4), 1450-1460.</w:t>
      </w:r>
    </w:p>
    <w:p w:rsidR="00427D4D" w:rsidRPr="00427D4D" w:rsidRDefault="00427D4D" w:rsidP="00B34C50">
      <w:pPr>
        <w:pStyle w:val="Default"/>
        <w:ind w:left="720"/>
        <w:jc w:val="both"/>
        <w:rPr>
          <w:sz w:val="20"/>
          <w:szCs w:val="20"/>
        </w:rPr>
      </w:pPr>
      <w:r w:rsidRPr="00427D4D">
        <w:rPr>
          <w:sz w:val="20"/>
          <w:szCs w:val="20"/>
        </w:rPr>
        <w:t xml:space="preserve">Figueiras A, Caamano, F., Gestal-Otero, J. J. (2020). Sociodemographic Factors Related to Self-Medication in Spain. </w:t>
      </w:r>
      <w:r w:rsidRPr="00427D4D">
        <w:rPr>
          <w:i/>
          <w:sz w:val="20"/>
          <w:szCs w:val="20"/>
        </w:rPr>
        <w:t>European Journal of Epidemiol</w:t>
      </w:r>
      <w:r w:rsidRPr="00427D4D">
        <w:rPr>
          <w:sz w:val="20"/>
          <w:szCs w:val="20"/>
        </w:rPr>
        <w:t>. 16(1), 19-26.</w:t>
      </w:r>
    </w:p>
    <w:p w:rsidR="00427D4D" w:rsidRPr="00427D4D" w:rsidRDefault="00427D4D" w:rsidP="00B34C50">
      <w:pPr>
        <w:autoSpaceDE w:val="0"/>
        <w:autoSpaceDN w:val="0"/>
        <w:adjustRightInd w:val="0"/>
        <w:ind w:left="720"/>
        <w:jc w:val="both"/>
        <w:rPr>
          <w:rFonts w:ascii="Arial" w:hAnsi="Arial" w:cs="Arial"/>
        </w:rPr>
      </w:pPr>
      <w:r w:rsidRPr="00427D4D">
        <w:rPr>
          <w:rFonts w:ascii="Arial" w:hAnsi="Arial" w:cs="Arial"/>
          <w:bCs/>
        </w:rPr>
        <w:t>Ibikunle, J. A. (2019). Life Expectancy, Public Health Spending and Economic Growth In Nigeria.</w:t>
      </w:r>
      <w:r w:rsidRPr="00427D4D">
        <w:rPr>
          <w:rFonts w:ascii="Arial" w:hAnsi="Arial" w:cs="Arial"/>
          <w:i/>
          <w:iCs/>
        </w:rPr>
        <w:t xml:space="preserve"> Social Sciences</w:t>
      </w:r>
      <w:r w:rsidRPr="00427D4D">
        <w:rPr>
          <w:rFonts w:ascii="Arial" w:hAnsi="Arial" w:cs="Arial"/>
        </w:rPr>
        <w:t>, 8(6), 369-376.</w:t>
      </w:r>
    </w:p>
    <w:p w:rsidR="00427D4D" w:rsidRPr="00427D4D" w:rsidRDefault="00427D4D" w:rsidP="00427D4D">
      <w:pPr>
        <w:pStyle w:val="Default"/>
        <w:ind w:left="720"/>
        <w:jc w:val="both"/>
        <w:rPr>
          <w:sz w:val="20"/>
          <w:szCs w:val="20"/>
        </w:rPr>
      </w:pPr>
      <w:r w:rsidRPr="00427D4D">
        <w:rPr>
          <w:sz w:val="20"/>
          <w:szCs w:val="20"/>
        </w:rPr>
        <w:t xml:space="preserve">Isola, W. A. and Alani, R. A. (2012). Human Capital Development and Economic Growth: Empirical Evidence from Nigeria. </w:t>
      </w:r>
      <w:r w:rsidRPr="00427D4D">
        <w:rPr>
          <w:i/>
          <w:sz w:val="20"/>
          <w:szCs w:val="20"/>
        </w:rPr>
        <w:t>Asian Economic and Financial Review</w:t>
      </w:r>
      <w:r w:rsidRPr="00427D4D">
        <w:rPr>
          <w:sz w:val="20"/>
          <w:szCs w:val="20"/>
        </w:rPr>
        <w:t>, 2(7), 813-827.</w:t>
      </w:r>
    </w:p>
    <w:p w:rsidR="00427D4D" w:rsidRPr="00427D4D" w:rsidRDefault="00427D4D" w:rsidP="00427D4D">
      <w:pPr>
        <w:pStyle w:val="NormalWeb"/>
        <w:spacing w:before="0" w:beforeAutospacing="0" w:afterAutospacing="0"/>
        <w:ind w:left="720"/>
        <w:jc w:val="both"/>
        <w:rPr>
          <w:rFonts w:ascii="Arial" w:hAnsi="Arial" w:cs="Arial"/>
          <w:sz w:val="20"/>
          <w:szCs w:val="20"/>
        </w:rPr>
      </w:pPr>
      <w:r w:rsidRPr="00427D4D">
        <w:rPr>
          <w:rFonts w:ascii="Arial" w:hAnsi="Arial" w:cs="Arial"/>
          <w:sz w:val="20"/>
          <w:szCs w:val="20"/>
        </w:rPr>
        <w:t xml:space="preserve">Im, K. S., Pesaran, M. H., and Shin, Y. (2003). Testing for Unit Roots in Heterogeneous Panels. </w:t>
      </w:r>
      <w:r w:rsidRPr="00427D4D">
        <w:rPr>
          <w:rFonts w:ascii="Arial" w:hAnsi="Arial" w:cs="Arial"/>
          <w:i/>
          <w:sz w:val="20"/>
          <w:szCs w:val="20"/>
        </w:rPr>
        <w:t>Journal of Econometrics</w:t>
      </w:r>
      <w:r w:rsidRPr="00427D4D">
        <w:rPr>
          <w:rFonts w:ascii="Arial" w:hAnsi="Arial" w:cs="Arial"/>
          <w:sz w:val="20"/>
          <w:szCs w:val="20"/>
        </w:rPr>
        <w:t>, 115(1), 53-74.</w:t>
      </w:r>
    </w:p>
    <w:p w:rsidR="00427D4D" w:rsidRPr="00427D4D" w:rsidRDefault="00427D4D" w:rsidP="00427D4D">
      <w:pPr>
        <w:pStyle w:val="NormalWeb"/>
        <w:spacing w:before="0" w:beforeAutospacing="0" w:after="0" w:afterAutospacing="0"/>
        <w:ind w:left="720"/>
        <w:jc w:val="both"/>
        <w:rPr>
          <w:rFonts w:ascii="Arial" w:hAnsi="Arial" w:cs="Arial"/>
          <w:sz w:val="20"/>
          <w:szCs w:val="20"/>
        </w:rPr>
      </w:pPr>
      <w:r w:rsidRPr="00427D4D">
        <w:rPr>
          <w:rFonts w:ascii="Arial" w:hAnsi="Arial" w:cs="Arial"/>
          <w:sz w:val="20"/>
          <w:szCs w:val="20"/>
        </w:rPr>
        <w:t xml:space="preserve">Johansen, S. (1988). </w:t>
      </w:r>
      <w:r w:rsidRPr="00427D4D">
        <w:rPr>
          <w:rStyle w:val="Emphasis"/>
          <w:rFonts w:ascii="Arial" w:hAnsi="Arial" w:cs="Arial"/>
          <w:i w:val="0"/>
          <w:sz w:val="20"/>
          <w:szCs w:val="20"/>
        </w:rPr>
        <w:t>Statistical Analysis of Cointegration Vectors</w:t>
      </w:r>
      <w:r w:rsidRPr="00427D4D">
        <w:rPr>
          <w:rFonts w:ascii="Arial" w:hAnsi="Arial" w:cs="Arial"/>
          <w:i/>
          <w:sz w:val="20"/>
          <w:szCs w:val="20"/>
        </w:rPr>
        <w:t>. Journal of Economic Dynamics and Control,</w:t>
      </w:r>
      <w:r w:rsidRPr="00427D4D">
        <w:rPr>
          <w:rFonts w:ascii="Arial" w:hAnsi="Arial" w:cs="Arial"/>
          <w:sz w:val="20"/>
          <w:szCs w:val="20"/>
        </w:rPr>
        <w:t xml:space="preserve"> 12(2-3), 231-254.</w:t>
      </w:r>
    </w:p>
    <w:p w:rsidR="00427D4D" w:rsidRPr="00427D4D" w:rsidRDefault="00427D4D" w:rsidP="00427D4D">
      <w:pPr>
        <w:pStyle w:val="NormalWeb"/>
        <w:spacing w:before="0" w:beforeAutospacing="0" w:after="0" w:afterAutospacing="0"/>
        <w:ind w:left="720"/>
        <w:jc w:val="both"/>
        <w:rPr>
          <w:rFonts w:ascii="Arial" w:hAnsi="Arial" w:cs="Arial"/>
          <w:sz w:val="20"/>
          <w:szCs w:val="20"/>
        </w:rPr>
      </w:pPr>
      <w:r w:rsidRPr="00427D4D">
        <w:rPr>
          <w:rFonts w:ascii="Arial" w:hAnsi="Arial" w:cs="Arial"/>
          <w:sz w:val="20"/>
          <w:szCs w:val="20"/>
        </w:rPr>
        <w:t xml:space="preserve">Johansen, S. (1991). </w:t>
      </w:r>
      <w:r w:rsidRPr="00427D4D">
        <w:rPr>
          <w:rStyle w:val="Emphasis"/>
          <w:rFonts w:ascii="Arial" w:hAnsi="Arial" w:cs="Arial"/>
          <w:i w:val="0"/>
          <w:sz w:val="20"/>
          <w:szCs w:val="20"/>
        </w:rPr>
        <w:t>Estimation and Hypothesis Testing of Cointegration Vectors in Gaussian Vector Autoregressive Models</w:t>
      </w:r>
      <w:r w:rsidRPr="00427D4D">
        <w:rPr>
          <w:rFonts w:ascii="Arial" w:hAnsi="Arial" w:cs="Arial"/>
          <w:i/>
          <w:sz w:val="20"/>
          <w:szCs w:val="20"/>
        </w:rPr>
        <w:t>. Econometrica,</w:t>
      </w:r>
      <w:r w:rsidRPr="00427D4D">
        <w:rPr>
          <w:rFonts w:ascii="Arial" w:hAnsi="Arial" w:cs="Arial"/>
          <w:sz w:val="20"/>
          <w:szCs w:val="20"/>
        </w:rPr>
        <w:t xml:space="preserve"> 59(6), 1551-1580.</w:t>
      </w:r>
    </w:p>
    <w:p w:rsidR="00427D4D" w:rsidRPr="00427D4D" w:rsidRDefault="00427D4D" w:rsidP="00427D4D">
      <w:pPr>
        <w:pStyle w:val="NormalWeb"/>
        <w:spacing w:before="0" w:beforeAutospacing="0" w:after="0" w:afterAutospacing="0"/>
        <w:ind w:left="720"/>
        <w:jc w:val="both"/>
        <w:rPr>
          <w:rFonts w:ascii="Arial" w:hAnsi="Arial" w:cs="Arial"/>
          <w:sz w:val="20"/>
          <w:szCs w:val="20"/>
        </w:rPr>
      </w:pPr>
      <w:r w:rsidRPr="00427D4D">
        <w:rPr>
          <w:rFonts w:ascii="Arial" w:hAnsi="Arial" w:cs="Arial"/>
          <w:sz w:val="20"/>
          <w:szCs w:val="20"/>
        </w:rPr>
        <w:t xml:space="preserve">Johansen, S. (1995). </w:t>
      </w:r>
      <w:r w:rsidRPr="00427D4D">
        <w:rPr>
          <w:rStyle w:val="Emphasis"/>
          <w:rFonts w:ascii="Arial" w:hAnsi="Arial" w:cs="Arial"/>
          <w:sz w:val="20"/>
          <w:szCs w:val="20"/>
        </w:rPr>
        <w:t>Likelihood-Based Inference in Cointegrated Vector Autoregressive Models.</w:t>
      </w:r>
      <w:r w:rsidRPr="00427D4D">
        <w:rPr>
          <w:rFonts w:ascii="Arial" w:hAnsi="Arial" w:cs="Arial"/>
          <w:sz w:val="20"/>
          <w:szCs w:val="20"/>
        </w:rPr>
        <w:t xml:space="preserve"> Oxford University Press. Pp. 212-225.</w:t>
      </w:r>
    </w:p>
    <w:p w:rsidR="00427D4D" w:rsidRPr="00427D4D" w:rsidRDefault="00427D4D" w:rsidP="00427D4D">
      <w:pPr>
        <w:pStyle w:val="NormalWeb"/>
        <w:spacing w:before="0" w:beforeAutospacing="0" w:after="0" w:afterAutospacing="0"/>
        <w:ind w:left="720"/>
        <w:jc w:val="both"/>
        <w:rPr>
          <w:rFonts w:ascii="Arial" w:hAnsi="Arial" w:cs="Arial"/>
          <w:sz w:val="20"/>
          <w:szCs w:val="20"/>
        </w:rPr>
      </w:pPr>
      <w:r w:rsidRPr="00427D4D">
        <w:rPr>
          <w:rFonts w:ascii="Arial" w:hAnsi="Arial" w:cs="Arial"/>
          <w:sz w:val="20"/>
          <w:szCs w:val="20"/>
        </w:rPr>
        <w:t xml:space="preserve">Kao, C. (1999). Spurious Regression and Residual-Based Tests For Cointegration in Panel Data. </w:t>
      </w:r>
      <w:r w:rsidRPr="00427D4D">
        <w:rPr>
          <w:rStyle w:val="Emphasis"/>
          <w:rFonts w:ascii="Arial" w:hAnsi="Arial" w:cs="Arial"/>
          <w:sz w:val="20"/>
          <w:szCs w:val="20"/>
        </w:rPr>
        <w:t>Journal of Econometrics</w:t>
      </w:r>
      <w:r w:rsidRPr="00427D4D">
        <w:rPr>
          <w:rFonts w:ascii="Arial" w:hAnsi="Arial" w:cs="Arial"/>
          <w:sz w:val="20"/>
          <w:szCs w:val="20"/>
        </w:rPr>
        <w:t>, 90(1), 1-44.</w:t>
      </w:r>
    </w:p>
    <w:p w:rsidR="00427D4D" w:rsidRPr="00427D4D" w:rsidRDefault="00427D4D" w:rsidP="00427D4D">
      <w:pPr>
        <w:pStyle w:val="NormalWeb"/>
        <w:spacing w:before="0" w:beforeAutospacing="0" w:after="0" w:afterAutospacing="0"/>
        <w:ind w:left="720"/>
        <w:jc w:val="both"/>
        <w:rPr>
          <w:rFonts w:ascii="Arial" w:hAnsi="Arial" w:cs="Arial"/>
          <w:sz w:val="20"/>
          <w:szCs w:val="20"/>
        </w:rPr>
      </w:pPr>
      <w:r w:rsidRPr="00427D4D">
        <w:rPr>
          <w:rFonts w:ascii="Arial" w:hAnsi="Arial" w:cs="Arial"/>
          <w:sz w:val="20"/>
          <w:szCs w:val="20"/>
        </w:rPr>
        <w:t xml:space="preserve">Kao, C. and Chiang, M. H. (2000). </w:t>
      </w:r>
      <w:r w:rsidRPr="00427D4D">
        <w:rPr>
          <w:rStyle w:val="Emphasis"/>
          <w:rFonts w:ascii="Arial" w:hAnsi="Arial" w:cs="Arial"/>
          <w:sz w:val="20"/>
          <w:szCs w:val="20"/>
        </w:rPr>
        <w:t>On the Estimation and Inference of a Cointegrated Regression in Panel Data</w:t>
      </w:r>
      <w:r w:rsidRPr="00427D4D">
        <w:rPr>
          <w:rFonts w:ascii="Arial" w:hAnsi="Arial" w:cs="Arial"/>
          <w:i/>
          <w:sz w:val="20"/>
          <w:szCs w:val="20"/>
        </w:rPr>
        <w:t>.</w:t>
      </w:r>
      <w:r w:rsidRPr="00427D4D">
        <w:rPr>
          <w:rFonts w:ascii="Arial" w:hAnsi="Arial" w:cs="Arial"/>
          <w:sz w:val="20"/>
          <w:szCs w:val="20"/>
        </w:rPr>
        <w:t xml:space="preserve"> In Baltagi, B. (Ed.), Nonstationary Panels, Panel Cointegration, and Dynamic Panels, Emerald Group Publishing Limited. Pp. 189-192.</w:t>
      </w:r>
    </w:p>
    <w:p w:rsidR="00427D4D" w:rsidRPr="00427D4D" w:rsidRDefault="00427D4D" w:rsidP="00427D4D">
      <w:pPr>
        <w:ind w:left="720"/>
        <w:jc w:val="both"/>
        <w:rPr>
          <w:rFonts w:ascii="Arial" w:hAnsi="Arial" w:cs="Arial"/>
        </w:rPr>
      </w:pPr>
      <w:r w:rsidRPr="00427D4D">
        <w:rPr>
          <w:rFonts w:ascii="Arial" w:hAnsi="Arial" w:cs="Arial"/>
          <w:bCs/>
        </w:rPr>
        <w:lastRenderedPageBreak/>
        <w:t xml:space="preserve">Lawal, N. A. and Wahab, T. I. (2018). Education and Economic Growth: The Nigerian Experience. </w:t>
      </w:r>
      <w:r w:rsidRPr="00427D4D">
        <w:rPr>
          <w:rFonts w:ascii="Arial" w:hAnsi="Arial" w:cs="Arial"/>
          <w:i/>
        </w:rPr>
        <w:t>Journal of Emerging Trends in Economics and Management Sciences (JETEMS)</w:t>
      </w:r>
      <w:r w:rsidRPr="00427D4D">
        <w:rPr>
          <w:rFonts w:ascii="Arial" w:hAnsi="Arial" w:cs="Arial"/>
        </w:rPr>
        <w:t>, 2(3), 225-231.</w:t>
      </w:r>
    </w:p>
    <w:p w:rsidR="00427D4D" w:rsidRPr="00427D4D" w:rsidRDefault="00427D4D" w:rsidP="00427D4D">
      <w:pPr>
        <w:ind w:left="720"/>
        <w:jc w:val="both"/>
        <w:rPr>
          <w:rFonts w:ascii="Arial" w:hAnsi="Arial" w:cs="Arial"/>
        </w:rPr>
      </w:pPr>
      <w:r w:rsidRPr="00427D4D">
        <w:rPr>
          <w:rFonts w:ascii="Arial" w:hAnsi="Arial" w:cs="Arial"/>
        </w:rPr>
        <w:t xml:space="preserve">Larsson, R., Lyhagen, J., and Lothgren, M. (2001). Likelihood-Based Cointegration Tests in Heterogeneous Panels. </w:t>
      </w:r>
      <w:r w:rsidRPr="00427D4D">
        <w:rPr>
          <w:rFonts w:ascii="Arial" w:hAnsi="Arial" w:cs="Arial"/>
          <w:i/>
        </w:rPr>
        <w:t>Econometric Journal</w:t>
      </w:r>
      <w:r w:rsidRPr="00427D4D">
        <w:rPr>
          <w:rFonts w:ascii="Arial" w:hAnsi="Arial" w:cs="Arial"/>
        </w:rPr>
        <w:t xml:space="preserve">, 4(1), 41-64. </w:t>
      </w:r>
    </w:p>
    <w:p w:rsidR="00427D4D" w:rsidRPr="00427D4D" w:rsidRDefault="00427D4D" w:rsidP="00427D4D">
      <w:pPr>
        <w:autoSpaceDE w:val="0"/>
        <w:autoSpaceDN w:val="0"/>
        <w:adjustRightInd w:val="0"/>
        <w:ind w:left="720"/>
        <w:jc w:val="both"/>
        <w:rPr>
          <w:rFonts w:ascii="Arial" w:hAnsi="Arial" w:cs="Arial"/>
        </w:rPr>
      </w:pPr>
      <w:r w:rsidRPr="00427D4D">
        <w:rPr>
          <w:rFonts w:ascii="Arial" w:hAnsi="Arial" w:cs="Arial"/>
        </w:rPr>
        <w:t xml:space="preserve">Maddala, G. S., and Wu, S., (1999). A Comparative Study of Unit Root Tests with Panel Data and A New Simple Test. </w:t>
      </w:r>
      <w:r w:rsidRPr="00427D4D">
        <w:rPr>
          <w:rFonts w:ascii="Arial" w:hAnsi="Arial" w:cs="Arial"/>
          <w:i/>
        </w:rPr>
        <w:t>Oxford Bulletin of Economics and Statistics, 61, Supplement,</w:t>
      </w:r>
      <w:r w:rsidRPr="00427D4D">
        <w:rPr>
          <w:rFonts w:ascii="Arial" w:hAnsi="Arial" w:cs="Arial"/>
        </w:rPr>
        <w:t xml:space="preserve"> 51, 631-652.</w:t>
      </w:r>
    </w:p>
    <w:p w:rsidR="00427D4D" w:rsidRPr="00427D4D" w:rsidRDefault="00427D4D" w:rsidP="00427D4D">
      <w:pPr>
        <w:pStyle w:val="Default"/>
        <w:ind w:left="720"/>
        <w:jc w:val="both"/>
        <w:rPr>
          <w:sz w:val="20"/>
          <w:szCs w:val="20"/>
        </w:rPr>
      </w:pPr>
      <w:r w:rsidRPr="00427D4D">
        <w:rPr>
          <w:sz w:val="20"/>
          <w:szCs w:val="20"/>
        </w:rPr>
        <w:t>Manyeki, K.B. and Balazs, K. (2020). Income Inequality and Economic Growth: An Empirical Analysis of Kenya. Udvari B (Ed) 2020: Proceedings of the 4th Central European PhD. Workshop technology technological change and development. University of Szeged, Doctoral School in Economics Szeged, 338-356.</w:t>
      </w:r>
    </w:p>
    <w:p w:rsidR="00427D4D" w:rsidRPr="00427D4D" w:rsidRDefault="00427D4D" w:rsidP="00427D4D">
      <w:pPr>
        <w:autoSpaceDE w:val="0"/>
        <w:autoSpaceDN w:val="0"/>
        <w:adjustRightInd w:val="0"/>
        <w:ind w:left="720"/>
        <w:jc w:val="both"/>
        <w:rPr>
          <w:rFonts w:ascii="Arial" w:hAnsi="Arial" w:cs="Arial"/>
        </w:rPr>
      </w:pPr>
      <w:r w:rsidRPr="00427D4D">
        <w:rPr>
          <w:rFonts w:ascii="Arial" w:hAnsi="Arial" w:cs="Arial"/>
        </w:rPr>
        <w:t xml:space="preserve">Ogungbenle, S., Olawumi, O. R., and Obasuyi F. O. T. (2022). Life expectancy, Public Health Spending and Economic Growth in Nigeria: A Vector Autoregressive (VAR) Model. </w:t>
      </w:r>
      <w:r w:rsidRPr="00427D4D">
        <w:rPr>
          <w:rFonts w:ascii="Arial" w:hAnsi="Arial" w:cs="Arial"/>
          <w:i/>
          <w:iCs/>
        </w:rPr>
        <w:t>European Scientific Journal</w:t>
      </w:r>
      <w:r w:rsidRPr="00427D4D">
        <w:rPr>
          <w:rFonts w:ascii="Arial" w:hAnsi="Arial" w:cs="Arial"/>
        </w:rPr>
        <w:t>,9(19), 210-235.</w:t>
      </w:r>
    </w:p>
    <w:p w:rsidR="00427D4D" w:rsidRPr="00427D4D" w:rsidRDefault="00427D4D" w:rsidP="00427D4D">
      <w:pPr>
        <w:autoSpaceDE w:val="0"/>
        <w:autoSpaceDN w:val="0"/>
        <w:adjustRightInd w:val="0"/>
        <w:ind w:left="720"/>
        <w:jc w:val="both"/>
        <w:rPr>
          <w:rFonts w:ascii="Arial" w:hAnsi="Arial" w:cs="Arial"/>
          <w:i/>
          <w:iCs/>
        </w:rPr>
      </w:pPr>
      <w:r w:rsidRPr="00427D4D">
        <w:rPr>
          <w:rFonts w:ascii="Arial" w:hAnsi="Arial" w:cs="Arial"/>
          <w:bCs/>
          <w:iCs/>
        </w:rPr>
        <w:t xml:space="preserve">Omojimite, B. U. (2019). </w:t>
      </w:r>
      <w:r w:rsidRPr="00427D4D">
        <w:rPr>
          <w:rFonts w:ascii="Arial" w:hAnsi="Arial" w:cs="Arial"/>
          <w:bCs/>
        </w:rPr>
        <w:t xml:space="preserve">Education and Economic Growth in Nigeria: A Granger Causality Analysis. </w:t>
      </w:r>
      <w:r w:rsidRPr="00427D4D">
        <w:rPr>
          <w:rFonts w:ascii="Arial" w:hAnsi="Arial" w:cs="Arial"/>
          <w:i/>
          <w:iCs/>
        </w:rPr>
        <w:t xml:space="preserve">An International Multi-Disciplinary Journal, Ethiopia, </w:t>
      </w:r>
      <w:r w:rsidRPr="00427D4D">
        <w:rPr>
          <w:rFonts w:ascii="Arial" w:hAnsi="Arial" w:cs="Arial"/>
          <w:iCs/>
        </w:rPr>
        <w:t>4(3a), 90-108</w:t>
      </w:r>
      <w:r w:rsidRPr="00427D4D">
        <w:rPr>
          <w:rFonts w:ascii="Arial" w:hAnsi="Arial" w:cs="Arial"/>
          <w:i/>
          <w:iCs/>
        </w:rPr>
        <w:t>.</w:t>
      </w:r>
    </w:p>
    <w:p w:rsidR="00427D4D" w:rsidRPr="00427D4D" w:rsidRDefault="00427D4D" w:rsidP="00427D4D">
      <w:pPr>
        <w:pStyle w:val="Default"/>
        <w:ind w:left="720"/>
        <w:jc w:val="both"/>
        <w:rPr>
          <w:i/>
          <w:iCs/>
          <w:sz w:val="20"/>
          <w:szCs w:val="20"/>
        </w:rPr>
      </w:pPr>
      <w:r w:rsidRPr="00427D4D">
        <w:rPr>
          <w:sz w:val="20"/>
          <w:szCs w:val="20"/>
        </w:rPr>
        <w:t xml:space="preserve">Omolua, R. O. and Tamunowariye, C. (2021). Poverty, Inequality and Economic Growth in Nigeria Between 1985-2020. </w:t>
      </w:r>
      <w:r w:rsidRPr="00427D4D">
        <w:rPr>
          <w:i/>
          <w:iCs/>
          <w:sz w:val="20"/>
          <w:szCs w:val="20"/>
        </w:rPr>
        <w:t xml:space="preserve">International Journal of Economic and Financial Management, </w:t>
      </w:r>
      <w:r w:rsidRPr="00427D4D">
        <w:rPr>
          <w:iCs/>
          <w:sz w:val="20"/>
          <w:szCs w:val="20"/>
        </w:rPr>
        <w:t>6(1), 74-85</w:t>
      </w:r>
      <w:r w:rsidRPr="00427D4D">
        <w:rPr>
          <w:i/>
          <w:iCs/>
          <w:sz w:val="20"/>
          <w:szCs w:val="20"/>
        </w:rPr>
        <w:t>.</w:t>
      </w:r>
    </w:p>
    <w:p w:rsidR="00427D4D" w:rsidRPr="00427D4D" w:rsidRDefault="00427D4D" w:rsidP="00427D4D">
      <w:pPr>
        <w:autoSpaceDE w:val="0"/>
        <w:autoSpaceDN w:val="0"/>
        <w:adjustRightInd w:val="0"/>
        <w:ind w:left="720"/>
        <w:jc w:val="both"/>
        <w:rPr>
          <w:rStyle w:val="Hyperlink"/>
          <w:rFonts w:ascii="Arial" w:eastAsiaTheme="majorEastAsia" w:hAnsi="Arial" w:cs="Arial"/>
        </w:rPr>
      </w:pPr>
      <w:r w:rsidRPr="00427D4D">
        <w:rPr>
          <w:rFonts w:ascii="Arial" w:hAnsi="Arial" w:cs="Arial"/>
          <w:color w:val="000000"/>
        </w:rPr>
        <w:t>Onyedinefu, G. (2022). Nigeria’s Illiteracy Rate is Now 31%, Says FG, Businessday NG, available at:</w:t>
      </w:r>
      <w:hyperlink r:id="rId14" w:history="1">
        <w:r w:rsidRPr="00427D4D">
          <w:rPr>
            <w:rStyle w:val="Hyperlink"/>
            <w:rFonts w:ascii="Arial" w:eastAsiaTheme="majorEastAsia" w:hAnsi="Arial" w:cs="Arial"/>
          </w:rPr>
          <w:t>https://businessday.ng/news/article/nigerias-illiteracy-rate-is-now-31-says-fg/</w:t>
        </w:r>
      </w:hyperlink>
    </w:p>
    <w:p w:rsidR="00427D4D" w:rsidRPr="00427D4D" w:rsidRDefault="00427D4D" w:rsidP="00427D4D">
      <w:pPr>
        <w:pStyle w:val="NormalWeb"/>
        <w:spacing w:before="0" w:beforeAutospacing="0" w:afterAutospacing="0"/>
        <w:ind w:left="720"/>
        <w:jc w:val="both"/>
        <w:rPr>
          <w:rFonts w:ascii="Arial" w:eastAsiaTheme="majorEastAsia" w:hAnsi="Arial" w:cs="Arial"/>
          <w:sz w:val="20"/>
          <w:szCs w:val="20"/>
        </w:rPr>
      </w:pPr>
      <w:r w:rsidRPr="00427D4D">
        <w:rPr>
          <w:rFonts w:ascii="Arial" w:hAnsi="Arial" w:cs="Arial"/>
          <w:sz w:val="20"/>
          <w:szCs w:val="20"/>
        </w:rPr>
        <w:t xml:space="preserve">Pedroni, P. (2000). </w:t>
      </w:r>
      <w:r w:rsidRPr="00427D4D">
        <w:rPr>
          <w:rStyle w:val="Emphasis"/>
          <w:rFonts w:ascii="Arial" w:hAnsi="Arial" w:cs="Arial"/>
          <w:sz w:val="20"/>
          <w:szCs w:val="20"/>
        </w:rPr>
        <w:t>Fully Modified OLS for Heterogeneous Cointegrated Panels</w:t>
      </w:r>
      <w:r w:rsidRPr="00427D4D">
        <w:rPr>
          <w:rFonts w:ascii="Arial" w:hAnsi="Arial" w:cs="Arial"/>
          <w:sz w:val="20"/>
          <w:szCs w:val="20"/>
        </w:rPr>
        <w:t xml:space="preserve">. </w:t>
      </w:r>
      <w:r w:rsidRPr="00427D4D">
        <w:rPr>
          <w:rFonts w:ascii="Arial" w:hAnsi="Arial" w:cs="Arial"/>
          <w:i/>
          <w:sz w:val="20"/>
          <w:szCs w:val="20"/>
        </w:rPr>
        <w:t>Econometric Theory</w:t>
      </w:r>
      <w:r w:rsidRPr="00427D4D">
        <w:rPr>
          <w:rFonts w:ascii="Arial" w:hAnsi="Arial" w:cs="Arial"/>
          <w:sz w:val="20"/>
          <w:szCs w:val="20"/>
        </w:rPr>
        <w:t>, 16(6), 1023-1051.</w:t>
      </w:r>
    </w:p>
    <w:p w:rsidR="00427D4D" w:rsidRPr="00427D4D" w:rsidRDefault="00427D4D" w:rsidP="00427D4D">
      <w:pPr>
        <w:pStyle w:val="NormalWeb"/>
        <w:spacing w:before="0" w:beforeAutospacing="0" w:afterAutospacing="0"/>
        <w:ind w:left="720"/>
        <w:jc w:val="both"/>
        <w:rPr>
          <w:rFonts w:ascii="Arial" w:hAnsi="Arial" w:cs="Arial"/>
          <w:sz w:val="20"/>
          <w:szCs w:val="20"/>
        </w:rPr>
      </w:pPr>
      <w:r w:rsidRPr="00427D4D">
        <w:rPr>
          <w:rFonts w:ascii="Arial" w:hAnsi="Arial" w:cs="Arial"/>
          <w:sz w:val="20"/>
          <w:szCs w:val="20"/>
        </w:rPr>
        <w:t xml:space="preserve">Pesaran, M. H. (2015). Testing Weak Cross-sectional Dependence in Large Panels. </w:t>
      </w:r>
      <w:r w:rsidRPr="00427D4D">
        <w:rPr>
          <w:rFonts w:ascii="Arial" w:hAnsi="Arial" w:cs="Arial"/>
          <w:i/>
          <w:sz w:val="20"/>
          <w:szCs w:val="20"/>
        </w:rPr>
        <w:t>Econometric Reviews</w:t>
      </w:r>
      <w:r w:rsidRPr="00427D4D">
        <w:rPr>
          <w:rFonts w:ascii="Arial" w:hAnsi="Arial" w:cs="Arial"/>
          <w:sz w:val="20"/>
          <w:szCs w:val="20"/>
        </w:rPr>
        <w:t>, 34(6–10), 1089-1117.</w:t>
      </w:r>
    </w:p>
    <w:p w:rsidR="00427D4D" w:rsidRPr="00427D4D" w:rsidRDefault="00427D4D" w:rsidP="00427D4D">
      <w:pPr>
        <w:autoSpaceDE w:val="0"/>
        <w:autoSpaceDN w:val="0"/>
        <w:adjustRightInd w:val="0"/>
        <w:ind w:left="720"/>
        <w:jc w:val="both"/>
        <w:rPr>
          <w:rFonts w:ascii="Arial" w:hAnsi="Arial" w:cs="Arial"/>
        </w:rPr>
      </w:pPr>
      <w:r w:rsidRPr="00427D4D">
        <w:rPr>
          <w:rFonts w:ascii="Arial" w:hAnsi="Arial" w:cs="Arial"/>
        </w:rPr>
        <w:t>Ramirez, A, Ranis, G. and Stewart, (2017). Economic Growth and Human development. Center Discussion Paper N787.</w:t>
      </w:r>
    </w:p>
    <w:p w:rsidR="00427D4D" w:rsidRPr="00427D4D" w:rsidRDefault="00427D4D" w:rsidP="00427D4D">
      <w:pPr>
        <w:ind w:left="720"/>
        <w:jc w:val="both"/>
        <w:rPr>
          <w:rFonts w:ascii="Arial" w:hAnsi="Arial" w:cs="Arial"/>
        </w:rPr>
      </w:pPr>
      <w:r w:rsidRPr="00427D4D">
        <w:rPr>
          <w:rFonts w:ascii="Arial" w:hAnsi="Arial" w:cs="Arial"/>
        </w:rPr>
        <w:t xml:space="preserve">Sakiru, O. K., Ismail, I. A. B., and Samah, B. A., (2017). Socio-Demographic Factors that Influence Job Satisfaction among Academicians in Public Universities. </w:t>
      </w:r>
      <w:r w:rsidRPr="00427D4D">
        <w:rPr>
          <w:rFonts w:ascii="Arial" w:hAnsi="Arial" w:cs="Arial"/>
          <w:i/>
        </w:rPr>
        <w:t xml:space="preserve">Canada International Conference on Education, </w:t>
      </w:r>
      <w:r w:rsidRPr="00427D4D">
        <w:rPr>
          <w:rFonts w:ascii="Arial" w:hAnsi="Arial" w:cs="Arial"/>
        </w:rPr>
        <w:t>4(7), 222-226.</w:t>
      </w:r>
    </w:p>
    <w:p w:rsidR="00427D4D" w:rsidRPr="00427D4D" w:rsidRDefault="00427D4D" w:rsidP="00427D4D">
      <w:pPr>
        <w:pStyle w:val="Default"/>
        <w:ind w:left="720"/>
        <w:jc w:val="both"/>
        <w:rPr>
          <w:sz w:val="20"/>
          <w:szCs w:val="20"/>
        </w:rPr>
      </w:pPr>
      <w:r w:rsidRPr="00427D4D">
        <w:rPr>
          <w:sz w:val="20"/>
          <w:szCs w:val="20"/>
        </w:rPr>
        <w:t xml:space="preserve">Singh, S. and Kamra, D. (2016). Study of Factors Affecting Academic Achievement in Medical Students. </w:t>
      </w:r>
      <w:r w:rsidRPr="00427D4D">
        <w:rPr>
          <w:i/>
          <w:sz w:val="20"/>
          <w:szCs w:val="20"/>
        </w:rPr>
        <w:t>Journal of Medical Science and Clinical Research</w:t>
      </w:r>
      <w:r w:rsidRPr="00427D4D">
        <w:rPr>
          <w:sz w:val="20"/>
          <w:szCs w:val="20"/>
        </w:rPr>
        <w:t>, 4(12), 68-72.</w:t>
      </w:r>
    </w:p>
    <w:p w:rsidR="00427D4D" w:rsidRPr="00427D4D" w:rsidRDefault="00427D4D" w:rsidP="00427D4D">
      <w:pPr>
        <w:pStyle w:val="NormalWeb"/>
        <w:spacing w:before="0" w:beforeAutospacing="0" w:afterAutospacing="0"/>
        <w:ind w:left="720"/>
        <w:jc w:val="both"/>
        <w:rPr>
          <w:rFonts w:ascii="Arial" w:hAnsi="Arial" w:cs="Arial"/>
          <w:sz w:val="20"/>
          <w:szCs w:val="20"/>
        </w:rPr>
      </w:pPr>
      <w:r w:rsidRPr="00427D4D">
        <w:rPr>
          <w:rFonts w:ascii="Arial" w:hAnsi="Arial" w:cs="Arial"/>
          <w:sz w:val="20"/>
          <w:szCs w:val="20"/>
        </w:rPr>
        <w:t xml:space="preserve">Stock, J. H. and Watson, M. W. (1993). </w:t>
      </w:r>
      <w:r w:rsidRPr="00427D4D">
        <w:rPr>
          <w:rStyle w:val="Emphasis"/>
          <w:rFonts w:ascii="Arial" w:hAnsi="Arial" w:cs="Arial"/>
          <w:sz w:val="20"/>
          <w:szCs w:val="20"/>
        </w:rPr>
        <w:t>A Simple Estimator of Cointegrating Vectors in Higher Order Integrated Systems</w:t>
      </w:r>
      <w:r w:rsidRPr="00427D4D">
        <w:rPr>
          <w:rFonts w:ascii="Arial" w:hAnsi="Arial" w:cs="Arial"/>
          <w:i/>
          <w:sz w:val="20"/>
          <w:szCs w:val="20"/>
        </w:rPr>
        <w:t>. Econometrica</w:t>
      </w:r>
      <w:r w:rsidRPr="00427D4D">
        <w:rPr>
          <w:rFonts w:ascii="Arial" w:hAnsi="Arial" w:cs="Arial"/>
          <w:sz w:val="20"/>
          <w:szCs w:val="20"/>
        </w:rPr>
        <w:t>, 61(4), 783-820.</w:t>
      </w:r>
    </w:p>
    <w:p w:rsidR="00427D4D" w:rsidRPr="00427D4D" w:rsidRDefault="00427D4D" w:rsidP="00427D4D">
      <w:pPr>
        <w:pStyle w:val="Default"/>
        <w:ind w:left="720"/>
        <w:jc w:val="both"/>
        <w:rPr>
          <w:rStyle w:val="Hyperlink"/>
          <w:sz w:val="20"/>
          <w:szCs w:val="20"/>
        </w:rPr>
      </w:pPr>
      <w:r w:rsidRPr="00427D4D">
        <w:rPr>
          <w:sz w:val="20"/>
          <w:szCs w:val="20"/>
        </w:rPr>
        <w:t xml:space="preserve">United Nations Development Programme (2023). Human Development Report 2023/2024. Retrieved from </w:t>
      </w:r>
      <w:hyperlink r:id="rId15" w:history="1">
        <w:r w:rsidRPr="00427D4D">
          <w:rPr>
            <w:rStyle w:val="Hyperlink"/>
            <w:sz w:val="20"/>
            <w:szCs w:val="20"/>
          </w:rPr>
          <w:t>https://hdr.undp.org</w:t>
        </w:r>
      </w:hyperlink>
    </w:p>
    <w:p w:rsidR="00B01FCD" w:rsidRPr="00427D4D" w:rsidRDefault="00B01FCD" w:rsidP="00427D4D">
      <w:pPr>
        <w:pStyle w:val="Body"/>
        <w:spacing w:after="0"/>
        <w:rPr>
          <w:rFonts w:ascii="Arial" w:hAnsi="Arial" w:cs="Arial"/>
          <w:b/>
        </w:rPr>
      </w:pPr>
    </w:p>
    <w:sectPr w:rsidR="00B01FCD" w:rsidRPr="00427D4D" w:rsidSect="009A0DC2">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660" w:rsidRDefault="00F96660" w:rsidP="00C37E61">
      <w:r>
        <w:separator/>
      </w:r>
    </w:p>
  </w:endnote>
  <w:endnote w:type="continuationSeparator" w:id="1">
    <w:p w:rsidR="00F96660" w:rsidRDefault="00F96660"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FE6" w:rsidRDefault="00972F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FE6" w:rsidRDefault="00972F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FE6" w:rsidRDefault="00972FE6">
    <w:pPr>
      <w:pStyle w:val="Footer"/>
      <w:rPr>
        <w:rFonts w:ascii="Arial" w:hAnsi="Arial" w:cs="Arial"/>
        <w:sz w:val="16"/>
      </w:rPr>
    </w:pPr>
  </w:p>
  <w:p w:rsidR="00972FE6" w:rsidRDefault="00972FE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972FE6" w:rsidRDefault="00972FE6">
    <w:pPr>
      <w:pStyle w:val="Footer"/>
      <w:rPr>
        <w:rFonts w:ascii="Arial" w:hAnsi="Arial" w:cs="Arial"/>
        <w:sz w:val="16"/>
      </w:rPr>
    </w:pPr>
  </w:p>
  <w:p w:rsidR="00972FE6" w:rsidRPr="009E048A" w:rsidRDefault="00972FE6">
    <w:pPr>
      <w:pStyle w:val="Footer"/>
      <w:rPr>
        <w:rFonts w:ascii="Arial" w:hAnsi="Arial" w:cs="Arial"/>
        <w:i/>
        <w:sz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6300"/>
      <w:docPartObj>
        <w:docPartGallery w:val="Page Numbers (Bottom of Page)"/>
        <w:docPartUnique/>
      </w:docPartObj>
    </w:sdtPr>
    <w:sdtEndPr>
      <w:rPr>
        <w:rFonts w:ascii="Arial" w:hAnsi="Arial" w:cs="Arial"/>
      </w:rPr>
    </w:sdtEndPr>
    <w:sdtContent>
      <w:p w:rsidR="00972FE6" w:rsidRDefault="00972FE6">
        <w:pPr>
          <w:pStyle w:val="Footer"/>
          <w:jc w:val="center"/>
        </w:pPr>
        <w:r w:rsidRPr="00E17A24">
          <w:rPr>
            <w:rFonts w:ascii="Arial" w:hAnsi="Arial" w:cs="Arial"/>
          </w:rPr>
          <w:fldChar w:fldCharType="begin"/>
        </w:r>
        <w:r w:rsidRPr="00E17A24">
          <w:rPr>
            <w:rFonts w:ascii="Arial" w:hAnsi="Arial" w:cs="Arial"/>
          </w:rPr>
          <w:instrText xml:space="preserve"> PAGE   \* MERGEFORMAT </w:instrText>
        </w:r>
        <w:r w:rsidRPr="00E17A24">
          <w:rPr>
            <w:rFonts w:ascii="Arial" w:hAnsi="Arial" w:cs="Arial"/>
          </w:rPr>
          <w:fldChar w:fldCharType="separate"/>
        </w:r>
        <w:r w:rsidR="00E830E6">
          <w:rPr>
            <w:rFonts w:ascii="Arial" w:hAnsi="Arial" w:cs="Arial"/>
            <w:noProof/>
          </w:rPr>
          <w:t>4</w:t>
        </w:r>
        <w:r w:rsidRPr="00E17A24">
          <w:rPr>
            <w:rFonts w:ascii="Arial" w:hAnsi="Arial" w:cs="Arial"/>
          </w:rPr>
          <w:fldChar w:fldCharType="end"/>
        </w:r>
      </w:p>
    </w:sdtContent>
  </w:sdt>
  <w:p w:rsidR="00972FE6" w:rsidRPr="00C37E61" w:rsidRDefault="00972FE6"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660" w:rsidRDefault="00F96660" w:rsidP="00C37E61">
      <w:r>
        <w:separator/>
      </w:r>
    </w:p>
  </w:footnote>
  <w:footnote w:type="continuationSeparator" w:id="1">
    <w:p w:rsidR="00F96660" w:rsidRDefault="00F96660"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FE6" w:rsidRDefault="00972F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02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FE6" w:rsidRDefault="00972F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02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FE6" w:rsidRPr="00296529" w:rsidRDefault="00972FE6" w:rsidP="00296529">
    <w:pPr>
      <w:ind w:left="2160"/>
      <w:jc w:val="center"/>
      <w:rPr>
        <w:rFonts w:ascii="Times New Roman" w:eastAsia="Calibri" w:hAnsi="Times New Roman"/>
        <w:i/>
        <w:sz w:val="18"/>
        <w:szCs w:val="22"/>
      </w:rPr>
    </w:pPr>
    <w:r w:rsidRPr="00FB352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02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972FE6" w:rsidRPr="00296529" w:rsidRDefault="00972FE6" w:rsidP="00296529">
    <w:pPr>
      <w:ind w:left="4320"/>
      <w:rPr>
        <w:rFonts w:ascii="Times New Roman" w:eastAsia="Calibri" w:hAnsi="Times New Roman"/>
        <w:i/>
        <w:sz w:val="18"/>
        <w:szCs w:val="22"/>
      </w:rPr>
    </w:pPr>
    <w:r>
      <w:rPr>
        <w:rFonts w:ascii="Times New Roman" w:eastAsia="Calibri" w:hAnsi="Times New Roman"/>
        <w:i/>
        <w:sz w:val="18"/>
        <w:szCs w:val="22"/>
      </w:rPr>
      <w:t>.</w:t>
    </w:r>
  </w:p>
  <w:p w:rsidR="00972FE6" w:rsidRPr="00296529" w:rsidRDefault="00972FE6" w:rsidP="00296529">
    <w:pPr>
      <w:jc w:val="center"/>
      <w:rPr>
        <w:rFonts w:ascii="Times New Roman" w:eastAsia="Calibri" w:hAnsi="Times New Roman"/>
        <w:i/>
        <w:sz w:val="18"/>
        <w:szCs w:val="22"/>
      </w:rPr>
    </w:pPr>
    <w:r>
      <w:rPr>
        <w:rFonts w:ascii="Times New Roman" w:eastAsia="Calibri" w:hAnsi="Times New Roman"/>
        <w:i/>
        <w:sz w:val="18"/>
        <w:szCs w:val="22"/>
      </w:rPr>
      <w:t>.</w:t>
    </w:r>
  </w:p>
  <w:p w:rsidR="00972FE6" w:rsidRPr="00296529" w:rsidRDefault="00972FE6"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972FE6" w:rsidRDefault="00972FE6" w:rsidP="00296529">
    <w:pPr>
      <w:jc w:val="center"/>
      <w:rPr>
        <w:rFonts w:ascii="Times New Roman" w:eastAsia="Calibri" w:hAnsi="Times New Roman"/>
        <w:i/>
        <w:sz w:val="18"/>
        <w:szCs w:val="22"/>
      </w:rPr>
    </w:pPr>
  </w:p>
  <w:p w:rsidR="00972FE6" w:rsidRDefault="00972FE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972FE6" w:rsidRDefault="00972FE6">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FE6" w:rsidRDefault="00972F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02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FE6" w:rsidRDefault="00972F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02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FE6" w:rsidRDefault="00972F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02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B2725B3"/>
    <w:multiLevelType w:val="hybridMultilevel"/>
    <w:tmpl w:val="C2E0A2BA"/>
    <w:lvl w:ilvl="0" w:tplc="4112D41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0D1496D"/>
    <w:multiLevelType w:val="hybridMultilevel"/>
    <w:tmpl w:val="46128844"/>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BEE55DD"/>
    <w:multiLevelType w:val="hybridMultilevel"/>
    <w:tmpl w:val="928213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1"/>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20D3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3CAF"/>
    <w:rsid w:val="00191062"/>
    <w:rsid w:val="00192B72"/>
    <w:rsid w:val="001A29D8"/>
    <w:rsid w:val="001A5CAA"/>
    <w:rsid w:val="001B0427"/>
    <w:rsid w:val="001D3A51"/>
    <w:rsid w:val="001E10D2"/>
    <w:rsid w:val="001E25B4"/>
    <w:rsid w:val="001E44FE"/>
    <w:rsid w:val="001E7F67"/>
    <w:rsid w:val="00200595"/>
    <w:rsid w:val="00204835"/>
    <w:rsid w:val="00231920"/>
    <w:rsid w:val="0023195C"/>
    <w:rsid w:val="0024282C"/>
    <w:rsid w:val="002460DC"/>
    <w:rsid w:val="00250985"/>
    <w:rsid w:val="002556F6"/>
    <w:rsid w:val="00283105"/>
    <w:rsid w:val="00284C4C"/>
    <w:rsid w:val="00287E68"/>
    <w:rsid w:val="00296529"/>
    <w:rsid w:val="002A6EF5"/>
    <w:rsid w:val="002B231C"/>
    <w:rsid w:val="002B27FB"/>
    <w:rsid w:val="002B685A"/>
    <w:rsid w:val="002C2EF4"/>
    <w:rsid w:val="002C57D2"/>
    <w:rsid w:val="002D56A2"/>
    <w:rsid w:val="002E0D56"/>
    <w:rsid w:val="00315186"/>
    <w:rsid w:val="0031693D"/>
    <w:rsid w:val="0033343E"/>
    <w:rsid w:val="003512C2"/>
    <w:rsid w:val="00371FB6"/>
    <w:rsid w:val="003763C1"/>
    <w:rsid w:val="00376BBE"/>
    <w:rsid w:val="0039224F"/>
    <w:rsid w:val="003A43A4"/>
    <w:rsid w:val="003A4AA4"/>
    <w:rsid w:val="003A7E18"/>
    <w:rsid w:val="003C4C86"/>
    <w:rsid w:val="003C6258"/>
    <w:rsid w:val="003E2904"/>
    <w:rsid w:val="00401927"/>
    <w:rsid w:val="0041027F"/>
    <w:rsid w:val="00412475"/>
    <w:rsid w:val="00423789"/>
    <w:rsid w:val="00427D4D"/>
    <w:rsid w:val="00440F43"/>
    <w:rsid w:val="00441B6F"/>
    <w:rsid w:val="00446221"/>
    <w:rsid w:val="00450E62"/>
    <w:rsid w:val="004539DB"/>
    <w:rsid w:val="00471A80"/>
    <w:rsid w:val="004D305E"/>
    <w:rsid w:val="004D4277"/>
    <w:rsid w:val="004E6B0B"/>
    <w:rsid w:val="00502516"/>
    <w:rsid w:val="00505F06"/>
    <w:rsid w:val="00506828"/>
    <w:rsid w:val="0053056E"/>
    <w:rsid w:val="00546A37"/>
    <w:rsid w:val="00554FDA"/>
    <w:rsid w:val="00574C8D"/>
    <w:rsid w:val="00593ED7"/>
    <w:rsid w:val="00596EC9"/>
    <w:rsid w:val="005C784C"/>
    <w:rsid w:val="005D17F6"/>
    <w:rsid w:val="005E5539"/>
    <w:rsid w:val="00602BF5"/>
    <w:rsid w:val="00617FDD"/>
    <w:rsid w:val="00633614"/>
    <w:rsid w:val="00633F68"/>
    <w:rsid w:val="00636EB2"/>
    <w:rsid w:val="006375B8"/>
    <w:rsid w:val="00653791"/>
    <w:rsid w:val="0066510A"/>
    <w:rsid w:val="00673F9F"/>
    <w:rsid w:val="00686953"/>
    <w:rsid w:val="00687DEA"/>
    <w:rsid w:val="00687E67"/>
    <w:rsid w:val="006967F7"/>
    <w:rsid w:val="006A250C"/>
    <w:rsid w:val="006B21D3"/>
    <w:rsid w:val="006B57D0"/>
    <w:rsid w:val="006C1708"/>
    <w:rsid w:val="006D30FF"/>
    <w:rsid w:val="006D6940"/>
    <w:rsid w:val="006D697D"/>
    <w:rsid w:val="006E47CD"/>
    <w:rsid w:val="006F11EC"/>
    <w:rsid w:val="0070082C"/>
    <w:rsid w:val="007264B1"/>
    <w:rsid w:val="007369E6"/>
    <w:rsid w:val="00746E59"/>
    <w:rsid w:val="00754C9A"/>
    <w:rsid w:val="0075599A"/>
    <w:rsid w:val="00761D52"/>
    <w:rsid w:val="0077749E"/>
    <w:rsid w:val="00790ADA"/>
    <w:rsid w:val="007D2288"/>
    <w:rsid w:val="007D30FD"/>
    <w:rsid w:val="007E088F"/>
    <w:rsid w:val="007F7B32"/>
    <w:rsid w:val="00804BC2"/>
    <w:rsid w:val="0081431A"/>
    <w:rsid w:val="0083216F"/>
    <w:rsid w:val="0085521E"/>
    <w:rsid w:val="00857E36"/>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2FE6"/>
    <w:rsid w:val="00983040"/>
    <w:rsid w:val="009A0DC2"/>
    <w:rsid w:val="009B3FB9"/>
    <w:rsid w:val="009C2465"/>
    <w:rsid w:val="009D35A0"/>
    <w:rsid w:val="009D7EB7"/>
    <w:rsid w:val="009E048A"/>
    <w:rsid w:val="009E08E9"/>
    <w:rsid w:val="009E0F3D"/>
    <w:rsid w:val="009E3DB9"/>
    <w:rsid w:val="009E6E35"/>
    <w:rsid w:val="009F0EDA"/>
    <w:rsid w:val="00A03B96"/>
    <w:rsid w:val="00A05B19"/>
    <w:rsid w:val="00A1134E"/>
    <w:rsid w:val="00A24E7E"/>
    <w:rsid w:val="00A258C3"/>
    <w:rsid w:val="00A30943"/>
    <w:rsid w:val="00A347C0"/>
    <w:rsid w:val="00A51431"/>
    <w:rsid w:val="00A539AD"/>
    <w:rsid w:val="00A8459F"/>
    <w:rsid w:val="00A94063"/>
    <w:rsid w:val="00AA6219"/>
    <w:rsid w:val="00AA74E0"/>
    <w:rsid w:val="00AB703F"/>
    <w:rsid w:val="00AC4AAE"/>
    <w:rsid w:val="00AC6BB8"/>
    <w:rsid w:val="00AD5C35"/>
    <w:rsid w:val="00AE008F"/>
    <w:rsid w:val="00B01FCD"/>
    <w:rsid w:val="00B1776C"/>
    <w:rsid w:val="00B34C50"/>
    <w:rsid w:val="00B52583"/>
    <w:rsid w:val="00B52896"/>
    <w:rsid w:val="00B90283"/>
    <w:rsid w:val="00B95236"/>
    <w:rsid w:val="00B96BD9"/>
    <w:rsid w:val="00BA1B01"/>
    <w:rsid w:val="00BA2641"/>
    <w:rsid w:val="00BB37AA"/>
    <w:rsid w:val="00BC53A0"/>
    <w:rsid w:val="00BE62AD"/>
    <w:rsid w:val="00BF121F"/>
    <w:rsid w:val="00BF1F80"/>
    <w:rsid w:val="00C166EF"/>
    <w:rsid w:val="00C17EB0"/>
    <w:rsid w:val="00C220B8"/>
    <w:rsid w:val="00C27F5F"/>
    <w:rsid w:val="00C30A0F"/>
    <w:rsid w:val="00C37E61"/>
    <w:rsid w:val="00C70F1B"/>
    <w:rsid w:val="00C71A47"/>
    <w:rsid w:val="00C7464C"/>
    <w:rsid w:val="00C85588"/>
    <w:rsid w:val="00CD6755"/>
    <w:rsid w:val="00CD6856"/>
    <w:rsid w:val="00CE0089"/>
    <w:rsid w:val="00CE793C"/>
    <w:rsid w:val="00CF193C"/>
    <w:rsid w:val="00D02DEE"/>
    <w:rsid w:val="00D173F1"/>
    <w:rsid w:val="00D74CB0"/>
    <w:rsid w:val="00D8295D"/>
    <w:rsid w:val="00DC2A65"/>
    <w:rsid w:val="00DE15F0"/>
    <w:rsid w:val="00DE5663"/>
    <w:rsid w:val="00DE78AA"/>
    <w:rsid w:val="00E053D0"/>
    <w:rsid w:val="00E15994"/>
    <w:rsid w:val="00E17A24"/>
    <w:rsid w:val="00E3114E"/>
    <w:rsid w:val="00E31A70"/>
    <w:rsid w:val="00E35B02"/>
    <w:rsid w:val="00E66496"/>
    <w:rsid w:val="00E66B35"/>
    <w:rsid w:val="00E66E10"/>
    <w:rsid w:val="00E769F6"/>
    <w:rsid w:val="00E830E6"/>
    <w:rsid w:val="00E8407C"/>
    <w:rsid w:val="00E84F3C"/>
    <w:rsid w:val="00EA012C"/>
    <w:rsid w:val="00EC6A55"/>
    <w:rsid w:val="00ED0288"/>
    <w:rsid w:val="00EE52CB"/>
    <w:rsid w:val="00EF581D"/>
    <w:rsid w:val="00EF7FD8"/>
    <w:rsid w:val="00F06F59"/>
    <w:rsid w:val="00F17988"/>
    <w:rsid w:val="00F30DF6"/>
    <w:rsid w:val="00F469F0"/>
    <w:rsid w:val="00F53273"/>
    <w:rsid w:val="00F64ABF"/>
    <w:rsid w:val="00F755E4"/>
    <w:rsid w:val="00F77D02"/>
    <w:rsid w:val="00F96660"/>
    <w:rsid w:val="00FA5B71"/>
    <w:rsid w:val="00FB352D"/>
    <w:rsid w:val="00FB3A86"/>
    <w:rsid w:val="00FC7BB6"/>
    <w:rsid w:val="00FD36C8"/>
    <w:rsid w:val="00FE6E30"/>
    <w:rsid w:val="00FF26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F30DF6"/>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F30DF6"/>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30D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30DF6"/>
    <w:rPr>
      <w:b/>
      <w:bCs/>
      <w:sz w:val="27"/>
      <w:szCs w:val="27"/>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F30DF6"/>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F30DF6"/>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FA5B71"/>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F30DF6"/>
    <w:pPr>
      <w:spacing w:after="200" w:line="276" w:lineRule="auto"/>
      <w:ind w:left="720"/>
      <w:contextualSpacing/>
    </w:pPr>
    <w:rPr>
      <w:rFonts w:asciiTheme="minorHAnsi" w:eastAsiaTheme="minorHAnsi" w:hAnsiTheme="minorHAnsi" w:cstheme="minorBidi"/>
      <w:sz w:val="22"/>
      <w:szCs w:val="22"/>
    </w:rPr>
  </w:style>
  <w:style w:type="paragraph" w:customStyle="1" w:styleId="placeholder">
    <w:name w:val="placeholder"/>
    <w:basedOn w:val="Normal"/>
    <w:uiPriority w:val="99"/>
    <w:rsid w:val="00F30DF6"/>
    <w:pPr>
      <w:spacing w:before="100" w:beforeAutospacing="1" w:after="100" w:afterAutospacing="1"/>
    </w:pPr>
    <w:rPr>
      <w:rFonts w:ascii="Times New Roman" w:hAnsi="Times New Roman"/>
      <w:sz w:val="24"/>
      <w:szCs w:val="24"/>
    </w:rPr>
  </w:style>
  <w:style w:type="paragraph" w:customStyle="1" w:styleId="Default">
    <w:name w:val="Default"/>
    <w:uiPriority w:val="99"/>
    <w:rsid w:val="00F30DF6"/>
    <w:pPr>
      <w:autoSpaceDE w:val="0"/>
      <w:autoSpaceDN w:val="0"/>
      <w:adjustRightInd w:val="0"/>
    </w:pPr>
    <w:rPr>
      <w:rFonts w:ascii="Arial" w:eastAsiaTheme="minorHAnsi" w:hAnsi="Arial" w:cs="Arial"/>
      <w:color w:val="000000"/>
      <w:sz w:val="24"/>
      <w:szCs w:val="24"/>
    </w:rPr>
  </w:style>
  <w:style w:type="character" w:customStyle="1" w:styleId="sr-only">
    <w:name w:val="sr-only"/>
    <w:basedOn w:val="DefaultParagraphFont"/>
    <w:rsid w:val="00F30DF6"/>
  </w:style>
  <w:style w:type="character" w:customStyle="1" w:styleId="z-TopofFormChar">
    <w:name w:val="z-Top of Form Char"/>
    <w:basedOn w:val="DefaultParagraphFont"/>
    <w:link w:val="z-TopofForm"/>
    <w:uiPriority w:val="99"/>
    <w:semiHidden/>
    <w:rsid w:val="00F30DF6"/>
    <w:rPr>
      <w:rFonts w:ascii="Arial" w:eastAsiaTheme="minorHAnsi" w:hAnsi="Arial" w:cs="Arial"/>
      <w:vanish/>
      <w:sz w:val="16"/>
      <w:szCs w:val="16"/>
    </w:rPr>
  </w:style>
  <w:style w:type="paragraph" w:styleId="z-TopofForm">
    <w:name w:val="HTML Top of Form"/>
    <w:basedOn w:val="Normal"/>
    <w:next w:val="Normal"/>
    <w:link w:val="z-TopofFormChar"/>
    <w:hidden/>
    <w:uiPriority w:val="99"/>
    <w:semiHidden/>
    <w:unhideWhenUsed/>
    <w:rsid w:val="00F30DF6"/>
    <w:pPr>
      <w:pBdr>
        <w:bottom w:val="single" w:sz="6" w:space="1" w:color="auto"/>
      </w:pBdr>
      <w:spacing w:line="276" w:lineRule="auto"/>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sid w:val="00F30DF6"/>
    <w:rPr>
      <w:rFonts w:ascii="Arial" w:eastAsiaTheme="minorHAnsi" w:hAnsi="Arial" w:cs="Arial"/>
      <w:vanish/>
      <w:sz w:val="16"/>
      <w:szCs w:val="16"/>
    </w:rPr>
  </w:style>
  <w:style w:type="paragraph" w:styleId="z-BottomofForm">
    <w:name w:val="HTML Bottom of Form"/>
    <w:basedOn w:val="Normal"/>
    <w:next w:val="Normal"/>
    <w:link w:val="z-BottomofFormChar"/>
    <w:hidden/>
    <w:uiPriority w:val="99"/>
    <w:semiHidden/>
    <w:unhideWhenUsed/>
    <w:rsid w:val="00F30DF6"/>
    <w:pPr>
      <w:pBdr>
        <w:top w:val="single" w:sz="6" w:space="1" w:color="auto"/>
      </w:pBdr>
      <w:spacing w:line="276" w:lineRule="auto"/>
      <w:jc w:val="center"/>
    </w:pPr>
    <w:rPr>
      <w:rFonts w:ascii="Arial" w:eastAsiaTheme="minorHAnsi" w:hAnsi="Arial" w:cs="Arial"/>
      <w:vanish/>
      <w:sz w:val="16"/>
      <w:szCs w:val="16"/>
    </w:rPr>
  </w:style>
  <w:style w:type="character" w:customStyle="1" w:styleId="katex-mathml">
    <w:name w:val="katex-mathml"/>
    <w:basedOn w:val="DefaultParagraphFont"/>
    <w:rsid w:val="00F30DF6"/>
  </w:style>
  <w:style w:type="character" w:customStyle="1" w:styleId="mord">
    <w:name w:val="mord"/>
    <w:basedOn w:val="DefaultParagraphFont"/>
    <w:rsid w:val="00F30DF6"/>
  </w:style>
  <w:style w:type="character" w:customStyle="1" w:styleId="vlist-s">
    <w:name w:val="vlist-s"/>
    <w:basedOn w:val="DefaultParagraphFont"/>
    <w:rsid w:val="00F30DF6"/>
  </w:style>
  <w:style w:type="character" w:customStyle="1" w:styleId="mopen">
    <w:name w:val="mopen"/>
    <w:basedOn w:val="DefaultParagraphFont"/>
    <w:rsid w:val="00F30DF6"/>
  </w:style>
  <w:style w:type="character" w:customStyle="1" w:styleId="mclose">
    <w:name w:val="mclose"/>
    <w:basedOn w:val="DefaultParagraphFont"/>
    <w:rsid w:val="00F30DF6"/>
  </w:style>
  <w:style w:type="character" w:customStyle="1" w:styleId="mbin">
    <w:name w:val="mbin"/>
    <w:basedOn w:val="DefaultParagraphFont"/>
    <w:rsid w:val="00F30DF6"/>
  </w:style>
  <w:style w:type="character" w:customStyle="1" w:styleId="mspace">
    <w:name w:val="mspace"/>
    <w:basedOn w:val="DefaultParagraphFont"/>
    <w:rsid w:val="00F30DF6"/>
  </w:style>
  <w:style w:type="character" w:styleId="PlaceholderText">
    <w:name w:val="Placeholder Text"/>
    <w:basedOn w:val="DefaultParagraphFont"/>
    <w:uiPriority w:val="99"/>
    <w:semiHidden/>
    <w:rsid w:val="002A6EF5"/>
    <w:rPr>
      <w:color w:val="808080"/>
    </w:rPr>
  </w:style>
  <w:style w:type="character" w:customStyle="1" w:styleId="UnresolvedMention">
    <w:name w:val="Unresolved Mention"/>
    <w:basedOn w:val="DefaultParagraphFont"/>
    <w:uiPriority w:val="99"/>
    <w:semiHidden/>
    <w:unhideWhenUsed/>
    <w:rsid w:val="007264B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1912298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264726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984145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9119857">
      <w:bodyDiv w:val="1"/>
      <w:marLeft w:val="0"/>
      <w:marRight w:val="0"/>
      <w:marTop w:val="0"/>
      <w:marBottom w:val="0"/>
      <w:divBdr>
        <w:top w:val="none" w:sz="0" w:space="0" w:color="auto"/>
        <w:left w:val="none" w:sz="0" w:space="0" w:color="auto"/>
        <w:bottom w:val="none" w:sz="0" w:space="0" w:color="auto"/>
        <w:right w:val="none" w:sz="0" w:space="0" w:color="auto"/>
      </w:divBdr>
    </w:div>
    <w:div w:id="1371615778">
      <w:bodyDiv w:val="1"/>
      <w:marLeft w:val="0"/>
      <w:marRight w:val="0"/>
      <w:marTop w:val="0"/>
      <w:marBottom w:val="0"/>
      <w:divBdr>
        <w:top w:val="none" w:sz="0" w:space="0" w:color="auto"/>
        <w:left w:val="none" w:sz="0" w:space="0" w:color="auto"/>
        <w:bottom w:val="none" w:sz="0" w:space="0" w:color="auto"/>
        <w:right w:val="none" w:sz="0" w:space="0" w:color="auto"/>
      </w:divBdr>
    </w:div>
    <w:div w:id="1441341974">
      <w:bodyDiv w:val="1"/>
      <w:marLeft w:val="0"/>
      <w:marRight w:val="0"/>
      <w:marTop w:val="0"/>
      <w:marBottom w:val="0"/>
      <w:divBdr>
        <w:top w:val="none" w:sz="0" w:space="0" w:color="auto"/>
        <w:left w:val="none" w:sz="0" w:space="0" w:color="auto"/>
        <w:bottom w:val="none" w:sz="0" w:space="0" w:color="auto"/>
        <w:right w:val="none" w:sz="0" w:space="0" w:color="auto"/>
      </w:divBdr>
    </w:div>
    <w:div w:id="151217904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0286093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527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dr.undp.org"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usinessday.ng/news/article/nigerias-illiteracy-rate-is-now-31-says-f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BB75E-D562-440C-B9B0-0EFDE1356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126</TotalTime>
  <Pages>22</Pages>
  <Words>11257</Words>
  <Characters>64170</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75277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Windows User</cp:lastModifiedBy>
  <cp:revision>51</cp:revision>
  <cp:lastPrinted>1999-07-06T11:00:00Z</cp:lastPrinted>
  <dcterms:created xsi:type="dcterms:W3CDTF">2026-03-08T22:34:00Z</dcterms:created>
  <dcterms:modified xsi:type="dcterms:W3CDTF">2026-03-12T18:23:00Z</dcterms:modified>
</cp:coreProperties>
</file>