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F63D3E" w14:textId="77777777" w:rsidR="00754C9A" w:rsidRDefault="00754C9A" w:rsidP="00441B6F">
      <w:pPr>
        <w:pStyle w:val="Title"/>
        <w:spacing w:after="0"/>
        <w:jc w:val="both"/>
        <w:rPr>
          <w:rFonts w:ascii="Arial" w:hAnsi="Arial" w:cs="Arial"/>
        </w:rPr>
      </w:pPr>
    </w:p>
    <w:p w14:paraId="6D3C3EEC" w14:textId="77777777" w:rsidR="00986D9E" w:rsidRDefault="00986D9E" w:rsidP="00441B6F">
      <w:pPr>
        <w:pStyle w:val="Author"/>
        <w:spacing w:line="240" w:lineRule="auto"/>
        <w:jc w:val="both"/>
        <w:rPr>
          <w:rFonts w:ascii="Arial" w:hAnsi="Arial" w:cs="Arial"/>
          <w:bCs/>
          <w:iCs/>
          <w:kern w:val="28"/>
          <w:sz w:val="36"/>
        </w:rPr>
      </w:pPr>
      <w:r w:rsidRPr="00986D9E">
        <w:rPr>
          <w:rFonts w:ascii="Arial" w:hAnsi="Arial" w:cs="Arial"/>
          <w:bCs/>
          <w:iCs/>
          <w:kern w:val="28"/>
          <w:sz w:val="36"/>
        </w:rPr>
        <w:t xml:space="preserve">Review Article </w:t>
      </w:r>
    </w:p>
    <w:p w14:paraId="70346698" w14:textId="77777777" w:rsidR="00F6754C" w:rsidRDefault="00F6754C" w:rsidP="00441B6F">
      <w:pPr>
        <w:pStyle w:val="Author"/>
        <w:spacing w:line="240" w:lineRule="auto"/>
        <w:jc w:val="both"/>
        <w:rPr>
          <w:rFonts w:ascii="Arial" w:hAnsi="Arial" w:cs="Arial"/>
          <w:bCs/>
          <w:iCs/>
          <w:kern w:val="28"/>
          <w:sz w:val="36"/>
        </w:rPr>
      </w:pPr>
    </w:p>
    <w:p w14:paraId="1B985861" w14:textId="3EDADC25" w:rsidR="00A258C3" w:rsidRDefault="003E24F4" w:rsidP="00441B6F">
      <w:pPr>
        <w:pStyle w:val="Author"/>
        <w:spacing w:line="240" w:lineRule="auto"/>
        <w:jc w:val="both"/>
        <w:rPr>
          <w:rFonts w:ascii="Arial" w:hAnsi="Arial" w:cs="Arial"/>
          <w:bCs/>
          <w:iCs/>
          <w:kern w:val="28"/>
          <w:sz w:val="36"/>
        </w:rPr>
      </w:pPr>
      <w:r w:rsidRPr="003E24F4">
        <w:rPr>
          <w:rFonts w:ascii="Arial" w:hAnsi="Arial" w:cs="Arial"/>
          <w:bCs/>
          <w:iCs/>
          <w:kern w:val="28"/>
          <w:sz w:val="36"/>
        </w:rPr>
        <w:t>CERVICAL SPINE TRAUMA: A Comprehensive Literature Review</w:t>
      </w:r>
    </w:p>
    <w:p w14:paraId="1239FDC1" w14:textId="4786A1E2" w:rsidR="007C729B" w:rsidRDefault="007C729B" w:rsidP="007C729B">
      <w:pPr>
        <w:pStyle w:val="Affiliation"/>
        <w:spacing w:after="0" w:line="240" w:lineRule="auto"/>
        <w:rPr>
          <w:rFonts w:ascii="Arial" w:hAnsi="Arial" w:cs="Arial"/>
          <w:i/>
        </w:rPr>
      </w:pPr>
    </w:p>
    <w:p w14:paraId="7617E92A" w14:textId="77777777" w:rsidR="002A74A6" w:rsidRDefault="002A74A6" w:rsidP="00441B6F">
      <w:pPr>
        <w:pStyle w:val="Affiliation"/>
        <w:spacing w:after="0" w:line="240" w:lineRule="auto"/>
        <w:rPr>
          <w:rFonts w:ascii="Arial" w:hAnsi="Arial" w:cs="Arial"/>
          <w:i/>
        </w:rPr>
      </w:pPr>
    </w:p>
    <w:p w14:paraId="4F478DDE" w14:textId="77777777" w:rsidR="00790ADA" w:rsidRDefault="00790ADA" w:rsidP="00441B6F">
      <w:pPr>
        <w:pStyle w:val="Affiliation"/>
        <w:spacing w:after="0" w:line="240" w:lineRule="auto"/>
        <w:jc w:val="both"/>
        <w:rPr>
          <w:rFonts w:ascii="Arial" w:hAnsi="Arial" w:cs="Arial"/>
        </w:rPr>
      </w:pPr>
    </w:p>
    <w:p w14:paraId="071A4B5A" w14:textId="77777777" w:rsidR="002C57D2" w:rsidRPr="00FB3A86" w:rsidRDefault="002C57D2" w:rsidP="00441B6F">
      <w:pPr>
        <w:pStyle w:val="Affiliation"/>
        <w:spacing w:after="0" w:line="240" w:lineRule="auto"/>
        <w:jc w:val="both"/>
        <w:rPr>
          <w:rFonts w:ascii="Arial" w:hAnsi="Arial" w:cs="Arial"/>
        </w:rPr>
      </w:pPr>
    </w:p>
    <w:p w14:paraId="16C97D09" w14:textId="77777777" w:rsidR="00B01FCD" w:rsidRPr="00FB3A86" w:rsidRDefault="00463706" w:rsidP="00441B6F">
      <w:pPr>
        <w:pStyle w:val="Copyright"/>
        <w:spacing w:after="0" w:line="240" w:lineRule="auto"/>
        <w:jc w:val="both"/>
        <w:rPr>
          <w:rFonts w:ascii="Arial" w:hAnsi="Arial" w:cs="Arial"/>
        </w:rPr>
        <w:sectPr w:rsidR="00B01FCD" w:rsidRPr="00FB3A86" w:rsidSect="00BE4D88">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2645AB78" wp14:editId="59CFDB8E">
                <wp:extent cx="5303520" cy="635"/>
                <wp:effectExtent l="0" t="0" r="11430" b="18415"/>
                <wp:docPr id="386870998" nam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381B812" id="_x0000_t32" coordsize="21600,21600" o:spt="32" o:oned="t" path="m,l21600,21600e" filled="f">
                <v:path arrowok="t" fillok="f" o:connecttype="none"/>
                <o:lock v:ext="edit" shapetype="t"/>
              </v:shapetype>
              <v:shape id="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BrzCNyqAQAATAMAAA4AAABkcnMvZTJvRG9jLnhtbKxTwW7bMAy9D9g/CLovdlJk2Iw4PaTr&#10;Lt1WoNsHMJJsC5NFQVRi5+9HqUm6brdhPhCmnvhIPlKb23l04mgiWfStXC5qKYxXqK3vW/nj+/27&#10;D1JQAq/BoTetPBmSt9u3bzZTaMwKB3TaRMEknpoptHJIKTRVRWowI9ACg/EMdhhHSOzGvtIRJmYf&#10;XbWq6/fVhFGHiMoQ8endMyi3hb/rjErfuo5MEq6VXFsqNha7L7babqDpI4TBqnMd8A9ljGA9Z71S&#10;3UECcYj2L6rRqoiEXVooHCvsOqtMaYLbWdZ/tPM0QDClGVaHwlUn+n+06utx5x9jLl3N/ik8oPpJ&#10;glWppkDNFc0Ohcco9tMX1DxIOCQsDc9dHHM0tyLmIunpRVgzJ6H4dH1T36xXPAB1BStoLqEhUvps&#10;cBT5p5WUIth+SDv0ngeIcVkSwfGBUqkMmktETuzx3jqXAWicFxOv4cd6XZcYQmd1hjNIsd/vXBRH&#10;yMtQPnnme3Uv4sHrZ77BgP50cRJYd3a4eOfPGmVZ8r5Rs0d9Yoku4vHE+MqrlfjdL+Evj2D7CwAA&#10;//8DAFBLAwQUAAYACAAAACEAjgKj8tsAAAAIAQAADwAAAGRycy9kb3ducmV2LnhtbEyPwU7DQAxE&#10;70j8w8pIXBDdUEQVpdlUCMSJA6HlA5zETaJmvVF20yx/j8sFLiNZY4/n5btoB3WmyfeODTysElDE&#10;tWt6bg18Hd7uU1A+IDc4OCYD3+RhV1xf5Zg1buFPOu9DqySEfYYGuhDGTGtfd2TRr9xILN7RTRaD&#10;jFOrmwkXCbeDXifJRlvsWT50ONJLR/VpP1sD8WPDIZZprBae3316V0a0pTG3N/F1K/K8BRUohr8L&#10;uDBIfyikWOVmbrwaDAhN+FXx0senNajqsqR0kev/AMUPAAAA//8DAFBLAQItABQABgAIAAAAIQBa&#10;IpOj/wAAAOUBAAATAAAAAAAAAAAAAAAAAAAAAABbQ29udGVudF9UeXBlc10ueG1sUEsBAi0AFAAG&#10;AAgAAAAhAKdKzzjXAAAAlgEAAAsAAAAAAAAAAAAAAAAAMAEAAF9yZWxzLy5yZWxzUEsBAi0AFAAG&#10;AAgAAAAhABrzCNyqAQAATAMAAA4AAAAAAAAAAAAAAAAAMAIAAGRycy9lMm9Eb2MueG1sUEsBAi0A&#10;FAAGAAgAAAAhAI4Co/LbAAAACAEAAA8AAAAAAAAAAAAAAAAABgQAAGRycy9kb3ducmV2LnhtbFBL&#10;BQYAAAAABAAEAPMAAAAOBQAAAAA=&#10;" strokeweight="1.5pt">
                <o:lock v:ext="edit" shapetype="f"/>
                <w10:anchorlock/>
              </v:shape>
            </w:pict>
          </mc:Fallback>
        </mc:AlternateContent>
      </w:r>
      <w:r w:rsidR="00FB3A86">
        <w:rPr>
          <w:rFonts w:ascii="Arial" w:hAnsi="Arial" w:cs="Arial"/>
        </w:rPr>
        <w:t>.</w:t>
      </w:r>
    </w:p>
    <w:p w14:paraId="1850EF4C" w14:textId="77777777" w:rsidR="008A677F" w:rsidRPr="00FB3A86" w:rsidRDefault="008A677F" w:rsidP="008A677F">
      <w:pPr>
        <w:pStyle w:val="Copyright"/>
        <w:spacing w:after="0" w:line="240" w:lineRule="auto"/>
        <w:jc w:val="both"/>
        <w:rPr>
          <w:rFonts w:ascii="Arial" w:hAnsi="Arial" w:cs="Arial"/>
        </w:rPr>
        <w:sectPr w:rsidR="008A677F" w:rsidRPr="00FB3A86" w:rsidSect="008A677F">
          <w:headerReference w:type="even" r:id="rId14"/>
          <w:headerReference w:type="default" r:id="rId15"/>
          <w:footerReference w:type="even" r:id="rId16"/>
          <w:footerReference w:type="default" r:id="rId17"/>
          <w:headerReference w:type="first" r:id="rId18"/>
          <w:footerReference w:type="first" r:id="rId19"/>
          <w:type w:val="continuous"/>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5EEBF54C" wp14:editId="1D2E5CCC">
                <wp:extent cx="5303520" cy="635"/>
                <wp:effectExtent l="0" t="0" r="11430" b="18415"/>
                <wp:docPr id="477831837" nam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789C711" id="_x0000_t32" coordsize="21600,21600" o:spt="32" o:oned="t" path="m,l21600,21600e" filled="f">
                <v:path arrowok="t" fillok="f" o:connecttype="none"/>
                <o:lock v:ext="edit" shapetype="t"/>
              </v:shapetype>
              <v:shape id="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hG9qwEAAEEDAAAOAAAAZHJzL2Uyb0RvYy54bWysUs2OEzEMviPxDlHudKZdFcGo0z10WS4L&#10;VFp4ADfJzERk4shOO9O3J8m25e+GyMGyY/uz/dmb+3l04mSILfpWLhe1FMYr1Nb3rfz29fHNOyk4&#10;gtfg0JtWng3L++3rV5spNGaFAzptSCQQz80UWjnEGJqqYjWYEXiBwfjk7JBGiMmkvtIEU0IfXbWq&#10;67fVhKQDoTLM6ffhxSm3Bb/rjIpfuo5NFK6VqbdYJBV5yLLabqDpCcJg1aUN+IcuRrA+Fb1BPUAE&#10;cST7F9RoFSFjFxcKxwq7zipTZkjTLOs/pnkeIJgySyKHw40m/n+w6vNp5/eUW1ezfw5PqL5zIqWa&#10;Ajc3ZzY47Ekcpk+o0xrhGLHMO3c05uQ0iZgLrecbrWaOQqXP9V19t14l9tXVV0FzTQzE8aPBUWSl&#10;lRwJbD/EHXqfloe0LGXg9MQxtwXNNSFX9fhonSs7dF5M6QDf1+u6ZDA6q7M3xzH1h50jcYJ8BuXl&#10;zSe038IIj14XtMGA/nDRI1j3oqd45y/cZDrylXFzQH3eU4bLVtpTAb7cVD6EX+0S9fPytz8AAAD/&#10;/wMAUEsDBBQABgAIAAAAIQBJyNK31gAAAAIBAAAPAAAAZHJzL2Rvd25yZXYueG1sTI/BSsRAEETv&#10;gv8wtOBF3IkrLiFmsojgyYNx1w/oZNokmOkJmclm/Ht7veiloKmi6nW5T25UJ5rD4NnA3SYDRdx6&#10;O3Bn4OP4cpuDChHZ4uiZDHxTgH11eVFiYf3K73Q6xE5JCYcCDfQxToXWoe3JYdj4iVi8Tz87jHLO&#10;nbYzrlLuRr3Nsp12OLAs9DjRc0/t12FxBtLbjmOq89SsvLyG/KZO6Gpjrq/S0yOoSCn+heGML+hQ&#10;CVPjF7ZBjQbkkfir4uX3D1tQzTmkq1L/R69+AAAA//8DAFBLAQItABQABgAIAAAAIQC2gziS/gAA&#10;AOEBAAATAAAAAAAAAAAAAAAAAAAAAABbQ29udGVudF9UeXBlc10ueG1sUEsBAi0AFAAGAAgAAAAh&#10;ADj9If/WAAAAlAEAAAsAAAAAAAAAAAAAAAAALwEAAF9yZWxzLy5yZWxzUEsBAi0AFAAGAAgAAAAh&#10;AF1SEb2rAQAAQQMAAA4AAAAAAAAAAAAAAAAALgIAAGRycy9lMm9Eb2MueG1sUEsBAi0AFAAGAAgA&#10;AAAhAEnI0rfWAAAAAgEAAA8AAAAAAAAAAAAAAAAABQQAAGRycy9kb3ducmV2LnhtbFBLBQYAAAAA&#10;BAAEAPMAAAAIBQAAAAA=&#10;" strokeweight="1.5pt">
                <o:lock v:ext="edit" shapetype="f"/>
                <w10:anchorlock/>
              </v:shape>
            </w:pict>
          </mc:Fallback>
        </mc:AlternateContent>
      </w:r>
      <w:r>
        <w:rPr>
          <w:rFonts w:ascii="Arial" w:hAnsi="Arial" w:cs="Arial"/>
        </w:rPr>
        <w:t>.</w:t>
      </w:r>
    </w:p>
    <w:p w14:paraId="73F8FF5D" w14:textId="77777777" w:rsidR="008A677F" w:rsidRDefault="008A677F" w:rsidP="008A677F">
      <w:pPr>
        <w:pStyle w:val="AbstHead"/>
        <w:spacing w:after="0"/>
        <w:jc w:val="both"/>
        <w:rPr>
          <w:rFonts w:ascii="Arial" w:hAnsi="Arial" w:cs="Arial"/>
        </w:rPr>
      </w:pPr>
      <w:r w:rsidRPr="00FB3A86">
        <w:rPr>
          <w:rFonts w:ascii="Arial" w:hAnsi="Arial" w:cs="Arial"/>
        </w:rPr>
        <w:t>ABSTRACT</w:t>
      </w:r>
      <w:r>
        <w:rPr>
          <w:rFonts w:ascii="Arial" w:hAnsi="Arial" w:cs="Arial"/>
        </w:rPr>
        <w:t xml:space="preserve"> </w:t>
      </w:r>
    </w:p>
    <w:p w14:paraId="32697AF0" w14:textId="77777777" w:rsidR="008A677F" w:rsidRPr="00FB3A86" w:rsidRDefault="008A677F" w:rsidP="008A677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8A677F" w:rsidRPr="001E44FE" w14:paraId="6BF6FB4D" w14:textId="77777777" w:rsidTr="00EF7364">
        <w:tc>
          <w:tcPr>
            <w:tcW w:w="9576" w:type="dxa"/>
            <w:shd w:val="clear" w:color="auto" w:fill="F2F2F2"/>
          </w:tcPr>
          <w:p w14:paraId="44457D98" w14:textId="77777777" w:rsidR="00A07976" w:rsidRDefault="00A07976" w:rsidP="00EF7364">
            <w:pPr>
              <w:pStyle w:val="Body"/>
              <w:spacing w:after="0"/>
              <w:rPr>
                <w:rFonts w:ascii="Arial" w:eastAsia="Calibri" w:hAnsi="Arial" w:cs="Arial"/>
                <w:b/>
                <w:bCs/>
                <w:szCs w:val="22"/>
                <w:lang w:val="en-ID"/>
              </w:rPr>
            </w:pPr>
          </w:p>
          <w:p w14:paraId="0B4EA42F" w14:textId="2A6D8208" w:rsidR="00742B38" w:rsidRDefault="00A07976" w:rsidP="00EF7364">
            <w:pPr>
              <w:pStyle w:val="Body"/>
              <w:spacing w:after="0"/>
              <w:rPr>
                <w:rFonts w:ascii="Arial" w:eastAsia="Calibri" w:hAnsi="Arial" w:cs="Arial"/>
                <w:b/>
                <w:bCs/>
                <w:szCs w:val="22"/>
                <w:lang w:val="en-ID"/>
              </w:rPr>
            </w:pPr>
            <w:r w:rsidRPr="00B006CF">
              <w:rPr>
                <w:rFonts w:ascii="Arial" w:eastAsia="Calibri" w:hAnsi="Arial" w:cs="Arial"/>
                <w:b/>
                <w:bCs/>
                <w:szCs w:val="22"/>
                <w:highlight w:val="yellow"/>
                <w:lang w:val="en-ID"/>
              </w:rPr>
              <w:t>Background</w:t>
            </w:r>
            <w:r w:rsidR="00742B38" w:rsidRPr="00B006CF">
              <w:rPr>
                <w:rFonts w:ascii="Arial" w:eastAsia="Calibri" w:hAnsi="Arial" w:cs="Arial"/>
                <w:b/>
                <w:bCs/>
                <w:szCs w:val="22"/>
                <w:highlight w:val="yellow"/>
                <w:lang w:val="en-ID"/>
              </w:rPr>
              <w:t xml:space="preserve">: </w:t>
            </w:r>
            <w:r w:rsidR="00742B38" w:rsidRPr="00B006CF">
              <w:rPr>
                <w:rFonts w:ascii="Arial" w:eastAsia="Calibri" w:hAnsi="Arial" w:cs="Arial"/>
                <w:bCs/>
                <w:szCs w:val="22"/>
                <w:highlight w:val="yellow"/>
                <w:lang w:val="en-ID"/>
              </w:rPr>
              <w:t>Cervical spine trauma includes a wide range of injuries, from mild ligament and muscle damage to vertebral fractures and dislocations that may cause serious spinal cord injury.</w:t>
            </w:r>
            <w:r w:rsidR="00742B38" w:rsidRPr="00742B38">
              <w:rPr>
                <w:rFonts w:ascii="Arial" w:eastAsia="Calibri" w:hAnsi="Arial" w:cs="Arial"/>
                <w:b/>
                <w:bCs/>
                <w:szCs w:val="22"/>
                <w:lang w:val="en-ID"/>
              </w:rPr>
              <w:t xml:space="preserve"> </w:t>
            </w:r>
          </w:p>
          <w:p w14:paraId="139E0F40" w14:textId="0FFFE472" w:rsidR="008A677F" w:rsidRPr="003E24F4" w:rsidRDefault="008A677F" w:rsidP="00EF7364">
            <w:pPr>
              <w:pStyle w:val="Body"/>
              <w:spacing w:after="0"/>
              <w:rPr>
                <w:rFonts w:ascii="Arial" w:eastAsia="Calibri" w:hAnsi="Arial" w:cs="Arial"/>
                <w:b/>
                <w:szCs w:val="22"/>
                <w:lang w:val="en-ID"/>
              </w:rPr>
            </w:pPr>
            <w:r w:rsidRPr="003E24F4">
              <w:rPr>
                <w:rFonts w:ascii="Arial" w:eastAsia="Calibri" w:hAnsi="Arial" w:cs="Arial"/>
                <w:b/>
                <w:bCs/>
                <w:szCs w:val="22"/>
                <w:lang w:val="en-ID"/>
              </w:rPr>
              <w:t>Aims:</w:t>
            </w:r>
            <w:r w:rsidRPr="003E24F4">
              <w:rPr>
                <w:rFonts w:ascii="Arial" w:eastAsia="Calibri" w:hAnsi="Arial" w:cs="Arial"/>
                <w:b/>
                <w:szCs w:val="22"/>
                <w:lang w:val="en-ID"/>
              </w:rPr>
              <w:t> </w:t>
            </w:r>
            <w:r w:rsidRPr="003E24F4">
              <w:rPr>
                <w:rFonts w:ascii="Arial" w:eastAsia="Calibri" w:hAnsi="Arial" w:cs="Arial"/>
                <w:bCs/>
                <w:szCs w:val="22"/>
                <w:lang w:val="en-ID"/>
              </w:rPr>
              <w:t xml:space="preserve">This review aims </w:t>
            </w:r>
            <w:proofErr w:type="gramStart"/>
            <w:r w:rsidRPr="003E24F4">
              <w:rPr>
                <w:rFonts w:ascii="Arial" w:eastAsia="Calibri" w:hAnsi="Arial" w:cs="Arial"/>
                <w:bCs/>
                <w:szCs w:val="22"/>
                <w:lang w:val="en-ID"/>
              </w:rPr>
              <w:t>to comprehensively explore</w:t>
            </w:r>
            <w:proofErr w:type="gramEnd"/>
            <w:r w:rsidRPr="003E24F4">
              <w:rPr>
                <w:rFonts w:ascii="Arial" w:eastAsia="Calibri" w:hAnsi="Arial" w:cs="Arial"/>
                <w:bCs/>
                <w:szCs w:val="22"/>
                <w:lang w:val="en-ID"/>
              </w:rPr>
              <w:t xml:space="preserve"> cervical spine trauma, including its definition, epidemiology, classification, diagnostic approaches, management strategies, and prognosis.</w:t>
            </w:r>
          </w:p>
          <w:p w14:paraId="0FB3AD36" w14:textId="77777777" w:rsidR="008A677F" w:rsidRPr="003E24F4" w:rsidRDefault="008A677F" w:rsidP="00EF7364">
            <w:pPr>
              <w:pStyle w:val="Body"/>
              <w:spacing w:after="0"/>
              <w:rPr>
                <w:rFonts w:ascii="Arial" w:eastAsia="Calibri" w:hAnsi="Arial" w:cs="Arial"/>
                <w:b/>
                <w:szCs w:val="22"/>
                <w:lang w:val="en-ID"/>
              </w:rPr>
            </w:pPr>
            <w:r w:rsidRPr="003E24F4">
              <w:rPr>
                <w:rFonts w:ascii="Arial" w:eastAsia="Calibri" w:hAnsi="Arial" w:cs="Arial"/>
                <w:b/>
                <w:bCs/>
                <w:szCs w:val="22"/>
                <w:lang w:val="en-ID"/>
              </w:rPr>
              <w:t>Methodology:</w:t>
            </w:r>
            <w:r w:rsidRPr="003E24F4">
              <w:rPr>
                <w:rFonts w:ascii="Arial" w:eastAsia="Calibri" w:hAnsi="Arial" w:cs="Arial"/>
                <w:b/>
                <w:szCs w:val="22"/>
                <w:lang w:val="en-ID"/>
              </w:rPr>
              <w:t> </w:t>
            </w:r>
            <w:r w:rsidRPr="003E24F4">
              <w:rPr>
                <w:rFonts w:ascii="Arial" w:eastAsia="Calibri" w:hAnsi="Arial" w:cs="Arial"/>
                <w:bCs/>
                <w:szCs w:val="22"/>
                <w:lang w:val="en-ID"/>
              </w:rPr>
              <w:t xml:space="preserve">A comprehensive literature search </w:t>
            </w:r>
            <w:proofErr w:type="gramStart"/>
            <w:r w:rsidRPr="003E24F4">
              <w:rPr>
                <w:rFonts w:ascii="Arial" w:eastAsia="Calibri" w:hAnsi="Arial" w:cs="Arial"/>
                <w:bCs/>
                <w:szCs w:val="22"/>
                <w:lang w:val="en-ID"/>
              </w:rPr>
              <w:t>was conducted</w:t>
            </w:r>
            <w:proofErr w:type="gramEnd"/>
            <w:r w:rsidRPr="003E24F4">
              <w:rPr>
                <w:rFonts w:ascii="Arial" w:eastAsia="Calibri" w:hAnsi="Arial" w:cs="Arial"/>
                <w:bCs/>
                <w:szCs w:val="22"/>
                <w:lang w:val="en-ID"/>
              </w:rPr>
              <w:t xml:space="preserve"> using electronic databases including PubMed, Scopus, and Google Scholar. Relevant articles on cervical spine trauma published between 2000 and 2024 were reviewed.</w:t>
            </w:r>
          </w:p>
          <w:p w14:paraId="7B089EFF" w14:textId="77777777" w:rsidR="008A677F" w:rsidRPr="003E24F4" w:rsidRDefault="008A677F" w:rsidP="00EF7364">
            <w:pPr>
              <w:pStyle w:val="Body"/>
              <w:spacing w:after="0"/>
              <w:rPr>
                <w:rFonts w:ascii="Arial" w:eastAsia="Calibri" w:hAnsi="Arial" w:cs="Arial"/>
                <w:b/>
                <w:szCs w:val="22"/>
                <w:lang w:val="en-ID"/>
              </w:rPr>
            </w:pPr>
            <w:r w:rsidRPr="003E24F4">
              <w:rPr>
                <w:rFonts w:ascii="Arial" w:eastAsia="Calibri" w:hAnsi="Arial" w:cs="Arial"/>
                <w:b/>
                <w:bCs/>
                <w:szCs w:val="22"/>
                <w:lang w:val="en-ID"/>
              </w:rPr>
              <w:t>Results:</w:t>
            </w:r>
            <w:r w:rsidRPr="003E24F4">
              <w:rPr>
                <w:rFonts w:ascii="Arial" w:eastAsia="Calibri" w:hAnsi="Arial" w:cs="Arial"/>
                <w:b/>
                <w:szCs w:val="22"/>
                <w:lang w:val="en-ID"/>
              </w:rPr>
              <w:t> </w:t>
            </w:r>
            <w:r w:rsidRPr="003E24F4">
              <w:rPr>
                <w:rFonts w:ascii="Arial" w:eastAsia="Calibri" w:hAnsi="Arial" w:cs="Arial"/>
                <w:bCs/>
                <w:szCs w:val="22"/>
                <w:lang w:val="en-ID"/>
              </w:rPr>
              <w:t>Cervical spine trauma has an annual incidence of approximately 12/100,000 population. Spinal cord injury occurs in 12-50% of patients. Upper cervical injuries account for 83.5% of cases. Classification systems including AO Spine and SLIC guide treatment decisions. Management ranges from non-operative treatment with cervical collars to operative interventions including fusion and stabilization.</w:t>
            </w:r>
          </w:p>
          <w:p w14:paraId="14C88730" w14:textId="77777777" w:rsidR="008A677F" w:rsidRPr="003E24F4" w:rsidRDefault="008A677F" w:rsidP="00EF7364">
            <w:pPr>
              <w:pStyle w:val="Body"/>
              <w:spacing w:after="0"/>
              <w:rPr>
                <w:rFonts w:ascii="Arial" w:eastAsia="Calibri" w:hAnsi="Arial" w:cs="Arial"/>
                <w:b/>
                <w:szCs w:val="22"/>
                <w:lang w:val="en-ID"/>
              </w:rPr>
            </w:pPr>
            <w:r w:rsidRPr="003E24F4">
              <w:rPr>
                <w:rFonts w:ascii="Arial" w:eastAsia="Calibri" w:hAnsi="Arial" w:cs="Arial"/>
                <w:b/>
                <w:bCs/>
                <w:szCs w:val="22"/>
                <w:lang w:val="en-ID"/>
              </w:rPr>
              <w:t>Conclusion:</w:t>
            </w:r>
            <w:r w:rsidRPr="003E24F4">
              <w:rPr>
                <w:rFonts w:ascii="Arial" w:eastAsia="Calibri" w:hAnsi="Arial" w:cs="Arial"/>
                <w:bCs/>
                <w:szCs w:val="22"/>
                <w:lang w:val="en-ID"/>
              </w:rPr>
              <w:t> Cervi</w:t>
            </w:r>
            <w:bookmarkStart w:id="0" w:name="_GoBack"/>
            <w:bookmarkEnd w:id="0"/>
            <w:r w:rsidRPr="003E24F4">
              <w:rPr>
                <w:rFonts w:ascii="Arial" w:eastAsia="Calibri" w:hAnsi="Arial" w:cs="Arial"/>
                <w:bCs/>
                <w:szCs w:val="22"/>
                <w:lang w:val="en-ID"/>
              </w:rPr>
              <w:t>cal spine trauma represents a significant cause of morbidity and mortality worldwide. Early recognition, accurate classification, and appropriate management are crucial for optimizing outcomes.</w:t>
            </w:r>
          </w:p>
        </w:tc>
      </w:tr>
    </w:tbl>
    <w:p w14:paraId="7D13A205" w14:textId="77777777" w:rsidR="008A677F" w:rsidRDefault="008A677F" w:rsidP="008A677F">
      <w:pPr>
        <w:pStyle w:val="Body"/>
        <w:spacing w:after="0"/>
        <w:rPr>
          <w:rFonts w:ascii="Arial" w:hAnsi="Arial" w:cs="Arial"/>
          <w:i/>
        </w:rPr>
      </w:pPr>
    </w:p>
    <w:p w14:paraId="753B8D21" w14:textId="77777777" w:rsidR="008A677F" w:rsidRDefault="008A677F" w:rsidP="008A677F">
      <w:pPr>
        <w:pStyle w:val="Body"/>
        <w:spacing w:after="0"/>
        <w:rPr>
          <w:rFonts w:ascii="Arial" w:hAnsi="Arial" w:cs="Arial"/>
          <w:i/>
        </w:rPr>
      </w:pPr>
      <w:r>
        <w:rPr>
          <w:rFonts w:ascii="Arial" w:hAnsi="Arial" w:cs="Arial"/>
          <w:i/>
        </w:rPr>
        <w:t xml:space="preserve">Keywords: </w:t>
      </w:r>
      <w:r w:rsidRPr="00E271C8">
        <w:rPr>
          <w:rFonts w:ascii="Arial" w:hAnsi="Arial" w:cs="Arial"/>
          <w:i/>
        </w:rPr>
        <w:t>cervical spine trauma, spinal cord injury, cervical fracture, atlantoaxial instability, spinal trauma classification</w:t>
      </w:r>
    </w:p>
    <w:p w14:paraId="08A219D0" w14:textId="77777777" w:rsidR="008A677F" w:rsidRPr="00A24E7E" w:rsidRDefault="008A677F" w:rsidP="008A677F">
      <w:pPr>
        <w:pStyle w:val="Body"/>
        <w:spacing w:after="0"/>
        <w:rPr>
          <w:rFonts w:ascii="Arial" w:hAnsi="Arial" w:cs="Arial"/>
          <w:i/>
        </w:rPr>
      </w:pPr>
    </w:p>
    <w:p w14:paraId="4DC4E68D" w14:textId="77777777" w:rsidR="008A677F" w:rsidRDefault="008A677F" w:rsidP="008A677F">
      <w:pPr>
        <w:pStyle w:val="AbstHead"/>
        <w:spacing w:after="0"/>
        <w:jc w:val="both"/>
        <w:rPr>
          <w:rFonts w:ascii="Arial" w:hAnsi="Arial" w:cs="Arial"/>
        </w:rPr>
      </w:pPr>
      <w:r>
        <w:rPr>
          <w:rFonts w:ascii="Arial" w:hAnsi="Arial" w:cs="Arial"/>
        </w:rPr>
        <w:t xml:space="preserve">1. </w:t>
      </w:r>
      <w:r w:rsidRPr="00FB3A86">
        <w:rPr>
          <w:rFonts w:ascii="Arial" w:hAnsi="Arial" w:cs="Arial"/>
        </w:rPr>
        <w:t>INTRODUCTION</w:t>
      </w:r>
      <w:r>
        <w:rPr>
          <w:rFonts w:ascii="Arial" w:hAnsi="Arial" w:cs="Arial"/>
        </w:rPr>
        <w:t xml:space="preserve"> </w:t>
      </w:r>
    </w:p>
    <w:p w14:paraId="15CD8C96" w14:textId="77777777" w:rsidR="008A677F" w:rsidRPr="00FB3A86" w:rsidRDefault="008A677F" w:rsidP="008A677F">
      <w:pPr>
        <w:pStyle w:val="AbstHead"/>
        <w:spacing w:after="0"/>
        <w:jc w:val="both"/>
        <w:rPr>
          <w:rFonts w:ascii="Arial" w:hAnsi="Arial" w:cs="Arial"/>
        </w:rPr>
      </w:pPr>
    </w:p>
    <w:p w14:paraId="09971669" w14:textId="27E32499" w:rsidR="008A677F" w:rsidRPr="00DC3082" w:rsidRDefault="008A677F" w:rsidP="008A677F">
      <w:pPr>
        <w:pStyle w:val="Body"/>
        <w:spacing w:after="0"/>
        <w:ind w:firstLine="720"/>
        <w:rPr>
          <w:rFonts w:ascii="Arial" w:hAnsi="Arial" w:cs="Arial"/>
          <w:lang w:val="en-ID"/>
        </w:rPr>
      </w:pPr>
      <w:r w:rsidRPr="00DC3082">
        <w:rPr>
          <w:rFonts w:ascii="Arial" w:hAnsi="Arial" w:cs="Arial"/>
          <w:lang w:val="en-ID"/>
        </w:rPr>
        <w:t>Cervical spine trauma represents a serious medical condition characterized by injuries to the cervical vertebrae, often leading to severe consequences such as neurological deficits, chronic pain, and diminished quality of life</w:t>
      </w:r>
      <w:r w:rsidR="00F248DE">
        <w:rPr>
          <w:rFonts w:ascii="Arial" w:hAnsi="Arial" w:cs="Arial"/>
          <w:lang w:val="en-ID"/>
        </w:rPr>
        <w:t xml:space="preserve"> (</w:t>
      </w:r>
      <w:proofErr w:type="spellStart"/>
      <w:r w:rsidR="00F248DE" w:rsidRPr="00F248DE">
        <w:rPr>
          <w:rFonts w:ascii="Arial" w:hAnsi="Arial" w:cs="Arial"/>
        </w:rPr>
        <w:t>Shaharudin</w:t>
      </w:r>
      <w:proofErr w:type="spellEnd"/>
      <w:r w:rsidR="00F248DE" w:rsidRPr="00F248DE">
        <w:rPr>
          <w:rFonts w:ascii="Arial" w:hAnsi="Arial" w:cs="Arial"/>
        </w:rPr>
        <w:t xml:space="preserve"> et al., 2025</w:t>
      </w:r>
      <w:r w:rsidR="00F248DE">
        <w:rPr>
          <w:rFonts w:ascii="Arial" w:hAnsi="Arial" w:cs="Arial"/>
        </w:rPr>
        <w:t>)</w:t>
      </w:r>
      <w:r w:rsidRPr="00DC3082">
        <w:rPr>
          <w:rFonts w:ascii="Arial" w:hAnsi="Arial" w:cs="Arial"/>
          <w:lang w:val="en-ID"/>
        </w:rPr>
        <w:t>. The cervical spine consists of seven vertebrae (C1-C7) with a unique structure that provides a balance between stability and flexibility, making it highly susceptible to traumatic forces. Injuries can range from minor soft tissue damage to complex fractures and dislocations that may compromise the spinal cord (Negrelli et al., 2018; Torretti and Sengupta, 2007).</w:t>
      </w:r>
    </w:p>
    <w:p w14:paraId="04436B4D" w14:textId="326241BA" w:rsidR="008A677F" w:rsidRPr="00DC3082" w:rsidRDefault="008A677F" w:rsidP="008A677F">
      <w:pPr>
        <w:pStyle w:val="Body"/>
        <w:spacing w:after="0"/>
        <w:ind w:firstLine="720"/>
        <w:rPr>
          <w:rFonts w:ascii="Arial" w:hAnsi="Arial" w:cs="Arial"/>
          <w:lang w:val="en-ID"/>
        </w:rPr>
      </w:pPr>
      <w:r w:rsidRPr="00DC3082">
        <w:rPr>
          <w:rFonts w:ascii="Arial" w:hAnsi="Arial" w:cs="Arial"/>
          <w:lang w:val="en-ID"/>
        </w:rPr>
        <w:t>Cervical spine trauma has an incidence of approximately 12 per 100,000 population, frequently caused by traffic accidents and falls</w:t>
      </w:r>
      <w:r w:rsidR="00F248DE">
        <w:rPr>
          <w:rFonts w:ascii="Arial" w:hAnsi="Arial" w:cs="Arial"/>
          <w:lang w:val="en-ID"/>
        </w:rPr>
        <w:t xml:space="preserve"> (</w:t>
      </w:r>
      <w:r w:rsidR="00F248DE" w:rsidRPr="00F248DE">
        <w:rPr>
          <w:rFonts w:ascii="Arial" w:hAnsi="Arial" w:cs="Arial"/>
        </w:rPr>
        <w:t>Futch et al., 2024</w:t>
      </w:r>
      <w:r w:rsidR="00F248DE">
        <w:rPr>
          <w:rFonts w:ascii="Arial" w:hAnsi="Arial" w:cs="Arial"/>
        </w:rPr>
        <w:t>)</w:t>
      </w:r>
      <w:r w:rsidRPr="00DC3082">
        <w:rPr>
          <w:rFonts w:ascii="Arial" w:hAnsi="Arial" w:cs="Arial"/>
          <w:lang w:val="en-ID"/>
        </w:rPr>
        <w:t xml:space="preserve">. The majority of patients are male, with age distribution peaks at 15-45 years and 65-80 years. Spinal cord injury is </w:t>
      </w:r>
      <w:r w:rsidRPr="00DC3082">
        <w:rPr>
          <w:rFonts w:ascii="Arial" w:hAnsi="Arial" w:cs="Arial"/>
          <w:lang w:val="en-ID"/>
        </w:rPr>
        <w:lastRenderedPageBreak/>
        <w:t>reported in 12-50% of patients, resulting in significant morbidity and mortality (Linnerud et al., 2012; Utheim et al., 2022).</w:t>
      </w:r>
    </w:p>
    <w:p w14:paraId="29782272" w14:textId="77777777" w:rsidR="008A677F" w:rsidRDefault="008A677F" w:rsidP="008A677F">
      <w:pPr>
        <w:pStyle w:val="Body"/>
        <w:spacing w:after="0"/>
        <w:ind w:firstLine="720"/>
        <w:rPr>
          <w:rFonts w:ascii="Arial" w:hAnsi="Arial" w:cs="Arial"/>
          <w:lang w:val="en-ID"/>
        </w:rPr>
      </w:pPr>
      <w:r w:rsidRPr="00DC3082">
        <w:rPr>
          <w:rFonts w:ascii="Arial" w:hAnsi="Arial" w:cs="Arial"/>
          <w:lang w:val="en-ID"/>
        </w:rPr>
        <w:t>In developed countries, motor vehicle accidents are the primary cause, while fall-related injuries dominate in older populations. Sports-related injuries also contribute significantly, especially among younger age groups (</w:t>
      </w:r>
      <w:proofErr w:type="spellStart"/>
      <w:r w:rsidRPr="00DC3082">
        <w:rPr>
          <w:rFonts w:ascii="Arial" w:hAnsi="Arial" w:cs="Arial"/>
          <w:lang w:val="en-ID"/>
        </w:rPr>
        <w:t>Zileli</w:t>
      </w:r>
      <w:proofErr w:type="spellEnd"/>
      <w:r w:rsidRPr="00DC3082">
        <w:rPr>
          <w:rFonts w:ascii="Arial" w:hAnsi="Arial" w:cs="Arial"/>
          <w:lang w:val="en-ID"/>
        </w:rPr>
        <w:t xml:space="preserve"> et al., 2020). In Indonesia, data from Dr. </w:t>
      </w:r>
      <w:proofErr w:type="spellStart"/>
      <w:r w:rsidRPr="00DC3082">
        <w:rPr>
          <w:rFonts w:ascii="Arial" w:hAnsi="Arial" w:cs="Arial"/>
          <w:lang w:val="en-ID"/>
        </w:rPr>
        <w:t>Soetomo</w:t>
      </w:r>
      <w:proofErr w:type="spellEnd"/>
      <w:r w:rsidRPr="00DC3082">
        <w:rPr>
          <w:rFonts w:ascii="Arial" w:hAnsi="Arial" w:cs="Arial"/>
          <w:lang w:val="en-ID"/>
        </w:rPr>
        <w:t xml:space="preserve"> Hospital Surabaya in 2020 recorded 85 cases (67.5%) of cervical spine injuries caused by trauma, with upper cervical injuries dominating at 83.5% (</w:t>
      </w:r>
      <w:proofErr w:type="spellStart"/>
      <w:r w:rsidRPr="00DC3082">
        <w:rPr>
          <w:rFonts w:ascii="Arial" w:hAnsi="Arial" w:cs="Arial"/>
          <w:lang w:val="en-ID"/>
        </w:rPr>
        <w:t>Widhiyanto</w:t>
      </w:r>
      <w:proofErr w:type="spellEnd"/>
      <w:r w:rsidRPr="00DC3082">
        <w:rPr>
          <w:rFonts w:ascii="Arial" w:hAnsi="Arial" w:cs="Arial"/>
          <w:lang w:val="en-ID"/>
        </w:rPr>
        <w:t xml:space="preserve"> et al., 2021).</w:t>
      </w:r>
      <w:r>
        <w:rPr>
          <w:rFonts w:ascii="Arial" w:hAnsi="Arial" w:cs="Arial"/>
          <w:lang w:val="en-ID"/>
        </w:rPr>
        <w:t xml:space="preserve"> </w:t>
      </w:r>
      <w:r w:rsidRPr="00E271C8">
        <w:rPr>
          <w:rFonts w:ascii="Arial" w:hAnsi="Arial" w:cs="Arial"/>
          <w:lang w:val="en-ID"/>
        </w:rPr>
        <w:t xml:space="preserve">Understanding spinal trauma through the academic literature enables healthcare professionals to enhance their knowledge of injury mechanisms, classification and associated risk factors. This academic literature facilitates accurate diagnosis and timely intervention, reducing the risk of complications and improving patient outcomes. </w:t>
      </w:r>
    </w:p>
    <w:p w14:paraId="00CE2F1B" w14:textId="77777777" w:rsidR="008A677F" w:rsidRPr="00FB3A86" w:rsidRDefault="008A677F" w:rsidP="008A677F">
      <w:pPr>
        <w:pStyle w:val="Body"/>
        <w:spacing w:after="0"/>
        <w:rPr>
          <w:rFonts w:ascii="Arial" w:hAnsi="Arial" w:cs="Arial"/>
        </w:rPr>
      </w:pPr>
    </w:p>
    <w:p w14:paraId="00F1E16D" w14:textId="77777777" w:rsidR="008A677F" w:rsidRPr="00570AC2" w:rsidRDefault="008A677F" w:rsidP="008A677F">
      <w:pPr>
        <w:pStyle w:val="AbstHead"/>
        <w:spacing w:after="0"/>
        <w:jc w:val="both"/>
        <w:rPr>
          <w:rFonts w:ascii="Arial" w:hAnsi="Arial" w:cs="Arial"/>
          <w:highlight w:val="yellow"/>
        </w:rPr>
      </w:pPr>
      <w:r>
        <w:rPr>
          <w:rFonts w:ascii="Arial" w:hAnsi="Arial" w:cs="Arial"/>
        </w:rPr>
        <w:t>2</w:t>
      </w:r>
      <w:r w:rsidRPr="00570AC2">
        <w:rPr>
          <w:rFonts w:ascii="Arial" w:hAnsi="Arial" w:cs="Arial"/>
          <w:highlight w:val="yellow"/>
        </w:rPr>
        <w:t xml:space="preserve">. material and methods </w:t>
      </w:r>
    </w:p>
    <w:p w14:paraId="5A61B211" w14:textId="77777777" w:rsidR="008A677F" w:rsidRPr="00570AC2" w:rsidRDefault="008A677F" w:rsidP="008A677F">
      <w:pPr>
        <w:pStyle w:val="AbstHead"/>
        <w:spacing w:after="0"/>
        <w:jc w:val="both"/>
        <w:rPr>
          <w:rFonts w:ascii="Arial" w:hAnsi="Arial" w:cs="Arial"/>
          <w:highlight w:val="yellow"/>
        </w:rPr>
      </w:pPr>
    </w:p>
    <w:p w14:paraId="70F9269A" w14:textId="77777777" w:rsidR="008A677F" w:rsidRDefault="008A677F" w:rsidP="008A677F">
      <w:pPr>
        <w:pStyle w:val="Body"/>
        <w:spacing w:after="0"/>
        <w:ind w:firstLine="720"/>
        <w:rPr>
          <w:rFonts w:ascii="Arial" w:hAnsi="Arial" w:cs="Arial"/>
        </w:rPr>
      </w:pPr>
      <w:r w:rsidRPr="00570AC2">
        <w:rPr>
          <w:rFonts w:ascii="Arial" w:hAnsi="Arial" w:cs="Arial"/>
          <w:highlight w:val="yellow"/>
        </w:rPr>
        <w:t>This literature review was conducted by searching electronic databases such as PubMed, Scopus, and Google Scholar for articles related to cervical spine trauma. Articles published between 2000 and 2024 were include, with placed on original research, systematic reviews, and clinical practice guidelines.</w:t>
      </w:r>
    </w:p>
    <w:p w14:paraId="214ACD2B" w14:textId="77777777" w:rsidR="008A677F" w:rsidRPr="00FB3A86" w:rsidRDefault="008A677F" w:rsidP="008A677F">
      <w:pPr>
        <w:pStyle w:val="Body"/>
        <w:spacing w:after="0"/>
        <w:rPr>
          <w:rFonts w:ascii="Arial" w:hAnsi="Arial" w:cs="Arial"/>
        </w:rPr>
      </w:pPr>
    </w:p>
    <w:p w14:paraId="4DADC1C3" w14:textId="77777777" w:rsidR="008A677F" w:rsidRDefault="008A677F" w:rsidP="008A677F">
      <w:pPr>
        <w:pStyle w:val="Head1"/>
        <w:spacing w:after="0"/>
        <w:jc w:val="both"/>
        <w:rPr>
          <w:rFonts w:ascii="Arial" w:hAnsi="Arial" w:cs="Arial"/>
        </w:rPr>
      </w:pPr>
      <w:r>
        <w:rPr>
          <w:rFonts w:ascii="Arial" w:hAnsi="Arial" w:cs="Arial"/>
        </w:rPr>
        <w:t>3. results and discussion</w:t>
      </w:r>
    </w:p>
    <w:p w14:paraId="1DEF3932" w14:textId="77777777" w:rsidR="008A677F" w:rsidRPr="00FB3A86" w:rsidRDefault="008A677F" w:rsidP="008A677F">
      <w:pPr>
        <w:pStyle w:val="Head1"/>
        <w:spacing w:after="0"/>
        <w:jc w:val="both"/>
        <w:rPr>
          <w:rFonts w:ascii="Arial" w:hAnsi="Arial" w:cs="Arial"/>
        </w:rPr>
      </w:pPr>
    </w:p>
    <w:p w14:paraId="7D720774" w14:textId="77777777" w:rsidR="008A677F" w:rsidRPr="00A75DEE" w:rsidRDefault="008A677F" w:rsidP="008A677F">
      <w:pPr>
        <w:pStyle w:val="Body"/>
        <w:spacing w:after="0"/>
        <w:rPr>
          <w:rFonts w:ascii="Arial" w:hAnsi="Arial" w:cs="Arial"/>
          <w:b/>
          <w:bCs/>
          <w:lang w:val="en-ID"/>
        </w:rPr>
      </w:pPr>
      <w:r w:rsidRPr="00A75DEE">
        <w:rPr>
          <w:rFonts w:ascii="Arial" w:hAnsi="Arial" w:cs="Arial"/>
          <w:b/>
          <w:bCs/>
          <w:lang w:val="en-ID"/>
        </w:rPr>
        <w:t>3.1 Definition and Epidemiology</w:t>
      </w:r>
    </w:p>
    <w:p w14:paraId="1A94FA9C" w14:textId="1A5172EA" w:rsidR="008A677F" w:rsidRPr="00A75DEE" w:rsidRDefault="008A677F" w:rsidP="008A677F">
      <w:pPr>
        <w:pStyle w:val="Body"/>
        <w:spacing w:after="0"/>
        <w:ind w:firstLine="720"/>
        <w:rPr>
          <w:rFonts w:ascii="Arial" w:hAnsi="Arial" w:cs="Arial"/>
          <w:lang w:val="en-ID"/>
        </w:rPr>
      </w:pPr>
      <w:r w:rsidRPr="00C57CC2">
        <w:rPr>
          <w:rFonts w:ascii="Arial" w:hAnsi="Arial" w:cs="Arial"/>
        </w:rPr>
        <w:t>Cervical spine trauma includes a wide range of injuries, from mild ligament and muscle damage to vertebral fractures and dislocations that may cause serious spinal cord injury. Although the cervical spine’s ligamentous and bony structure allows for a wide range of motion, it also makes the area more vulnerable to injury from mechanisms such as hyperflexion, hyperextension, axial loading, rotation, and distraction.</w:t>
      </w:r>
      <w:r w:rsidRPr="00C57CC2">
        <w:rPr>
          <w:rFonts w:ascii="Arial" w:hAnsi="Arial" w:cs="Arial"/>
          <w:lang w:val="en-ID"/>
        </w:rPr>
        <w:t xml:space="preserve"> </w:t>
      </w:r>
      <w:r w:rsidRPr="00A75DEE">
        <w:rPr>
          <w:rFonts w:ascii="Arial" w:hAnsi="Arial" w:cs="Arial"/>
          <w:lang w:val="en-ID"/>
        </w:rPr>
        <w:t>(Beeharry et al., 2021).</w:t>
      </w:r>
    </w:p>
    <w:p w14:paraId="605EE3C0" w14:textId="77777777" w:rsidR="008A677F" w:rsidRPr="00A75DEE" w:rsidRDefault="008A677F" w:rsidP="008A677F">
      <w:pPr>
        <w:pStyle w:val="Body"/>
        <w:spacing w:after="0"/>
        <w:ind w:firstLine="720"/>
        <w:rPr>
          <w:rFonts w:ascii="Arial" w:hAnsi="Arial" w:cs="Arial"/>
          <w:lang w:val="en-ID"/>
        </w:rPr>
      </w:pPr>
      <w:r w:rsidRPr="00A75DEE">
        <w:rPr>
          <w:rFonts w:ascii="Arial" w:hAnsi="Arial" w:cs="Arial"/>
          <w:lang w:val="en-ID"/>
        </w:rPr>
        <w:t>The annual incidence of traumatic spinal cord injury worldwide is approximately 45-80 cases per million, with low- and middle-income countries (LMIC) experiencing up to 130 cases per million population. Additional reports confirm that spinal trauma rates are 1.6 times higher in LMIC than in high-income countries. In the United Kingdom, cervical spine injuries account for half of all spinal injuries, with approximately 500-600 people experiencing acute traumatic spinal cord injury each year (</w:t>
      </w:r>
      <w:proofErr w:type="spellStart"/>
      <w:r w:rsidRPr="00A75DEE">
        <w:rPr>
          <w:rFonts w:ascii="Arial" w:hAnsi="Arial" w:cs="Arial"/>
          <w:lang w:val="en-ID"/>
        </w:rPr>
        <w:t>Herkowitz</w:t>
      </w:r>
      <w:proofErr w:type="spellEnd"/>
      <w:r w:rsidRPr="00A75DEE">
        <w:rPr>
          <w:rFonts w:ascii="Arial" w:hAnsi="Arial" w:cs="Arial"/>
          <w:lang w:val="en-ID"/>
        </w:rPr>
        <w:t xml:space="preserve"> et al., 2011).</w:t>
      </w:r>
    </w:p>
    <w:p w14:paraId="3354159E" w14:textId="77777777" w:rsidR="008A677F" w:rsidRDefault="008A677F" w:rsidP="008A677F">
      <w:pPr>
        <w:pStyle w:val="Body"/>
        <w:spacing w:after="0"/>
        <w:ind w:firstLine="720"/>
        <w:rPr>
          <w:rFonts w:ascii="Arial" w:hAnsi="Arial" w:cs="Arial"/>
          <w:lang w:val="en-ID"/>
        </w:rPr>
      </w:pPr>
      <w:r w:rsidRPr="00A75DEE">
        <w:rPr>
          <w:rFonts w:ascii="Arial" w:hAnsi="Arial" w:cs="Arial"/>
          <w:lang w:val="en-ID"/>
        </w:rPr>
        <w:t xml:space="preserve">Upper cervical spine injuries are commonly found in children and the elderly over 60 years of age. Motor vehicle accidents account for 38% of cervical injuries in children. </w:t>
      </w:r>
      <w:proofErr w:type="spellStart"/>
      <w:r w:rsidRPr="00A75DEE">
        <w:rPr>
          <w:rFonts w:ascii="Arial" w:hAnsi="Arial" w:cs="Arial"/>
          <w:lang w:val="en-ID"/>
        </w:rPr>
        <w:t>Pediatric</w:t>
      </w:r>
      <w:proofErr w:type="spellEnd"/>
      <w:r w:rsidRPr="00A75DEE">
        <w:rPr>
          <w:rFonts w:ascii="Arial" w:hAnsi="Arial" w:cs="Arial"/>
          <w:lang w:val="en-ID"/>
        </w:rPr>
        <w:t xml:space="preserve"> cervical spine injuries occur in approximately 1-9% of all reported spinal trauma cases, with 56-73% representing upper cervical injuries. In elderly adults over 60 years, C1-C2 injuries account for 69.8% of cases. Odontoid fractures themselves account for 57% of all cervical injuries in this age group. </w:t>
      </w:r>
    </w:p>
    <w:p w14:paraId="3BCE1236" w14:textId="77777777" w:rsidR="008A677F" w:rsidRDefault="008A677F" w:rsidP="008A677F">
      <w:pPr>
        <w:pStyle w:val="Body"/>
        <w:spacing w:after="0"/>
        <w:ind w:firstLine="720"/>
        <w:rPr>
          <w:rFonts w:ascii="Arial" w:hAnsi="Arial" w:cs="Arial"/>
          <w:lang w:val="en-ID"/>
        </w:rPr>
      </w:pPr>
      <w:r w:rsidRPr="00A75DEE">
        <w:rPr>
          <w:rFonts w:ascii="Arial" w:hAnsi="Arial" w:cs="Arial"/>
          <w:lang w:val="en-ID"/>
        </w:rPr>
        <w:t>Unlike children and young adults, upper cervical injuries in the elderly are usually caused by minor trauma such as falls from standing height. Lower energy trauma directly correlates with lower rates of nerve injury. However, when neurological deficits occur, they result in poor prognosis in these patients. In this elderly group, mortality rates of 26-28% due to upper cervical trauma have been reported, with a 2-year survival rate of 59% (</w:t>
      </w:r>
      <w:proofErr w:type="spellStart"/>
      <w:r w:rsidRPr="00A75DEE">
        <w:rPr>
          <w:rFonts w:ascii="Arial" w:hAnsi="Arial" w:cs="Arial"/>
          <w:lang w:val="en-ID"/>
        </w:rPr>
        <w:t>Herkowitz</w:t>
      </w:r>
      <w:proofErr w:type="spellEnd"/>
      <w:r w:rsidRPr="00A75DEE">
        <w:rPr>
          <w:rFonts w:ascii="Arial" w:hAnsi="Arial" w:cs="Arial"/>
          <w:lang w:val="en-ID"/>
        </w:rPr>
        <w:t xml:space="preserve"> et al., 2011).</w:t>
      </w:r>
    </w:p>
    <w:p w14:paraId="6B9D63DA" w14:textId="77777777" w:rsidR="008A677F" w:rsidRPr="00A75DEE" w:rsidRDefault="008A677F" w:rsidP="008A677F">
      <w:pPr>
        <w:pStyle w:val="Body"/>
        <w:spacing w:after="0"/>
        <w:ind w:firstLine="720"/>
        <w:rPr>
          <w:rFonts w:ascii="Arial" w:hAnsi="Arial" w:cs="Arial"/>
          <w:lang w:val="en-ID"/>
        </w:rPr>
      </w:pPr>
    </w:p>
    <w:p w14:paraId="100C91EB" w14:textId="77777777" w:rsidR="008A677F" w:rsidRPr="00A75DEE" w:rsidRDefault="008A677F" w:rsidP="008A677F">
      <w:pPr>
        <w:pStyle w:val="Body"/>
        <w:spacing w:after="0"/>
        <w:rPr>
          <w:rFonts w:ascii="Arial" w:hAnsi="Arial" w:cs="Arial"/>
          <w:lang w:val="en-ID"/>
        </w:rPr>
      </w:pPr>
      <w:r w:rsidRPr="00A75DEE">
        <w:rPr>
          <w:rFonts w:ascii="Arial" w:hAnsi="Arial" w:cs="Arial"/>
          <w:lang w:val="en-ID"/>
        </w:rPr>
        <w:t>3.2 Anatomy of the Cervical Spine</w:t>
      </w:r>
    </w:p>
    <w:p w14:paraId="4D469141" w14:textId="77777777" w:rsidR="008A677F" w:rsidRPr="00A75DEE" w:rsidRDefault="008A677F" w:rsidP="008A677F">
      <w:pPr>
        <w:pStyle w:val="Body"/>
        <w:spacing w:after="0"/>
        <w:rPr>
          <w:rFonts w:ascii="Arial" w:hAnsi="Arial" w:cs="Arial"/>
          <w:lang w:val="en-ID"/>
        </w:rPr>
      </w:pPr>
      <w:r w:rsidRPr="00A75DEE">
        <w:rPr>
          <w:rFonts w:ascii="Arial" w:hAnsi="Arial" w:cs="Arial"/>
          <w:lang w:val="en-ID"/>
        </w:rPr>
        <w:t>3.2.1 Bony Anatomy</w:t>
      </w:r>
    </w:p>
    <w:p w14:paraId="273F3CE3" w14:textId="77777777" w:rsidR="008A677F" w:rsidRPr="00A75DEE" w:rsidRDefault="008A677F" w:rsidP="008A677F">
      <w:pPr>
        <w:pStyle w:val="Body"/>
        <w:spacing w:after="0"/>
        <w:ind w:firstLine="720"/>
        <w:rPr>
          <w:rFonts w:ascii="Arial" w:hAnsi="Arial" w:cs="Arial"/>
          <w:lang w:val="en-ID"/>
        </w:rPr>
      </w:pPr>
      <w:r w:rsidRPr="00A75DEE">
        <w:rPr>
          <w:rFonts w:ascii="Arial" w:hAnsi="Arial" w:cs="Arial"/>
          <w:lang w:val="en-ID"/>
        </w:rPr>
        <w:t>The cervical spine consists of seven vertebrae (C1-C7), which</w:t>
      </w:r>
      <w:r>
        <w:rPr>
          <w:rFonts w:ascii="Arial" w:hAnsi="Arial" w:cs="Arial"/>
          <w:lang w:val="en-ID"/>
        </w:rPr>
        <w:t xml:space="preserve"> among </w:t>
      </w:r>
      <w:r w:rsidRPr="00A75DEE">
        <w:rPr>
          <w:rFonts w:ascii="Arial" w:hAnsi="Arial" w:cs="Arial"/>
          <w:lang w:val="en-ID"/>
        </w:rPr>
        <w:t xml:space="preserve">smallest vertebrae. The cervical vertebrae are characterized by small rectangular bodies that are wider laterally than </w:t>
      </w:r>
      <w:proofErr w:type="spellStart"/>
      <w:r w:rsidRPr="00A75DEE">
        <w:rPr>
          <w:rFonts w:ascii="Arial" w:hAnsi="Arial" w:cs="Arial"/>
          <w:lang w:val="en-ID"/>
        </w:rPr>
        <w:t>anteroposteriorly</w:t>
      </w:r>
      <w:proofErr w:type="spellEnd"/>
      <w:r w:rsidRPr="00A75DEE">
        <w:rPr>
          <w:rFonts w:ascii="Arial" w:hAnsi="Arial" w:cs="Arial"/>
          <w:lang w:val="en-ID"/>
        </w:rPr>
        <w:t>. The vertebral arches are large, and the transverse processes contain foramina for the passage of the vertebral arteries (Pearce, 2009).</w:t>
      </w:r>
    </w:p>
    <w:p w14:paraId="400F94E0" w14:textId="77777777" w:rsidR="008A677F" w:rsidRDefault="008A677F" w:rsidP="008A677F">
      <w:pPr>
        <w:pStyle w:val="Body"/>
        <w:spacing w:after="0"/>
        <w:ind w:firstLine="720"/>
        <w:rPr>
          <w:rFonts w:ascii="Arial" w:hAnsi="Arial" w:cs="Arial"/>
          <w:lang w:val="en-ID"/>
        </w:rPr>
      </w:pPr>
      <w:r w:rsidRPr="00A75DEE">
        <w:rPr>
          <w:rFonts w:ascii="Arial" w:hAnsi="Arial" w:cs="Arial"/>
          <w:lang w:val="en-ID"/>
        </w:rPr>
        <w:lastRenderedPageBreak/>
        <w:t xml:space="preserve">Anatomically, the cervical vertebrae are divided into two regions: the upper cervical region (C1 and C2) and the lower cervical region (C3 to C7). Among these vertebrae, three have unique anatomical structures and have been given special names: C1 is called the atlas, C2 is called the axis, and C7 is called the vertebra </w:t>
      </w:r>
      <w:proofErr w:type="spellStart"/>
      <w:r w:rsidRPr="00A75DEE">
        <w:rPr>
          <w:rFonts w:ascii="Arial" w:hAnsi="Arial" w:cs="Arial"/>
          <w:lang w:val="en-ID"/>
        </w:rPr>
        <w:t>prominens</w:t>
      </w:r>
      <w:proofErr w:type="spellEnd"/>
      <w:r w:rsidRPr="00A75DEE">
        <w:rPr>
          <w:rFonts w:ascii="Arial" w:hAnsi="Arial" w:cs="Arial"/>
          <w:lang w:val="en-ID"/>
        </w:rPr>
        <w:t>. Vertebrae C3-C6 are considered typical cervical vertebrae as they possess common characteristics (Pearce, 2009).</w:t>
      </w:r>
    </w:p>
    <w:p w14:paraId="30CF28FF" w14:textId="77777777" w:rsidR="008A677F" w:rsidRDefault="008A677F" w:rsidP="008A677F">
      <w:pPr>
        <w:pStyle w:val="Body"/>
        <w:spacing w:after="0"/>
        <w:ind w:firstLine="720"/>
        <w:rPr>
          <w:rFonts w:ascii="Arial" w:hAnsi="Arial" w:cs="Arial"/>
          <w:lang w:val="en-ID"/>
        </w:rPr>
      </w:pPr>
    </w:p>
    <w:p w14:paraId="16648D64" w14:textId="77777777" w:rsidR="008A677F" w:rsidRPr="00A75DEE" w:rsidRDefault="008A677F" w:rsidP="008A677F">
      <w:pPr>
        <w:pStyle w:val="Body"/>
        <w:spacing w:after="0"/>
        <w:jc w:val="center"/>
        <w:rPr>
          <w:rFonts w:ascii="Arial" w:hAnsi="Arial" w:cs="Arial"/>
          <w:lang w:val="en-ID"/>
        </w:rPr>
      </w:pPr>
      <w:r w:rsidRPr="00AE0EBE">
        <w:rPr>
          <w:rFonts w:asciiTheme="majorBidi" w:hAnsiTheme="majorBidi" w:cstheme="majorBidi"/>
          <w:noProof/>
        </w:rPr>
        <w:drawing>
          <wp:inline distT="0" distB="0" distL="0" distR="0" wp14:anchorId="16AABF13" wp14:editId="2F7101E3">
            <wp:extent cx="2863215" cy="2009140"/>
            <wp:effectExtent l="0" t="0" r="0" b="0"/>
            <wp:docPr id="465406276" name="Picture 5" descr="A diagram of the sp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406276" name="Picture 5" descr="A diagram of the spine&#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63215" cy="200914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2A90E522" w14:textId="77777777" w:rsidR="008A677F" w:rsidRPr="00A75DEE" w:rsidRDefault="008A677F" w:rsidP="008A677F">
      <w:pPr>
        <w:pStyle w:val="Body"/>
        <w:spacing w:after="0"/>
        <w:jc w:val="center"/>
        <w:rPr>
          <w:rFonts w:ascii="Arial" w:hAnsi="Arial" w:cs="Arial"/>
          <w:lang w:val="en-ID"/>
        </w:rPr>
      </w:pPr>
      <w:r w:rsidRPr="00A75DEE">
        <w:rPr>
          <w:rFonts w:ascii="Arial" w:hAnsi="Arial" w:cs="Arial"/>
          <w:lang w:val="en-ID"/>
        </w:rPr>
        <w:t>Fig. 1. The cervical spine. (Source: Pearce, 2009)</w:t>
      </w:r>
    </w:p>
    <w:p w14:paraId="13B31ED9" w14:textId="77777777" w:rsidR="008A677F" w:rsidRDefault="008A677F" w:rsidP="008A677F">
      <w:pPr>
        <w:pStyle w:val="Body"/>
        <w:spacing w:after="0"/>
        <w:ind w:firstLine="720"/>
        <w:rPr>
          <w:rFonts w:ascii="Arial" w:hAnsi="Arial" w:cs="Arial"/>
          <w:lang w:val="en-ID"/>
        </w:rPr>
      </w:pPr>
    </w:p>
    <w:p w14:paraId="59B327F9" w14:textId="77777777" w:rsidR="008A677F" w:rsidRPr="00A75DEE" w:rsidRDefault="008A677F" w:rsidP="008A677F">
      <w:pPr>
        <w:pStyle w:val="Body"/>
        <w:spacing w:after="0"/>
        <w:ind w:firstLine="720"/>
        <w:rPr>
          <w:rFonts w:ascii="Arial" w:hAnsi="Arial" w:cs="Arial"/>
          <w:lang w:val="en-ID"/>
        </w:rPr>
      </w:pPr>
      <w:r w:rsidRPr="00A75DEE">
        <w:rPr>
          <w:rFonts w:ascii="Arial" w:hAnsi="Arial" w:cs="Arial"/>
          <w:lang w:val="en-ID"/>
        </w:rPr>
        <w:t xml:space="preserve">The atlas (C1) has a ring-like structure without a vertebral body and has a very short spinous process. It consists of an anterior arch, posterior arch, two lateral masses, and two transverse processes. The ring shape divides the anterior and posterior portions, with the transverse </w:t>
      </w:r>
      <w:proofErr w:type="spellStart"/>
      <w:r w:rsidRPr="00A75DEE">
        <w:rPr>
          <w:rFonts w:ascii="Arial" w:hAnsi="Arial" w:cs="Arial"/>
          <w:lang w:val="en-ID"/>
        </w:rPr>
        <w:t>atlantal</w:t>
      </w:r>
      <w:proofErr w:type="spellEnd"/>
      <w:r w:rsidRPr="00A75DEE">
        <w:rPr>
          <w:rFonts w:ascii="Arial" w:hAnsi="Arial" w:cs="Arial"/>
          <w:lang w:val="en-ID"/>
        </w:rPr>
        <w:t xml:space="preserve"> ligament crossing between them. The anterior portion of the atlas ring receives the dens (odontoid process) from the axis, while the posterior portion transmits the spinal cord (Netter, 2011).</w:t>
      </w:r>
    </w:p>
    <w:p w14:paraId="49115DB0" w14:textId="77777777" w:rsidR="008A677F" w:rsidRPr="00A75DEE" w:rsidRDefault="008A677F" w:rsidP="008A677F">
      <w:pPr>
        <w:pStyle w:val="Body"/>
        <w:spacing w:after="0"/>
        <w:ind w:firstLine="720"/>
        <w:rPr>
          <w:rFonts w:ascii="Arial" w:hAnsi="Arial" w:cs="Arial"/>
          <w:lang w:val="en-ID"/>
        </w:rPr>
      </w:pPr>
      <w:r w:rsidRPr="00A75DEE">
        <w:rPr>
          <w:rFonts w:ascii="Arial" w:hAnsi="Arial" w:cs="Arial"/>
          <w:lang w:val="en-ID"/>
        </w:rPr>
        <w:t>The axis (C2) is characterized by the presence of the dens or odontoid process, which is a bony projection extending upward from the superior surface of the body. The anterior and posterior surfaces of the dens contain articular facets called the anterior and posterior articular facets (</w:t>
      </w:r>
      <w:proofErr w:type="spellStart"/>
      <w:r w:rsidRPr="00A75DEE">
        <w:rPr>
          <w:rFonts w:ascii="Arial" w:hAnsi="Arial" w:cs="Arial"/>
          <w:lang w:val="en-ID"/>
        </w:rPr>
        <w:t>Ombregt</w:t>
      </w:r>
      <w:proofErr w:type="spellEnd"/>
      <w:r w:rsidRPr="00A75DEE">
        <w:rPr>
          <w:rFonts w:ascii="Arial" w:hAnsi="Arial" w:cs="Arial"/>
          <w:lang w:val="en-ID"/>
        </w:rPr>
        <w:t>, 2013).</w:t>
      </w:r>
    </w:p>
    <w:p w14:paraId="3A4407CC" w14:textId="77777777" w:rsidR="008A677F" w:rsidRPr="00A75DEE" w:rsidRDefault="008A677F" w:rsidP="008A677F">
      <w:pPr>
        <w:pStyle w:val="Body"/>
        <w:spacing w:after="0"/>
        <w:ind w:firstLine="720"/>
        <w:rPr>
          <w:rFonts w:ascii="Arial" w:hAnsi="Arial" w:cs="Arial"/>
          <w:lang w:val="en-ID"/>
        </w:rPr>
      </w:pPr>
      <w:r w:rsidRPr="00A75DEE">
        <w:rPr>
          <w:rFonts w:ascii="Arial" w:hAnsi="Arial" w:cs="Arial"/>
          <w:lang w:val="en-ID"/>
        </w:rPr>
        <w:t>The typical cervical vertebrae (C3-C6) have small bodies with short vertebral bodies, square-shaped with slightly rounded corners when viewed from above, and the anterior and posterior body thickness are equal. The spinous processes are bifid (split into two), and the transverse processes contain foramina for the vertebral arteries (</w:t>
      </w:r>
      <w:proofErr w:type="spellStart"/>
      <w:r w:rsidRPr="00A75DEE">
        <w:rPr>
          <w:rFonts w:ascii="Arial" w:hAnsi="Arial" w:cs="Arial"/>
          <w:lang w:val="en-ID"/>
        </w:rPr>
        <w:t>Ombregt</w:t>
      </w:r>
      <w:proofErr w:type="spellEnd"/>
      <w:r w:rsidRPr="00A75DEE">
        <w:rPr>
          <w:rFonts w:ascii="Arial" w:hAnsi="Arial" w:cs="Arial"/>
          <w:lang w:val="en-ID"/>
        </w:rPr>
        <w:t>, 2013).</w:t>
      </w:r>
      <w:r>
        <w:rPr>
          <w:rFonts w:ascii="Arial" w:hAnsi="Arial" w:cs="Arial"/>
          <w:lang w:val="en-ID"/>
        </w:rPr>
        <w:t xml:space="preserve"> </w:t>
      </w:r>
      <w:r w:rsidRPr="00A75DEE">
        <w:rPr>
          <w:rFonts w:ascii="Arial" w:hAnsi="Arial" w:cs="Arial"/>
          <w:lang w:val="en-ID"/>
        </w:rPr>
        <w:t xml:space="preserve">C7 (vertebra </w:t>
      </w:r>
      <w:proofErr w:type="spellStart"/>
      <w:r w:rsidRPr="00A75DEE">
        <w:rPr>
          <w:rFonts w:ascii="Arial" w:hAnsi="Arial" w:cs="Arial"/>
          <w:lang w:val="en-ID"/>
        </w:rPr>
        <w:t>prominens</w:t>
      </w:r>
      <w:proofErr w:type="spellEnd"/>
      <w:r w:rsidRPr="00A75DEE">
        <w:rPr>
          <w:rFonts w:ascii="Arial" w:hAnsi="Arial" w:cs="Arial"/>
          <w:lang w:val="en-ID"/>
        </w:rPr>
        <w:t>) has a characteristic longer spinous process that distinguishes it from other cervical vertebrae (</w:t>
      </w:r>
      <w:proofErr w:type="spellStart"/>
      <w:r w:rsidRPr="00A75DEE">
        <w:rPr>
          <w:rFonts w:ascii="Arial" w:hAnsi="Arial" w:cs="Arial"/>
          <w:lang w:val="en-ID"/>
        </w:rPr>
        <w:t>Ombregt</w:t>
      </w:r>
      <w:proofErr w:type="spellEnd"/>
      <w:r w:rsidRPr="00A75DEE">
        <w:rPr>
          <w:rFonts w:ascii="Arial" w:hAnsi="Arial" w:cs="Arial"/>
          <w:lang w:val="en-ID"/>
        </w:rPr>
        <w:t>, 2013).</w:t>
      </w:r>
    </w:p>
    <w:p w14:paraId="561212D3" w14:textId="77777777" w:rsidR="00E271C8" w:rsidRDefault="00E271C8" w:rsidP="00A75DEE">
      <w:pPr>
        <w:pStyle w:val="Body"/>
        <w:spacing w:after="0"/>
        <w:rPr>
          <w:rFonts w:ascii="Arial" w:hAnsi="Arial" w:cs="Arial"/>
          <w:lang w:val="en-ID"/>
        </w:rPr>
      </w:pPr>
    </w:p>
    <w:p w14:paraId="0E691C0C" w14:textId="77777777" w:rsidR="00A75DEE" w:rsidRPr="00A75DEE" w:rsidRDefault="00A75DEE" w:rsidP="00A75DEE">
      <w:pPr>
        <w:pStyle w:val="Body"/>
        <w:spacing w:after="0"/>
        <w:rPr>
          <w:rFonts w:ascii="Arial" w:hAnsi="Arial" w:cs="Arial"/>
          <w:lang w:val="en-ID"/>
        </w:rPr>
      </w:pPr>
      <w:r w:rsidRPr="00A75DEE">
        <w:rPr>
          <w:rFonts w:ascii="Arial" w:hAnsi="Arial" w:cs="Arial"/>
          <w:lang w:val="en-ID"/>
        </w:rPr>
        <w:t>3.2.2 Ligamentous Structures</w:t>
      </w:r>
    </w:p>
    <w:p w14:paraId="7165A158" w14:textId="77777777" w:rsidR="00E271C8" w:rsidRDefault="00A75DEE" w:rsidP="00DD3566">
      <w:pPr>
        <w:pStyle w:val="Body"/>
        <w:spacing w:after="0"/>
        <w:ind w:firstLine="720"/>
        <w:rPr>
          <w:rFonts w:ascii="Arial" w:hAnsi="Arial" w:cs="Arial"/>
          <w:lang w:val="en-ID"/>
        </w:rPr>
      </w:pPr>
      <w:r w:rsidRPr="00A75DEE">
        <w:rPr>
          <w:rFonts w:ascii="Arial" w:hAnsi="Arial" w:cs="Arial"/>
          <w:lang w:val="en-ID"/>
        </w:rPr>
        <w:t xml:space="preserve">The cervical vertebrae are stabilized by a complex network of ligaments. The </w:t>
      </w:r>
      <w:proofErr w:type="spellStart"/>
      <w:r w:rsidRPr="00A75DEE">
        <w:rPr>
          <w:rFonts w:ascii="Arial" w:hAnsi="Arial" w:cs="Arial"/>
          <w:lang w:val="en-ID"/>
        </w:rPr>
        <w:t>occipitoatlantoaxial</w:t>
      </w:r>
      <w:proofErr w:type="spellEnd"/>
      <w:r w:rsidRPr="00A75DEE">
        <w:rPr>
          <w:rFonts w:ascii="Arial" w:hAnsi="Arial" w:cs="Arial"/>
          <w:lang w:val="en-ID"/>
        </w:rPr>
        <w:t xml:space="preserve"> complex includes ligaments connecting the occiput to the atlas and axis: the anterior </w:t>
      </w:r>
      <w:proofErr w:type="spellStart"/>
      <w:r w:rsidRPr="00A75DEE">
        <w:rPr>
          <w:rFonts w:ascii="Arial" w:hAnsi="Arial" w:cs="Arial"/>
          <w:lang w:val="en-ID"/>
        </w:rPr>
        <w:t>atlanto</w:t>
      </w:r>
      <w:proofErr w:type="spellEnd"/>
      <w:r w:rsidRPr="00A75DEE">
        <w:rPr>
          <w:rFonts w:ascii="Arial" w:hAnsi="Arial" w:cs="Arial"/>
          <w:lang w:val="en-ID"/>
        </w:rPr>
        <w:t xml:space="preserve">-occipital membrane, posterior </w:t>
      </w:r>
      <w:proofErr w:type="spellStart"/>
      <w:r w:rsidRPr="00A75DEE">
        <w:rPr>
          <w:rFonts w:ascii="Arial" w:hAnsi="Arial" w:cs="Arial"/>
          <w:lang w:val="en-ID"/>
        </w:rPr>
        <w:t>atlanto</w:t>
      </w:r>
      <w:proofErr w:type="spellEnd"/>
      <w:r w:rsidRPr="00A75DEE">
        <w:rPr>
          <w:rFonts w:ascii="Arial" w:hAnsi="Arial" w:cs="Arial"/>
          <w:lang w:val="en-ID"/>
        </w:rPr>
        <w:t xml:space="preserve">-occipital membrane, and tectorial membrane. Ligaments connecting the axis to the occiput include the apical ligament, longitudinal components of the cruciform ligament, and alar ligaments. The atlantoaxial complex includes the transverse ligament, two accessory atlantoaxial ligaments, and ligamentum flavum. The ligamentum nuchae attaches to the external occipital protuberance, lies in the sagittal plane, and merges with the interspinous and </w:t>
      </w:r>
      <w:proofErr w:type="spellStart"/>
      <w:r w:rsidRPr="00A75DEE">
        <w:rPr>
          <w:rFonts w:ascii="Arial" w:hAnsi="Arial" w:cs="Arial"/>
          <w:lang w:val="en-ID"/>
        </w:rPr>
        <w:t>supraspinous</w:t>
      </w:r>
      <w:proofErr w:type="spellEnd"/>
      <w:r w:rsidRPr="00A75DEE">
        <w:rPr>
          <w:rFonts w:ascii="Arial" w:hAnsi="Arial" w:cs="Arial"/>
          <w:lang w:val="en-ID"/>
        </w:rPr>
        <w:t xml:space="preserve"> ligaments (</w:t>
      </w:r>
      <w:proofErr w:type="spellStart"/>
      <w:r w:rsidRPr="00A75DEE">
        <w:rPr>
          <w:rFonts w:ascii="Arial" w:hAnsi="Arial" w:cs="Arial"/>
          <w:lang w:val="en-ID"/>
        </w:rPr>
        <w:t>Ombregt</w:t>
      </w:r>
      <w:proofErr w:type="spellEnd"/>
      <w:r w:rsidRPr="00A75DEE">
        <w:rPr>
          <w:rFonts w:ascii="Arial" w:hAnsi="Arial" w:cs="Arial"/>
          <w:lang w:val="en-ID"/>
        </w:rPr>
        <w:t>, 2013).</w:t>
      </w:r>
    </w:p>
    <w:p w14:paraId="62EB9485" w14:textId="77777777" w:rsidR="00A75DEE" w:rsidRPr="00A75DEE" w:rsidRDefault="00A75DEE" w:rsidP="00E271C8">
      <w:pPr>
        <w:pStyle w:val="Body"/>
        <w:spacing w:after="0"/>
        <w:ind w:firstLine="720"/>
        <w:rPr>
          <w:rFonts w:ascii="Arial" w:hAnsi="Arial" w:cs="Arial"/>
          <w:lang w:val="en-ID"/>
        </w:rPr>
      </w:pPr>
      <w:r w:rsidRPr="00A75DEE">
        <w:rPr>
          <w:rFonts w:ascii="Arial" w:hAnsi="Arial" w:cs="Arial"/>
          <w:lang w:val="en-ID"/>
        </w:rPr>
        <w:t>The anterior longitudinal ligament (ALL) is a primary stabilizer of intervertebral joints, originating from the anterior base of the occipital bone and extending to the anterior sacrum. The posterior longitudinal ligament (PLL) is another major stabilizer, located on the posterior surface of the vertebral bodies and forming the anterior border of the spinal canal (</w:t>
      </w:r>
      <w:proofErr w:type="spellStart"/>
      <w:r w:rsidRPr="00A75DEE">
        <w:rPr>
          <w:rFonts w:ascii="Arial" w:hAnsi="Arial" w:cs="Arial"/>
          <w:lang w:val="en-ID"/>
        </w:rPr>
        <w:t>Ombregt</w:t>
      </w:r>
      <w:proofErr w:type="spellEnd"/>
      <w:r w:rsidRPr="00A75DEE">
        <w:rPr>
          <w:rFonts w:ascii="Arial" w:hAnsi="Arial" w:cs="Arial"/>
          <w:lang w:val="en-ID"/>
        </w:rPr>
        <w:t>, 2013).</w:t>
      </w:r>
    </w:p>
    <w:p w14:paraId="02AD8D5C" w14:textId="77777777" w:rsidR="00E271C8" w:rsidRDefault="00E271C8" w:rsidP="00A75DEE">
      <w:pPr>
        <w:pStyle w:val="Body"/>
        <w:spacing w:after="0"/>
        <w:rPr>
          <w:rFonts w:ascii="Arial" w:hAnsi="Arial" w:cs="Arial"/>
          <w:lang w:val="en-ID"/>
        </w:rPr>
      </w:pPr>
    </w:p>
    <w:p w14:paraId="5714AA22" w14:textId="77777777" w:rsidR="00E271C8" w:rsidRDefault="00E271C8" w:rsidP="00E271C8">
      <w:pPr>
        <w:pStyle w:val="Body"/>
        <w:spacing w:after="0"/>
        <w:jc w:val="center"/>
        <w:rPr>
          <w:rFonts w:ascii="Arial" w:hAnsi="Arial" w:cs="Arial"/>
          <w:lang w:val="en-ID"/>
        </w:rPr>
      </w:pPr>
      <w:r w:rsidRPr="00AE0EBE">
        <w:rPr>
          <w:rFonts w:asciiTheme="majorBidi" w:hAnsiTheme="majorBidi" w:cstheme="majorBidi"/>
          <w:noProof/>
        </w:rPr>
        <w:drawing>
          <wp:inline distT="0" distB="0" distL="0" distR="0" wp14:anchorId="72B8B672" wp14:editId="333C37D0">
            <wp:extent cx="2076979" cy="1995055"/>
            <wp:effectExtent l="0" t="0" r="0" b="0"/>
            <wp:docPr id="734244604" name="Picture 1" descr="A diagram of the sp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244604" name="Picture 1" descr="A diagram of the spine&#10;&#10;Description automatically generated"/>
                    <pic:cNvPicPr/>
                  </pic:nvPicPr>
                  <pic:blipFill>
                    <a:blip r:embed="rId21"/>
                    <a:stretch>
                      <a:fillRect/>
                    </a:stretch>
                  </pic:blipFill>
                  <pic:spPr>
                    <a:xfrm>
                      <a:off x="0" y="0"/>
                      <a:ext cx="2131247" cy="2047183"/>
                    </a:xfrm>
                    <a:prstGeom prst="rect">
                      <a:avLst/>
                    </a:prstGeom>
                  </pic:spPr>
                </pic:pic>
              </a:graphicData>
            </a:graphic>
          </wp:inline>
        </w:drawing>
      </w:r>
    </w:p>
    <w:p w14:paraId="4ECFBE88" w14:textId="77777777" w:rsidR="00A75DEE" w:rsidRPr="00A75DEE" w:rsidRDefault="00A75DEE" w:rsidP="00E271C8">
      <w:pPr>
        <w:pStyle w:val="Body"/>
        <w:spacing w:after="0"/>
        <w:jc w:val="center"/>
        <w:rPr>
          <w:rFonts w:ascii="Arial" w:hAnsi="Arial" w:cs="Arial"/>
          <w:lang w:val="en-ID"/>
        </w:rPr>
      </w:pPr>
      <w:r w:rsidRPr="00A75DEE">
        <w:rPr>
          <w:rFonts w:ascii="Arial" w:hAnsi="Arial" w:cs="Arial"/>
          <w:lang w:val="en-ID"/>
        </w:rPr>
        <w:t xml:space="preserve">Fig. 2. Posterior ligamentous complex. (Source: </w:t>
      </w:r>
      <w:proofErr w:type="spellStart"/>
      <w:r w:rsidRPr="00A75DEE">
        <w:rPr>
          <w:rFonts w:ascii="Arial" w:hAnsi="Arial" w:cs="Arial"/>
          <w:lang w:val="en-ID"/>
        </w:rPr>
        <w:t>Ombregt</w:t>
      </w:r>
      <w:proofErr w:type="spellEnd"/>
      <w:r w:rsidRPr="00A75DEE">
        <w:rPr>
          <w:rFonts w:ascii="Arial" w:hAnsi="Arial" w:cs="Arial"/>
          <w:lang w:val="en-ID"/>
        </w:rPr>
        <w:t>, 2013)</w:t>
      </w:r>
    </w:p>
    <w:p w14:paraId="12CD52A2" w14:textId="77777777" w:rsidR="00E271C8" w:rsidRDefault="00E271C8" w:rsidP="00E271C8">
      <w:pPr>
        <w:pStyle w:val="Body"/>
        <w:spacing w:after="0"/>
        <w:ind w:firstLine="720"/>
        <w:rPr>
          <w:rFonts w:ascii="Arial" w:hAnsi="Arial" w:cs="Arial"/>
          <w:lang w:val="en-ID"/>
        </w:rPr>
      </w:pPr>
    </w:p>
    <w:p w14:paraId="69E7C18D" w14:textId="77777777" w:rsidR="00A75DEE" w:rsidRPr="00A75DEE" w:rsidRDefault="00A75DEE" w:rsidP="00E271C8">
      <w:pPr>
        <w:pStyle w:val="Body"/>
        <w:spacing w:after="0"/>
        <w:ind w:firstLine="720"/>
        <w:rPr>
          <w:rFonts w:ascii="Arial" w:hAnsi="Arial" w:cs="Arial"/>
          <w:lang w:val="en-ID"/>
        </w:rPr>
      </w:pPr>
      <w:r w:rsidRPr="00A75DEE">
        <w:rPr>
          <w:rFonts w:ascii="Arial" w:hAnsi="Arial" w:cs="Arial"/>
          <w:lang w:val="en-ID"/>
        </w:rPr>
        <w:t>The ligamentum flavum controls excessive flexion movements and reinforces the facet capsular joint. The interspinous ligaments connect adjacent spinous processes, while the supraspinous ligament attaches to the tips of spinous processes from C7 to the sacrum. The intertransverse ligaments connect adjacent transverse processes (</w:t>
      </w:r>
      <w:proofErr w:type="spellStart"/>
      <w:r w:rsidRPr="00A75DEE">
        <w:rPr>
          <w:rFonts w:ascii="Arial" w:hAnsi="Arial" w:cs="Arial"/>
          <w:lang w:val="en-ID"/>
        </w:rPr>
        <w:t>Ombregt</w:t>
      </w:r>
      <w:proofErr w:type="spellEnd"/>
      <w:r w:rsidRPr="00A75DEE">
        <w:rPr>
          <w:rFonts w:ascii="Arial" w:hAnsi="Arial" w:cs="Arial"/>
          <w:lang w:val="en-ID"/>
        </w:rPr>
        <w:t>, 2013).</w:t>
      </w:r>
    </w:p>
    <w:p w14:paraId="7AF940F8" w14:textId="77777777" w:rsidR="00E271C8" w:rsidRDefault="00E271C8" w:rsidP="00A75DEE">
      <w:pPr>
        <w:pStyle w:val="Body"/>
        <w:spacing w:after="0"/>
        <w:rPr>
          <w:rFonts w:ascii="Arial" w:hAnsi="Arial" w:cs="Arial"/>
          <w:lang w:val="en-ID"/>
        </w:rPr>
      </w:pPr>
    </w:p>
    <w:p w14:paraId="473E68DF" w14:textId="77777777" w:rsidR="00A75DEE" w:rsidRPr="00A75DEE" w:rsidRDefault="00A75DEE" w:rsidP="00A75DEE">
      <w:pPr>
        <w:pStyle w:val="Body"/>
        <w:spacing w:after="0"/>
        <w:rPr>
          <w:rFonts w:ascii="Arial" w:hAnsi="Arial" w:cs="Arial"/>
          <w:lang w:val="en-ID"/>
        </w:rPr>
      </w:pPr>
      <w:r w:rsidRPr="00A75DEE">
        <w:rPr>
          <w:rFonts w:ascii="Arial" w:hAnsi="Arial" w:cs="Arial"/>
          <w:lang w:val="en-ID"/>
        </w:rPr>
        <w:t>3.2.3 Muscular Anatomy</w:t>
      </w:r>
    </w:p>
    <w:p w14:paraId="404A19BD" w14:textId="77777777" w:rsidR="00A75DEE" w:rsidRPr="00A75DEE" w:rsidRDefault="00A75DEE" w:rsidP="00E271C8">
      <w:pPr>
        <w:pStyle w:val="Body"/>
        <w:spacing w:after="0"/>
        <w:ind w:firstLine="720"/>
        <w:rPr>
          <w:rFonts w:ascii="Arial" w:hAnsi="Arial" w:cs="Arial"/>
          <w:lang w:val="en-ID"/>
        </w:rPr>
      </w:pPr>
      <w:r w:rsidRPr="00A75DEE">
        <w:rPr>
          <w:rFonts w:ascii="Arial" w:hAnsi="Arial" w:cs="Arial"/>
          <w:lang w:val="en-ID"/>
        </w:rPr>
        <w:t xml:space="preserve">The cervical muscles are categorized according to their function such as flexion, extension, or rotation. Muscles and ligaments work together to stabilize the spine, maintain posture, and control movement. The cervical muscles include the sternocleidomastoid (C2, C3), scalenus muscles (lower cervical), </w:t>
      </w:r>
      <w:proofErr w:type="spellStart"/>
      <w:r w:rsidRPr="00A75DEE">
        <w:rPr>
          <w:rFonts w:ascii="Arial" w:hAnsi="Arial" w:cs="Arial"/>
          <w:lang w:val="en-ID"/>
        </w:rPr>
        <w:t>spinalis</w:t>
      </w:r>
      <w:proofErr w:type="spellEnd"/>
      <w:r w:rsidRPr="00A75DEE">
        <w:rPr>
          <w:rFonts w:ascii="Arial" w:hAnsi="Arial" w:cs="Arial"/>
          <w:lang w:val="en-ID"/>
        </w:rPr>
        <w:t xml:space="preserve"> </w:t>
      </w:r>
      <w:proofErr w:type="spellStart"/>
      <w:r w:rsidRPr="00A75DEE">
        <w:rPr>
          <w:rFonts w:ascii="Arial" w:hAnsi="Arial" w:cs="Arial"/>
          <w:lang w:val="en-ID"/>
        </w:rPr>
        <w:t>cervicis</w:t>
      </w:r>
      <w:proofErr w:type="spellEnd"/>
      <w:r w:rsidRPr="00A75DEE">
        <w:rPr>
          <w:rFonts w:ascii="Arial" w:hAnsi="Arial" w:cs="Arial"/>
          <w:lang w:val="en-ID"/>
        </w:rPr>
        <w:t xml:space="preserve"> and </w:t>
      </w:r>
      <w:proofErr w:type="spellStart"/>
      <w:r w:rsidRPr="00A75DEE">
        <w:rPr>
          <w:rFonts w:ascii="Arial" w:hAnsi="Arial" w:cs="Arial"/>
          <w:lang w:val="en-ID"/>
        </w:rPr>
        <w:t>capitus</w:t>
      </w:r>
      <w:proofErr w:type="spellEnd"/>
      <w:r w:rsidRPr="00A75DEE">
        <w:rPr>
          <w:rFonts w:ascii="Arial" w:hAnsi="Arial" w:cs="Arial"/>
          <w:lang w:val="en-ID"/>
        </w:rPr>
        <w:t xml:space="preserve"> (middle/lower cervical), semispinalis </w:t>
      </w:r>
      <w:proofErr w:type="spellStart"/>
      <w:r w:rsidRPr="00A75DEE">
        <w:rPr>
          <w:rFonts w:ascii="Arial" w:hAnsi="Arial" w:cs="Arial"/>
          <w:lang w:val="en-ID"/>
        </w:rPr>
        <w:t>cervicis</w:t>
      </w:r>
      <w:proofErr w:type="spellEnd"/>
      <w:r w:rsidRPr="00A75DEE">
        <w:rPr>
          <w:rFonts w:ascii="Arial" w:hAnsi="Arial" w:cs="Arial"/>
          <w:lang w:val="en-ID"/>
        </w:rPr>
        <w:t xml:space="preserve"> and </w:t>
      </w:r>
      <w:proofErr w:type="spellStart"/>
      <w:r w:rsidRPr="00A75DEE">
        <w:rPr>
          <w:rFonts w:ascii="Arial" w:hAnsi="Arial" w:cs="Arial"/>
          <w:lang w:val="en-ID"/>
        </w:rPr>
        <w:t>capitus</w:t>
      </w:r>
      <w:proofErr w:type="spellEnd"/>
      <w:r w:rsidRPr="00A75DEE">
        <w:rPr>
          <w:rFonts w:ascii="Arial" w:hAnsi="Arial" w:cs="Arial"/>
          <w:lang w:val="en-ID"/>
        </w:rPr>
        <w:t xml:space="preserve">, splenius </w:t>
      </w:r>
      <w:proofErr w:type="spellStart"/>
      <w:r w:rsidRPr="00A75DEE">
        <w:rPr>
          <w:rFonts w:ascii="Arial" w:hAnsi="Arial" w:cs="Arial"/>
          <w:lang w:val="en-ID"/>
        </w:rPr>
        <w:t>cervicis</w:t>
      </w:r>
      <w:proofErr w:type="spellEnd"/>
      <w:r w:rsidRPr="00A75DEE">
        <w:rPr>
          <w:rFonts w:ascii="Arial" w:hAnsi="Arial" w:cs="Arial"/>
          <w:lang w:val="en-ID"/>
        </w:rPr>
        <w:t xml:space="preserve">, longus colli </w:t>
      </w:r>
      <w:proofErr w:type="spellStart"/>
      <w:r w:rsidRPr="00A75DEE">
        <w:rPr>
          <w:rFonts w:ascii="Arial" w:hAnsi="Arial" w:cs="Arial"/>
          <w:lang w:val="en-ID"/>
        </w:rPr>
        <w:t>cervicis</w:t>
      </w:r>
      <w:proofErr w:type="spellEnd"/>
      <w:r w:rsidRPr="00A75DEE">
        <w:rPr>
          <w:rFonts w:ascii="Arial" w:hAnsi="Arial" w:cs="Arial"/>
          <w:lang w:val="en-ID"/>
        </w:rPr>
        <w:t xml:space="preserve"> (C2-C7), longus </w:t>
      </w:r>
      <w:proofErr w:type="spellStart"/>
      <w:r w:rsidRPr="00A75DEE">
        <w:rPr>
          <w:rFonts w:ascii="Arial" w:hAnsi="Arial" w:cs="Arial"/>
          <w:lang w:val="en-ID"/>
        </w:rPr>
        <w:t>capitus</w:t>
      </w:r>
      <w:proofErr w:type="spellEnd"/>
      <w:r w:rsidRPr="00A75DEE">
        <w:rPr>
          <w:rFonts w:ascii="Arial" w:hAnsi="Arial" w:cs="Arial"/>
          <w:lang w:val="en-ID"/>
        </w:rPr>
        <w:t xml:space="preserve"> (C1-C3), rectus </w:t>
      </w:r>
      <w:proofErr w:type="spellStart"/>
      <w:r w:rsidRPr="00A75DEE">
        <w:rPr>
          <w:rFonts w:ascii="Arial" w:hAnsi="Arial" w:cs="Arial"/>
          <w:lang w:val="en-ID"/>
        </w:rPr>
        <w:t>capitus</w:t>
      </w:r>
      <w:proofErr w:type="spellEnd"/>
      <w:r w:rsidRPr="00A75DEE">
        <w:rPr>
          <w:rFonts w:ascii="Arial" w:hAnsi="Arial" w:cs="Arial"/>
          <w:lang w:val="en-ID"/>
        </w:rPr>
        <w:t xml:space="preserve"> anterior and lateralis (C2, C3), and the </w:t>
      </w:r>
      <w:proofErr w:type="spellStart"/>
      <w:r w:rsidRPr="00A75DEE">
        <w:rPr>
          <w:rFonts w:ascii="Arial" w:hAnsi="Arial" w:cs="Arial"/>
          <w:lang w:val="en-ID"/>
        </w:rPr>
        <w:t>suboccipital</w:t>
      </w:r>
      <w:proofErr w:type="spellEnd"/>
      <w:r w:rsidRPr="00A75DEE">
        <w:rPr>
          <w:rFonts w:ascii="Arial" w:hAnsi="Arial" w:cs="Arial"/>
          <w:lang w:val="en-ID"/>
        </w:rPr>
        <w:t xml:space="preserve"> muscles (</w:t>
      </w:r>
      <w:proofErr w:type="spellStart"/>
      <w:r w:rsidRPr="00A75DEE">
        <w:rPr>
          <w:rFonts w:ascii="Arial" w:hAnsi="Arial" w:cs="Arial"/>
          <w:lang w:val="en-ID"/>
        </w:rPr>
        <w:t>Ombregt</w:t>
      </w:r>
      <w:proofErr w:type="spellEnd"/>
      <w:r w:rsidRPr="00A75DEE">
        <w:rPr>
          <w:rFonts w:ascii="Arial" w:hAnsi="Arial" w:cs="Arial"/>
          <w:lang w:val="en-ID"/>
        </w:rPr>
        <w:t>, 2013).</w:t>
      </w:r>
    </w:p>
    <w:p w14:paraId="75CA429F" w14:textId="77777777" w:rsidR="00E271C8" w:rsidRDefault="00E271C8" w:rsidP="00A75DEE">
      <w:pPr>
        <w:pStyle w:val="Body"/>
        <w:spacing w:after="0"/>
        <w:rPr>
          <w:rFonts w:ascii="Arial" w:hAnsi="Arial" w:cs="Arial"/>
          <w:lang w:val="en-ID"/>
        </w:rPr>
      </w:pPr>
    </w:p>
    <w:p w14:paraId="6B6ABB3B" w14:textId="77777777" w:rsidR="00A75DEE" w:rsidRPr="00A75DEE" w:rsidRDefault="00A75DEE" w:rsidP="00A75DEE">
      <w:pPr>
        <w:pStyle w:val="Body"/>
        <w:spacing w:after="0"/>
        <w:rPr>
          <w:rFonts w:ascii="Arial" w:hAnsi="Arial" w:cs="Arial"/>
          <w:lang w:val="en-ID"/>
        </w:rPr>
      </w:pPr>
      <w:r w:rsidRPr="00A75DEE">
        <w:rPr>
          <w:rFonts w:ascii="Arial" w:hAnsi="Arial" w:cs="Arial"/>
          <w:lang w:val="en-ID"/>
        </w:rPr>
        <w:t>3.2.4 Vascular and Neural Anatomy</w:t>
      </w:r>
    </w:p>
    <w:p w14:paraId="789DAECE" w14:textId="77777777" w:rsidR="00A75DEE" w:rsidRPr="00A75DEE" w:rsidRDefault="00A75DEE" w:rsidP="00E271C8">
      <w:pPr>
        <w:pStyle w:val="Body"/>
        <w:spacing w:after="0"/>
        <w:ind w:firstLine="720"/>
        <w:rPr>
          <w:rFonts w:ascii="Arial" w:hAnsi="Arial" w:cs="Arial"/>
          <w:lang w:val="en-ID"/>
        </w:rPr>
      </w:pPr>
      <w:r w:rsidRPr="00A75DEE">
        <w:rPr>
          <w:rFonts w:ascii="Arial" w:hAnsi="Arial" w:cs="Arial"/>
          <w:lang w:val="en-ID"/>
        </w:rPr>
        <w:t>The circulation of the head and neck can be divided into anterior (carotid) and posterior (vertebrobasilar) circulations. The anterior circulation consists of the internal carotid artery (ICA), which divides into the anterior cerebral artery (ACA) and middle cerebral artery (MCA). The posterior circulation consists of the vertebral arteries (VA), which arise from the subclavian arteries and join to form the basilar artery (BA) (Santillan et al., 2011).</w:t>
      </w:r>
    </w:p>
    <w:p w14:paraId="54481616" w14:textId="77777777" w:rsidR="00A75DEE" w:rsidRPr="00A75DEE" w:rsidRDefault="00A75DEE" w:rsidP="00E271C8">
      <w:pPr>
        <w:pStyle w:val="Body"/>
        <w:spacing w:after="0"/>
        <w:ind w:firstLine="720"/>
        <w:rPr>
          <w:rFonts w:ascii="Arial" w:hAnsi="Arial" w:cs="Arial"/>
          <w:lang w:val="en-ID"/>
        </w:rPr>
      </w:pPr>
      <w:r w:rsidRPr="00A75DEE">
        <w:rPr>
          <w:rFonts w:ascii="Arial" w:hAnsi="Arial" w:cs="Arial"/>
          <w:lang w:val="en-ID"/>
        </w:rPr>
        <w:t>There are 31 pairs of spinal nerves, including 8 cervical pairs (C1-C8). The cervical plexus is formed by C1-C4 nerves and innervates the neck, scalp, neck muscles, and chest. The phrenic nerve (C3-C5) innervates the diaphragm. The brachial plexus is formed by C5-T1 roots and innervates the upper extremities (</w:t>
      </w:r>
      <w:proofErr w:type="spellStart"/>
      <w:r w:rsidRPr="00A75DEE">
        <w:rPr>
          <w:rFonts w:ascii="Arial" w:hAnsi="Arial" w:cs="Arial"/>
          <w:lang w:val="en-ID"/>
        </w:rPr>
        <w:t>Ombregt</w:t>
      </w:r>
      <w:proofErr w:type="spellEnd"/>
      <w:r w:rsidRPr="00A75DEE">
        <w:rPr>
          <w:rFonts w:ascii="Arial" w:hAnsi="Arial" w:cs="Arial"/>
          <w:lang w:val="en-ID"/>
        </w:rPr>
        <w:t>, 2013).</w:t>
      </w:r>
    </w:p>
    <w:p w14:paraId="6C843091" w14:textId="77777777" w:rsidR="00E271C8" w:rsidRDefault="00E271C8" w:rsidP="00A75DEE">
      <w:pPr>
        <w:pStyle w:val="Body"/>
        <w:spacing w:after="0"/>
        <w:rPr>
          <w:rFonts w:ascii="Arial" w:hAnsi="Arial" w:cs="Arial"/>
          <w:lang w:val="en-ID"/>
        </w:rPr>
      </w:pPr>
    </w:p>
    <w:p w14:paraId="26481E11" w14:textId="77777777" w:rsidR="00A75DEE" w:rsidRPr="00A75DEE" w:rsidRDefault="00A75DEE" w:rsidP="00A75DEE">
      <w:pPr>
        <w:pStyle w:val="Body"/>
        <w:spacing w:after="0"/>
        <w:rPr>
          <w:rFonts w:ascii="Arial" w:hAnsi="Arial" w:cs="Arial"/>
          <w:lang w:val="en-ID"/>
        </w:rPr>
      </w:pPr>
      <w:r w:rsidRPr="00A75DEE">
        <w:rPr>
          <w:rFonts w:ascii="Arial" w:hAnsi="Arial" w:cs="Arial"/>
          <w:lang w:val="en-ID"/>
        </w:rPr>
        <w:t>3.3 Classification of Cervical Spine Trauma</w:t>
      </w:r>
    </w:p>
    <w:p w14:paraId="37B64187" w14:textId="41C090EB" w:rsidR="00A75DEE" w:rsidRDefault="00A75DEE" w:rsidP="00E271C8">
      <w:pPr>
        <w:pStyle w:val="Body"/>
        <w:spacing w:after="0"/>
        <w:ind w:firstLine="720"/>
        <w:rPr>
          <w:rFonts w:ascii="Arial" w:hAnsi="Arial" w:cs="Arial"/>
          <w:lang w:val="en-ID"/>
        </w:rPr>
      </w:pPr>
      <w:r w:rsidRPr="00A75DEE">
        <w:rPr>
          <w:rFonts w:ascii="Arial" w:hAnsi="Arial" w:cs="Arial"/>
          <w:lang w:val="en-ID"/>
        </w:rPr>
        <w:t>Cervical spine trauma is classified based on injury mechanism, anatomical location, and stability</w:t>
      </w:r>
      <w:r w:rsidR="00F248DE">
        <w:rPr>
          <w:rFonts w:ascii="Arial" w:hAnsi="Arial" w:cs="Arial"/>
          <w:lang w:val="en-ID"/>
        </w:rPr>
        <w:t xml:space="preserve"> (</w:t>
      </w:r>
      <w:r w:rsidR="00F248DE" w:rsidRPr="00F248DE">
        <w:rPr>
          <w:rFonts w:ascii="Arial" w:hAnsi="Arial" w:cs="Arial"/>
        </w:rPr>
        <w:t>Huang et al., 2025</w:t>
      </w:r>
      <w:r w:rsidR="00F248DE">
        <w:rPr>
          <w:rFonts w:ascii="Arial" w:hAnsi="Arial" w:cs="Arial"/>
        </w:rPr>
        <w:t>)</w:t>
      </w:r>
      <w:r w:rsidRPr="00A75DEE">
        <w:rPr>
          <w:rFonts w:ascii="Arial" w:hAnsi="Arial" w:cs="Arial"/>
          <w:lang w:val="en-ID"/>
        </w:rPr>
        <w:t>. The AO Spine classification system, which incorporates morphology, neurological status, and clinical modifiers, is widely used to guide treatment decisions (Table 1).</w:t>
      </w:r>
    </w:p>
    <w:p w14:paraId="65FC993B" w14:textId="77777777" w:rsidR="00E271C8" w:rsidRDefault="00E271C8" w:rsidP="00E271C8">
      <w:pPr>
        <w:pStyle w:val="Body"/>
        <w:spacing w:after="0"/>
        <w:ind w:firstLine="720"/>
        <w:rPr>
          <w:rFonts w:ascii="Arial" w:hAnsi="Arial" w:cs="Arial"/>
          <w:lang w:val="en-ID"/>
        </w:rPr>
      </w:pPr>
    </w:p>
    <w:p w14:paraId="268F4753" w14:textId="77777777" w:rsidR="00E271C8" w:rsidRDefault="00E271C8" w:rsidP="00E271C8">
      <w:pPr>
        <w:pStyle w:val="Body"/>
        <w:spacing w:after="0"/>
        <w:ind w:firstLine="720"/>
        <w:rPr>
          <w:rFonts w:ascii="Arial" w:hAnsi="Arial" w:cs="Arial"/>
          <w:lang w:val="en-ID"/>
        </w:rPr>
      </w:pPr>
    </w:p>
    <w:p w14:paraId="61AFFB4A" w14:textId="77777777" w:rsidR="00E271C8" w:rsidRDefault="00E271C8" w:rsidP="00E271C8">
      <w:pPr>
        <w:pStyle w:val="Body"/>
        <w:spacing w:after="0"/>
        <w:ind w:firstLine="720"/>
        <w:rPr>
          <w:rFonts w:ascii="Arial" w:hAnsi="Arial" w:cs="Arial"/>
          <w:lang w:val="en-ID"/>
        </w:rPr>
      </w:pPr>
    </w:p>
    <w:p w14:paraId="3748324E" w14:textId="77777777" w:rsidR="00E271C8" w:rsidRDefault="00E271C8" w:rsidP="00E271C8">
      <w:pPr>
        <w:pStyle w:val="Body"/>
        <w:spacing w:after="0"/>
        <w:ind w:firstLine="720"/>
        <w:rPr>
          <w:rFonts w:ascii="Arial" w:hAnsi="Arial" w:cs="Arial"/>
          <w:lang w:val="en-ID"/>
        </w:rPr>
      </w:pPr>
    </w:p>
    <w:p w14:paraId="67BEADCE" w14:textId="77777777" w:rsidR="00E271C8" w:rsidRDefault="00E271C8" w:rsidP="00E271C8">
      <w:pPr>
        <w:pStyle w:val="Body"/>
        <w:spacing w:after="0"/>
        <w:ind w:firstLine="720"/>
        <w:rPr>
          <w:rFonts w:ascii="Arial" w:hAnsi="Arial" w:cs="Arial"/>
          <w:lang w:val="en-ID"/>
        </w:rPr>
      </w:pPr>
    </w:p>
    <w:p w14:paraId="191E9F04" w14:textId="77777777" w:rsidR="00E271C8" w:rsidRDefault="00E271C8" w:rsidP="00E271C8">
      <w:pPr>
        <w:pStyle w:val="Body"/>
        <w:spacing w:after="0"/>
        <w:ind w:firstLine="720"/>
        <w:rPr>
          <w:rFonts w:ascii="Arial" w:hAnsi="Arial" w:cs="Arial"/>
          <w:lang w:val="en-ID"/>
        </w:rPr>
      </w:pPr>
    </w:p>
    <w:p w14:paraId="46C71480" w14:textId="77777777" w:rsidR="00E271C8" w:rsidRDefault="00E271C8" w:rsidP="00E271C8">
      <w:pPr>
        <w:pStyle w:val="Body"/>
        <w:spacing w:after="0"/>
        <w:ind w:firstLine="720"/>
        <w:rPr>
          <w:rFonts w:ascii="Arial" w:hAnsi="Arial" w:cs="Arial"/>
          <w:lang w:val="en-ID"/>
        </w:rPr>
      </w:pPr>
    </w:p>
    <w:p w14:paraId="5E6A473E" w14:textId="77777777" w:rsidR="00E271C8" w:rsidRDefault="00E271C8" w:rsidP="00E271C8">
      <w:pPr>
        <w:pStyle w:val="Body"/>
        <w:spacing w:after="0"/>
        <w:ind w:firstLine="720"/>
        <w:rPr>
          <w:rFonts w:ascii="Arial" w:hAnsi="Arial" w:cs="Arial"/>
          <w:lang w:val="en-ID"/>
        </w:rPr>
      </w:pPr>
    </w:p>
    <w:p w14:paraId="2E3C0013" w14:textId="77777777" w:rsidR="00E271C8" w:rsidRPr="00A75DEE" w:rsidRDefault="00E271C8" w:rsidP="00E271C8">
      <w:pPr>
        <w:pStyle w:val="Body"/>
        <w:spacing w:after="0"/>
        <w:ind w:firstLine="720"/>
        <w:rPr>
          <w:rFonts w:ascii="Arial" w:hAnsi="Arial" w:cs="Arial"/>
          <w:lang w:val="en-ID"/>
        </w:rPr>
      </w:pPr>
    </w:p>
    <w:p w14:paraId="4EDB979E" w14:textId="77777777" w:rsidR="00A75DEE" w:rsidRPr="00A75DEE" w:rsidRDefault="00A75DEE" w:rsidP="00A75DEE">
      <w:pPr>
        <w:pStyle w:val="Body"/>
        <w:spacing w:after="0"/>
        <w:rPr>
          <w:rFonts w:ascii="Arial" w:hAnsi="Arial" w:cs="Arial"/>
          <w:lang w:val="en-ID"/>
        </w:rPr>
      </w:pPr>
      <w:r w:rsidRPr="00A75DEE">
        <w:rPr>
          <w:rFonts w:ascii="Arial" w:hAnsi="Arial" w:cs="Arial"/>
          <w:lang w:val="en-ID"/>
        </w:rPr>
        <w:t>Table 1. Classification of Cervical Spine Trauma</w:t>
      </w:r>
    </w:p>
    <w:tbl>
      <w:tblPr>
        <w:tblW w:w="5000" w:type="pct"/>
        <w:jc w:val="center"/>
        <w:tblCellMar>
          <w:top w:w="15" w:type="dxa"/>
          <w:left w:w="15" w:type="dxa"/>
          <w:bottom w:w="15" w:type="dxa"/>
          <w:right w:w="15" w:type="dxa"/>
        </w:tblCellMar>
        <w:tblLook w:val="04A0" w:firstRow="1" w:lastRow="0" w:firstColumn="1" w:lastColumn="0" w:noHBand="0" w:noVBand="1"/>
      </w:tblPr>
      <w:tblGrid>
        <w:gridCol w:w="1440"/>
        <w:gridCol w:w="1963"/>
        <w:gridCol w:w="4805"/>
      </w:tblGrid>
      <w:tr w:rsidR="00A75DEE" w:rsidRPr="00A75DEE" w14:paraId="0DEB223E" w14:textId="77777777" w:rsidTr="00E271C8">
        <w:trPr>
          <w:tblHeader/>
          <w:jc w:val="center"/>
        </w:trPr>
        <w:tc>
          <w:tcPr>
            <w:tcW w:w="877" w:type="pct"/>
            <w:tcBorders>
              <w:top w:val="single" w:sz="4" w:space="0" w:color="auto"/>
              <w:bottom w:val="single" w:sz="4" w:space="0" w:color="auto"/>
            </w:tcBorders>
            <w:tcMar>
              <w:top w:w="150" w:type="dxa"/>
              <w:left w:w="0" w:type="dxa"/>
              <w:bottom w:w="150" w:type="dxa"/>
              <w:right w:w="240" w:type="dxa"/>
            </w:tcMar>
            <w:vAlign w:val="center"/>
            <w:hideMark/>
          </w:tcPr>
          <w:p w14:paraId="59546383" w14:textId="77777777" w:rsidR="00A75DEE" w:rsidRPr="00A75DEE" w:rsidRDefault="00A75DEE" w:rsidP="00E271C8">
            <w:pPr>
              <w:pStyle w:val="Body"/>
              <w:spacing w:after="0"/>
              <w:jc w:val="center"/>
              <w:rPr>
                <w:rFonts w:ascii="Arial" w:hAnsi="Arial" w:cs="Arial"/>
                <w:lang w:val="en-ID"/>
              </w:rPr>
            </w:pPr>
            <w:r w:rsidRPr="00A75DEE">
              <w:rPr>
                <w:rFonts w:ascii="Arial" w:hAnsi="Arial" w:cs="Arial"/>
                <w:lang w:val="en-ID"/>
              </w:rPr>
              <w:t>Category</w:t>
            </w:r>
          </w:p>
        </w:tc>
        <w:tc>
          <w:tcPr>
            <w:tcW w:w="1196" w:type="pct"/>
            <w:tcBorders>
              <w:top w:val="single" w:sz="4" w:space="0" w:color="auto"/>
              <w:bottom w:val="single" w:sz="4" w:space="0" w:color="auto"/>
            </w:tcBorders>
            <w:tcMar>
              <w:top w:w="150" w:type="dxa"/>
              <w:left w:w="240" w:type="dxa"/>
              <w:bottom w:w="150" w:type="dxa"/>
              <w:right w:w="240" w:type="dxa"/>
            </w:tcMar>
            <w:vAlign w:val="center"/>
            <w:hideMark/>
          </w:tcPr>
          <w:p w14:paraId="157A6DA3" w14:textId="77777777" w:rsidR="00A75DEE" w:rsidRPr="00A75DEE" w:rsidRDefault="00A75DEE" w:rsidP="00E271C8">
            <w:pPr>
              <w:pStyle w:val="Body"/>
              <w:spacing w:after="0"/>
              <w:jc w:val="center"/>
              <w:rPr>
                <w:rFonts w:ascii="Arial" w:hAnsi="Arial" w:cs="Arial"/>
                <w:lang w:val="en-ID"/>
              </w:rPr>
            </w:pPr>
            <w:r w:rsidRPr="00A75DEE">
              <w:rPr>
                <w:rFonts w:ascii="Arial" w:hAnsi="Arial" w:cs="Arial"/>
                <w:lang w:val="en-ID"/>
              </w:rPr>
              <w:t>Type</w:t>
            </w:r>
          </w:p>
        </w:tc>
        <w:tc>
          <w:tcPr>
            <w:tcW w:w="2927" w:type="pct"/>
            <w:tcBorders>
              <w:top w:val="single" w:sz="4" w:space="0" w:color="auto"/>
              <w:bottom w:val="single" w:sz="4" w:space="0" w:color="auto"/>
            </w:tcBorders>
            <w:tcMar>
              <w:top w:w="150" w:type="dxa"/>
              <w:left w:w="240" w:type="dxa"/>
              <w:bottom w:w="150" w:type="dxa"/>
              <w:right w:w="240" w:type="dxa"/>
            </w:tcMar>
            <w:vAlign w:val="center"/>
            <w:hideMark/>
          </w:tcPr>
          <w:p w14:paraId="14CCBFEA" w14:textId="77777777" w:rsidR="00A75DEE" w:rsidRPr="00A75DEE" w:rsidRDefault="00A75DEE" w:rsidP="00E271C8">
            <w:pPr>
              <w:pStyle w:val="Body"/>
              <w:spacing w:after="0"/>
              <w:jc w:val="center"/>
              <w:rPr>
                <w:rFonts w:ascii="Arial" w:hAnsi="Arial" w:cs="Arial"/>
                <w:lang w:val="en-ID"/>
              </w:rPr>
            </w:pPr>
            <w:r w:rsidRPr="00A75DEE">
              <w:rPr>
                <w:rFonts w:ascii="Arial" w:hAnsi="Arial" w:cs="Arial"/>
                <w:lang w:val="en-ID"/>
              </w:rPr>
              <w:t>Description</w:t>
            </w:r>
          </w:p>
        </w:tc>
      </w:tr>
      <w:tr w:rsidR="00A75DEE" w:rsidRPr="00A75DEE" w14:paraId="17B78B1B" w14:textId="77777777" w:rsidTr="00E271C8">
        <w:trPr>
          <w:jc w:val="center"/>
        </w:trPr>
        <w:tc>
          <w:tcPr>
            <w:tcW w:w="877" w:type="pct"/>
            <w:tcBorders>
              <w:top w:val="single" w:sz="4" w:space="0" w:color="auto"/>
            </w:tcBorders>
            <w:tcMar>
              <w:top w:w="150" w:type="dxa"/>
              <w:left w:w="0" w:type="dxa"/>
              <w:bottom w:w="150" w:type="dxa"/>
              <w:right w:w="240" w:type="dxa"/>
            </w:tcMar>
            <w:vAlign w:val="center"/>
            <w:hideMark/>
          </w:tcPr>
          <w:p w14:paraId="108D5AC6" w14:textId="77777777" w:rsidR="00A75DEE" w:rsidRPr="00A75DEE" w:rsidRDefault="00A75DEE" w:rsidP="00E271C8">
            <w:pPr>
              <w:pStyle w:val="Body"/>
              <w:spacing w:after="0"/>
              <w:rPr>
                <w:rFonts w:ascii="Arial" w:hAnsi="Arial" w:cs="Arial"/>
                <w:lang w:val="en-ID"/>
              </w:rPr>
            </w:pPr>
            <w:r w:rsidRPr="00A75DEE">
              <w:rPr>
                <w:rFonts w:ascii="Arial" w:hAnsi="Arial" w:cs="Arial"/>
                <w:lang w:val="en-ID"/>
              </w:rPr>
              <w:t>Mechanism of Injury</w:t>
            </w:r>
          </w:p>
        </w:tc>
        <w:tc>
          <w:tcPr>
            <w:tcW w:w="1196" w:type="pct"/>
            <w:tcBorders>
              <w:top w:val="single" w:sz="4" w:space="0" w:color="auto"/>
            </w:tcBorders>
            <w:tcMar>
              <w:top w:w="150" w:type="dxa"/>
              <w:left w:w="240" w:type="dxa"/>
              <w:bottom w:w="150" w:type="dxa"/>
              <w:right w:w="240" w:type="dxa"/>
            </w:tcMar>
            <w:vAlign w:val="center"/>
            <w:hideMark/>
          </w:tcPr>
          <w:p w14:paraId="19E024E4" w14:textId="77777777" w:rsidR="00A75DEE" w:rsidRPr="00A75DEE" w:rsidRDefault="00A75DEE" w:rsidP="00E271C8">
            <w:pPr>
              <w:pStyle w:val="Body"/>
              <w:spacing w:after="0"/>
              <w:rPr>
                <w:rFonts w:ascii="Arial" w:hAnsi="Arial" w:cs="Arial"/>
                <w:lang w:val="en-ID"/>
              </w:rPr>
            </w:pPr>
            <w:r w:rsidRPr="00A75DEE">
              <w:rPr>
                <w:rFonts w:ascii="Arial" w:hAnsi="Arial" w:cs="Arial"/>
                <w:lang w:val="en-ID"/>
              </w:rPr>
              <w:t>Flexion Injuries</w:t>
            </w:r>
          </w:p>
        </w:tc>
        <w:tc>
          <w:tcPr>
            <w:tcW w:w="2927" w:type="pct"/>
            <w:tcBorders>
              <w:top w:val="single" w:sz="4" w:space="0" w:color="auto"/>
            </w:tcBorders>
            <w:tcMar>
              <w:top w:w="150" w:type="dxa"/>
              <w:left w:w="240" w:type="dxa"/>
              <w:bottom w:w="150" w:type="dxa"/>
              <w:right w:w="0" w:type="dxa"/>
            </w:tcMar>
            <w:vAlign w:val="center"/>
            <w:hideMark/>
          </w:tcPr>
          <w:p w14:paraId="46F3F2D4" w14:textId="77777777" w:rsidR="00A75DEE" w:rsidRPr="00A75DEE" w:rsidRDefault="00A75DEE" w:rsidP="00E271C8">
            <w:pPr>
              <w:pStyle w:val="Body"/>
              <w:spacing w:after="0"/>
              <w:rPr>
                <w:rFonts w:ascii="Arial" w:hAnsi="Arial" w:cs="Arial"/>
                <w:lang w:val="en-ID"/>
              </w:rPr>
            </w:pPr>
            <w:r w:rsidRPr="00A75DEE">
              <w:rPr>
                <w:rFonts w:ascii="Arial" w:hAnsi="Arial" w:cs="Arial"/>
                <w:lang w:val="en-ID"/>
              </w:rPr>
              <w:t>Result from forward bending forces, leading to anterior compression fractures, subluxations, or dislocations</w:t>
            </w:r>
          </w:p>
        </w:tc>
      </w:tr>
      <w:tr w:rsidR="00A75DEE" w:rsidRPr="00A75DEE" w14:paraId="2CF7436F" w14:textId="77777777" w:rsidTr="00E271C8">
        <w:trPr>
          <w:jc w:val="center"/>
        </w:trPr>
        <w:tc>
          <w:tcPr>
            <w:tcW w:w="877" w:type="pct"/>
            <w:tcMar>
              <w:top w:w="150" w:type="dxa"/>
              <w:left w:w="0" w:type="dxa"/>
              <w:bottom w:w="150" w:type="dxa"/>
              <w:right w:w="240" w:type="dxa"/>
            </w:tcMar>
            <w:vAlign w:val="center"/>
            <w:hideMark/>
          </w:tcPr>
          <w:p w14:paraId="77604759" w14:textId="77777777" w:rsidR="00A75DEE" w:rsidRPr="00A75DEE" w:rsidRDefault="00A75DEE" w:rsidP="00E271C8">
            <w:pPr>
              <w:pStyle w:val="Body"/>
              <w:spacing w:after="0"/>
              <w:rPr>
                <w:rFonts w:ascii="Arial" w:hAnsi="Arial" w:cs="Arial"/>
                <w:lang w:val="en-ID"/>
              </w:rPr>
            </w:pPr>
          </w:p>
        </w:tc>
        <w:tc>
          <w:tcPr>
            <w:tcW w:w="1196" w:type="pct"/>
            <w:tcMar>
              <w:top w:w="150" w:type="dxa"/>
              <w:left w:w="240" w:type="dxa"/>
              <w:bottom w:w="150" w:type="dxa"/>
              <w:right w:w="240" w:type="dxa"/>
            </w:tcMar>
            <w:vAlign w:val="center"/>
            <w:hideMark/>
          </w:tcPr>
          <w:p w14:paraId="439E188B" w14:textId="77777777" w:rsidR="00A75DEE" w:rsidRPr="00A75DEE" w:rsidRDefault="00A75DEE" w:rsidP="00E271C8">
            <w:pPr>
              <w:pStyle w:val="Body"/>
              <w:spacing w:after="0"/>
              <w:rPr>
                <w:rFonts w:ascii="Arial" w:hAnsi="Arial" w:cs="Arial"/>
                <w:lang w:val="en-ID"/>
              </w:rPr>
            </w:pPr>
            <w:r w:rsidRPr="00A75DEE">
              <w:rPr>
                <w:rFonts w:ascii="Arial" w:hAnsi="Arial" w:cs="Arial"/>
                <w:lang w:val="en-ID"/>
              </w:rPr>
              <w:t>Extension Injuries</w:t>
            </w:r>
          </w:p>
        </w:tc>
        <w:tc>
          <w:tcPr>
            <w:tcW w:w="2927" w:type="pct"/>
            <w:tcMar>
              <w:top w:w="150" w:type="dxa"/>
              <w:left w:w="240" w:type="dxa"/>
              <w:bottom w:w="150" w:type="dxa"/>
              <w:right w:w="0" w:type="dxa"/>
            </w:tcMar>
            <w:vAlign w:val="center"/>
            <w:hideMark/>
          </w:tcPr>
          <w:p w14:paraId="2320660A" w14:textId="77777777" w:rsidR="00A75DEE" w:rsidRPr="00A75DEE" w:rsidRDefault="00A75DEE" w:rsidP="00E271C8">
            <w:pPr>
              <w:pStyle w:val="Body"/>
              <w:spacing w:after="0"/>
              <w:rPr>
                <w:rFonts w:ascii="Arial" w:hAnsi="Arial" w:cs="Arial"/>
                <w:lang w:val="en-ID"/>
              </w:rPr>
            </w:pPr>
            <w:r w:rsidRPr="00A75DEE">
              <w:rPr>
                <w:rFonts w:ascii="Arial" w:hAnsi="Arial" w:cs="Arial"/>
                <w:lang w:val="en-ID"/>
              </w:rPr>
              <w:t>Caused by backward bending forces, often resulting in posterior element fractures or ligamentous injuries</w:t>
            </w:r>
          </w:p>
        </w:tc>
      </w:tr>
      <w:tr w:rsidR="00A75DEE" w:rsidRPr="00A75DEE" w14:paraId="705CCEFE" w14:textId="77777777" w:rsidTr="00E271C8">
        <w:trPr>
          <w:jc w:val="center"/>
        </w:trPr>
        <w:tc>
          <w:tcPr>
            <w:tcW w:w="877" w:type="pct"/>
            <w:tcMar>
              <w:top w:w="150" w:type="dxa"/>
              <w:left w:w="0" w:type="dxa"/>
              <w:bottom w:w="150" w:type="dxa"/>
              <w:right w:w="240" w:type="dxa"/>
            </w:tcMar>
            <w:vAlign w:val="center"/>
            <w:hideMark/>
          </w:tcPr>
          <w:p w14:paraId="24E2BCD6" w14:textId="77777777" w:rsidR="00A75DEE" w:rsidRPr="00A75DEE" w:rsidRDefault="00A75DEE" w:rsidP="00E271C8">
            <w:pPr>
              <w:pStyle w:val="Body"/>
              <w:spacing w:after="0"/>
              <w:rPr>
                <w:rFonts w:ascii="Arial" w:hAnsi="Arial" w:cs="Arial"/>
                <w:lang w:val="en-ID"/>
              </w:rPr>
            </w:pPr>
          </w:p>
        </w:tc>
        <w:tc>
          <w:tcPr>
            <w:tcW w:w="1196" w:type="pct"/>
            <w:tcMar>
              <w:top w:w="150" w:type="dxa"/>
              <w:left w:w="240" w:type="dxa"/>
              <w:bottom w:w="150" w:type="dxa"/>
              <w:right w:w="240" w:type="dxa"/>
            </w:tcMar>
            <w:vAlign w:val="center"/>
            <w:hideMark/>
          </w:tcPr>
          <w:p w14:paraId="29732A78" w14:textId="77777777" w:rsidR="00A75DEE" w:rsidRPr="00A75DEE" w:rsidRDefault="00A75DEE" w:rsidP="00E271C8">
            <w:pPr>
              <w:pStyle w:val="Body"/>
              <w:spacing w:after="0"/>
              <w:rPr>
                <w:rFonts w:ascii="Arial" w:hAnsi="Arial" w:cs="Arial"/>
                <w:lang w:val="en-ID"/>
              </w:rPr>
            </w:pPr>
            <w:r w:rsidRPr="00A75DEE">
              <w:rPr>
                <w:rFonts w:ascii="Arial" w:hAnsi="Arial" w:cs="Arial"/>
                <w:lang w:val="en-ID"/>
              </w:rPr>
              <w:t>Axial Compression Injuries</w:t>
            </w:r>
          </w:p>
        </w:tc>
        <w:tc>
          <w:tcPr>
            <w:tcW w:w="2927" w:type="pct"/>
            <w:tcMar>
              <w:top w:w="150" w:type="dxa"/>
              <w:left w:w="240" w:type="dxa"/>
              <w:bottom w:w="150" w:type="dxa"/>
              <w:right w:w="0" w:type="dxa"/>
            </w:tcMar>
            <w:vAlign w:val="center"/>
            <w:hideMark/>
          </w:tcPr>
          <w:p w14:paraId="4231176F" w14:textId="77777777" w:rsidR="00A75DEE" w:rsidRPr="00A75DEE" w:rsidRDefault="00A75DEE" w:rsidP="00E271C8">
            <w:pPr>
              <w:pStyle w:val="Body"/>
              <w:spacing w:after="0"/>
              <w:rPr>
                <w:rFonts w:ascii="Arial" w:hAnsi="Arial" w:cs="Arial"/>
                <w:lang w:val="en-ID"/>
              </w:rPr>
            </w:pPr>
            <w:r w:rsidRPr="00A75DEE">
              <w:rPr>
                <w:rFonts w:ascii="Arial" w:hAnsi="Arial" w:cs="Arial"/>
                <w:lang w:val="en-ID"/>
              </w:rPr>
              <w:t xml:space="preserve">Result from vertical forces, causing burst fractures or </w:t>
            </w:r>
            <w:proofErr w:type="spellStart"/>
            <w:r w:rsidRPr="00A75DEE">
              <w:rPr>
                <w:rFonts w:ascii="Arial" w:hAnsi="Arial" w:cs="Arial"/>
                <w:lang w:val="en-ID"/>
              </w:rPr>
              <w:t>comminuted</w:t>
            </w:r>
            <w:proofErr w:type="spellEnd"/>
            <w:r w:rsidRPr="00A75DEE">
              <w:rPr>
                <w:rFonts w:ascii="Arial" w:hAnsi="Arial" w:cs="Arial"/>
                <w:lang w:val="en-ID"/>
              </w:rPr>
              <w:t xml:space="preserve"> vertebral body fractures</w:t>
            </w:r>
          </w:p>
        </w:tc>
      </w:tr>
      <w:tr w:rsidR="00A75DEE" w:rsidRPr="00A75DEE" w14:paraId="3CBC94A8" w14:textId="77777777" w:rsidTr="00E271C8">
        <w:trPr>
          <w:jc w:val="center"/>
        </w:trPr>
        <w:tc>
          <w:tcPr>
            <w:tcW w:w="877" w:type="pct"/>
            <w:tcMar>
              <w:top w:w="150" w:type="dxa"/>
              <w:left w:w="0" w:type="dxa"/>
              <w:bottom w:w="150" w:type="dxa"/>
              <w:right w:w="240" w:type="dxa"/>
            </w:tcMar>
            <w:vAlign w:val="center"/>
            <w:hideMark/>
          </w:tcPr>
          <w:p w14:paraId="337DE607" w14:textId="77777777" w:rsidR="00A75DEE" w:rsidRPr="00A75DEE" w:rsidRDefault="00A75DEE" w:rsidP="00E271C8">
            <w:pPr>
              <w:pStyle w:val="Body"/>
              <w:spacing w:after="0"/>
              <w:rPr>
                <w:rFonts w:ascii="Arial" w:hAnsi="Arial" w:cs="Arial"/>
                <w:lang w:val="en-ID"/>
              </w:rPr>
            </w:pPr>
          </w:p>
        </w:tc>
        <w:tc>
          <w:tcPr>
            <w:tcW w:w="1196" w:type="pct"/>
            <w:tcMar>
              <w:top w:w="150" w:type="dxa"/>
              <w:left w:w="240" w:type="dxa"/>
              <w:bottom w:w="150" w:type="dxa"/>
              <w:right w:w="240" w:type="dxa"/>
            </w:tcMar>
            <w:vAlign w:val="center"/>
            <w:hideMark/>
          </w:tcPr>
          <w:p w14:paraId="7FEE68D7" w14:textId="77777777" w:rsidR="00A75DEE" w:rsidRPr="00A75DEE" w:rsidRDefault="00A75DEE" w:rsidP="00E271C8">
            <w:pPr>
              <w:pStyle w:val="Body"/>
              <w:spacing w:after="0"/>
              <w:rPr>
                <w:rFonts w:ascii="Arial" w:hAnsi="Arial" w:cs="Arial"/>
                <w:lang w:val="en-ID"/>
              </w:rPr>
            </w:pPr>
            <w:r w:rsidRPr="00A75DEE">
              <w:rPr>
                <w:rFonts w:ascii="Arial" w:hAnsi="Arial" w:cs="Arial"/>
                <w:lang w:val="en-ID"/>
              </w:rPr>
              <w:t>Rotational Injuries</w:t>
            </w:r>
          </w:p>
        </w:tc>
        <w:tc>
          <w:tcPr>
            <w:tcW w:w="2927" w:type="pct"/>
            <w:tcMar>
              <w:top w:w="150" w:type="dxa"/>
              <w:left w:w="240" w:type="dxa"/>
              <w:bottom w:w="150" w:type="dxa"/>
              <w:right w:w="0" w:type="dxa"/>
            </w:tcMar>
            <w:vAlign w:val="center"/>
            <w:hideMark/>
          </w:tcPr>
          <w:p w14:paraId="7838F930" w14:textId="77777777" w:rsidR="00A75DEE" w:rsidRPr="00A75DEE" w:rsidRDefault="00A75DEE" w:rsidP="00E271C8">
            <w:pPr>
              <w:pStyle w:val="Body"/>
              <w:spacing w:after="0"/>
              <w:rPr>
                <w:rFonts w:ascii="Arial" w:hAnsi="Arial" w:cs="Arial"/>
                <w:lang w:val="en-ID"/>
              </w:rPr>
            </w:pPr>
            <w:r w:rsidRPr="00A75DEE">
              <w:rPr>
                <w:rFonts w:ascii="Arial" w:hAnsi="Arial" w:cs="Arial"/>
                <w:lang w:val="en-ID"/>
              </w:rPr>
              <w:t>Involve torsional forces leading to unilateral facet dislocations or fractures</w:t>
            </w:r>
          </w:p>
        </w:tc>
      </w:tr>
      <w:tr w:rsidR="00A75DEE" w:rsidRPr="00A75DEE" w14:paraId="7066BE4E" w14:textId="77777777" w:rsidTr="00E271C8">
        <w:trPr>
          <w:jc w:val="center"/>
        </w:trPr>
        <w:tc>
          <w:tcPr>
            <w:tcW w:w="877" w:type="pct"/>
            <w:tcMar>
              <w:top w:w="150" w:type="dxa"/>
              <w:left w:w="0" w:type="dxa"/>
              <w:bottom w:w="150" w:type="dxa"/>
              <w:right w:w="240" w:type="dxa"/>
            </w:tcMar>
            <w:vAlign w:val="center"/>
            <w:hideMark/>
          </w:tcPr>
          <w:p w14:paraId="299FD25D" w14:textId="77777777" w:rsidR="00A75DEE" w:rsidRPr="00A75DEE" w:rsidRDefault="00A75DEE" w:rsidP="00E271C8">
            <w:pPr>
              <w:pStyle w:val="Body"/>
              <w:spacing w:after="0"/>
              <w:rPr>
                <w:rFonts w:ascii="Arial" w:hAnsi="Arial" w:cs="Arial"/>
                <w:lang w:val="en-ID"/>
              </w:rPr>
            </w:pPr>
            <w:r w:rsidRPr="00A75DEE">
              <w:rPr>
                <w:rFonts w:ascii="Arial" w:hAnsi="Arial" w:cs="Arial"/>
                <w:lang w:val="en-ID"/>
              </w:rPr>
              <w:t>Anatomical Location</w:t>
            </w:r>
          </w:p>
        </w:tc>
        <w:tc>
          <w:tcPr>
            <w:tcW w:w="1196" w:type="pct"/>
            <w:tcMar>
              <w:top w:w="150" w:type="dxa"/>
              <w:left w:w="240" w:type="dxa"/>
              <w:bottom w:w="150" w:type="dxa"/>
              <w:right w:w="240" w:type="dxa"/>
            </w:tcMar>
            <w:vAlign w:val="center"/>
            <w:hideMark/>
          </w:tcPr>
          <w:p w14:paraId="735611C0" w14:textId="77777777" w:rsidR="00A75DEE" w:rsidRPr="00A75DEE" w:rsidRDefault="00A75DEE" w:rsidP="00E271C8">
            <w:pPr>
              <w:pStyle w:val="Body"/>
              <w:spacing w:after="0"/>
              <w:rPr>
                <w:rFonts w:ascii="Arial" w:hAnsi="Arial" w:cs="Arial"/>
                <w:lang w:val="en-ID"/>
              </w:rPr>
            </w:pPr>
            <w:r w:rsidRPr="00A75DEE">
              <w:rPr>
                <w:rFonts w:ascii="Arial" w:hAnsi="Arial" w:cs="Arial"/>
                <w:lang w:val="en-ID"/>
              </w:rPr>
              <w:t>Upper Cervical (C1-C2)</w:t>
            </w:r>
          </w:p>
        </w:tc>
        <w:tc>
          <w:tcPr>
            <w:tcW w:w="2927" w:type="pct"/>
            <w:tcMar>
              <w:top w:w="150" w:type="dxa"/>
              <w:left w:w="240" w:type="dxa"/>
              <w:bottom w:w="150" w:type="dxa"/>
              <w:right w:w="0" w:type="dxa"/>
            </w:tcMar>
            <w:vAlign w:val="center"/>
            <w:hideMark/>
          </w:tcPr>
          <w:p w14:paraId="47F3D608" w14:textId="77777777" w:rsidR="00A75DEE" w:rsidRPr="00A75DEE" w:rsidRDefault="00A75DEE" w:rsidP="00E271C8">
            <w:pPr>
              <w:pStyle w:val="Body"/>
              <w:spacing w:after="0"/>
              <w:rPr>
                <w:rFonts w:ascii="Arial" w:hAnsi="Arial" w:cs="Arial"/>
                <w:lang w:val="en-ID"/>
              </w:rPr>
            </w:pPr>
            <w:r w:rsidRPr="00A75DEE">
              <w:rPr>
                <w:rFonts w:ascii="Arial" w:hAnsi="Arial" w:cs="Arial"/>
                <w:lang w:val="en-ID"/>
              </w:rPr>
              <w:t>Includes atlas fractures, odontoid fractures, Hangman fractures</w:t>
            </w:r>
          </w:p>
        </w:tc>
      </w:tr>
      <w:tr w:rsidR="00A75DEE" w:rsidRPr="00A75DEE" w14:paraId="12E70688" w14:textId="77777777" w:rsidTr="00E271C8">
        <w:trPr>
          <w:jc w:val="center"/>
        </w:trPr>
        <w:tc>
          <w:tcPr>
            <w:tcW w:w="877" w:type="pct"/>
            <w:tcMar>
              <w:top w:w="150" w:type="dxa"/>
              <w:left w:w="0" w:type="dxa"/>
              <w:bottom w:w="150" w:type="dxa"/>
              <w:right w:w="240" w:type="dxa"/>
            </w:tcMar>
            <w:vAlign w:val="center"/>
            <w:hideMark/>
          </w:tcPr>
          <w:p w14:paraId="309FA887" w14:textId="77777777" w:rsidR="00A75DEE" w:rsidRPr="00A75DEE" w:rsidRDefault="00A75DEE" w:rsidP="00E271C8">
            <w:pPr>
              <w:pStyle w:val="Body"/>
              <w:spacing w:after="0"/>
              <w:rPr>
                <w:rFonts w:ascii="Arial" w:hAnsi="Arial" w:cs="Arial"/>
                <w:lang w:val="en-ID"/>
              </w:rPr>
            </w:pPr>
          </w:p>
        </w:tc>
        <w:tc>
          <w:tcPr>
            <w:tcW w:w="1196" w:type="pct"/>
            <w:tcMar>
              <w:top w:w="150" w:type="dxa"/>
              <w:left w:w="240" w:type="dxa"/>
              <w:bottom w:w="150" w:type="dxa"/>
              <w:right w:w="240" w:type="dxa"/>
            </w:tcMar>
            <w:vAlign w:val="center"/>
            <w:hideMark/>
          </w:tcPr>
          <w:p w14:paraId="781115FC" w14:textId="77777777" w:rsidR="00A75DEE" w:rsidRPr="00A75DEE" w:rsidRDefault="00A75DEE" w:rsidP="00E271C8">
            <w:pPr>
              <w:pStyle w:val="Body"/>
              <w:spacing w:after="0"/>
              <w:rPr>
                <w:rFonts w:ascii="Arial" w:hAnsi="Arial" w:cs="Arial"/>
                <w:lang w:val="en-ID"/>
              </w:rPr>
            </w:pPr>
            <w:r w:rsidRPr="00A75DEE">
              <w:rPr>
                <w:rFonts w:ascii="Arial" w:hAnsi="Arial" w:cs="Arial"/>
                <w:lang w:val="en-ID"/>
              </w:rPr>
              <w:t>Lower Cervical (C3-C7)</w:t>
            </w:r>
          </w:p>
        </w:tc>
        <w:tc>
          <w:tcPr>
            <w:tcW w:w="2927" w:type="pct"/>
            <w:tcMar>
              <w:top w:w="150" w:type="dxa"/>
              <w:left w:w="240" w:type="dxa"/>
              <w:bottom w:w="150" w:type="dxa"/>
              <w:right w:w="0" w:type="dxa"/>
            </w:tcMar>
            <w:vAlign w:val="center"/>
            <w:hideMark/>
          </w:tcPr>
          <w:p w14:paraId="428567AC" w14:textId="77777777" w:rsidR="00A75DEE" w:rsidRPr="00A75DEE" w:rsidRDefault="00A75DEE" w:rsidP="00E271C8">
            <w:pPr>
              <w:pStyle w:val="Body"/>
              <w:spacing w:after="0"/>
              <w:rPr>
                <w:rFonts w:ascii="Arial" w:hAnsi="Arial" w:cs="Arial"/>
                <w:lang w:val="en-ID"/>
              </w:rPr>
            </w:pPr>
            <w:r w:rsidRPr="00A75DEE">
              <w:rPr>
                <w:rFonts w:ascii="Arial" w:hAnsi="Arial" w:cs="Arial"/>
                <w:lang w:val="en-ID"/>
              </w:rPr>
              <w:t xml:space="preserve">Includes </w:t>
            </w:r>
            <w:proofErr w:type="spellStart"/>
            <w:r w:rsidRPr="00A75DEE">
              <w:rPr>
                <w:rFonts w:ascii="Arial" w:hAnsi="Arial" w:cs="Arial"/>
                <w:lang w:val="en-ID"/>
              </w:rPr>
              <w:t>subaxial</w:t>
            </w:r>
            <w:proofErr w:type="spellEnd"/>
            <w:r w:rsidRPr="00A75DEE">
              <w:rPr>
                <w:rFonts w:ascii="Arial" w:hAnsi="Arial" w:cs="Arial"/>
                <w:lang w:val="en-ID"/>
              </w:rPr>
              <w:t xml:space="preserve"> cervical injuries</w:t>
            </w:r>
          </w:p>
        </w:tc>
      </w:tr>
      <w:tr w:rsidR="00A75DEE" w:rsidRPr="00A75DEE" w14:paraId="382D1AD8" w14:textId="77777777" w:rsidTr="00E271C8">
        <w:trPr>
          <w:jc w:val="center"/>
        </w:trPr>
        <w:tc>
          <w:tcPr>
            <w:tcW w:w="877" w:type="pct"/>
            <w:tcMar>
              <w:top w:w="150" w:type="dxa"/>
              <w:left w:w="0" w:type="dxa"/>
              <w:bottom w:w="150" w:type="dxa"/>
              <w:right w:w="240" w:type="dxa"/>
            </w:tcMar>
            <w:vAlign w:val="center"/>
            <w:hideMark/>
          </w:tcPr>
          <w:p w14:paraId="43F2491A" w14:textId="77777777" w:rsidR="00A75DEE" w:rsidRPr="00A75DEE" w:rsidRDefault="00A75DEE" w:rsidP="00E271C8">
            <w:pPr>
              <w:pStyle w:val="Body"/>
              <w:spacing w:after="0"/>
              <w:rPr>
                <w:rFonts w:ascii="Arial" w:hAnsi="Arial" w:cs="Arial"/>
                <w:lang w:val="en-ID"/>
              </w:rPr>
            </w:pPr>
            <w:r w:rsidRPr="00A75DEE">
              <w:rPr>
                <w:rFonts w:ascii="Arial" w:hAnsi="Arial" w:cs="Arial"/>
                <w:lang w:val="en-ID"/>
              </w:rPr>
              <w:t>Stability</w:t>
            </w:r>
          </w:p>
        </w:tc>
        <w:tc>
          <w:tcPr>
            <w:tcW w:w="1196" w:type="pct"/>
            <w:tcMar>
              <w:top w:w="150" w:type="dxa"/>
              <w:left w:w="240" w:type="dxa"/>
              <w:bottom w:w="150" w:type="dxa"/>
              <w:right w:w="240" w:type="dxa"/>
            </w:tcMar>
            <w:vAlign w:val="center"/>
            <w:hideMark/>
          </w:tcPr>
          <w:p w14:paraId="40EB3F0A" w14:textId="77777777" w:rsidR="00A75DEE" w:rsidRPr="00A75DEE" w:rsidRDefault="00A75DEE" w:rsidP="00E271C8">
            <w:pPr>
              <w:pStyle w:val="Body"/>
              <w:spacing w:after="0"/>
              <w:rPr>
                <w:rFonts w:ascii="Arial" w:hAnsi="Arial" w:cs="Arial"/>
                <w:lang w:val="en-ID"/>
              </w:rPr>
            </w:pPr>
            <w:r w:rsidRPr="00A75DEE">
              <w:rPr>
                <w:rFonts w:ascii="Arial" w:hAnsi="Arial" w:cs="Arial"/>
                <w:lang w:val="en-ID"/>
              </w:rPr>
              <w:t>Stable Injuries</w:t>
            </w:r>
          </w:p>
        </w:tc>
        <w:tc>
          <w:tcPr>
            <w:tcW w:w="2927" w:type="pct"/>
            <w:tcMar>
              <w:top w:w="150" w:type="dxa"/>
              <w:left w:w="240" w:type="dxa"/>
              <w:bottom w:w="150" w:type="dxa"/>
              <w:right w:w="0" w:type="dxa"/>
            </w:tcMar>
            <w:vAlign w:val="center"/>
            <w:hideMark/>
          </w:tcPr>
          <w:p w14:paraId="1BDE3F3F" w14:textId="77777777" w:rsidR="00A75DEE" w:rsidRPr="00A75DEE" w:rsidRDefault="00A75DEE" w:rsidP="00E271C8">
            <w:pPr>
              <w:pStyle w:val="Body"/>
              <w:spacing w:after="0"/>
              <w:rPr>
                <w:rFonts w:ascii="Arial" w:hAnsi="Arial" w:cs="Arial"/>
                <w:lang w:val="en-ID"/>
              </w:rPr>
            </w:pPr>
            <w:r w:rsidRPr="00A75DEE">
              <w:rPr>
                <w:rFonts w:ascii="Arial" w:hAnsi="Arial" w:cs="Arial"/>
                <w:lang w:val="en-ID"/>
              </w:rPr>
              <w:t>Preserve the alignment of the spinal column without significant risk of neurological compromise</w:t>
            </w:r>
          </w:p>
        </w:tc>
      </w:tr>
      <w:tr w:rsidR="00A75DEE" w:rsidRPr="00A75DEE" w14:paraId="28887890" w14:textId="77777777" w:rsidTr="00E271C8">
        <w:trPr>
          <w:jc w:val="center"/>
        </w:trPr>
        <w:tc>
          <w:tcPr>
            <w:tcW w:w="877" w:type="pct"/>
            <w:tcBorders>
              <w:bottom w:val="single" w:sz="4" w:space="0" w:color="auto"/>
            </w:tcBorders>
            <w:tcMar>
              <w:top w:w="150" w:type="dxa"/>
              <w:left w:w="0" w:type="dxa"/>
              <w:bottom w:w="150" w:type="dxa"/>
              <w:right w:w="240" w:type="dxa"/>
            </w:tcMar>
            <w:vAlign w:val="center"/>
            <w:hideMark/>
          </w:tcPr>
          <w:p w14:paraId="356BAAD5" w14:textId="77777777" w:rsidR="00A75DEE" w:rsidRPr="00A75DEE" w:rsidRDefault="00A75DEE" w:rsidP="00E271C8">
            <w:pPr>
              <w:pStyle w:val="Body"/>
              <w:spacing w:after="0"/>
              <w:rPr>
                <w:rFonts w:ascii="Arial" w:hAnsi="Arial" w:cs="Arial"/>
                <w:lang w:val="en-ID"/>
              </w:rPr>
            </w:pPr>
          </w:p>
        </w:tc>
        <w:tc>
          <w:tcPr>
            <w:tcW w:w="1196" w:type="pct"/>
            <w:tcBorders>
              <w:bottom w:val="single" w:sz="4" w:space="0" w:color="auto"/>
            </w:tcBorders>
            <w:tcMar>
              <w:top w:w="150" w:type="dxa"/>
              <w:left w:w="240" w:type="dxa"/>
              <w:bottom w:w="150" w:type="dxa"/>
              <w:right w:w="240" w:type="dxa"/>
            </w:tcMar>
            <w:vAlign w:val="center"/>
            <w:hideMark/>
          </w:tcPr>
          <w:p w14:paraId="7E858976" w14:textId="77777777" w:rsidR="00A75DEE" w:rsidRPr="00A75DEE" w:rsidRDefault="00A75DEE" w:rsidP="00E271C8">
            <w:pPr>
              <w:pStyle w:val="Body"/>
              <w:spacing w:after="0"/>
              <w:rPr>
                <w:rFonts w:ascii="Arial" w:hAnsi="Arial" w:cs="Arial"/>
                <w:lang w:val="en-ID"/>
              </w:rPr>
            </w:pPr>
            <w:r w:rsidRPr="00A75DEE">
              <w:rPr>
                <w:rFonts w:ascii="Arial" w:hAnsi="Arial" w:cs="Arial"/>
                <w:lang w:val="en-ID"/>
              </w:rPr>
              <w:t>Unstable Injuries</w:t>
            </w:r>
          </w:p>
        </w:tc>
        <w:tc>
          <w:tcPr>
            <w:tcW w:w="2927" w:type="pct"/>
            <w:tcBorders>
              <w:bottom w:val="single" w:sz="4" w:space="0" w:color="auto"/>
            </w:tcBorders>
            <w:tcMar>
              <w:top w:w="150" w:type="dxa"/>
              <w:left w:w="240" w:type="dxa"/>
              <w:bottom w:w="150" w:type="dxa"/>
              <w:right w:w="0" w:type="dxa"/>
            </w:tcMar>
            <w:vAlign w:val="center"/>
            <w:hideMark/>
          </w:tcPr>
          <w:p w14:paraId="63F77D22" w14:textId="77777777" w:rsidR="00A75DEE" w:rsidRPr="00A75DEE" w:rsidRDefault="00A75DEE" w:rsidP="00E271C8">
            <w:pPr>
              <w:pStyle w:val="Body"/>
              <w:spacing w:after="0"/>
              <w:rPr>
                <w:rFonts w:ascii="Arial" w:hAnsi="Arial" w:cs="Arial"/>
                <w:lang w:val="en-ID"/>
              </w:rPr>
            </w:pPr>
            <w:r w:rsidRPr="00A75DEE">
              <w:rPr>
                <w:rFonts w:ascii="Arial" w:hAnsi="Arial" w:cs="Arial"/>
                <w:lang w:val="en-ID"/>
              </w:rPr>
              <w:t>Disrupt the posterior ligamentous complex or spinal alignment, posing a high risk of neurological injury</w:t>
            </w:r>
          </w:p>
        </w:tc>
      </w:tr>
    </w:tbl>
    <w:p w14:paraId="168605C8" w14:textId="77777777" w:rsidR="00A75DEE" w:rsidRPr="00A75DEE" w:rsidRDefault="00A75DEE" w:rsidP="00A75DEE">
      <w:pPr>
        <w:pStyle w:val="Body"/>
        <w:spacing w:after="0"/>
        <w:rPr>
          <w:rFonts w:ascii="Arial" w:hAnsi="Arial" w:cs="Arial"/>
          <w:lang w:val="en-ID"/>
        </w:rPr>
      </w:pPr>
      <w:r w:rsidRPr="00A75DEE">
        <w:rPr>
          <w:rFonts w:ascii="Arial" w:hAnsi="Arial" w:cs="Arial"/>
          <w:lang w:val="en-ID"/>
        </w:rPr>
        <w:t>3.4 Upper Cervical Trauma</w:t>
      </w:r>
    </w:p>
    <w:p w14:paraId="2E98787D" w14:textId="77777777" w:rsidR="00A75DEE" w:rsidRPr="00A75DEE" w:rsidRDefault="00A75DEE" w:rsidP="00A75DEE">
      <w:pPr>
        <w:pStyle w:val="Body"/>
        <w:spacing w:after="0"/>
        <w:rPr>
          <w:rFonts w:ascii="Arial" w:hAnsi="Arial" w:cs="Arial"/>
          <w:lang w:val="en-ID"/>
        </w:rPr>
      </w:pPr>
      <w:r w:rsidRPr="00A75DEE">
        <w:rPr>
          <w:rFonts w:ascii="Arial" w:hAnsi="Arial" w:cs="Arial"/>
          <w:lang w:val="en-ID"/>
        </w:rPr>
        <w:t>3.4.1 Occipital Condyle Fractures</w:t>
      </w:r>
    </w:p>
    <w:p w14:paraId="2A531B0B" w14:textId="77777777" w:rsidR="00A75DEE" w:rsidRPr="00A75DEE" w:rsidRDefault="00A75DEE" w:rsidP="00E271C8">
      <w:pPr>
        <w:pStyle w:val="Body"/>
        <w:spacing w:after="0"/>
        <w:ind w:firstLine="720"/>
        <w:rPr>
          <w:rFonts w:ascii="Arial" w:hAnsi="Arial" w:cs="Arial"/>
          <w:lang w:val="en-ID"/>
        </w:rPr>
      </w:pPr>
      <w:r w:rsidRPr="00A75DEE">
        <w:rPr>
          <w:rFonts w:ascii="Arial" w:hAnsi="Arial" w:cs="Arial"/>
          <w:lang w:val="en-ID"/>
        </w:rPr>
        <w:t>Anderson and Montesano developed the first widely accepted classification system for occipital condyle fractures, presenting a 3-part scheme distinguishing fracture types based on injury mechanism: type 1-impaction injury with comminution, type 2-direct blow with linear fracture extension from the occiput to the condyle, and type 3-rotational injury associated with alar ligament avulsion (Fig. 3). Type 1 and 2 injuries are generally considered stable and can be managed nonoperatively, while type 3 injuries are potentially unstable, often indicating surgical intervention (Bransford et al., 2014; Vaccaro et al., 2022).</w:t>
      </w:r>
    </w:p>
    <w:p w14:paraId="51414159" w14:textId="77777777" w:rsidR="00E271C8" w:rsidRDefault="00E271C8" w:rsidP="00A75DEE">
      <w:pPr>
        <w:pStyle w:val="Body"/>
        <w:spacing w:after="0"/>
        <w:rPr>
          <w:rFonts w:ascii="Arial" w:hAnsi="Arial" w:cs="Arial"/>
          <w:lang w:val="en-ID"/>
        </w:rPr>
      </w:pPr>
    </w:p>
    <w:p w14:paraId="4F74D0B1" w14:textId="77777777" w:rsidR="00E271C8" w:rsidRDefault="00E271C8" w:rsidP="00E271C8">
      <w:pPr>
        <w:pStyle w:val="Body"/>
        <w:spacing w:after="0"/>
        <w:jc w:val="center"/>
        <w:rPr>
          <w:rFonts w:ascii="Arial" w:hAnsi="Arial" w:cs="Arial"/>
          <w:lang w:val="en-ID"/>
        </w:rPr>
      </w:pPr>
      <w:r w:rsidRPr="00F91B3E">
        <w:rPr>
          <w:rFonts w:asciiTheme="majorBidi" w:hAnsiTheme="majorBidi" w:cstheme="majorBidi"/>
          <w:noProof/>
        </w:rPr>
        <w:lastRenderedPageBreak/>
        <w:drawing>
          <wp:inline distT="0" distB="0" distL="0" distR="0" wp14:anchorId="2835FEE8" wp14:editId="3A80C3AD">
            <wp:extent cx="4659086" cy="2712552"/>
            <wp:effectExtent l="0" t="0" r="8255" b="0"/>
            <wp:docPr id="1503966927" name="Picture 1" descr="A diagram of different types of 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966927" name="Picture 1" descr="A diagram of different types of hair&#10;&#10;Description automatically generated"/>
                    <pic:cNvPicPr/>
                  </pic:nvPicPr>
                  <pic:blipFill>
                    <a:blip r:embed="rId22"/>
                    <a:stretch>
                      <a:fillRect/>
                    </a:stretch>
                  </pic:blipFill>
                  <pic:spPr>
                    <a:xfrm>
                      <a:off x="0" y="0"/>
                      <a:ext cx="4664420" cy="2715658"/>
                    </a:xfrm>
                    <a:prstGeom prst="rect">
                      <a:avLst/>
                    </a:prstGeom>
                  </pic:spPr>
                </pic:pic>
              </a:graphicData>
            </a:graphic>
          </wp:inline>
        </w:drawing>
      </w:r>
    </w:p>
    <w:p w14:paraId="4F76FC94" w14:textId="77777777" w:rsidR="00A75DEE" w:rsidRPr="00A75DEE" w:rsidRDefault="00A75DEE" w:rsidP="00E271C8">
      <w:pPr>
        <w:pStyle w:val="Body"/>
        <w:spacing w:after="0"/>
        <w:jc w:val="center"/>
        <w:rPr>
          <w:rFonts w:ascii="Arial" w:hAnsi="Arial" w:cs="Arial"/>
          <w:lang w:val="en-ID"/>
        </w:rPr>
      </w:pPr>
      <w:r w:rsidRPr="00A75DEE">
        <w:rPr>
          <w:rFonts w:ascii="Arial" w:hAnsi="Arial" w:cs="Arial"/>
          <w:lang w:val="en-ID"/>
        </w:rPr>
        <w:t>Fig. 3. Classification of Occipital Condyle Fractures. (Source: Leone et al., 2000)</w:t>
      </w:r>
    </w:p>
    <w:p w14:paraId="22C49149" w14:textId="77777777" w:rsidR="00E271C8" w:rsidRDefault="00E271C8" w:rsidP="00A75DEE">
      <w:pPr>
        <w:pStyle w:val="Body"/>
        <w:spacing w:after="0"/>
        <w:rPr>
          <w:rFonts w:ascii="Arial" w:hAnsi="Arial" w:cs="Arial"/>
          <w:lang w:val="en-ID"/>
        </w:rPr>
      </w:pPr>
    </w:p>
    <w:p w14:paraId="6A0656FD" w14:textId="77777777" w:rsidR="00A75DEE" w:rsidRPr="00A75DEE" w:rsidRDefault="00A75DEE" w:rsidP="00E271C8">
      <w:pPr>
        <w:pStyle w:val="Body"/>
        <w:spacing w:after="0"/>
        <w:ind w:firstLine="720"/>
        <w:rPr>
          <w:rFonts w:ascii="Arial" w:hAnsi="Arial" w:cs="Arial"/>
          <w:lang w:val="en-ID"/>
        </w:rPr>
      </w:pPr>
      <w:r w:rsidRPr="00A75DEE">
        <w:rPr>
          <w:rFonts w:ascii="Arial" w:hAnsi="Arial" w:cs="Arial"/>
          <w:lang w:val="en-ID"/>
        </w:rPr>
        <w:t xml:space="preserve">Most occipital condyle fractures can be treated nonoperatively. Rigid cervical collar for 8 to 12 weeks is usually sufficient for Anderson type I and II injuries. For type III fractures due to potential instability, halo vest immobilization or operative treatment is indicated. Operative treatment with </w:t>
      </w:r>
      <w:proofErr w:type="spellStart"/>
      <w:r w:rsidRPr="00A75DEE">
        <w:rPr>
          <w:rFonts w:ascii="Arial" w:hAnsi="Arial" w:cs="Arial"/>
          <w:lang w:val="en-ID"/>
        </w:rPr>
        <w:t>occipitocervical</w:t>
      </w:r>
      <w:proofErr w:type="spellEnd"/>
      <w:r w:rsidRPr="00A75DEE">
        <w:rPr>
          <w:rFonts w:ascii="Arial" w:hAnsi="Arial" w:cs="Arial"/>
          <w:lang w:val="en-ID"/>
        </w:rPr>
        <w:t xml:space="preserve"> fusion is indicated for unstable injuries with </w:t>
      </w:r>
      <w:r w:rsidR="00E271C8">
        <w:rPr>
          <w:rFonts w:ascii="Arial" w:hAnsi="Arial" w:cs="Arial"/>
          <w:lang w:val="en-ID"/>
        </w:rPr>
        <w:t>MRI evidence of tectorial membrane disruption</w:t>
      </w:r>
      <w:r w:rsidRPr="00A75DEE">
        <w:rPr>
          <w:rFonts w:ascii="Arial" w:hAnsi="Arial" w:cs="Arial"/>
          <w:lang w:val="en-ID"/>
        </w:rPr>
        <w:t xml:space="preserve"> (Lightsey et al., 2025).</w:t>
      </w:r>
    </w:p>
    <w:p w14:paraId="10440DF7" w14:textId="77777777" w:rsidR="00E271C8" w:rsidRDefault="00E271C8" w:rsidP="00A75DEE">
      <w:pPr>
        <w:pStyle w:val="Body"/>
        <w:spacing w:after="0"/>
        <w:rPr>
          <w:rFonts w:ascii="Arial" w:hAnsi="Arial" w:cs="Arial"/>
          <w:lang w:val="en-ID"/>
        </w:rPr>
      </w:pPr>
    </w:p>
    <w:p w14:paraId="1DD87F58" w14:textId="77777777" w:rsidR="00A75DEE" w:rsidRPr="00A75DEE" w:rsidRDefault="00A75DEE" w:rsidP="00A75DEE">
      <w:pPr>
        <w:pStyle w:val="Body"/>
        <w:spacing w:after="0"/>
        <w:rPr>
          <w:rFonts w:ascii="Arial" w:hAnsi="Arial" w:cs="Arial"/>
          <w:lang w:val="en-ID"/>
        </w:rPr>
      </w:pPr>
      <w:r w:rsidRPr="00A75DEE">
        <w:rPr>
          <w:rFonts w:ascii="Arial" w:hAnsi="Arial" w:cs="Arial"/>
          <w:lang w:val="en-ID"/>
        </w:rPr>
        <w:t xml:space="preserve">3.4.2 </w:t>
      </w:r>
      <w:proofErr w:type="spellStart"/>
      <w:r w:rsidRPr="00A75DEE">
        <w:rPr>
          <w:rFonts w:ascii="Arial" w:hAnsi="Arial" w:cs="Arial"/>
          <w:lang w:val="en-ID"/>
        </w:rPr>
        <w:t>Atlanto</w:t>
      </w:r>
      <w:proofErr w:type="spellEnd"/>
      <w:r w:rsidRPr="00A75DEE">
        <w:rPr>
          <w:rFonts w:ascii="Arial" w:hAnsi="Arial" w:cs="Arial"/>
          <w:lang w:val="en-ID"/>
        </w:rPr>
        <w:t>-occipital Dislocation</w:t>
      </w:r>
    </w:p>
    <w:p w14:paraId="159A18CE" w14:textId="77777777" w:rsidR="00A75DEE" w:rsidRDefault="00A75DEE" w:rsidP="00E271C8">
      <w:pPr>
        <w:pStyle w:val="Body"/>
        <w:spacing w:after="0"/>
        <w:ind w:firstLine="720"/>
        <w:rPr>
          <w:rFonts w:ascii="Arial" w:hAnsi="Arial" w:cs="Arial"/>
          <w:lang w:val="en-ID"/>
        </w:rPr>
      </w:pPr>
      <w:proofErr w:type="spellStart"/>
      <w:r w:rsidRPr="00A75DEE">
        <w:rPr>
          <w:rFonts w:ascii="Arial" w:hAnsi="Arial" w:cs="Arial"/>
          <w:lang w:val="en-ID"/>
        </w:rPr>
        <w:t>Traynelis</w:t>
      </w:r>
      <w:proofErr w:type="spellEnd"/>
      <w:r w:rsidRPr="00A75DEE">
        <w:rPr>
          <w:rFonts w:ascii="Arial" w:hAnsi="Arial" w:cs="Arial"/>
          <w:lang w:val="en-ID"/>
        </w:rPr>
        <w:t xml:space="preserve"> et al. designed the initial classification of </w:t>
      </w:r>
      <w:proofErr w:type="spellStart"/>
      <w:r w:rsidRPr="00A75DEE">
        <w:rPr>
          <w:rFonts w:ascii="Arial" w:hAnsi="Arial" w:cs="Arial"/>
          <w:lang w:val="en-ID"/>
        </w:rPr>
        <w:t>atlanto</w:t>
      </w:r>
      <w:proofErr w:type="spellEnd"/>
      <w:r w:rsidRPr="00A75DEE">
        <w:rPr>
          <w:rFonts w:ascii="Arial" w:hAnsi="Arial" w:cs="Arial"/>
          <w:lang w:val="en-ID"/>
        </w:rPr>
        <w:t>-occipital dissociation focused on the direction of occiput displacement relative to the cervical spine: anterior (I), longitudinal (II), and posterior (III) (Fig. 4). These injuries are highly unstable and require surgical stabilization (Dahlan et al., 2019).</w:t>
      </w:r>
    </w:p>
    <w:p w14:paraId="53B65566" w14:textId="77777777" w:rsidR="00A31634" w:rsidRPr="00A75DEE" w:rsidRDefault="00A31634" w:rsidP="00A31634">
      <w:pPr>
        <w:pStyle w:val="Body"/>
        <w:spacing w:after="0"/>
        <w:ind w:firstLine="720"/>
        <w:jc w:val="center"/>
        <w:rPr>
          <w:rFonts w:ascii="Arial" w:hAnsi="Arial" w:cs="Arial"/>
          <w:lang w:val="en-ID"/>
        </w:rPr>
      </w:pPr>
      <w:r w:rsidRPr="0035455F">
        <w:rPr>
          <w:rFonts w:asciiTheme="majorBidi" w:hAnsiTheme="majorBidi" w:cstheme="majorBidi"/>
          <w:noProof/>
        </w:rPr>
        <w:drawing>
          <wp:inline distT="0" distB="0" distL="0" distR="0" wp14:anchorId="78DFA2EE" wp14:editId="367A718F">
            <wp:extent cx="2182298" cy="2244436"/>
            <wp:effectExtent l="0" t="0" r="0" b="0"/>
            <wp:docPr id="4981281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128142" name=""/>
                    <pic:cNvPicPr/>
                  </pic:nvPicPr>
                  <pic:blipFill>
                    <a:blip r:embed="rId23"/>
                    <a:stretch>
                      <a:fillRect/>
                    </a:stretch>
                  </pic:blipFill>
                  <pic:spPr>
                    <a:xfrm>
                      <a:off x="0" y="0"/>
                      <a:ext cx="2204383" cy="2267150"/>
                    </a:xfrm>
                    <a:prstGeom prst="rect">
                      <a:avLst/>
                    </a:prstGeom>
                  </pic:spPr>
                </pic:pic>
              </a:graphicData>
            </a:graphic>
          </wp:inline>
        </w:drawing>
      </w:r>
    </w:p>
    <w:p w14:paraId="14F71D99" w14:textId="77777777" w:rsidR="00E271C8" w:rsidRDefault="00E271C8" w:rsidP="00A31634">
      <w:pPr>
        <w:pStyle w:val="Body"/>
        <w:spacing w:after="0"/>
        <w:jc w:val="center"/>
        <w:rPr>
          <w:rFonts w:ascii="Arial" w:hAnsi="Arial" w:cs="Arial"/>
          <w:lang w:val="en-ID"/>
        </w:rPr>
      </w:pPr>
    </w:p>
    <w:p w14:paraId="67372D81" w14:textId="77777777" w:rsidR="00A75DEE" w:rsidRPr="00A75DEE" w:rsidRDefault="00A75DEE" w:rsidP="00A31634">
      <w:pPr>
        <w:pStyle w:val="Body"/>
        <w:spacing w:after="0"/>
        <w:jc w:val="center"/>
        <w:rPr>
          <w:rFonts w:ascii="Arial" w:hAnsi="Arial" w:cs="Arial"/>
          <w:lang w:val="en-ID"/>
        </w:rPr>
      </w:pPr>
      <w:r w:rsidRPr="00A75DEE">
        <w:rPr>
          <w:rFonts w:ascii="Arial" w:hAnsi="Arial" w:cs="Arial"/>
          <w:lang w:val="en-ID"/>
        </w:rPr>
        <w:t xml:space="preserve">Fig. 4. </w:t>
      </w:r>
      <w:proofErr w:type="spellStart"/>
      <w:r w:rsidRPr="00A75DEE">
        <w:rPr>
          <w:rFonts w:ascii="Arial" w:hAnsi="Arial" w:cs="Arial"/>
          <w:lang w:val="en-ID"/>
        </w:rPr>
        <w:t>Traynelis</w:t>
      </w:r>
      <w:proofErr w:type="spellEnd"/>
      <w:r w:rsidRPr="00A75DEE">
        <w:rPr>
          <w:rFonts w:ascii="Arial" w:hAnsi="Arial" w:cs="Arial"/>
          <w:lang w:val="en-ID"/>
        </w:rPr>
        <w:t xml:space="preserve"> classification of </w:t>
      </w:r>
      <w:proofErr w:type="spellStart"/>
      <w:r w:rsidRPr="00A75DEE">
        <w:rPr>
          <w:rFonts w:ascii="Arial" w:hAnsi="Arial" w:cs="Arial"/>
          <w:lang w:val="en-ID"/>
        </w:rPr>
        <w:t>atlanto</w:t>
      </w:r>
      <w:proofErr w:type="spellEnd"/>
      <w:r w:rsidRPr="00A75DEE">
        <w:rPr>
          <w:rFonts w:ascii="Arial" w:hAnsi="Arial" w:cs="Arial"/>
          <w:lang w:val="en-ID"/>
        </w:rPr>
        <w:t>-occipital dislocation. (Source: Lightsey et al., 2025)</w:t>
      </w:r>
    </w:p>
    <w:p w14:paraId="4AD98D2C" w14:textId="77777777" w:rsidR="00E271C8" w:rsidRDefault="00E271C8" w:rsidP="00A75DEE">
      <w:pPr>
        <w:pStyle w:val="Body"/>
        <w:spacing w:after="0"/>
        <w:rPr>
          <w:rFonts w:ascii="Arial" w:hAnsi="Arial" w:cs="Arial"/>
          <w:lang w:val="en-ID"/>
        </w:rPr>
      </w:pPr>
    </w:p>
    <w:p w14:paraId="1709ACA0" w14:textId="77777777" w:rsidR="00A75DEE" w:rsidRPr="00A75DEE" w:rsidRDefault="00A75DEE" w:rsidP="00E271C8">
      <w:pPr>
        <w:pStyle w:val="Body"/>
        <w:spacing w:after="0"/>
        <w:ind w:firstLine="720"/>
        <w:rPr>
          <w:rFonts w:ascii="Arial" w:hAnsi="Arial" w:cs="Arial"/>
          <w:lang w:val="en-ID"/>
        </w:rPr>
      </w:pPr>
      <w:r w:rsidRPr="00A75DEE">
        <w:rPr>
          <w:rFonts w:ascii="Arial" w:hAnsi="Arial" w:cs="Arial"/>
          <w:lang w:val="en-ID"/>
        </w:rPr>
        <w:t xml:space="preserve">Nonoperative treatment has a limited role. Halo immobilization is most often used as temporary stabilization until surgery can be safely performed. Definitive treatment is posterior </w:t>
      </w:r>
      <w:proofErr w:type="spellStart"/>
      <w:r w:rsidRPr="00A75DEE">
        <w:rPr>
          <w:rFonts w:ascii="Arial" w:hAnsi="Arial" w:cs="Arial"/>
          <w:lang w:val="en-ID"/>
        </w:rPr>
        <w:t>occipitocervical</w:t>
      </w:r>
      <w:proofErr w:type="spellEnd"/>
      <w:r w:rsidRPr="00A75DEE">
        <w:rPr>
          <w:rFonts w:ascii="Arial" w:hAnsi="Arial" w:cs="Arial"/>
          <w:lang w:val="en-ID"/>
        </w:rPr>
        <w:t xml:space="preserve"> fusion with occipital plate and screw-rod construct (Lightsey et al., 2025).</w:t>
      </w:r>
    </w:p>
    <w:p w14:paraId="69302F38" w14:textId="77777777" w:rsidR="00E271C8" w:rsidRDefault="00E271C8" w:rsidP="00A75DEE">
      <w:pPr>
        <w:pStyle w:val="Body"/>
        <w:spacing w:after="0"/>
        <w:rPr>
          <w:rFonts w:ascii="Arial" w:hAnsi="Arial" w:cs="Arial"/>
          <w:lang w:val="en-ID"/>
        </w:rPr>
      </w:pPr>
    </w:p>
    <w:p w14:paraId="789060EA" w14:textId="77777777" w:rsidR="00A75DEE" w:rsidRPr="00A75DEE" w:rsidRDefault="00A75DEE" w:rsidP="00A75DEE">
      <w:pPr>
        <w:pStyle w:val="Body"/>
        <w:spacing w:after="0"/>
        <w:rPr>
          <w:rFonts w:ascii="Arial" w:hAnsi="Arial" w:cs="Arial"/>
          <w:lang w:val="en-ID"/>
        </w:rPr>
      </w:pPr>
      <w:r w:rsidRPr="00A75DEE">
        <w:rPr>
          <w:rFonts w:ascii="Arial" w:hAnsi="Arial" w:cs="Arial"/>
          <w:lang w:val="en-ID"/>
        </w:rPr>
        <w:t>3.4.3 Atlas Fractures</w:t>
      </w:r>
    </w:p>
    <w:p w14:paraId="55E2EE96" w14:textId="77777777" w:rsidR="00A75DEE" w:rsidRDefault="00A75DEE" w:rsidP="00E271C8">
      <w:pPr>
        <w:pStyle w:val="Body"/>
        <w:spacing w:after="0"/>
        <w:ind w:firstLine="720"/>
        <w:rPr>
          <w:rFonts w:ascii="Arial" w:hAnsi="Arial" w:cs="Arial"/>
          <w:lang w:val="en-ID"/>
        </w:rPr>
      </w:pPr>
      <w:r w:rsidRPr="00A75DEE">
        <w:rPr>
          <w:rFonts w:ascii="Arial" w:hAnsi="Arial" w:cs="Arial"/>
          <w:lang w:val="en-ID"/>
        </w:rPr>
        <w:t>Classification of atlas fractures was pioneered by Jefferson, then by Gehweiler, and later Landells described anatomical locations. Levine and Edwards classified atlas fractures based on severity. The Jefferson fracture involves both anterior and posterior arches (Fig. 5) (Baker and Khan, 2024).</w:t>
      </w:r>
    </w:p>
    <w:p w14:paraId="7DE7DAD0" w14:textId="77777777" w:rsidR="00A31634" w:rsidRDefault="00A31634" w:rsidP="00E271C8">
      <w:pPr>
        <w:pStyle w:val="Body"/>
        <w:spacing w:after="0"/>
        <w:ind w:firstLine="720"/>
        <w:rPr>
          <w:rFonts w:ascii="Arial" w:hAnsi="Arial" w:cs="Arial"/>
          <w:lang w:val="en-ID"/>
        </w:rPr>
      </w:pPr>
    </w:p>
    <w:p w14:paraId="42C25419" w14:textId="77777777" w:rsidR="00A31634" w:rsidRPr="00A75DEE" w:rsidRDefault="00A31634" w:rsidP="00A31634">
      <w:pPr>
        <w:pStyle w:val="Body"/>
        <w:spacing w:after="0"/>
        <w:ind w:firstLine="720"/>
        <w:jc w:val="center"/>
        <w:rPr>
          <w:rFonts w:ascii="Arial" w:hAnsi="Arial" w:cs="Arial"/>
          <w:lang w:val="en-ID"/>
        </w:rPr>
      </w:pPr>
      <w:r w:rsidRPr="00AE0EBE">
        <w:rPr>
          <w:rFonts w:asciiTheme="majorBidi" w:hAnsiTheme="majorBidi" w:cstheme="majorBidi"/>
          <w:noProof/>
        </w:rPr>
        <w:drawing>
          <wp:inline distT="0" distB="0" distL="0" distR="0" wp14:anchorId="12634069" wp14:editId="04AABE3C">
            <wp:extent cx="2685448" cy="1828800"/>
            <wp:effectExtent l="0" t="0" r="635" b="0"/>
            <wp:docPr id="59402754" name="Picture 1" descr="A drawing of a person fra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02754" name="Picture 1" descr="A drawing of a person fracture&#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2685448" cy="1828800"/>
                    </a:xfrm>
                    <a:prstGeom prst="rect">
                      <a:avLst/>
                    </a:prstGeom>
                  </pic:spPr>
                </pic:pic>
              </a:graphicData>
            </a:graphic>
          </wp:inline>
        </w:drawing>
      </w:r>
    </w:p>
    <w:p w14:paraId="34212AB5" w14:textId="77777777" w:rsidR="00E271C8" w:rsidRDefault="00E271C8" w:rsidP="00A75DEE">
      <w:pPr>
        <w:pStyle w:val="Body"/>
        <w:spacing w:after="0"/>
        <w:rPr>
          <w:rFonts w:ascii="Arial" w:hAnsi="Arial" w:cs="Arial"/>
          <w:lang w:val="en-ID"/>
        </w:rPr>
      </w:pPr>
    </w:p>
    <w:p w14:paraId="7770439B" w14:textId="77777777" w:rsidR="00A75DEE" w:rsidRPr="00A75DEE" w:rsidRDefault="00A75DEE" w:rsidP="00A31634">
      <w:pPr>
        <w:pStyle w:val="Body"/>
        <w:spacing w:after="0"/>
        <w:jc w:val="center"/>
        <w:rPr>
          <w:rFonts w:ascii="Arial" w:hAnsi="Arial" w:cs="Arial"/>
          <w:lang w:val="en-ID"/>
        </w:rPr>
      </w:pPr>
      <w:r w:rsidRPr="00A75DEE">
        <w:rPr>
          <w:rFonts w:ascii="Arial" w:hAnsi="Arial" w:cs="Arial"/>
          <w:lang w:val="en-ID"/>
        </w:rPr>
        <w:t>Fig. 5. Jefferson fracture. (Source: Baker and Khan, 2024)</w:t>
      </w:r>
    </w:p>
    <w:p w14:paraId="28DE9A0E" w14:textId="77777777" w:rsidR="00E271C8" w:rsidRDefault="00E271C8" w:rsidP="00E271C8">
      <w:pPr>
        <w:pStyle w:val="Body"/>
        <w:spacing w:after="0"/>
        <w:rPr>
          <w:rFonts w:ascii="Arial" w:hAnsi="Arial" w:cs="Arial"/>
          <w:lang w:val="en-ID"/>
        </w:rPr>
      </w:pPr>
    </w:p>
    <w:p w14:paraId="7EC8D197" w14:textId="77777777" w:rsidR="00A75DEE" w:rsidRPr="00A75DEE" w:rsidRDefault="00A75DEE" w:rsidP="00E271C8">
      <w:pPr>
        <w:pStyle w:val="Body"/>
        <w:spacing w:after="0"/>
        <w:ind w:firstLine="720"/>
        <w:rPr>
          <w:rFonts w:ascii="Arial" w:hAnsi="Arial" w:cs="Arial"/>
          <w:lang w:val="en-ID"/>
        </w:rPr>
      </w:pPr>
      <w:r w:rsidRPr="00A75DEE">
        <w:rPr>
          <w:rFonts w:ascii="Arial" w:hAnsi="Arial" w:cs="Arial"/>
          <w:lang w:val="en-ID"/>
        </w:rPr>
        <w:t xml:space="preserve">For stable C1 burst (Jefferson) fractures without more serious cervical injury, most surgeons recommend nonoperative management with rigid cervical collar for 8 to 12 weeks. Unstable fractures can be reduced with halo traction and definitively managed with halo vest for 12 weeks. Surgical stabilization </w:t>
      </w:r>
      <w:r w:rsidR="00A31634">
        <w:rPr>
          <w:rFonts w:ascii="Arial" w:hAnsi="Arial" w:cs="Arial"/>
          <w:lang w:val="en-ID"/>
        </w:rPr>
        <w:t>is indicated</w:t>
      </w:r>
      <w:r w:rsidRPr="00A75DEE">
        <w:rPr>
          <w:rFonts w:ascii="Arial" w:hAnsi="Arial" w:cs="Arial"/>
          <w:lang w:val="en-ID"/>
        </w:rPr>
        <w:t xml:space="preserve"> in cases following failure of nonoperative management or when injuries are accompanied by transverse ligament disruption (Lightsey et al., 2025).</w:t>
      </w:r>
    </w:p>
    <w:p w14:paraId="791D8B22" w14:textId="77777777" w:rsidR="00E271C8" w:rsidRDefault="00E271C8" w:rsidP="00A75DEE">
      <w:pPr>
        <w:pStyle w:val="Body"/>
        <w:spacing w:after="0"/>
        <w:rPr>
          <w:rFonts w:ascii="Arial" w:hAnsi="Arial" w:cs="Arial"/>
          <w:lang w:val="en-ID"/>
        </w:rPr>
      </w:pPr>
    </w:p>
    <w:p w14:paraId="7D6F8C29" w14:textId="77777777" w:rsidR="00A75DEE" w:rsidRPr="00A75DEE" w:rsidRDefault="00A75DEE" w:rsidP="00A75DEE">
      <w:pPr>
        <w:pStyle w:val="Body"/>
        <w:spacing w:after="0"/>
        <w:rPr>
          <w:rFonts w:ascii="Arial" w:hAnsi="Arial" w:cs="Arial"/>
          <w:lang w:val="en-ID"/>
        </w:rPr>
      </w:pPr>
      <w:r w:rsidRPr="00A75DEE">
        <w:rPr>
          <w:rFonts w:ascii="Arial" w:hAnsi="Arial" w:cs="Arial"/>
          <w:lang w:val="en-ID"/>
        </w:rPr>
        <w:t>3.4.4 Odontoid Fractures</w:t>
      </w:r>
    </w:p>
    <w:p w14:paraId="3B6107FE" w14:textId="77777777" w:rsidR="00A75DEE" w:rsidRPr="00A75DEE" w:rsidRDefault="00A75DEE" w:rsidP="00E271C8">
      <w:pPr>
        <w:pStyle w:val="Body"/>
        <w:spacing w:after="0"/>
        <w:ind w:firstLine="720"/>
        <w:rPr>
          <w:rFonts w:ascii="Arial" w:hAnsi="Arial" w:cs="Arial"/>
          <w:lang w:val="en-ID"/>
        </w:rPr>
      </w:pPr>
      <w:r w:rsidRPr="00A75DEE">
        <w:rPr>
          <w:rFonts w:ascii="Arial" w:hAnsi="Arial" w:cs="Arial"/>
          <w:lang w:val="en-ID"/>
        </w:rPr>
        <w:t>The Anderson and D'Alonzo classification remains the most common system: type 1-oblique fracture of the odontoid tip, type 2-horizontal fracture at the odontoid waist, and type 3-horizontal fracture extending into the axis body (Fig. 6). Modifications by Grauer et al. have attempted to subclassify type 2 fractures based on orientation, displacement, and comminution (Marcon et al., 2013; Vaccaro et al., 2022).</w:t>
      </w:r>
    </w:p>
    <w:p w14:paraId="147C61EF" w14:textId="77777777" w:rsidR="00E271C8" w:rsidRDefault="00E271C8" w:rsidP="00A75DEE">
      <w:pPr>
        <w:pStyle w:val="Body"/>
        <w:spacing w:after="0"/>
        <w:rPr>
          <w:rFonts w:ascii="Arial" w:hAnsi="Arial" w:cs="Arial"/>
          <w:lang w:val="en-ID"/>
        </w:rPr>
      </w:pPr>
    </w:p>
    <w:p w14:paraId="02C5CC52" w14:textId="77777777" w:rsidR="00C64711" w:rsidRDefault="00C64711" w:rsidP="00C64711">
      <w:pPr>
        <w:pStyle w:val="Body"/>
        <w:spacing w:after="0"/>
        <w:jc w:val="center"/>
        <w:rPr>
          <w:rFonts w:ascii="Arial" w:hAnsi="Arial" w:cs="Arial"/>
          <w:lang w:val="en-ID"/>
        </w:rPr>
      </w:pPr>
      <w:r>
        <w:rPr>
          <w:noProof/>
        </w:rPr>
        <w:drawing>
          <wp:inline distT="0" distB="0" distL="0" distR="0" wp14:anchorId="2550BF38" wp14:editId="25C47C65">
            <wp:extent cx="4509095" cy="2293749"/>
            <wp:effectExtent l="0" t="0" r="6350" b="0"/>
            <wp:docPr id="39533053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5">
                      <a:extLst>
                        <a:ext uri="{28A0092B-C50C-407E-A947-70E740481C1C}">
                          <a14:useLocalDpi xmlns:a14="http://schemas.microsoft.com/office/drawing/2010/main" val="0"/>
                        </a:ext>
                      </a:extLst>
                    </a:blip>
                    <a:srcRect l="38670" t="28383" r="14011" b="28806"/>
                    <a:stretch/>
                  </pic:blipFill>
                  <pic:spPr bwMode="auto">
                    <a:xfrm>
                      <a:off x="0" y="0"/>
                      <a:ext cx="4520087" cy="2299341"/>
                    </a:xfrm>
                    <a:prstGeom prst="rect">
                      <a:avLst/>
                    </a:prstGeom>
                    <a:noFill/>
                    <a:ln>
                      <a:noFill/>
                    </a:ln>
                    <a:extLst>
                      <a:ext uri="{53640926-AAD7-44D8-BBD7-CCE9431645EC}">
                        <a14:shadowObscured xmlns:a14="http://schemas.microsoft.com/office/drawing/2010/main"/>
                      </a:ext>
                    </a:extLst>
                  </pic:spPr>
                </pic:pic>
              </a:graphicData>
            </a:graphic>
          </wp:inline>
        </w:drawing>
      </w:r>
    </w:p>
    <w:p w14:paraId="793C05A1" w14:textId="77777777" w:rsidR="00E271C8" w:rsidRDefault="00E271C8" w:rsidP="00C64711">
      <w:pPr>
        <w:pStyle w:val="Body"/>
        <w:spacing w:after="0"/>
        <w:jc w:val="center"/>
        <w:rPr>
          <w:rFonts w:ascii="Arial" w:hAnsi="Arial" w:cs="Arial"/>
          <w:lang w:val="en-ID"/>
        </w:rPr>
      </w:pPr>
    </w:p>
    <w:p w14:paraId="0EB0F944" w14:textId="77777777" w:rsidR="00A75DEE" w:rsidRPr="00A75DEE" w:rsidRDefault="00A75DEE" w:rsidP="00C64711">
      <w:pPr>
        <w:pStyle w:val="Body"/>
        <w:spacing w:after="0"/>
        <w:jc w:val="center"/>
        <w:rPr>
          <w:rFonts w:ascii="Arial" w:hAnsi="Arial" w:cs="Arial"/>
          <w:lang w:val="en-ID"/>
        </w:rPr>
      </w:pPr>
      <w:r w:rsidRPr="00A75DEE">
        <w:rPr>
          <w:rFonts w:ascii="Arial" w:hAnsi="Arial" w:cs="Arial"/>
          <w:lang w:val="en-ID"/>
        </w:rPr>
        <w:lastRenderedPageBreak/>
        <w:t xml:space="preserve">Fig. 6. Odontoid fracture classification. (Source: </w:t>
      </w:r>
      <w:proofErr w:type="spellStart"/>
      <w:r w:rsidRPr="00A75DEE">
        <w:rPr>
          <w:rFonts w:ascii="Arial" w:hAnsi="Arial" w:cs="Arial"/>
          <w:lang w:val="en-ID"/>
        </w:rPr>
        <w:t>Herkowitz</w:t>
      </w:r>
      <w:proofErr w:type="spellEnd"/>
      <w:r w:rsidRPr="00A75DEE">
        <w:rPr>
          <w:rFonts w:ascii="Arial" w:hAnsi="Arial" w:cs="Arial"/>
          <w:lang w:val="en-ID"/>
        </w:rPr>
        <w:t xml:space="preserve"> et al., 2011)</w:t>
      </w:r>
    </w:p>
    <w:p w14:paraId="36574EFD" w14:textId="77777777" w:rsidR="00E271C8" w:rsidRDefault="00E271C8" w:rsidP="00A75DEE">
      <w:pPr>
        <w:pStyle w:val="Body"/>
        <w:spacing w:after="0"/>
        <w:rPr>
          <w:rFonts w:ascii="Arial" w:hAnsi="Arial" w:cs="Arial"/>
          <w:lang w:val="en-ID"/>
        </w:rPr>
      </w:pPr>
    </w:p>
    <w:p w14:paraId="4E7E1CF8" w14:textId="697EE301" w:rsidR="00A75DEE" w:rsidRPr="00A75DEE" w:rsidRDefault="00A75DEE" w:rsidP="00C64711">
      <w:pPr>
        <w:pStyle w:val="Body"/>
        <w:spacing w:after="0"/>
        <w:ind w:firstLine="720"/>
        <w:rPr>
          <w:rFonts w:ascii="Arial" w:hAnsi="Arial" w:cs="Arial"/>
          <w:lang w:val="en-ID"/>
        </w:rPr>
      </w:pPr>
      <w:r w:rsidRPr="00A75DEE">
        <w:rPr>
          <w:rFonts w:ascii="Arial" w:hAnsi="Arial" w:cs="Arial"/>
          <w:lang w:val="en-ID"/>
        </w:rPr>
        <w:t xml:space="preserve">Rigid collar should be considered for elderly low-demand patients with nondisplaced odontoid fractures. For nondisplaced type II fractures, some believe halo vest is more appropriate due to reported high </w:t>
      </w:r>
      <w:proofErr w:type="spellStart"/>
      <w:r w:rsidRPr="00A75DEE">
        <w:rPr>
          <w:rFonts w:ascii="Arial" w:hAnsi="Arial" w:cs="Arial"/>
          <w:lang w:val="en-ID"/>
        </w:rPr>
        <w:t>nonunion</w:t>
      </w:r>
      <w:proofErr w:type="spellEnd"/>
      <w:r w:rsidRPr="00A75DEE">
        <w:rPr>
          <w:rFonts w:ascii="Arial" w:hAnsi="Arial" w:cs="Arial"/>
          <w:lang w:val="en-ID"/>
        </w:rPr>
        <w:t xml:space="preserve"> rates. Type III fractures generally heal better with external orthosis than type II injuries. Surgical indications in younger patients include fracture displacement &gt;5 mm, angulation &gt;10 degrees, neurological deficit, substantial comminution, or multisystem trauma. Surgical options include anterior odontoid screw fixation and posterior C1-C2 fusion (Lightsey et al., 2025).</w:t>
      </w:r>
      <w:r w:rsidR="008B15DE">
        <w:rPr>
          <w:rFonts w:ascii="Arial" w:hAnsi="Arial" w:cs="Arial"/>
          <w:lang w:val="en-ID"/>
        </w:rPr>
        <w:t xml:space="preserve"> </w:t>
      </w:r>
      <w:r w:rsidR="008B15DE" w:rsidRPr="008B15DE">
        <w:rPr>
          <w:rFonts w:ascii="Arial" w:hAnsi="Arial" w:cs="Arial"/>
        </w:rPr>
        <w:t>In elderly patients with upper cervical trauma, particularly odontoid fractures, management remains controversial. Conservative treatment with rigid immobilization may be appropriate for selected nondisplaced fractures and frail low-demand patients, whereas surgical stabilization may provide better mechanical stability and earlier mobilization in selected cases. However, both approaches are associated with considerable morbidity and mortality in this age group, so treatment decisions should be individualized based on fracture pattern, stability, comorbidities, and functional status.</w:t>
      </w:r>
    </w:p>
    <w:p w14:paraId="572A46DC" w14:textId="77777777" w:rsidR="00E271C8" w:rsidRDefault="00E271C8" w:rsidP="00A75DEE">
      <w:pPr>
        <w:pStyle w:val="Body"/>
        <w:spacing w:after="0"/>
        <w:rPr>
          <w:rFonts w:ascii="Arial" w:hAnsi="Arial" w:cs="Arial"/>
          <w:lang w:val="en-ID"/>
        </w:rPr>
      </w:pPr>
    </w:p>
    <w:p w14:paraId="0BED4DED" w14:textId="77777777" w:rsidR="00A75DEE" w:rsidRPr="00A75DEE" w:rsidRDefault="00A75DEE" w:rsidP="00A75DEE">
      <w:pPr>
        <w:pStyle w:val="Body"/>
        <w:spacing w:after="0"/>
        <w:rPr>
          <w:rFonts w:ascii="Arial" w:hAnsi="Arial" w:cs="Arial"/>
          <w:lang w:val="en-ID"/>
        </w:rPr>
      </w:pPr>
      <w:r w:rsidRPr="00A75DEE">
        <w:rPr>
          <w:rFonts w:ascii="Arial" w:hAnsi="Arial" w:cs="Arial"/>
          <w:lang w:val="en-ID"/>
        </w:rPr>
        <w:t>3.4.5 Hangman Fractures</w:t>
      </w:r>
    </w:p>
    <w:p w14:paraId="29D33512" w14:textId="77777777" w:rsidR="00A75DEE" w:rsidRDefault="00A75DEE" w:rsidP="00E271C8">
      <w:pPr>
        <w:pStyle w:val="Body"/>
        <w:spacing w:after="0"/>
        <w:ind w:firstLine="720"/>
        <w:rPr>
          <w:rFonts w:ascii="Arial" w:hAnsi="Arial" w:cs="Arial"/>
          <w:lang w:val="en-ID"/>
        </w:rPr>
      </w:pPr>
      <w:r w:rsidRPr="00A75DEE">
        <w:rPr>
          <w:rFonts w:ascii="Arial" w:hAnsi="Arial" w:cs="Arial"/>
          <w:lang w:val="en-ID"/>
        </w:rPr>
        <w:t xml:space="preserve">Traumatic spondylolisthesis of the axis, known as Hangman fracture, is best classified using a modification of the Effendi classification system (Fig. 7). Type I fractures occur bilaterally through the pars interarticularis with translation &lt;3 mm and no angulation. Type II fractures have translation and angulation of C2 on C3 &gt;3 mm. Type IIA shows significant angulation but minimal translation with significant disc disruption. Type III fractures are highly unstable with severe displacement and angulation associated with unilateral or bilateral facet dislocation (Bernstein and Baxter, 2012; </w:t>
      </w:r>
      <w:proofErr w:type="spellStart"/>
      <w:r w:rsidRPr="00A75DEE">
        <w:rPr>
          <w:rFonts w:ascii="Arial" w:hAnsi="Arial" w:cs="Arial"/>
          <w:lang w:val="en-ID"/>
        </w:rPr>
        <w:t>Herkowitz</w:t>
      </w:r>
      <w:proofErr w:type="spellEnd"/>
      <w:r w:rsidRPr="00A75DEE">
        <w:rPr>
          <w:rFonts w:ascii="Arial" w:hAnsi="Arial" w:cs="Arial"/>
          <w:lang w:val="en-ID"/>
        </w:rPr>
        <w:t xml:space="preserve"> et al., 2011).</w:t>
      </w:r>
    </w:p>
    <w:p w14:paraId="26A7C151" w14:textId="77777777" w:rsidR="00C64711" w:rsidRPr="00A75DEE" w:rsidRDefault="00C64711" w:rsidP="00C64711">
      <w:pPr>
        <w:pStyle w:val="Body"/>
        <w:spacing w:after="0"/>
        <w:jc w:val="center"/>
        <w:rPr>
          <w:rFonts w:ascii="Arial" w:hAnsi="Arial" w:cs="Arial"/>
          <w:lang w:val="en-ID"/>
        </w:rPr>
      </w:pPr>
      <w:r w:rsidRPr="00AE0EBE">
        <w:rPr>
          <w:rFonts w:asciiTheme="majorBidi" w:hAnsiTheme="majorBidi" w:cstheme="majorBidi"/>
          <w:noProof/>
        </w:rPr>
        <w:drawing>
          <wp:inline distT="0" distB="0" distL="0" distR="0" wp14:anchorId="7DE4F93E" wp14:editId="543AB576">
            <wp:extent cx="5207000" cy="1787959"/>
            <wp:effectExtent l="0" t="0" r="0" b="3175"/>
            <wp:docPr id="836199558" name="Picture 1" descr="A drawing of a person's bo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199558" name="Picture 1" descr="A drawing of a person's body&#10;&#10;Description automatically generated"/>
                    <pic:cNvPicPr/>
                  </pic:nvPicPr>
                  <pic:blipFill>
                    <a:blip r:embed="rId26"/>
                    <a:stretch>
                      <a:fillRect/>
                    </a:stretch>
                  </pic:blipFill>
                  <pic:spPr>
                    <a:xfrm>
                      <a:off x="0" y="0"/>
                      <a:ext cx="5218008" cy="1791739"/>
                    </a:xfrm>
                    <a:prstGeom prst="rect">
                      <a:avLst/>
                    </a:prstGeom>
                  </pic:spPr>
                </pic:pic>
              </a:graphicData>
            </a:graphic>
          </wp:inline>
        </w:drawing>
      </w:r>
    </w:p>
    <w:p w14:paraId="0CB008BC" w14:textId="77777777" w:rsidR="00E271C8" w:rsidRDefault="00E271C8" w:rsidP="00C64711">
      <w:pPr>
        <w:pStyle w:val="Body"/>
        <w:spacing w:after="0"/>
        <w:jc w:val="center"/>
        <w:rPr>
          <w:rFonts w:ascii="Arial" w:hAnsi="Arial" w:cs="Arial"/>
          <w:lang w:val="en-ID"/>
        </w:rPr>
      </w:pPr>
    </w:p>
    <w:p w14:paraId="584BD2A3" w14:textId="77777777" w:rsidR="00A75DEE" w:rsidRPr="00A75DEE" w:rsidRDefault="00A75DEE" w:rsidP="00C64711">
      <w:pPr>
        <w:pStyle w:val="Body"/>
        <w:spacing w:after="0"/>
        <w:jc w:val="center"/>
        <w:rPr>
          <w:rFonts w:ascii="Arial" w:hAnsi="Arial" w:cs="Arial"/>
          <w:lang w:val="en-ID"/>
        </w:rPr>
      </w:pPr>
      <w:r w:rsidRPr="00A75DEE">
        <w:rPr>
          <w:rFonts w:ascii="Arial" w:hAnsi="Arial" w:cs="Arial"/>
          <w:lang w:val="en-ID"/>
        </w:rPr>
        <w:t>Fig. 7. Hangman fracture classification. (Source: Lightsey et al., 2025)</w:t>
      </w:r>
    </w:p>
    <w:p w14:paraId="6FDC95D9" w14:textId="77777777" w:rsidR="00E271C8" w:rsidRDefault="00E271C8" w:rsidP="00A75DEE">
      <w:pPr>
        <w:pStyle w:val="Body"/>
        <w:spacing w:after="0"/>
        <w:rPr>
          <w:rFonts w:ascii="Arial" w:hAnsi="Arial" w:cs="Arial"/>
          <w:lang w:val="en-ID"/>
        </w:rPr>
      </w:pPr>
    </w:p>
    <w:p w14:paraId="7C6D8F7A" w14:textId="77777777" w:rsidR="00A75DEE" w:rsidRPr="00A75DEE" w:rsidRDefault="00A75DEE" w:rsidP="00E271C8">
      <w:pPr>
        <w:pStyle w:val="Body"/>
        <w:spacing w:after="0"/>
        <w:ind w:firstLine="720"/>
        <w:rPr>
          <w:rFonts w:ascii="Arial" w:hAnsi="Arial" w:cs="Arial"/>
          <w:lang w:val="en-ID"/>
        </w:rPr>
      </w:pPr>
      <w:r w:rsidRPr="00A75DEE">
        <w:rPr>
          <w:rFonts w:ascii="Arial" w:hAnsi="Arial" w:cs="Arial"/>
          <w:lang w:val="en-ID"/>
        </w:rPr>
        <w:t>Most hangman fractures without neurological deficit can be managed nonoperatively. Type I injuries respond well to cervical collar. Type II fractures are best managed with traction followed by halo vest immobilization. However, in type IIA fractures, traction should be avoided as it may worsen deformity. Surgical treatment is indicated for type III injuries with facet dislocation, neurological deficit, or when nonoperative management fails. Surgical options include anterior C2-C3 fusion and posterior C1-C3 fusion (Lightsey et al., 2025).</w:t>
      </w:r>
    </w:p>
    <w:p w14:paraId="12264005" w14:textId="77777777" w:rsidR="00E271C8" w:rsidRDefault="00E271C8" w:rsidP="00A75DEE">
      <w:pPr>
        <w:pStyle w:val="Body"/>
        <w:spacing w:after="0"/>
        <w:rPr>
          <w:rFonts w:ascii="Arial" w:hAnsi="Arial" w:cs="Arial"/>
          <w:lang w:val="en-ID"/>
        </w:rPr>
      </w:pPr>
    </w:p>
    <w:p w14:paraId="6072CDAA" w14:textId="77777777" w:rsidR="00A75DEE" w:rsidRPr="00A75DEE" w:rsidRDefault="00A75DEE" w:rsidP="00A75DEE">
      <w:pPr>
        <w:pStyle w:val="Body"/>
        <w:spacing w:after="0"/>
        <w:rPr>
          <w:rFonts w:ascii="Arial" w:hAnsi="Arial" w:cs="Arial"/>
          <w:lang w:val="en-ID"/>
        </w:rPr>
      </w:pPr>
      <w:r w:rsidRPr="00A75DEE">
        <w:rPr>
          <w:rFonts w:ascii="Arial" w:hAnsi="Arial" w:cs="Arial"/>
          <w:lang w:val="en-ID"/>
        </w:rPr>
        <w:t>3.4.6 Atlantoaxial Subluxation and Dislocation</w:t>
      </w:r>
    </w:p>
    <w:p w14:paraId="2F48E866" w14:textId="77777777" w:rsidR="00A75DEE" w:rsidRPr="00A75DEE" w:rsidRDefault="00A75DEE" w:rsidP="00E271C8">
      <w:pPr>
        <w:pStyle w:val="Body"/>
        <w:spacing w:after="0"/>
        <w:ind w:firstLine="720"/>
        <w:rPr>
          <w:rFonts w:ascii="Arial" w:hAnsi="Arial" w:cs="Arial"/>
          <w:lang w:val="en-ID"/>
        </w:rPr>
      </w:pPr>
      <w:r w:rsidRPr="00A75DEE">
        <w:rPr>
          <w:rFonts w:ascii="Arial" w:hAnsi="Arial" w:cs="Arial"/>
          <w:lang w:val="en-ID"/>
        </w:rPr>
        <w:t xml:space="preserve">Fielding and Hawkins presented the most commonly used classification for rotatory atlantoaxial injuries: type I-pure rotational injury, type II-rotational malalignment with anterior atlas displacement &lt;3-5 mm, type III-rotational subluxation with displacement &gt;5 mm, and type IV-rotational malalignment with posterior displacement (Bransford et al., 2014; </w:t>
      </w:r>
      <w:proofErr w:type="spellStart"/>
      <w:r w:rsidRPr="00A75DEE">
        <w:rPr>
          <w:rFonts w:ascii="Arial" w:hAnsi="Arial" w:cs="Arial"/>
          <w:lang w:val="en-ID"/>
        </w:rPr>
        <w:t>Herkowitz</w:t>
      </w:r>
      <w:proofErr w:type="spellEnd"/>
      <w:r w:rsidRPr="00A75DEE">
        <w:rPr>
          <w:rFonts w:ascii="Arial" w:hAnsi="Arial" w:cs="Arial"/>
          <w:lang w:val="en-ID"/>
        </w:rPr>
        <w:t xml:space="preserve"> et al., 2011).</w:t>
      </w:r>
    </w:p>
    <w:p w14:paraId="1B084B47" w14:textId="279A223F" w:rsidR="00A75DEE" w:rsidRPr="00A75DEE" w:rsidRDefault="00A75DEE" w:rsidP="00E271C8">
      <w:pPr>
        <w:pStyle w:val="Body"/>
        <w:spacing w:after="0"/>
        <w:ind w:firstLine="720"/>
        <w:rPr>
          <w:rFonts w:ascii="Arial" w:hAnsi="Arial" w:cs="Arial"/>
          <w:lang w:val="en-ID"/>
        </w:rPr>
      </w:pPr>
      <w:r w:rsidRPr="00A75DEE">
        <w:rPr>
          <w:rFonts w:ascii="Arial" w:hAnsi="Arial" w:cs="Arial"/>
          <w:lang w:val="en-ID"/>
        </w:rPr>
        <w:lastRenderedPageBreak/>
        <w:t>Acute rotatory atlantoaxial dislocation can be successfully managed nonoperatively with traction reduction followed by immobilization</w:t>
      </w:r>
      <w:r w:rsidR="00F248DE">
        <w:rPr>
          <w:rFonts w:ascii="Arial" w:hAnsi="Arial" w:cs="Arial"/>
          <w:lang w:val="en-ID"/>
        </w:rPr>
        <w:t xml:space="preserve"> (</w:t>
      </w:r>
      <w:r w:rsidR="00F248DE" w:rsidRPr="00F248DE">
        <w:rPr>
          <w:rFonts w:ascii="Arial" w:hAnsi="Arial" w:cs="Arial"/>
        </w:rPr>
        <w:t>Li et al., 2025</w:t>
      </w:r>
      <w:r w:rsidR="00F248DE">
        <w:rPr>
          <w:rFonts w:ascii="Arial" w:hAnsi="Arial" w:cs="Arial"/>
        </w:rPr>
        <w:t>)</w:t>
      </w:r>
      <w:r w:rsidRPr="00A75DEE">
        <w:rPr>
          <w:rFonts w:ascii="Arial" w:hAnsi="Arial" w:cs="Arial"/>
          <w:lang w:val="en-ID"/>
        </w:rPr>
        <w:t>. Surgical treatment is indicated for cases involving spinal cord injury, significant dynamic instability, or when nonoperative methods fail, with posterior C1-C2 fusion using lateral mass and pedicle screws (Lightsey et al., 2025).</w:t>
      </w:r>
    </w:p>
    <w:p w14:paraId="283C9B71" w14:textId="77777777" w:rsidR="00E271C8" w:rsidRDefault="00E271C8" w:rsidP="00A75DEE">
      <w:pPr>
        <w:pStyle w:val="Body"/>
        <w:spacing w:after="0"/>
        <w:rPr>
          <w:rFonts w:ascii="Arial" w:hAnsi="Arial" w:cs="Arial"/>
          <w:lang w:val="en-ID"/>
        </w:rPr>
      </w:pPr>
    </w:p>
    <w:p w14:paraId="3823FDD1" w14:textId="77777777" w:rsidR="00A75DEE" w:rsidRPr="00A75DEE" w:rsidRDefault="00A75DEE" w:rsidP="00A75DEE">
      <w:pPr>
        <w:pStyle w:val="Body"/>
        <w:spacing w:after="0"/>
        <w:rPr>
          <w:rFonts w:ascii="Arial" w:hAnsi="Arial" w:cs="Arial"/>
          <w:lang w:val="en-ID"/>
        </w:rPr>
      </w:pPr>
      <w:r w:rsidRPr="00A75DEE">
        <w:rPr>
          <w:rFonts w:ascii="Arial" w:hAnsi="Arial" w:cs="Arial"/>
          <w:lang w:val="en-ID"/>
        </w:rPr>
        <w:t>3.5 Lower Cervical Trauma</w:t>
      </w:r>
    </w:p>
    <w:p w14:paraId="57CD0481" w14:textId="7734315A" w:rsidR="00A75DEE" w:rsidRDefault="00A75DEE" w:rsidP="00E271C8">
      <w:pPr>
        <w:pStyle w:val="Body"/>
        <w:spacing w:after="0"/>
        <w:ind w:firstLine="720"/>
        <w:rPr>
          <w:rFonts w:ascii="Arial" w:hAnsi="Arial" w:cs="Arial"/>
          <w:lang w:val="en-ID"/>
        </w:rPr>
      </w:pPr>
      <w:r w:rsidRPr="00A75DEE">
        <w:rPr>
          <w:rFonts w:ascii="Arial" w:hAnsi="Arial" w:cs="Arial"/>
          <w:lang w:val="en-ID"/>
        </w:rPr>
        <w:t>Classification systems for lower cervical spine injuries include CSISS (Cervical Spine Injury Severity Score), SLIC (</w:t>
      </w:r>
      <w:proofErr w:type="spellStart"/>
      <w:r w:rsidRPr="00A75DEE">
        <w:rPr>
          <w:rFonts w:ascii="Arial" w:hAnsi="Arial" w:cs="Arial"/>
          <w:lang w:val="en-ID"/>
        </w:rPr>
        <w:t>Subaxial</w:t>
      </w:r>
      <w:proofErr w:type="spellEnd"/>
      <w:r w:rsidRPr="00A75DEE">
        <w:rPr>
          <w:rFonts w:ascii="Arial" w:hAnsi="Arial" w:cs="Arial"/>
          <w:lang w:val="en-ID"/>
        </w:rPr>
        <w:t xml:space="preserve"> Cervical Spine Injury Classification), and the AO classification. CSISS </w:t>
      </w:r>
      <w:proofErr w:type="spellStart"/>
      <w:r w:rsidRPr="00A75DEE">
        <w:rPr>
          <w:rFonts w:ascii="Arial" w:hAnsi="Arial" w:cs="Arial"/>
          <w:lang w:val="en-ID"/>
        </w:rPr>
        <w:t>analyzes</w:t>
      </w:r>
      <w:proofErr w:type="spellEnd"/>
      <w:r w:rsidRPr="00A75DEE">
        <w:rPr>
          <w:rFonts w:ascii="Arial" w:hAnsi="Arial" w:cs="Arial"/>
          <w:lang w:val="en-ID"/>
        </w:rPr>
        <w:t xml:space="preserve"> four anatomical columns: anterior, posterior, and two lateral columns</w:t>
      </w:r>
      <w:r w:rsidR="00F248DE">
        <w:rPr>
          <w:rFonts w:ascii="Arial" w:hAnsi="Arial" w:cs="Arial"/>
          <w:lang w:val="en-ID"/>
        </w:rPr>
        <w:t xml:space="preserve"> (</w:t>
      </w:r>
      <w:r w:rsidR="00F248DE" w:rsidRPr="00F248DE">
        <w:rPr>
          <w:rFonts w:ascii="Arial" w:hAnsi="Arial" w:cs="Arial"/>
        </w:rPr>
        <w:t>Camino-</w:t>
      </w:r>
      <w:proofErr w:type="spellStart"/>
      <w:r w:rsidR="00F248DE" w:rsidRPr="00F248DE">
        <w:rPr>
          <w:rFonts w:ascii="Arial" w:hAnsi="Arial" w:cs="Arial"/>
        </w:rPr>
        <w:t>Willhuber</w:t>
      </w:r>
      <w:proofErr w:type="spellEnd"/>
      <w:r w:rsidR="00F248DE" w:rsidRPr="00F248DE">
        <w:rPr>
          <w:rFonts w:ascii="Arial" w:hAnsi="Arial" w:cs="Arial"/>
        </w:rPr>
        <w:t xml:space="preserve"> et al., 2026</w:t>
      </w:r>
      <w:r w:rsidR="00F248DE">
        <w:rPr>
          <w:rFonts w:ascii="Arial" w:hAnsi="Arial" w:cs="Arial"/>
        </w:rPr>
        <w:t>)</w:t>
      </w:r>
      <w:r w:rsidRPr="00A75DEE">
        <w:rPr>
          <w:rFonts w:ascii="Arial" w:hAnsi="Arial" w:cs="Arial"/>
          <w:lang w:val="en-ID"/>
        </w:rPr>
        <w:t xml:space="preserve">. SLIC evaluates fracture morphology, </w:t>
      </w:r>
      <w:proofErr w:type="spellStart"/>
      <w:r w:rsidRPr="00A75DEE">
        <w:rPr>
          <w:rFonts w:ascii="Arial" w:hAnsi="Arial" w:cs="Arial"/>
          <w:lang w:val="en-ID"/>
        </w:rPr>
        <w:t>discoligamentous</w:t>
      </w:r>
      <w:proofErr w:type="spellEnd"/>
      <w:r w:rsidRPr="00A75DEE">
        <w:rPr>
          <w:rFonts w:ascii="Arial" w:hAnsi="Arial" w:cs="Arial"/>
          <w:lang w:val="en-ID"/>
        </w:rPr>
        <w:t xml:space="preserve"> complex, and neurological function to guide treatment decisions (Fig. 8) (</w:t>
      </w:r>
      <w:proofErr w:type="spellStart"/>
      <w:r w:rsidRPr="00A75DEE">
        <w:rPr>
          <w:rFonts w:ascii="Arial" w:hAnsi="Arial" w:cs="Arial"/>
          <w:lang w:val="en-ID"/>
        </w:rPr>
        <w:t>Herkowitz</w:t>
      </w:r>
      <w:proofErr w:type="spellEnd"/>
      <w:r w:rsidRPr="00A75DEE">
        <w:rPr>
          <w:rFonts w:ascii="Arial" w:hAnsi="Arial" w:cs="Arial"/>
          <w:lang w:val="en-ID"/>
        </w:rPr>
        <w:t xml:space="preserve"> et al., 2011).</w:t>
      </w:r>
    </w:p>
    <w:p w14:paraId="6F32B0F0" w14:textId="77777777" w:rsidR="00C64711" w:rsidRPr="00A75DEE" w:rsidRDefault="00C64711" w:rsidP="00C64711">
      <w:pPr>
        <w:pStyle w:val="Body"/>
        <w:spacing w:after="0"/>
        <w:jc w:val="center"/>
        <w:rPr>
          <w:rFonts w:ascii="Arial" w:hAnsi="Arial" w:cs="Arial"/>
          <w:lang w:val="en-ID"/>
        </w:rPr>
      </w:pPr>
      <w:r w:rsidRPr="004A2804">
        <w:rPr>
          <w:rFonts w:asciiTheme="majorBidi" w:hAnsiTheme="majorBidi" w:cstheme="majorBidi"/>
          <w:noProof/>
        </w:rPr>
        <w:drawing>
          <wp:inline distT="0" distB="0" distL="0" distR="0" wp14:anchorId="6B50461B" wp14:editId="06F578A2">
            <wp:extent cx="3338830" cy="3225036"/>
            <wp:effectExtent l="0" t="0" r="0" b="0"/>
            <wp:docPr id="1738997982" name="Picture 1" descr="A screenshot of a medical re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997982" name="Picture 1" descr="A screenshot of a medical report&#10;&#10;Description automatically generated"/>
                    <pic:cNvPicPr/>
                  </pic:nvPicPr>
                  <pic:blipFill rotWithShape="1">
                    <a:blip r:embed="rId27"/>
                    <a:srcRect t="4903"/>
                    <a:stretch>
                      <a:fillRect/>
                    </a:stretch>
                  </pic:blipFill>
                  <pic:spPr bwMode="auto">
                    <a:xfrm>
                      <a:off x="0" y="0"/>
                      <a:ext cx="3348068" cy="3233959"/>
                    </a:xfrm>
                    <a:prstGeom prst="rect">
                      <a:avLst/>
                    </a:prstGeom>
                    <a:ln>
                      <a:noFill/>
                    </a:ln>
                    <a:extLst>
                      <a:ext uri="{53640926-AAD7-44D8-BBD7-CCE9431645EC}">
                        <a14:shadowObscured xmlns:a14="http://schemas.microsoft.com/office/drawing/2010/main"/>
                      </a:ext>
                    </a:extLst>
                  </pic:spPr>
                </pic:pic>
              </a:graphicData>
            </a:graphic>
          </wp:inline>
        </w:drawing>
      </w:r>
    </w:p>
    <w:p w14:paraId="06BACC7F" w14:textId="77777777" w:rsidR="00E271C8" w:rsidRDefault="00E271C8" w:rsidP="00C64711">
      <w:pPr>
        <w:pStyle w:val="Body"/>
        <w:spacing w:after="0"/>
        <w:jc w:val="center"/>
        <w:rPr>
          <w:rFonts w:ascii="Arial" w:hAnsi="Arial" w:cs="Arial"/>
          <w:lang w:val="en-ID"/>
        </w:rPr>
      </w:pPr>
    </w:p>
    <w:p w14:paraId="4743C76E" w14:textId="77777777" w:rsidR="00A75DEE" w:rsidRPr="00A75DEE" w:rsidRDefault="00A75DEE" w:rsidP="00C64711">
      <w:pPr>
        <w:pStyle w:val="Body"/>
        <w:spacing w:after="0"/>
        <w:jc w:val="center"/>
        <w:rPr>
          <w:rFonts w:ascii="Arial" w:hAnsi="Arial" w:cs="Arial"/>
          <w:lang w:val="en-ID"/>
        </w:rPr>
      </w:pPr>
      <w:r w:rsidRPr="00A75DEE">
        <w:rPr>
          <w:rFonts w:ascii="Arial" w:hAnsi="Arial" w:cs="Arial"/>
          <w:lang w:val="en-ID"/>
        </w:rPr>
        <w:t xml:space="preserve">Fig. 8. SLIC classification system. (Source: </w:t>
      </w:r>
      <w:proofErr w:type="spellStart"/>
      <w:r w:rsidRPr="00A75DEE">
        <w:rPr>
          <w:rFonts w:ascii="Arial" w:hAnsi="Arial" w:cs="Arial"/>
          <w:lang w:val="en-ID"/>
        </w:rPr>
        <w:t>Herkowitz</w:t>
      </w:r>
      <w:proofErr w:type="spellEnd"/>
      <w:r w:rsidRPr="00A75DEE">
        <w:rPr>
          <w:rFonts w:ascii="Arial" w:hAnsi="Arial" w:cs="Arial"/>
          <w:lang w:val="en-ID"/>
        </w:rPr>
        <w:t xml:space="preserve"> et al., 2011)</w:t>
      </w:r>
    </w:p>
    <w:p w14:paraId="0E468FA5" w14:textId="77777777" w:rsidR="00E271C8" w:rsidRDefault="00E271C8" w:rsidP="00A75DEE">
      <w:pPr>
        <w:pStyle w:val="Body"/>
        <w:spacing w:after="0"/>
        <w:rPr>
          <w:rFonts w:ascii="Arial" w:hAnsi="Arial" w:cs="Arial"/>
          <w:lang w:val="en-ID"/>
        </w:rPr>
      </w:pPr>
    </w:p>
    <w:p w14:paraId="440167C3" w14:textId="77777777" w:rsidR="00A75DEE" w:rsidRPr="00A75DEE" w:rsidRDefault="00A75DEE" w:rsidP="00A75DEE">
      <w:pPr>
        <w:pStyle w:val="Body"/>
        <w:spacing w:after="0"/>
        <w:rPr>
          <w:rFonts w:ascii="Arial" w:hAnsi="Arial" w:cs="Arial"/>
          <w:lang w:val="en-ID"/>
        </w:rPr>
      </w:pPr>
      <w:r w:rsidRPr="00A75DEE">
        <w:rPr>
          <w:rFonts w:ascii="Arial" w:hAnsi="Arial" w:cs="Arial"/>
          <w:lang w:val="en-ID"/>
        </w:rPr>
        <w:t>3.5.1 Anterior Column Injuries</w:t>
      </w:r>
    </w:p>
    <w:p w14:paraId="04F66DDF" w14:textId="77777777" w:rsidR="00C64711" w:rsidRDefault="00A75DEE" w:rsidP="00C64711">
      <w:pPr>
        <w:pStyle w:val="Body"/>
        <w:spacing w:after="0"/>
        <w:ind w:firstLine="720"/>
        <w:rPr>
          <w:rFonts w:ascii="Arial" w:hAnsi="Arial" w:cs="Arial"/>
          <w:lang w:val="en-ID"/>
        </w:rPr>
      </w:pPr>
      <w:r w:rsidRPr="00A75DEE">
        <w:rPr>
          <w:rFonts w:ascii="Arial" w:hAnsi="Arial" w:cs="Arial"/>
          <w:lang w:val="en-ID"/>
        </w:rPr>
        <w:t>Compression Fractures: Compression fractures occur due to hyperflexion and/or axial loading forces. Radiographically, anterior wedging and superior endplate fracture are seen (Fig. 9). Isolated compression fractures without posterior ligamentous injury can be managed nonoperatively with external orthosis. When associated with posterior ligamentous injury or facet perching, scores indicate moderate instability requiring surgical stabilization (</w:t>
      </w:r>
      <w:proofErr w:type="spellStart"/>
      <w:r w:rsidRPr="00A75DEE">
        <w:rPr>
          <w:rFonts w:ascii="Arial" w:hAnsi="Arial" w:cs="Arial"/>
          <w:lang w:val="en-ID"/>
        </w:rPr>
        <w:t>Herkowitz</w:t>
      </w:r>
      <w:proofErr w:type="spellEnd"/>
      <w:r w:rsidRPr="00A75DEE">
        <w:rPr>
          <w:rFonts w:ascii="Arial" w:hAnsi="Arial" w:cs="Arial"/>
          <w:lang w:val="en-ID"/>
        </w:rPr>
        <w:t xml:space="preserve"> et al., 2011; Lightsey et al., 2025).</w:t>
      </w:r>
    </w:p>
    <w:p w14:paraId="7CE1C92B" w14:textId="77777777" w:rsidR="00C64711" w:rsidRDefault="00C64711" w:rsidP="00C64711">
      <w:pPr>
        <w:pStyle w:val="Body"/>
        <w:spacing w:after="0"/>
        <w:ind w:firstLine="720"/>
        <w:rPr>
          <w:rFonts w:ascii="Arial" w:hAnsi="Arial" w:cs="Arial"/>
          <w:lang w:val="en-ID"/>
        </w:rPr>
      </w:pPr>
    </w:p>
    <w:p w14:paraId="7CEF698F" w14:textId="77777777" w:rsidR="00C64711" w:rsidRPr="00A75DEE" w:rsidRDefault="00C64711" w:rsidP="00C64711">
      <w:pPr>
        <w:pStyle w:val="Body"/>
        <w:spacing w:after="0"/>
        <w:jc w:val="center"/>
        <w:rPr>
          <w:rFonts w:ascii="Arial" w:hAnsi="Arial" w:cs="Arial"/>
          <w:lang w:val="en-ID"/>
        </w:rPr>
      </w:pPr>
      <w:r w:rsidRPr="00F940C2">
        <w:rPr>
          <w:rFonts w:asciiTheme="majorBidi" w:hAnsiTheme="majorBidi" w:cstheme="majorBidi"/>
          <w:noProof/>
        </w:rPr>
        <w:lastRenderedPageBreak/>
        <w:drawing>
          <wp:inline distT="0" distB="0" distL="0" distR="0" wp14:anchorId="38203263" wp14:editId="4639CA25">
            <wp:extent cx="2744759" cy="2172454"/>
            <wp:effectExtent l="0" t="0" r="0" b="0"/>
            <wp:docPr id="8235706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570692" name=""/>
                    <pic:cNvPicPr/>
                  </pic:nvPicPr>
                  <pic:blipFill>
                    <a:blip r:embed="rId28"/>
                    <a:stretch>
                      <a:fillRect/>
                    </a:stretch>
                  </pic:blipFill>
                  <pic:spPr>
                    <a:xfrm>
                      <a:off x="0" y="0"/>
                      <a:ext cx="2756383" cy="2181654"/>
                    </a:xfrm>
                    <a:prstGeom prst="rect">
                      <a:avLst/>
                    </a:prstGeom>
                  </pic:spPr>
                </pic:pic>
              </a:graphicData>
            </a:graphic>
          </wp:inline>
        </w:drawing>
      </w:r>
    </w:p>
    <w:p w14:paraId="07B1855E" w14:textId="77777777" w:rsidR="00E271C8" w:rsidRDefault="00E271C8" w:rsidP="00C64711">
      <w:pPr>
        <w:pStyle w:val="Body"/>
        <w:spacing w:after="0"/>
        <w:jc w:val="center"/>
        <w:rPr>
          <w:rFonts w:ascii="Arial" w:hAnsi="Arial" w:cs="Arial"/>
          <w:lang w:val="en-ID"/>
        </w:rPr>
      </w:pPr>
    </w:p>
    <w:p w14:paraId="405628B6" w14:textId="77777777" w:rsidR="00A75DEE" w:rsidRPr="00A75DEE" w:rsidRDefault="00A75DEE" w:rsidP="00C64711">
      <w:pPr>
        <w:pStyle w:val="Body"/>
        <w:spacing w:after="0"/>
        <w:jc w:val="center"/>
        <w:rPr>
          <w:rFonts w:ascii="Arial" w:hAnsi="Arial" w:cs="Arial"/>
          <w:lang w:val="en-ID"/>
        </w:rPr>
      </w:pPr>
      <w:r w:rsidRPr="00A75DEE">
        <w:rPr>
          <w:rFonts w:ascii="Arial" w:hAnsi="Arial" w:cs="Arial"/>
          <w:lang w:val="en-ID"/>
        </w:rPr>
        <w:t>Fig. 9. Compression fracture with posterior ligamentous disruption. (Source: Zaveri and Das, 2017)</w:t>
      </w:r>
    </w:p>
    <w:p w14:paraId="4464A57C" w14:textId="77777777" w:rsidR="00E271C8" w:rsidRDefault="00E271C8" w:rsidP="00A75DEE">
      <w:pPr>
        <w:pStyle w:val="Body"/>
        <w:spacing w:after="0"/>
        <w:rPr>
          <w:rFonts w:ascii="Arial" w:hAnsi="Arial" w:cs="Arial"/>
          <w:lang w:val="en-ID"/>
        </w:rPr>
      </w:pPr>
    </w:p>
    <w:p w14:paraId="642D57F1" w14:textId="77777777" w:rsidR="00A75DEE" w:rsidRDefault="00A75DEE" w:rsidP="00E271C8">
      <w:pPr>
        <w:pStyle w:val="Body"/>
        <w:spacing w:after="0"/>
        <w:ind w:firstLine="720"/>
        <w:rPr>
          <w:rFonts w:ascii="Arial" w:hAnsi="Arial" w:cs="Arial"/>
          <w:lang w:val="en-ID"/>
        </w:rPr>
      </w:pPr>
      <w:r w:rsidRPr="00A75DEE">
        <w:rPr>
          <w:rFonts w:ascii="Arial" w:hAnsi="Arial" w:cs="Arial"/>
          <w:lang w:val="en-ID"/>
        </w:rPr>
        <w:t>Burst Fractures: Burst fractures result from rapid increase in intradiscal pressure causing superior endplate failure (Fig. 10). Nonoperative management may be considered in patients without neurological deficit, with minimal vertebral body comminution, mild canal compromise, kyphosis &lt;5 degrees, and without posterior ligamentous injury. Patients with neurological deficit require surgical stabilization, with anterior corpectomy being the preferred approach for direct canal decompression (Feuchtbaum et al., 2016; Lightsey et al., 2025).</w:t>
      </w:r>
    </w:p>
    <w:p w14:paraId="3A93A6D9" w14:textId="77777777" w:rsidR="00C64711" w:rsidRPr="00A75DEE" w:rsidRDefault="00C64711" w:rsidP="00C64711">
      <w:pPr>
        <w:pStyle w:val="Body"/>
        <w:spacing w:after="0"/>
        <w:jc w:val="center"/>
        <w:rPr>
          <w:rFonts w:ascii="Arial" w:hAnsi="Arial" w:cs="Arial"/>
          <w:lang w:val="en-ID"/>
        </w:rPr>
      </w:pPr>
      <w:r w:rsidRPr="00EE15A2">
        <w:rPr>
          <w:rFonts w:asciiTheme="majorBidi" w:hAnsiTheme="majorBidi" w:cstheme="majorBidi"/>
          <w:noProof/>
        </w:rPr>
        <w:drawing>
          <wp:inline distT="0" distB="0" distL="0" distR="0" wp14:anchorId="320CCC01" wp14:editId="2FFAFEAF">
            <wp:extent cx="2485493" cy="2470150"/>
            <wp:effectExtent l="0" t="0" r="0" b="6350"/>
            <wp:docPr id="1079893514" name="Picture 1" descr="A close up of a spine x-r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893514" name="Picture 1" descr="A close up of a spine x-ray&#10;&#10;Description automatically generated"/>
                    <pic:cNvPicPr/>
                  </pic:nvPicPr>
                  <pic:blipFill>
                    <a:blip r:embed="rId29"/>
                    <a:stretch>
                      <a:fillRect/>
                    </a:stretch>
                  </pic:blipFill>
                  <pic:spPr>
                    <a:xfrm>
                      <a:off x="0" y="0"/>
                      <a:ext cx="2502691" cy="2487242"/>
                    </a:xfrm>
                    <a:prstGeom prst="rect">
                      <a:avLst/>
                    </a:prstGeom>
                  </pic:spPr>
                </pic:pic>
              </a:graphicData>
            </a:graphic>
          </wp:inline>
        </w:drawing>
      </w:r>
    </w:p>
    <w:p w14:paraId="4D7494B2" w14:textId="77777777" w:rsidR="00A75DEE" w:rsidRPr="00A75DEE" w:rsidRDefault="00A75DEE" w:rsidP="00C64711">
      <w:pPr>
        <w:pStyle w:val="Body"/>
        <w:spacing w:after="0"/>
        <w:jc w:val="center"/>
        <w:rPr>
          <w:rFonts w:ascii="Arial" w:hAnsi="Arial" w:cs="Arial"/>
          <w:lang w:val="en-ID"/>
        </w:rPr>
      </w:pPr>
      <w:r w:rsidRPr="00A75DEE">
        <w:rPr>
          <w:rFonts w:ascii="Arial" w:hAnsi="Arial" w:cs="Arial"/>
          <w:lang w:val="en-ID"/>
        </w:rPr>
        <w:t xml:space="preserve">Fig. 10. Burst fracture on CT scan. (Source: </w:t>
      </w:r>
      <w:proofErr w:type="spellStart"/>
      <w:r w:rsidRPr="00A75DEE">
        <w:rPr>
          <w:rFonts w:ascii="Arial" w:hAnsi="Arial" w:cs="Arial"/>
          <w:lang w:val="en-ID"/>
        </w:rPr>
        <w:t>Herkowitz</w:t>
      </w:r>
      <w:proofErr w:type="spellEnd"/>
      <w:r w:rsidRPr="00A75DEE">
        <w:rPr>
          <w:rFonts w:ascii="Arial" w:hAnsi="Arial" w:cs="Arial"/>
          <w:lang w:val="en-ID"/>
        </w:rPr>
        <w:t xml:space="preserve"> et al., 2011)</w:t>
      </w:r>
    </w:p>
    <w:p w14:paraId="0C793D8B" w14:textId="77777777" w:rsidR="00E271C8" w:rsidRDefault="00E271C8" w:rsidP="00A75DEE">
      <w:pPr>
        <w:pStyle w:val="Body"/>
        <w:spacing w:after="0"/>
        <w:rPr>
          <w:rFonts w:ascii="Arial" w:hAnsi="Arial" w:cs="Arial"/>
          <w:lang w:val="en-ID"/>
        </w:rPr>
      </w:pPr>
    </w:p>
    <w:p w14:paraId="223ABEE9" w14:textId="77777777" w:rsidR="00E271C8" w:rsidRDefault="00C64711" w:rsidP="00B21F02">
      <w:pPr>
        <w:pStyle w:val="Body"/>
        <w:spacing w:after="0"/>
        <w:ind w:firstLine="720"/>
        <w:rPr>
          <w:rFonts w:ascii="Arial" w:hAnsi="Arial" w:cs="Arial"/>
          <w:lang w:val="en-ID"/>
        </w:rPr>
      </w:pPr>
      <w:r w:rsidRPr="00AE0EBE">
        <w:rPr>
          <w:rFonts w:asciiTheme="majorBidi" w:hAnsiTheme="majorBidi" w:cstheme="majorBidi"/>
          <w:noProof/>
        </w:rPr>
        <w:lastRenderedPageBreak/>
        <w:drawing>
          <wp:anchor distT="0" distB="0" distL="114300" distR="114300" simplePos="0" relativeHeight="251660800" behindDoc="0" locked="0" layoutInCell="1" allowOverlap="1" wp14:anchorId="4B093B84" wp14:editId="3C3D1CC8">
            <wp:simplePos x="0" y="0"/>
            <wp:positionH relativeFrom="margin">
              <wp:posOffset>1617345</wp:posOffset>
            </wp:positionH>
            <wp:positionV relativeFrom="paragraph">
              <wp:posOffset>1163320</wp:posOffset>
            </wp:positionV>
            <wp:extent cx="2164715" cy="2505075"/>
            <wp:effectExtent l="0" t="0" r="0" b="0"/>
            <wp:wrapTopAndBottom/>
            <wp:docPr id="1504139516" name="Picture 1" descr="A close-up of an x-ray of a sp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139516" name="Picture 1" descr="A close-up of an x-ray of a spine&#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2164715" cy="2505075"/>
                    </a:xfrm>
                    <a:prstGeom prst="rect">
                      <a:avLst/>
                    </a:prstGeom>
                  </pic:spPr>
                </pic:pic>
              </a:graphicData>
            </a:graphic>
            <wp14:sizeRelH relativeFrom="margin">
              <wp14:pctWidth>0</wp14:pctWidth>
            </wp14:sizeRelH>
            <wp14:sizeRelV relativeFrom="margin">
              <wp14:pctHeight>0</wp14:pctHeight>
            </wp14:sizeRelV>
          </wp:anchor>
        </w:drawing>
      </w:r>
      <w:r w:rsidR="00A75DEE" w:rsidRPr="00A75DEE">
        <w:rPr>
          <w:rFonts w:ascii="Arial" w:hAnsi="Arial" w:cs="Arial"/>
          <w:lang w:val="en-ID"/>
        </w:rPr>
        <w:t>Teardrop Fractures: Flexion-axial loading injuries, also called teardrop fractures, represent severe injuries with high propensity for neurological deficit (Fig. 11). The injury occurs due to compressive force applied obliquely downward and posteriorly. Nonoperative management has a limited role. For patients with neurological deficit, anterior corpectomy with strut graft and rigid plate fixation is indicated. For neurologically intact patients with minimal vertebral height loss and &lt;30% inferior endplate involvement, posterior stabilization may be considered (</w:t>
      </w:r>
      <w:proofErr w:type="spellStart"/>
      <w:r w:rsidR="00A75DEE" w:rsidRPr="00A75DEE">
        <w:rPr>
          <w:rFonts w:ascii="Arial" w:hAnsi="Arial" w:cs="Arial"/>
          <w:lang w:val="en-ID"/>
        </w:rPr>
        <w:t>Herkowitz</w:t>
      </w:r>
      <w:proofErr w:type="spellEnd"/>
      <w:r w:rsidR="00A75DEE" w:rsidRPr="00A75DEE">
        <w:rPr>
          <w:rFonts w:ascii="Arial" w:hAnsi="Arial" w:cs="Arial"/>
          <w:lang w:val="en-ID"/>
        </w:rPr>
        <w:t xml:space="preserve"> et al., 2011; Lightsey et al., 2025).</w:t>
      </w:r>
    </w:p>
    <w:p w14:paraId="42BABA13" w14:textId="77777777" w:rsidR="00A75DEE" w:rsidRDefault="00A75DEE" w:rsidP="00C64711">
      <w:pPr>
        <w:pStyle w:val="Body"/>
        <w:spacing w:after="0"/>
        <w:jc w:val="center"/>
        <w:rPr>
          <w:rFonts w:ascii="Arial" w:hAnsi="Arial" w:cs="Arial"/>
          <w:lang w:val="en-ID"/>
        </w:rPr>
      </w:pPr>
      <w:r w:rsidRPr="00A75DEE">
        <w:rPr>
          <w:rFonts w:ascii="Arial" w:hAnsi="Arial" w:cs="Arial"/>
          <w:lang w:val="en-ID"/>
        </w:rPr>
        <w:t xml:space="preserve">Fig. 11. Teardrop fracture. (Source: </w:t>
      </w:r>
      <w:proofErr w:type="spellStart"/>
      <w:r w:rsidRPr="00A75DEE">
        <w:rPr>
          <w:rFonts w:ascii="Arial" w:hAnsi="Arial" w:cs="Arial"/>
          <w:lang w:val="en-ID"/>
        </w:rPr>
        <w:t>Herkowitz</w:t>
      </w:r>
      <w:proofErr w:type="spellEnd"/>
      <w:r w:rsidRPr="00A75DEE">
        <w:rPr>
          <w:rFonts w:ascii="Arial" w:hAnsi="Arial" w:cs="Arial"/>
          <w:lang w:val="en-ID"/>
        </w:rPr>
        <w:t xml:space="preserve"> et al., 2011)</w:t>
      </w:r>
    </w:p>
    <w:p w14:paraId="1081450B" w14:textId="77777777" w:rsidR="00C64711" w:rsidRDefault="00C64711" w:rsidP="00A75DEE">
      <w:pPr>
        <w:pStyle w:val="Body"/>
        <w:spacing w:after="0"/>
        <w:rPr>
          <w:rFonts w:ascii="Arial" w:hAnsi="Arial" w:cs="Arial"/>
          <w:lang w:val="en-ID"/>
        </w:rPr>
      </w:pPr>
    </w:p>
    <w:p w14:paraId="4A427E2D" w14:textId="77777777" w:rsidR="00C64711" w:rsidRPr="00A75DEE" w:rsidRDefault="00C64711" w:rsidP="00A75DEE">
      <w:pPr>
        <w:pStyle w:val="Body"/>
        <w:spacing w:after="0"/>
        <w:rPr>
          <w:rFonts w:ascii="Arial" w:hAnsi="Arial" w:cs="Arial"/>
          <w:lang w:val="en-ID"/>
        </w:rPr>
      </w:pPr>
    </w:p>
    <w:p w14:paraId="73EF739D" w14:textId="3525607C" w:rsidR="00A75DEE" w:rsidRPr="00A75DEE" w:rsidRDefault="00A75DEE" w:rsidP="00E271C8">
      <w:pPr>
        <w:pStyle w:val="Body"/>
        <w:spacing w:after="0"/>
        <w:ind w:firstLine="720"/>
        <w:rPr>
          <w:rFonts w:ascii="Arial" w:hAnsi="Arial" w:cs="Arial"/>
          <w:lang w:val="en-ID"/>
        </w:rPr>
      </w:pPr>
      <w:r w:rsidRPr="00A75DEE">
        <w:rPr>
          <w:rFonts w:ascii="Arial" w:hAnsi="Arial" w:cs="Arial"/>
          <w:lang w:val="en-ID"/>
        </w:rPr>
        <w:t xml:space="preserve">Disc Distraction Injuries: Disc distraction injuries occur due to hyperextension forces, often in </w:t>
      </w:r>
      <w:proofErr w:type="spellStart"/>
      <w:r w:rsidRPr="00A75DEE">
        <w:rPr>
          <w:rFonts w:ascii="Arial" w:hAnsi="Arial" w:cs="Arial"/>
          <w:lang w:val="en-ID"/>
        </w:rPr>
        <w:t>spondylotic</w:t>
      </w:r>
      <w:proofErr w:type="spellEnd"/>
      <w:r w:rsidRPr="00A75DEE">
        <w:rPr>
          <w:rFonts w:ascii="Arial" w:hAnsi="Arial" w:cs="Arial"/>
          <w:lang w:val="en-ID"/>
        </w:rPr>
        <w:t xml:space="preserve"> spines. These injuries are difficult to diagnose and easily missed even with CT; MRI is essential</w:t>
      </w:r>
      <w:r w:rsidR="00F248DE" w:rsidRPr="00F248DE">
        <w:t xml:space="preserve"> </w:t>
      </w:r>
      <w:r w:rsidR="00F248DE">
        <w:t>(</w:t>
      </w:r>
      <w:r w:rsidR="00F248DE" w:rsidRPr="00F248DE">
        <w:rPr>
          <w:rFonts w:ascii="Arial" w:hAnsi="Arial" w:cs="Arial"/>
        </w:rPr>
        <w:t>Yong et al., 2025</w:t>
      </w:r>
      <w:r w:rsidR="00F248DE">
        <w:rPr>
          <w:rFonts w:ascii="Arial" w:hAnsi="Arial" w:cs="Arial"/>
        </w:rPr>
        <w:t>)</w:t>
      </w:r>
      <w:r w:rsidRPr="00A75DEE">
        <w:rPr>
          <w:rFonts w:ascii="Arial" w:hAnsi="Arial" w:cs="Arial"/>
          <w:lang w:val="en-ID"/>
        </w:rPr>
        <w:t>. Management depends on stability and neurological status (</w:t>
      </w:r>
      <w:proofErr w:type="spellStart"/>
      <w:r w:rsidRPr="00A75DEE">
        <w:rPr>
          <w:rFonts w:ascii="Arial" w:hAnsi="Arial" w:cs="Arial"/>
          <w:lang w:val="en-ID"/>
        </w:rPr>
        <w:t>Herkowitz</w:t>
      </w:r>
      <w:proofErr w:type="spellEnd"/>
      <w:r w:rsidRPr="00A75DEE">
        <w:rPr>
          <w:rFonts w:ascii="Arial" w:hAnsi="Arial" w:cs="Arial"/>
          <w:lang w:val="en-ID"/>
        </w:rPr>
        <w:t xml:space="preserve"> et al., 2011).</w:t>
      </w:r>
    </w:p>
    <w:p w14:paraId="4433441F" w14:textId="77777777" w:rsidR="00E271C8" w:rsidRDefault="00E271C8" w:rsidP="00A75DEE">
      <w:pPr>
        <w:pStyle w:val="Body"/>
        <w:spacing w:after="0"/>
        <w:rPr>
          <w:rFonts w:ascii="Arial" w:hAnsi="Arial" w:cs="Arial"/>
          <w:lang w:val="en-ID"/>
        </w:rPr>
      </w:pPr>
    </w:p>
    <w:p w14:paraId="7DC93D4A" w14:textId="77777777" w:rsidR="00A75DEE" w:rsidRPr="00A75DEE" w:rsidRDefault="00A75DEE" w:rsidP="00A75DEE">
      <w:pPr>
        <w:pStyle w:val="Body"/>
        <w:spacing w:after="0"/>
        <w:rPr>
          <w:rFonts w:ascii="Arial" w:hAnsi="Arial" w:cs="Arial"/>
          <w:lang w:val="en-ID"/>
        </w:rPr>
      </w:pPr>
      <w:r w:rsidRPr="00A75DEE">
        <w:rPr>
          <w:rFonts w:ascii="Arial" w:hAnsi="Arial" w:cs="Arial"/>
          <w:lang w:val="en-ID"/>
        </w:rPr>
        <w:t>3.5.2 Posterior Column Injuries</w:t>
      </w:r>
    </w:p>
    <w:p w14:paraId="2C412C88" w14:textId="77777777" w:rsidR="00A75DEE" w:rsidRPr="00A75DEE" w:rsidRDefault="00A75DEE" w:rsidP="00E271C8">
      <w:pPr>
        <w:pStyle w:val="Body"/>
        <w:spacing w:after="0"/>
        <w:ind w:firstLine="720"/>
        <w:rPr>
          <w:rFonts w:ascii="Arial" w:hAnsi="Arial" w:cs="Arial"/>
          <w:lang w:val="en-ID"/>
        </w:rPr>
      </w:pPr>
      <w:r w:rsidRPr="00A75DEE">
        <w:rPr>
          <w:rFonts w:ascii="Arial" w:hAnsi="Arial" w:cs="Arial"/>
          <w:lang w:val="en-ID"/>
        </w:rPr>
        <w:t>Isolated posterior column injuries include spinous process fractures, lamina fractures, and posterior ligamentous injury without subluxation. These generally have low CSISS and SLIC scores and can be managed nonoperatively with cervical collar, though MRI is important to assess associated ligamentous injury (</w:t>
      </w:r>
      <w:proofErr w:type="spellStart"/>
      <w:r w:rsidRPr="00A75DEE">
        <w:rPr>
          <w:rFonts w:ascii="Arial" w:hAnsi="Arial" w:cs="Arial"/>
          <w:lang w:val="en-ID"/>
        </w:rPr>
        <w:t>Herkowitz</w:t>
      </w:r>
      <w:proofErr w:type="spellEnd"/>
      <w:r w:rsidRPr="00A75DEE">
        <w:rPr>
          <w:rFonts w:ascii="Arial" w:hAnsi="Arial" w:cs="Arial"/>
          <w:lang w:val="en-ID"/>
        </w:rPr>
        <w:t xml:space="preserve"> et al., 2011).</w:t>
      </w:r>
    </w:p>
    <w:p w14:paraId="5B561F91" w14:textId="77777777" w:rsidR="00E271C8" w:rsidRDefault="00E271C8" w:rsidP="00A75DEE">
      <w:pPr>
        <w:pStyle w:val="Body"/>
        <w:spacing w:after="0"/>
        <w:rPr>
          <w:rFonts w:ascii="Arial" w:hAnsi="Arial" w:cs="Arial"/>
          <w:lang w:val="en-ID"/>
        </w:rPr>
      </w:pPr>
    </w:p>
    <w:p w14:paraId="1205E66E" w14:textId="77777777" w:rsidR="00A75DEE" w:rsidRPr="00A75DEE" w:rsidRDefault="00A75DEE" w:rsidP="00A75DEE">
      <w:pPr>
        <w:pStyle w:val="Body"/>
        <w:spacing w:after="0"/>
        <w:rPr>
          <w:rFonts w:ascii="Arial" w:hAnsi="Arial" w:cs="Arial"/>
          <w:lang w:val="en-ID"/>
        </w:rPr>
      </w:pPr>
      <w:r w:rsidRPr="00A75DEE">
        <w:rPr>
          <w:rFonts w:ascii="Arial" w:hAnsi="Arial" w:cs="Arial"/>
          <w:lang w:val="en-ID"/>
        </w:rPr>
        <w:t>3.5.3 Lateral Column Injuries</w:t>
      </w:r>
    </w:p>
    <w:p w14:paraId="0765BAE5" w14:textId="77777777" w:rsidR="00A75DEE" w:rsidRPr="00A75DEE" w:rsidRDefault="00A75DEE" w:rsidP="00E271C8">
      <w:pPr>
        <w:pStyle w:val="Body"/>
        <w:spacing w:after="0"/>
        <w:ind w:firstLine="720"/>
        <w:rPr>
          <w:rFonts w:ascii="Arial" w:hAnsi="Arial" w:cs="Arial"/>
          <w:lang w:val="en-ID"/>
        </w:rPr>
      </w:pPr>
      <w:r w:rsidRPr="00A75DEE">
        <w:rPr>
          <w:rFonts w:ascii="Arial" w:hAnsi="Arial" w:cs="Arial"/>
          <w:lang w:val="en-ID"/>
        </w:rPr>
        <w:t>Isolated Facet Fractures: Isolated facet fractures occur due to forced impact against the adjacent facet. Without subluxation, these have low scores and are considered stable, managed with rigid cervical collar for 6-12 weeks. Some surgeons recommend operative treatment due to potential ligamentous instability, with anterior interbody fusion being preferred over posterior approaches (</w:t>
      </w:r>
      <w:proofErr w:type="spellStart"/>
      <w:r w:rsidRPr="00A75DEE">
        <w:rPr>
          <w:rFonts w:ascii="Arial" w:hAnsi="Arial" w:cs="Arial"/>
          <w:lang w:val="en-ID"/>
        </w:rPr>
        <w:t>Herkowitz</w:t>
      </w:r>
      <w:proofErr w:type="spellEnd"/>
      <w:r w:rsidRPr="00A75DEE">
        <w:rPr>
          <w:rFonts w:ascii="Arial" w:hAnsi="Arial" w:cs="Arial"/>
          <w:lang w:val="en-ID"/>
        </w:rPr>
        <w:t xml:space="preserve"> et al., 2011; Lightsey et al., 2025).</w:t>
      </w:r>
    </w:p>
    <w:p w14:paraId="64BF87C1" w14:textId="77777777" w:rsidR="00A75DEE" w:rsidRPr="00A75DEE" w:rsidRDefault="00A75DEE" w:rsidP="00E271C8">
      <w:pPr>
        <w:pStyle w:val="Body"/>
        <w:spacing w:after="0"/>
        <w:ind w:firstLine="720"/>
        <w:rPr>
          <w:rFonts w:ascii="Arial" w:hAnsi="Arial" w:cs="Arial"/>
          <w:lang w:val="en-ID"/>
        </w:rPr>
      </w:pPr>
      <w:r w:rsidRPr="00A75DEE">
        <w:rPr>
          <w:rFonts w:ascii="Arial" w:hAnsi="Arial" w:cs="Arial"/>
          <w:lang w:val="en-ID"/>
        </w:rPr>
        <w:t>Lateral Mass Fractures: Kotani et al. identified four types: type I-split fracture, type II-</w:t>
      </w:r>
      <w:proofErr w:type="spellStart"/>
      <w:r w:rsidRPr="00A75DEE">
        <w:rPr>
          <w:rFonts w:ascii="Arial" w:hAnsi="Arial" w:cs="Arial"/>
          <w:lang w:val="en-ID"/>
        </w:rPr>
        <w:t>comminuted</w:t>
      </w:r>
      <w:proofErr w:type="spellEnd"/>
      <w:r w:rsidRPr="00A75DEE">
        <w:rPr>
          <w:rFonts w:ascii="Arial" w:hAnsi="Arial" w:cs="Arial"/>
          <w:lang w:val="en-ID"/>
        </w:rPr>
        <w:t xml:space="preserve"> fracture, type III-vertical split fracture, and type IV-traumatic spondylolisthesis. Management depends on fracture type and associated instability (Kotani et al., 2005).</w:t>
      </w:r>
    </w:p>
    <w:p w14:paraId="22C7E988" w14:textId="77777777" w:rsidR="00A75DEE" w:rsidRPr="00A75DEE" w:rsidRDefault="00A75DEE" w:rsidP="00E271C8">
      <w:pPr>
        <w:pStyle w:val="Body"/>
        <w:spacing w:after="0"/>
        <w:ind w:firstLine="720"/>
        <w:rPr>
          <w:rFonts w:ascii="Arial" w:hAnsi="Arial" w:cs="Arial"/>
          <w:lang w:val="en-ID"/>
        </w:rPr>
      </w:pPr>
      <w:r w:rsidRPr="00A75DEE">
        <w:rPr>
          <w:rFonts w:ascii="Arial" w:hAnsi="Arial" w:cs="Arial"/>
          <w:lang w:val="en-ID"/>
        </w:rPr>
        <w:t xml:space="preserve">Facet Dislocations: Unilateral facet dislocation results in 10-25% vertebral body translation (Fig. 12). Associated disc disruption occurs in most cases, with frank herniation in a minority. Bilateral facet dislocation is a severe injury often resulting in quadriplegia. There is always associated posterior ligamentous complex disruption. Vertebral body translation is at least 50%. These injuries have the highest CSISS (15-20) and SLIC (6-10) scores and are </w:t>
      </w:r>
      <w:r w:rsidRPr="00A75DEE">
        <w:rPr>
          <w:rFonts w:ascii="Arial" w:hAnsi="Arial" w:cs="Arial"/>
          <w:lang w:val="en-ID"/>
        </w:rPr>
        <w:lastRenderedPageBreak/>
        <w:t>considered unstable, requiring surgical intervention (</w:t>
      </w:r>
      <w:proofErr w:type="spellStart"/>
      <w:r w:rsidRPr="00A75DEE">
        <w:rPr>
          <w:rFonts w:ascii="Arial" w:hAnsi="Arial" w:cs="Arial"/>
          <w:lang w:val="en-ID"/>
        </w:rPr>
        <w:t>Herkowitz</w:t>
      </w:r>
      <w:proofErr w:type="spellEnd"/>
      <w:r w:rsidRPr="00A75DEE">
        <w:rPr>
          <w:rFonts w:ascii="Arial" w:hAnsi="Arial" w:cs="Arial"/>
          <w:lang w:val="en-ID"/>
        </w:rPr>
        <w:t xml:space="preserve"> et al., 2011; </w:t>
      </w:r>
      <w:proofErr w:type="spellStart"/>
      <w:r w:rsidRPr="00A75DEE">
        <w:rPr>
          <w:rFonts w:ascii="Arial" w:hAnsi="Arial" w:cs="Arial"/>
          <w:lang w:val="en-ID"/>
        </w:rPr>
        <w:t>Mubark</w:t>
      </w:r>
      <w:proofErr w:type="spellEnd"/>
      <w:r w:rsidRPr="00A75DEE">
        <w:rPr>
          <w:rFonts w:ascii="Arial" w:hAnsi="Arial" w:cs="Arial"/>
          <w:lang w:val="en-ID"/>
        </w:rPr>
        <w:t xml:space="preserve"> et al., 2021).</w:t>
      </w:r>
    </w:p>
    <w:p w14:paraId="6A56C7E4" w14:textId="77777777" w:rsidR="00E271C8" w:rsidRDefault="00E271C8" w:rsidP="00A75DEE">
      <w:pPr>
        <w:pStyle w:val="Body"/>
        <w:spacing w:after="0"/>
        <w:rPr>
          <w:rFonts w:ascii="Arial" w:hAnsi="Arial" w:cs="Arial"/>
          <w:lang w:val="en-ID"/>
        </w:rPr>
      </w:pPr>
    </w:p>
    <w:p w14:paraId="1E3F6C98" w14:textId="77777777" w:rsidR="00C64711" w:rsidRDefault="00C64711" w:rsidP="00C64711">
      <w:pPr>
        <w:pStyle w:val="Body"/>
        <w:spacing w:after="0"/>
        <w:jc w:val="center"/>
        <w:rPr>
          <w:rFonts w:ascii="Arial" w:hAnsi="Arial" w:cs="Arial"/>
          <w:lang w:val="en-ID"/>
        </w:rPr>
      </w:pPr>
      <w:r w:rsidRPr="00AA6DF0">
        <w:rPr>
          <w:rFonts w:asciiTheme="majorBidi" w:hAnsiTheme="majorBidi" w:cstheme="majorBidi"/>
          <w:noProof/>
        </w:rPr>
        <w:drawing>
          <wp:inline distT="0" distB="0" distL="0" distR="0" wp14:anchorId="0F85F8BB" wp14:editId="21A3C9C5">
            <wp:extent cx="2434442" cy="2368408"/>
            <wp:effectExtent l="0" t="0" r="0" b="0"/>
            <wp:docPr id="1734668822" name="Picture 1" descr="X-ray of a neck and sp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668822" name="Picture 1" descr="X-ray of a neck and spine&#10;&#10;Description automatically generated"/>
                    <pic:cNvPicPr/>
                  </pic:nvPicPr>
                  <pic:blipFill>
                    <a:blip r:embed="rId31"/>
                    <a:stretch>
                      <a:fillRect/>
                    </a:stretch>
                  </pic:blipFill>
                  <pic:spPr>
                    <a:xfrm>
                      <a:off x="0" y="0"/>
                      <a:ext cx="2443442" cy="2377164"/>
                    </a:xfrm>
                    <a:prstGeom prst="rect">
                      <a:avLst/>
                    </a:prstGeom>
                  </pic:spPr>
                </pic:pic>
              </a:graphicData>
            </a:graphic>
          </wp:inline>
        </w:drawing>
      </w:r>
    </w:p>
    <w:p w14:paraId="0235B2E1" w14:textId="77777777" w:rsidR="00A75DEE" w:rsidRPr="00A75DEE" w:rsidRDefault="00A75DEE" w:rsidP="00C64711">
      <w:pPr>
        <w:pStyle w:val="Body"/>
        <w:spacing w:after="0"/>
        <w:jc w:val="center"/>
        <w:rPr>
          <w:rFonts w:ascii="Arial" w:hAnsi="Arial" w:cs="Arial"/>
          <w:lang w:val="en-ID"/>
        </w:rPr>
      </w:pPr>
      <w:r w:rsidRPr="00A75DEE">
        <w:rPr>
          <w:rFonts w:ascii="Arial" w:hAnsi="Arial" w:cs="Arial"/>
          <w:lang w:val="en-ID"/>
        </w:rPr>
        <w:t xml:space="preserve">Fig. 12. Unilateral facet dislocation. (Source: </w:t>
      </w:r>
      <w:proofErr w:type="spellStart"/>
      <w:r w:rsidRPr="00A75DEE">
        <w:rPr>
          <w:rFonts w:ascii="Arial" w:hAnsi="Arial" w:cs="Arial"/>
          <w:lang w:val="en-ID"/>
        </w:rPr>
        <w:t>Mubark</w:t>
      </w:r>
      <w:proofErr w:type="spellEnd"/>
      <w:r w:rsidRPr="00A75DEE">
        <w:rPr>
          <w:rFonts w:ascii="Arial" w:hAnsi="Arial" w:cs="Arial"/>
          <w:lang w:val="en-ID"/>
        </w:rPr>
        <w:t xml:space="preserve"> et al., 2021)</w:t>
      </w:r>
    </w:p>
    <w:p w14:paraId="611C02EE" w14:textId="77777777" w:rsidR="00E271C8" w:rsidRDefault="00E271C8" w:rsidP="00A75DEE">
      <w:pPr>
        <w:pStyle w:val="Body"/>
        <w:spacing w:after="0"/>
        <w:rPr>
          <w:rFonts w:ascii="Arial" w:hAnsi="Arial" w:cs="Arial"/>
          <w:lang w:val="en-ID"/>
        </w:rPr>
      </w:pPr>
    </w:p>
    <w:p w14:paraId="0AA95037" w14:textId="77777777" w:rsidR="00A75DEE" w:rsidRPr="00A75DEE" w:rsidRDefault="00A75DEE" w:rsidP="00A75DEE">
      <w:pPr>
        <w:pStyle w:val="Body"/>
        <w:spacing w:after="0"/>
        <w:rPr>
          <w:rFonts w:ascii="Arial" w:hAnsi="Arial" w:cs="Arial"/>
          <w:lang w:val="en-ID"/>
        </w:rPr>
      </w:pPr>
      <w:r w:rsidRPr="00A75DEE">
        <w:rPr>
          <w:rFonts w:ascii="Arial" w:hAnsi="Arial" w:cs="Arial"/>
          <w:lang w:val="en-ID"/>
        </w:rPr>
        <w:t>3.6 Prognosis</w:t>
      </w:r>
    </w:p>
    <w:p w14:paraId="1C76F9BE" w14:textId="77777777" w:rsidR="00E271C8" w:rsidRDefault="00E271C8" w:rsidP="00A75DEE">
      <w:pPr>
        <w:pStyle w:val="Body"/>
        <w:spacing w:after="0"/>
        <w:rPr>
          <w:rFonts w:ascii="Arial" w:hAnsi="Arial" w:cs="Arial"/>
          <w:lang w:val="en-ID"/>
        </w:rPr>
      </w:pPr>
    </w:p>
    <w:p w14:paraId="1B57A480" w14:textId="4C6AD321" w:rsidR="00A75DEE" w:rsidRPr="00A75DEE" w:rsidRDefault="00A75DEE" w:rsidP="00E271C8">
      <w:pPr>
        <w:pStyle w:val="Body"/>
        <w:spacing w:after="0"/>
        <w:ind w:firstLine="720"/>
        <w:rPr>
          <w:rFonts w:ascii="Arial" w:hAnsi="Arial" w:cs="Arial"/>
          <w:lang w:val="en-ID"/>
        </w:rPr>
      </w:pPr>
      <w:r w:rsidRPr="00A75DEE">
        <w:rPr>
          <w:rFonts w:ascii="Arial" w:hAnsi="Arial" w:cs="Arial"/>
          <w:lang w:val="en-ID"/>
        </w:rPr>
        <w:t>The prognosis of cervical spine trauma is significantly influenced by several key factors. Neurological status at presentation plays a crucial role, with patients experiencing complete spinal cord injury (ASIA Grade A) having a much poorer prognosis compared to those with incomplete injuries. Age and comorbidities also affect recovery potential, as older patients and individuals with pre-existing medical conditions often experience reduced healing and functional outcomes</w:t>
      </w:r>
      <w:r w:rsidR="00F248DE">
        <w:rPr>
          <w:rFonts w:ascii="Arial" w:hAnsi="Arial" w:cs="Arial"/>
          <w:lang w:val="en-ID"/>
        </w:rPr>
        <w:t xml:space="preserve"> (</w:t>
      </w:r>
      <w:r w:rsidR="00F248DE" w:rsidRPr="00F248DE">
        <w:rPr>
          <w:rFonts w:ascii="Arial" w:hAnsi="Arial" w:cs="Arial"/>
        </w:rPr>
        <w:t>Talbott et al., 2025</w:t>
      </w:r>
      <w:r w:rsidR="00F248DE">
        <w:rPr>
          <w:rFonts w:ascii="Arial" w:hAnsi="Arial" w:cs="Arial"/>
        </w:rPr>
        <w:t>)</w:t>
      </w:r>
      <w:r w:rsidRPr="00A75DEE">
        <w:rPr>
          <w:rFonts w:ascii="Arial" w:hAnsi="Arial" w:cs="Arial"/>
          <w:lang w:val="en-ID"/>
        </w:rPr>
        <w:t>. Additionally, the mechanism of injury is an important determinant, as high-energy trauma is often associated with more severe injuries and consequently worse prognosis. Studies show that early surgical intervention for unstable injuries with neurological deficits can improve outcomes. Rehabilitation also plays a critical role in maximizing functional recovery and minimizing long-term disability</w:t>
      </w:r>
      <w:r w:rsidR="00F248DE" w:rsidRPr="00F248DE">
        <w:t xml:space="preserve"> </w:t>
      </w:r>
      <w:r w:rsidR="00F248DE">
        <w:t>(</w:t>
      </w:r>
      <w:r w:rsidR="00F248DE" w:rsidRPr="00F248DE">
        <w:rPr>
          <w:rFonts w:ascii="Arial" w:hAnsi="Arial" w:cs="Arial"/>
        </w:rPr>
        <w:t>Jaja et al., 2025</w:t>
      </w:r>
      <w:r w:rsidR="00F248DE">
        <w:rPr>
          <w:rFonts w:ascii="Arial" w:hAnsi="Arial" w:cs="Arial"/>
        </w:rPr>
        <w:t>)</w:t>
      </w:r>
      <w:r w:rsidRPr="00A75DEE">
        <w:rPr>
          <w:rFonts w:ascii="Arial" w:hAnsi="Arial" w:cs="Arial"/>
          <w:lang w:val="en-ID"/>
        </w:rPr>
        <w:t>. Despite advances in care, complete recovery is rare in severe cases, underscoring the importance of prevention and early management (</w:t>
      </w:r>
      <w:proofErr w:type="spellStart"/>
      <w:r w:rsidRPr="00A75DEE">
        <w:rPr>
          <w:rFonts w:ascii="Arial" w:hAnsi="Arial" w:cs="Arial"/>
          <w:lang w:val="en-ID"/>
        </w:rPr>
        <w:t>Herkowitz</w:t>
      </w:r>
      <w:proofErr w:type="spellEnd"/>
      <w:r w:rsidRPr="00A75DEE">
        <w:rPr>
          <w:rFonts w:ascii="Arial" w:hAnsi="Arial" w:cs="Arial"/>
          <w:lang w:val="en-ID"/>
        </w:rPr>
        <w:t xml:space="preserve"> et al., 2011).</w:t>
      </w:r>
      <w:r w:rsidR="004014F3">
        <w:rPr>
          <w:rFonts w:ascii="Arial" w:hAnsi="Arial" w:cs="Arial"/>
          <w:lang w:val="en-ID"/>
        </w:rPr>
        <w:t xml:space="preserve"> </w:t>
      </w:r>
      <w:r w:rsidR="004014F3" w:rsidRPr="004014F3">
        <w:rPr>
          <w:rFonts w:ascii="Arial" w:hAnsi="Arial" w:cs="Arial"/>
        </w:rPr>
        <w:t>This literature review has several limitations. As a narrative review, it is subject to potential selection bias and author interpretation in the identification and synthesis of the included literature. Furthermore, variations in study design, patient populations, clinical settings, and reported outcomes among the reviewed articles may have introduced heterogeneity into the evidence presented. The absence of quantitative synthesis or meta-analysis also limits the ability to statistically evaluate and compare the effectiveness of different diagnostic and management strategies. Accordingly, the findings of this review should be interpreted in light of these limitations.</w:t>
      </w:r>
    </w:p>
    <w:p w14:paraId="0C4E7801" w14:textId="77777777" w:rsidR="00790ADA" w:rsidRPr="00FB3A86" w:rsidRDefault="00790ADA" w:rsidP="00441B6F">
      <w:pPr>
        <w:pStyle w:val="Body"/>
        <w:spacing w:after="0"/>
        <w:rPr>
          <w:rFonts w:ascii="Arial" w:hAnsi="Arial" w:cs="Arial"/>
        </w:rPr>
      </w:pPr>
    </w:p>
    <w:p w14:paraId="395E6600"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757BEB35" w14:textId="77777777" w:rsidR="00790ADA" w:rsidRPr="00FB3A86" w:rsidRDefault="00790ADA" w:rsidP="00441B6F">
      <w:pPr>
        <w:pStyle w:val="ConcHead"/>
        <w:spacing w:after="0"/>
        <w:jc w:val="both"/>
        <w:rPr>
          <w:rFonts w:ascii="Arial" w:hAnsi="Arial" w:cs="Arial"/>
        </w:rPr>
      </w:pPr>
    </w:p>
    <w:p w14:paraId="0BB05BB9" w14:textId="7A6AFA13" w:rsidR="00790ADA" w:rsidRPr="00FB3A86" w:rsidRDefault="00E36DD4" w:rsidP="00E36DD4">
      <w:pPr>
        <w:pStyle w:val="Body"/>
        <w:spacing w:after="0"/>
        <w:ind w:firstLine="720"/>
        <w:rPr>
          <w:rFonts w:ascii="Arial" w:hAnsi="Arial" w:cs="Arial"/>
        </w:rPr>
      </w:pPr>
      <w:r w:rsidRPr="00E36DD4">
        <w:rPr>
          <w:rFonts w:ascii="Arial" w:hAnsi="Arial" w:cs="Arial"/>
        </w:rPr>
        <w:t>Cervical spine trauma is a significant cause of morbidity and mortality, with injury patterns ranging from stable soft tissue lesions to unstable fractures and dislocations that may compromise the spinal cord. A thorough understanding of cervical anatomy, injury mechanisms, and classification systems such as AO Spine, SLIC, and CSISS is essential for accurate diagnosis and appropriate management. Treatment should be tailored to injury stability, neurological status, and patient factors, ranging from conservative immobilization to surgical stabilization. Ultimately, early recognition and appropriate intervention are crucial to improve outcomes and reduce long-term disability in patients with cervical spine trauma.</w:t>
      </w:r>
    </w:p>
    <w:p w14:paraId="639C34F1" w14:textId="77777777" w:rsidR="00F6754C" w:rsidRDefault="00F6754C" w:rsidP="00441B6F">
      <w:pPr>
        <w:pStyle w:val="ReferHead"/>
        <w:spacing w:after="0"/>
        <w:jc w:val="both"/>
        <w:rPr>
          <w:rFonts w:ascii="Arial" w:hAnsi="Arial" w:cs="Arial"/>
          <w:b w:val="0"/>
          <w:caps w:val="0"/>
          <w:sz w:val="20"/>
        </w:rPr>
      </w:pPr>
    </w:p>
    <w:p w14:paraId="1C520E5D" w14:textId="77777777" w:rsidR="00F6754C" w:rsidRPr="00FB3A86" w:rsidRDefault="00F6754C" w:rsidP="00F6754C">
      <w:pPr>
        <w:pStyle w:val="Body"/>
        <w:spacing w:after="0"/>
        <w:rPr>
          <w:rFonts w:ascii="Arial" w:hAnsi="Arial" w:cs="Arial"/>
        </w:rPr>
      </w:pPr>
    </w:p>
    <w:p w14:paraId="342BD528" w14:textId="77777777" w:rsidR="009A73F4" w:rsidRPr="00CA3906" w:rsidRDefault="009A73F4" w:rsidP="009A73F4">
      <w:pPr>
        <w:rPr>
          <w:b/>
          <w:highlight w:val="yellow"/>
        </w:rPr>
      </w:pPr>
      <w:r w:rsidRPr="00CA3906">
        <w:rPr>
          <w:b/>
          <w:highlight w:val="yellow"/>
        </w:rPr>
        <w:t>Disclaimer (Artificial intelligence)</w:t>
      </w:r>
    </w:p>
    <w:p w14:paraId="109D20F2" w14:textId="77777777" w:rsidR="009A73F4" w:rsidRPr="00740879" w:rsidRDefault="009A73F4" w:rsidP="009A73F4">
      <w:pPr>
        <w:rPr>
          <w:highlight w:val="yellow"/>
        </w:rPr>
      </w:pPr>
      <w:r w:rsidRPr="00740879">
        <w:rPr>
          <w:highlight w:val="yellow"/>
        </w:rPr>
        <w:t xml:space="preserve">Author(s) hereby declare that NO generative AI technologies such as Large Language Models (ChatGPT, COPILOT, etc.) and text-to-image generators have been used during the writing or editing of this manuscript. </w:t>
      </w:r>
    </w:p>
    <w:p w14:paraId="0D6B7B47" w14:textId="77777777" w:rsidR="00F6754C" w:rsidRDefault="00F6754C" w:rsidP="00441B6F">
      <w:pPr>
        <w:pStyle w:val="ReferHead"/>
        <w:spacing w:after="0"/>
        <w:jc w:val="both"/>
        <w:rPr>
          <w:rFonts w:ascii="Arial" w:hAnsi="Arial" w:cs="Arial"/>
          <w:b w:val="0"/>
          <w:caps w:val="0"/>
          <w:sz w:val="20"/>
        </w:rPr>
      </w:pPr>
    </w:p>
    <w:p w14:paraId="6B576BB6" w14:textId="77777777" w:rsidR="00860000" w:rsidRDefault="00860000" w:rsidP="00441B6F">
      <w:pPr>
        <w:pStyle w:val="ReferHead"/>
        <w:spacing w:after="0"/>
        <w:jc w:val="both"/>
        <w:rPr>
          <w:rFonts w:ascii="Arial" w:hAnsi="Arial" w:cs="Arial"/>
        </w:rPr>
      </w:pPr>
    </w:p>
    <w:p w14:paraId="13CC0BB2"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15E978C5" w14:textId="77777777" w:rsidR="00790ADA" w:rsidRPr="00FB3A86" w:rsidRDefault="00790ADA" w:rsidP="00441B6F">
      <w:pPr>
        <w:pStyle w:val="ReferHead"/>
        <w:spacing w:after="0"/>
        <w:jc w:val="both"/>
        <w:rPr>
          <w:rFonts w:ascii="Arial" w:hAnsi="Arial" w:cs="Arial"/>
        </w:rPr>
      </w:pPr>
    </w:p>
    <w:p w14:paraId="38CACD85" w14:textId="77777777" w:rsidR="00A75DEE" w:rsidRPr="00A75DEE" w:rsidRDefault="00A75DEE" w:rsidP="00D52FD0">
      <w:pPr>
        <w:pStyle w:val="Body"/>
        <w:numPr>
          <w:ilvl w:val="0"/>
          <w:numId w:val="31"/>
        </w:numPr>
        <w:spacing w:after="0"/>
        <w:rPr>
          <w:lang w:val="en-ID"/>
        </w:rPr>
      </w:pPr>
      <w:r w:rsidRPr="00A75DEE">
        <w:rPr>
          <w:lang w:val="en-ID"/>
        </w:rPr>
        <w:t>Baker, A. D., &amp; Khan, S. (2024). Spine. In T. O. White &amp; S. P. Mackenzie (Eds.), </w:t>
      </w:r>
      <w:r w:rsidRPr="00A75DEE">
        <w:rPr>
          <w:i/>
          <w:iCs/>
          <w:lang w:val="en-ID"/>
        </w:rPr>
        <w:t>McRae's Orthopaedic Trauma and Emergency Fracture Management</w:t>
      </w:r>
      <w:r w:rsidRPr="00A75DEE">
        <w:rPr>
          <w:lang w:val="en-ID"/>
        </w:rPr>
        <w:t> (4th ed., p. 307). Edinburgh: Elsevier Ltd.</w:t>
      </w:r>
    </w:p>
    <w:p w14:paraId="573B4ABF" w14:textId="77777777" w:rsidR="00A75DEE" w:rsidRPr="00A75DEE" w:rsidRDefault="00A75DEE" w:rsidP="00D52FD0">
      <w:pPr>
        <w:pStyle w:val="Body"/>
        <w:numPr>
          <w:ilvl w:val="0"/>
          <w:numId w:val="31"/>
        </w:numPr>
        <w:spacing w:after="0"/>
        <w:rPr>
          <w:lang w:val="en-ID"/>
        </w:rPr>
      </w:pPr>
      <w:r w:rsidRPr="00A75DEE">
        <w:rPr>
          <w:lang w:val="en-ID"/>
        </w:rPr>
        <w:t xml:space="preserve">Beeharry, M. W., </w:t>
      </w:r>
      <w:proofErr w:type="spellStart"/>
      <w:r w:rsidRPr="00A75DEE">
        <w:rPr>
          <w:lang w:val="en-ID"/>
        </w:rPr>
        <w:t>Moqeem</w:t>
      </w:r>
      <w:proofErr w:type="spellEnd"/>
      <w:r w:rsidRPr="00A75DEE">
        <w:rPr>
          <w:lang w:val="en-ID"/>
        </w:rPr>
        <w:t xml:space="preserve">, K., &amp; </w:t>
      </w:r>
      <w:proofErr w:type="spellStart"/>
      <w:r w:rsidRPr="00A75DEE">
        <w:rPr>
          <w:lang w:val="en-ID"/>
        </w:rPr>
        <w:t>Rohilla</w:t>
      </w:r>
      <w:proofErr w:type="spellEnd"/>
      <w:r w:rsidRPr="00A75DEE">
        <w:rPr>
          <w:lang w:val="en-ID"/>
        </w:rPr>
        <w:t>, M. U. (2021). Management of Cervical Spine Fractures: A Literature Review. </w:t>
      </w:r>
      <w:r w:rsidRPr="00A75DEE">
        <w:rPr>
          <w:i/>
          <w:iCs/>
          <w:lang w:val="en-ID"/>
        </w:rPr>
        <w:t>Cureus</w:t>
      </w:r>
      <w:r w:rsidRPr="00A75DEE">
        <w:rPr>
          <w:lang w:val="en-ID"/>
        </w:rPr>
        <w:t>, 13(4).</w:t>
      </w:r>
    </w:p>
    <w:p w14:paraId="18AF5CA7" w14:textId="77777777" w:rsidR="00A75DEE" w:rsidRDefault="00A75DEE" w:rsidP="00D52FD0">
      <w:pPr>
        <w:pStyle w:val="Body"/>
        <w:numPr>
          <w:ilvl w:val="0"/>
          <w:numId w:val="31"/>
        </w:numPr>
        <w:spacing w:after="0"/>
        <w:rPr>
          <w:lang w:val="en-ID"/>
        </w:rPr>
      </w:pPr>
      <w:r w:rsidRPr="00A75DEE">
        <w:rPr>
          <w:lang w:val="en-ID"/>
        </w:rPr>
        <w:t>Bransford, R. J., Alton, T. B., Patel, A. R., &amp; Bellabarba, C. (2014). Upper Cervical Spine Trauma. </w:t>
      </w:r>
      <w:r w:rsidRPr="00A75DEE">
        <w:rPr>
          <w:i/>
          <w:iCs/>
          <w:lang w:val="en-ID"/>
        </w:rPr>
        <w:t>American Academy of Orthopaedic Surgeons</w:t>
      </w:r>
      <w:r w:rsidRPr="00A75DEE">
        <w:rPr>
          <w:lang w:val="en-ID"/>
        </w:rPr>
        <w:t>, 22(11), 718-729.</w:t>
      </w:r>
    </w:p>
    <w:p w14:paraId="01343291" w14:textId="6F0821B6" w:rsidR="00F248DE" w:rsidRPr="00A75DEE" w:rsidRDefault="00F248DE" w:rsidP="00D52FD0">
      <w:pPr>
        <w:pStyle w:val="Body"/>
        <w:numPr>
          <w:ilvl w:val="0"/>
          <w:numId w:val="31"/>
        </w:numPr>
        <w:spacing w:after="0"/>
        <w:rPr>
          <w:lang w:val="en-ID"/>
        </w:rPr>
      </w:pPr>
      <w:r w:rsidRPr="00F248DE">
        <w:rPr>
          <w:lang w:val="en-ID"/>
        </w:rPr>
        <w:t>Camino-</w:t>
      </w:r>
      <w:proofErr w:type="spellStart"/>
      <w:r w:rsidRPr="00F248DE">
        <w:rPr>
          <w:lang w:val="en-ID"/>
        </w:rPr>
        <w:t>Willhuber</w:t>
      </w:r>
      <w:proofErr w:type="spellEnd"/>
      <w:r w:rsidRPr="00F248DE">
        <w:rPr>
          <w:lang w:val="en-ID"/>
        </w:rPr>
        <w:t xml:space="preserve"> G, </w:t>
      </w:r>
      <w:proofErr w:type="spellStart"/>
      <w:r w:rsidRPr="00F248DE">
        <w:rPr>
          <w:lang w:val="en-ID"/>
        </w:rPr>
        <w:t>Dandurand</w:t>
      </w:r>
      <w:proofErr w:type="spellEnd"/>
      <w:r w:rsidRPr="00F248DE">
        <w:rPr>
          <w:lang w:val="en-ID"/>
        </w:rPr>
        <w:t xml:space="preserve"> C, Scherer J, et al. AO Spine Clinical Practice Recommendations for the Management of </w:t>
      </w:r>
      <w:proofErr w:type="spellStart"/>
      <w:r w:rsidRPr="00F248DE">
        <w:rPr>
          <w:lang w:val="en-ID"/>
        </w:rPr>
        <w:t>Subaxial</w:t>
      </w:r>
      <w:proofErr w:type="spellEnd"/>
      <w:r w:rsidRPr="00F248DE">
        <w:rPr>
          <w:lang w:val="en-ID"/>
        </w:rPr>
        <w:t xml:space="preserve"> Spine Fractures. Global Spine Journal. 2026. doi:10.1177/21925682261421911</w:t>
      </w:r>
    </w:p>
    <w:p w14:paraId="1A822F4A" w14:textId="77777777" w:rsidR="00A75DEE" w:rsidRPr="00A75DEE" w:rsidRDefault="00A75DEE" w:rsidP="00D52FD0">
      <w:pPr>
        <w:pStyle w:val="Body"/>
        <w:numPr>
          <w:ilvl w:val="0"/>
          <w:numId w:val="31"/>
        </w:numPr>
        <w:spacing w:after="0"/>
        <w:rPr>
          <w:lang w:val="en-ID"/>
        </w:rPr>
      </w:pPr>
      <w:r w:rsidRPr="00A75DEE">
        <w:rPr>
          <w:lang w:val="en-ID"/>
        </w:rPr>
        <w:t xml:space="preserve">Dahlan, R. H., </w:t>
      </w:r>
      <w:proofErr w:type="spellStart"/>
      <w:r w:rsidRPr="00A75DEE">
        <w:rPr>
          <w:lang w:val="en-ID"/>
        </w:rPr>
        <w:t>Ompusunggu</w:t>
      </w:r>
      <w:proofErr w:type="spellEnd"/>
      <w:r w:rsidRPr="00A75DEE">
        <w:rPr>
          <w:lang w:val="en-ID"/>
        </w:rPr>
        <w:t xml:space="preserve">, S. E., </w:t>
      </w:r>
      <w:proofErr w:type="spellStart"/>
      <w:r w:rsidRPr="00A75DEE">
        <w:rPr>
          <w:lang w:val="en-ID"/>
        </w:rPr>
        <w:t>Baselim</w:t>
      </w:r>
      <w:proofErr w:type="spellEnd"/>
      <w:r w:rsidRPr="00A75DEE">
        <w:rPr>
          <w:lang w:val="en-ID"/>
        </w:rPr>
        <w:t xml:space="preserve">, I. M., &amp; </w:t>
      </w:r>
      <w:proofErr w:type="spellStart"/>
      <w:r w:rsidRPr="00A75DEE">
        <w:rPr>
          <w:lang w:val="en-ID"/>
        </w:rPr>
        <w:t>Arimbawa</w:t>
      </w:r>
      <w:proofErr w:type="spellEnd"/>
      <w:r w:rsidRPr="00A75DEE">
        <w:rPr>
          <w:lang w:val="en-ID"/>
        </w:rPr>
        <w:t>, I. B. G. (2019). Cervical Spine Trauma. </w:t>
      </w:r>
      <w:r w:rsidRPr="00A75DEE">
        <w:rPr>
          <w:i/>
          <w:iCs/>
          <w:lang w:val="en-ID"/>
        </w:rPr>
        <w:t>Asian Australasian Neuro and Health Science Journal</w:t>
      </w:r>
      <w:r w:rsidRPr="00A75DEE">
        <w:rPr>
          <w:lang w:val="en-ID"/>
        </w:rPr>
        <w:t>, 01(02).</w:t>
      </w:r>
    </w:p>
    <w:p w14:paraId="0F5CDB57" w14:textId="77777777" w:rsidR="00A75DEE" w:rsidRDefault="00A75DEE" w:rsidP="00D52FD0">
      <w:pPr>
        <w:pStyle w:val="Body"/>
        <w:numPr>
          <w:ilvl w:val="0"/>
          <w:numId w:val="31"/>
        </w:numPr>
        <w:spacing w:after="0"/>
        <w:rPr>
          <w:lang w:val="en-ID"/>
        </w:rPr>
      </w:pPr>
      <w:r w:rsidRPr="00A75DEE">
        <w:rPr>
          <w:lang w:val="en-ID"/>
        </w:rPr>
        <w:t xml:space="preserve">Feuchtbaum, E., Buchowski, J., &amp; </w:t>
      </w:r>
      <w:proofErr w:type="spellStart"/>
      <w:r w:rsidRPr="00A75DEE">
        <w:rPr>
          <w:lang w:val="en-ID"/>
        </w:rPr>
        <w:t>Zebala</w:t>
      </w:r>
      <w:proofErr w:type="spellEnd"/>
      <w:r w:rsidRPr="00A75DEE">
        <w:rPr>
          <w:lang w:val="en-ID"/>
        </w:rPr>
        <w:t xml:space="preserve">, L. (2016). </w:t>
      </w:r>
      <w:proofErr w:type="spellStart"/>
      <w:r w:rsidRPr="00A75DEE">
        <w:rPr>
          <w:lang w:val="en-ID"/>
        </w:rPr>
        <w:t>Subaxial</w:t>
      </w:r>
      <w:proofErr w:type="spellEnd"/>
      <w:r w:rsidRPr="00A75DEE">
        <w:rPr>
          <w:lang w:val="en-ID"/>
        </w:rPr>
        <w:t xml:space="preserve"> cervical spine trauma. </w:t>
      </w:r>
      <w:r w:rsidRPr="00A75DEE">
        <w:rPr>
          <w:i/>
          <w:iCs/>
          <w:lang w:val="en-ID"/>
        </w:rPr>
        <w:t>Current Reviews in Musculoskeletal Medicine</w:t>
      </w:r>
      <w:r w:rsidRPr="00A75DEE">
        <w:rPr>
          <w:lang w:val="en-ID"/>
        </w:rPr>
        <w:t>, 9, 496-504.</w:t>
      </w:r>
    </w:p>
    <w:p w14:paraId="3D708E78" w14:textId="1698EF30" w:rsidR="00F248DE" w:rsidRPr="00A75DEE" w:rsidRDefault="00F248DE" w:rsidP="00D52FD0">
      <w:pPr>
        <w:pStyle w:val="Body"/>
        <w:numPr>
          <w:ilvl w:val="0"/>
          <w:numId w:val="31"/>
        </w:numPr>
        <w:spacing w:after="0"/>
        <w:rPr>
          <w:lang w:val="en-ID"/>
        </w:rPr>
      </w:pPr>
      <w:r w:rsidRPr="00F248DE">
        <w:t xml:space="preserve">Futch BG, Seas A, </w:t>
      </w:r>
      <w:proofErr w:type="spellStart"/>
      <w:r w:rsidRPr="00F248DE">
        <w:t>Ononogbu-Uche</w:t>
      </w:r>
      <w:proofErr w:type="spellEnd"/>
      <w:r w:rsidRPr="00F248DE">
        <w:t xml:space="preserve"> FC, et al. Shifting Trends in the Epidemiology of Cervical Spine Injuries: An Analysis of 11,822 Patients from the National Electronic Injury Surveillance System over Two Decades. </w:t>
      </w:r>
      <w:r w:rsidRPr="00F248DE">
        <w:rPr>
          <w:i/>
          <w:iCs/>
        </w:rPr>
        <w:t>Journal of Neurotrauma</w:t>
      </w:r>
      <w:r w:rsidRPr="00F248DE">
        <w:t>. 2024. doi:10.1089/neu.2024.0194</w:t>
      </w:r>
    </w:p>
    <w:p w14:paraId="78574795" w14:textId="77777777" w:rsidR="00A75DEE" w:rsidRDefault="00A75DEE" w:rsidP="00D52FD0">
      <w:pPr>
        <w:pStyle w:val="Body"/>
        <w:numPr>
          <w:ilvl w:val="0"/>
          <w:numId w:val="31"/>
        </w:numPr>
        <w:spacing w:after="0"/>
        <w:rPr>
          <w:lang w:val="en-ID"/>
        </w:rPr>
      </w:pPr>
      <w:proofErr w:type="spellStart"/>
      <w:r w:rsidRPr="00A75DEE">
        <w:rPr>
          <w:lang w:val="en-ID"/>
        </w:rPr>
        <w:t>Herkowitz</w:t>
      </w:r>
      <w:proofErr w:type="spellEnd"/>
      <w:r w:rsidRPr="00A75DEE">
        <w:rPr>
          <w:lang w:val="en-ID"/>
        </w:rPr>
        <w:t>, H. N., Garfin, S. R., Eismont, F. J., Bell, G. R., &amp; Balderston, R. A. (Eds.). (2011). </w:t>
      </w:r>
      <w:r w:rsidRPr="00A75DEE">
        <w:rPr>
          <w:i/>
          <w:iCs/>
          <w:lang w:val="en-ID"/>
        </w:rPr>
        <w:t>Rothman-Simeone The Spine</w:t>
      </w:r>
      <w:r w:rsidRPr="00A75DEE">
        <w:rPr>
          <w:lang w:val="en-ID"/>
        </w:rPr>
        <w:t> (6th ed.). Philadelphia: Elsevier.</w:t>
      </w:r>
    </w:p>
    <w:p w14:paraId="14654136" w14:textId="75A70A32" w:rsidR="00F248DE" w:rsidRDefault="00F248DE" w:rsidP="00D52FD0">
      <w:pPr>
        <w:pStyle w:val="Body"/>
        <w:numPr>
          <w:ilvl w:val="0"/>
          <w:numId w:val="31"/>
        </w:numPr>
        <w:spacing w:after="0"/>
        <w:rPr>
          <w:lang w:val="en-ID"/>
        </w:rPr>
      </w:pPr>
      <w:r w:rsidRPr="00F248DE">
        <w:rPr>
          <w:lang w:val="en-ID"/>
        </w:rPr>
        <w:t>Huang X, Zhang Y, Xiao H, Chen J, Jiang Y. The evolution of cervical spine trauma classification: a paradigm shift from morphological description to clinical decision-making. Frontiers in Neurology. 2025;16. doi:10.3389/fneur.2025.1728720</w:t>
      </w:r>
    </w:p>
    <w:p w14:paraId="6D011259" w14:textId="33B9C2BF" w:rsidR="00804AC2" w:rsidRPr="00A75DEE" w:rsidRDefault="00804AC2" w:rsidP="00D52FD0">
      <w:pPr>
        <w:pStyle w:val="Body"/>
        <w:numPr>
          <w:ilvl w:val="0"/>
          <w:numId w:val="31"/>
        </w:numPr>
        <w:spacing w:after="0"/>
        <w:rPr>
          <w:lang w:val="en-ID"/>
        </w:rPr>
      </w:pPr>
      <w:proofErr w:type="spellStart"/>
      <w:r w:rsidRPr="00804AC2">
        <w:rPr>
          <w:lang w:val="en-ID"/>
        </w:rPr>
        <w:t>Jaja</w:t>
      </w:r>
      <w:proofErr w:type="spellEnd"/>
      <w:r w:rsidRPr="00804AC2">
        <w:rPr>
          <w:lang w:val="en-ID"/>
        </w:rPr>
        <w:t xml:space="preserve"> PT, </w:t>
      </w:r>
      <w:proofErr w:type="spellStart"/>
      <w:r w:rsidRPr="00804AC2">
        <w:rPr>
          <w:lang w:val="en-ID"/>
        </w:rPr>
        <w:t>Iroegbu-Emeruem</w:t>
      </w:r>
      <w:proofErr w:type="spellEnd"/>
      <w:r w:rsidRPr="00804AC2">
        <w:rPr>
          <w:lang w:val="en-ID"/>
        </w:rPr>
        <w:t xml:space="preserve"> L, </w:t>
      </w:r>
      <w:proofErr w:type="spellStart"/>
      <w:r w:rsidRPr="00804AC2">
        <w:rPr>
          <w:lang w:val="en-ID"/>
        </w:rPr>
        <w:t>Kulsoom</w:t>
      </w:r>
      <w:proofErr w:type="spellEnd"/>
      <w:r w:rsidRPr="00804AC2">
        <w:rPr>
          <w:lang w:val="en-ID"/>
        </w:rPr>
        <w:t xml:space="preserve"> I, </w:t>
      </w:r>
      <w:proofErr w:type="spellStart"/>
      <w:r w:rsidRPr="00804AC2">
        <w:rPr>
          <w:lang w:val="en-ID"/>
        </w:rPr>
        <w:t>Odeku</w:t>
      </w:r>
      <w:proofErr w:type="spellEnd"/>
      <w:r w:rsidRPr="00804AC2">
        <w:rPr>
          <w:lang w:val="en-ID"/>
        </w:rPr>
        <w:t xml:space="preserve"> A. Clinical epidemiology, management and outcomes of traumatic cervical spinal-cord and spine injuries: a systematic review of 1645 pooled cases. Journal of Neurosurgical Sciences. 2025;69(2):187-199. doi:10.23736/S0390-5616.25.06404-5</w:t>
      </w:r>
    </w:p>
    <w:p w14:paraId="47621B0F" w14:textId="77777777" w:rsidR="00A75DEE" w:rsidRPr="00A75DEE" w:rsidRDefault="00A75DEE" w:rsidP="00D52FD0">
      <w:pPr>
        <w:pStyle w:val="Body"/>
        <w:numPr>
          <w:ilvl w:val="0"/>
          <w:numId w:val="31"/>
        </w:numPr>
        <w:spacing w:after="0"/>
        <w:rPr>
          <w:lang w:val="en-ID"/>
        </w:rPr>
      </w:pPr>
      <w:r w:rsidRPr="00A75DEE">
        <w:rPr>
          <w:lang w:val="en-ID"/>
        </w:rPr>
        <w:t xml:space="preserve">Leone, A., </w:t>
      </w:r>
      <w:proofErr w:type="spellStart"/>
      <w:r w:rsidRPr="00A75DEE">
        <w:rPr>
          <w:lang w:val="en-ID"/>
        </w:rPr>
        <w:t>Cerase</w:t>
      </w:r>
      <w:proofErr w:type="spellEnd"/>
      <w:r w:rsidRPr="00A75DEE">
        <w:rPr>
          <w:lang w:val="en-ID"/>
        </w:rPr>
        <w:t>, A., Colosimo, C., et al. (2000). Occipital Condylar Fractures: A Review. </w:t>
      </w:r>
      <w:r w:rsidRPr="00A75DEE">
        <w:rPr>
          <w:i/>
          <w:iCs/>
          <w:lang w:val="en-ID"/>
        </w:rPr>
        <w:t>Radiology</w:t>
      </w:r>
      <w:r w:rsidRPr="00A75DEE">
        <w:rPr>
          <w:lang w:val="en-ID"/>
        </w:rPr>
        <w:t>, 216(24), 635-644.</w:t>
      </w:r>
    </w:p>
    <w:p w14:paraId="19B4F913" w14:textId="77777777" w:rsidR="00A75DEE" w:rsidRDefault="00A75DEE" w:rsidP="00D52FD0">
      <w:pPr>
        <w:pStyle w:val="Body"/>
        <w:numPr>
          <w:ilvl w:val="0"/>
          <w:numId w:val="31"/>
        </w:numPr>
        <w:spacing w:after="0"/>
        <w:rPr>
          <w:lang w:val="en-ID"/>
        </w:rPr>
      </w:pPr>
      <w:r w:rsidRPr="00A75DEE">
        <w:rPr>
          <w:lang w:val="en-ID"/>
        </w:rPr>
        <w:t>Lightsey, H. M., Harris, M. B., &amp; Tobert, D. G. (2025). Principles of Spine Trauma Care. In P. Tornetta et al. (Eds.), </w:t>
      </w:r>
      <w:r w:rsidRPr="00A75DEE">
        <w:rPr>
          <w:i/>
          <w:iCs/>
          <w:lang w:val="en-ID"/>
        </w:rPr>
        <w:t>Rockwood and Green's Fractures in Adults</w:t>
      </w:r>
      <w:r w:rsidRPr="00A75DEE">
        <w:rPr>
          <w:lang w:val="en-ID"/>
        </w:rPr>
        <w:t> (10th ed., p. 2114). Philadelphia: Wolters Kluwer.</w:t>
      </w:r>
    </w:p>
    <w:p w14:paraId="1C2AB80B" w14:textId="00581E93" w:rsidR="00804AC2" w:rsidRPr="00A75DEE" w:rsidRDefault="00804AC2" w:rsidP="00D52FD0">
      <w:pPr>
        <w:pStyle w:val="Body"/>
        <w:numPr>
          <w:ilvl w:val="0"/>
          <w:numId w:val="31"/>
        </w:numPr>
        <w:spacing w:after="0"/>
        <w:rPr>
          <w:lang w:val="en-ID"/>
        </w:rPr>
      </w:pPr>
      <w:r w:rsidRPr="00804AC2">
        <w:rPr>
          <w:lang w:val="en-ID"/>
        </w:rPr>
        <w:t>Li G, Zhang H, Wang Q. Imaging and classifications of atlantoaxial dislocation: a narrative review. EFORT Open Reviews. 2025;10(7):551-561. doi:10.1530/EOR-2024-0061</w:t>
      </w:r>
    </w:p>
    <w:p w14:paraId="4EC41396" w14:textId="77777777" w:rsidR="00A75DEE" w:rsidRPr="00A75DEE" w:rsidRDefault="00A75DEE" w:rsidP="00D52FD0">
      <w:pPr>
        <w:pStyle w:val="Body"/>
        <w:numPr>
          <w:ilvl w:val="0"/>
          <w:numId w:val="31"/>
        </w:numPr>
        <w:spacing w:after="0"/>
        <w:rPr>
          <w:lang w:val="en-ID"/>
        </w:rPr>
      </w:pPr>
      <w:r w:rsidRPr="00A75DEE">
        <w:rPr>
          <w:lang w:val="en-ID"/>
        </w:rPr>
        <w:t xml:space="preserve">Linnerud, H., Ali, S., Rizvi, M., &amp; </w:t>
      </w:r>
      <w:proofErr w:type="spellStart"/>
      <w:r w:rsidRPr="00A75DEE">
        <w:rPr>
          <w:lang w:val="en-ID"/>
        </w:rPr>
        <w:t>Grøgaard</w:t>
      </w:r>
      <w:proofErr w:type="spellEnd"/>
      <w:r w:rsidRPr="00A75DEE">
        <w:rPr>
          <w:lang w:val="en-ID"/>
        </w:rPr>
        <w:t>, B. (2012). The epidemiology of traumatic cervical spine fractures: a prospective population study from Norway. </w:t>
      </w:r>
      <w:r w:rsidRPr="00A75DEE">
        <w:rPr>
          <w:i/>
          <w:iCs/>
          <w:lang w:val="en-ID"/>
        </w:rPr>
        <w:t>Scandinavian Journal of Trauma, Resuscitation &amp; Emergency Medicine</w:t>
      </w:r>
      <w:r w:rsidRPr="00A75DEE">
        <w:rPr>
          <w:lang w:val="en-ID"/>
        </w:rPr>
        <w:t>, 20(85), 1-7.</w:t>
      </w:r>
    </w:p>
    <w:p w14:paraId="5330387C" w14:textId="77777777" w:rsidR="00A75DEE" w:rsidRPr="00A75DEE" w:rsidRDefault="00A75DEE" w:rsidP="00D52FD0">
      <w:pPr>
        <w:pStyle w:val="Body"/>
        <w:numPr>
          <w:ilvl w:val="0"/>
          <w:numId w:val="31"/>
        </w:numPr>
        <w:spacing w:after="0"/>
        <w:rPr>
          <w:lang w:val="en-ID"/>
        </w:rPr>
      </w:pPr>
      <w:r w:rsidRPr="00A75DEE">
        <w:rPr>
          <w:lang w:val="en-ID"/>
        </w:rPr>
        <w:t xml:space="preserve">Marcon, R. M., Fogac, I. A., Teixeira, I. W. J., &amp; </w:t>
      </w:r>
      <w:proofErr w:type="spellStart"/>
      <w:r w:rsidRPr="00A75DEE">
        <w:rPr>
          <w:lang w:val="en-ID"/>
        </w:rPr>
        <w:t>Cristante</w:t>
      </w:r>
      <w:proofErr w:type="spellEnd"/>
      <w:r w:rsidRPr="00A75DEE">
        <w:rPr>
          <w:lang w:val="en-ID"/>
        </w:rPr>
        <w:t>, A. F. (2013). Fractures of the cervical spine. </w:t>
      </w:r>
      <w:r w:rsidRPr="00A75DEE">
        <w:rPr>
          <w:i/>
          <w:iCs/>
          <w:lang w:val="en-ID"/>
        </w:rPr>
        <w:t>Clinics</w:t>
      </w:r>
      <w:r w:rsidRPr="00A75DEE">
        <w:rPr>
          <w:lang w:val="en-ID"/>
        </w:rPr>
        <w:t>, 68(7), 1455-1461.</w:t>
      </w:r>
    </w:p>
    <w:p w14:paraId="7BF3C276" w14:textId="77777777" w:rsidR="00A75DEE" w:rsidRPr="00A75DEE" w:rsidRDefault="00A75DEE" w:rsidP="00D52FD0">
      <w:pPr>
        <w:pStyle w:val="Body"/>
        <w:numPr>
          <w:ilvl w:val="0"/>
          <w:numId w:val="31"/>
        </w:numPr>
        <w:spacing w:after="0"/>
        <w:rPr>
          <w:lang w:val="en-ID"/>
        </w:rPr>
      </w:pPr>
      <w:proofErr w:type="spellStart"/>
      <w:r w:rsidRPr="00A75DEE">
        <w:rPr>
          <w:lang w:val="en-ID"/>
        </w:rPr>
        <w:t>Mubark</w:t>
      </w:r>
      <w:proofErr w:type="spellEnd"/>
      <w:r w:rsidRPr="00A75DEE">
        <w:rPr>
          <w:lang w:val="en-ID"/>
        </w:rPr>
        <w:t xml:space="preserve">, I., </w:t>
      </w:r>
      <w:proofErr w:type="spellStart"/>
      <w:r w:rsidRPr="00A75DEE">
        <w:rPr>
          <w:lang w:val="en-ID"/>
        </w:rPr>
        <w:t>Abouelela</w:t>
      </w:r>
      <w:proofErr w:type="spellEnd"/>
      <w:r w:rsidRPr="00A75DEE">
        <w:rPr>
          <w:lang w:val="en-ID"/>
        </w:rPr>
        <w:t xml:space="preserve">, A., Hassan, M., &amp; </w:t>
      </w:r>
      <w:proofErr w:type="spellStart"/>
      <w:r w:rsidRPr="00A75DEE">
        <w:rPr>
          <w:lang w:val="en-ID"/>
        </w:rPr>
        <w:t>Alkhawashki</w:t>
      </w:r>
      <w:proofErr w:type="spellEnd"/>
      <w:r w:rsidRPr="00A75DEE">
        <w:rPr>
          <w:lang w:val="en-ID"/>
        </w:rPr>
        <w:t>, H. (2021). Sub-Axial Cervical Facet Dislocation: A Review of Current Concepts. </w:t>
      </w:r>
      <w:r w:rsidRPr="00A75DEE">
        <w:rPr>
          <w:i/>
          <w:iCs/>
          <w:lang w:val="en-ID"/>
        </w:rPr>
        <w:t>Cureus</w:t>
      </w:r>
      <w:r w:rsidRPr="00A75DEE">
        <w:rPr>
          <w:lang w:val="en-ID"/>
        </w:rPr>
        <w:t>, 13(1), 1-10.</w:t>
      </w:r>
    </w:p>
    <w:p w14:paraId="51782BC4" w14:textId="77777777" w:rsidR="00A75DEE" w:rsidRPr="00A75DEE" w:rsidRDefault="00A75DEE" w:rsidP="00D52FD0">
      <w:pPr>
        <w:pStyle w:val="Body"/>
        <w:numPr>
          <w:ilvl w:val="0"/>
          <w:numId w:val="31"/>
        </w:numPr>
        <w:spacing w:after="0"/>
        <w:rPr>
          <w:lang w:val="en-ID"/>
        </w:rPr>
      </w:pPr>
      <w:r w:rsidRPr="00A75DEE">
        <w:rPr>
          <w:lang w:val="en-ID"/>
        </w:rPr>
        <w:lastRenderedPageBreak/>
        <w:t>Negrelli, M. A. C., Oliveira, R. G., Rocha, I. D., &amp; Santos, P. M. (2018). Traumatic Injuries of the Cervical Spine: Current Epidemiological Panorama. </w:t>
      </w:r>
      <w:proofErr w:type="spellStart"/>
      <w:r w:rsidRPr="00A75DEE">
        <w:rPr>
          <w:i/>
          <w:iCs/>
          <w:lang w:val="en-ID"/>
        </w:rPr>
        <w:t>Acta</w:t>
      </w:r>
      <w:proofErr w:type="spellEnd"/>
      <w:r w:rsidRPr="00A75DEE">
        <w:rPr>
          <w:i/>
          <w:iCs/>
          <w:lang w:val="en-ID"/>
        </w:rPr>
        <w:t xml:space="preserve"> </w:t>
      </w:r>
      <w:proofErr w:type="spellStart"/>
      <w:r w:rsidRPr="00A75DEE">
        <w:rPr>
          <w:i/>
          <w:iCs/>
          <w:lang w:val="en-ID"/>
        </w:rPr>
        <w:t>Ortopedica</w:t>
      </w:r>
      <w:proofErr w:type="spellEnd"/>
      <w:r w:rsidRPr="00A75DEE">
        <w:rPr>
          <w:i/>
          <w:iCs/>
          <w:lang w:val="en-ID"/>
        </w:rPr>
        <w:t xml:space="preserve"> </w:t>
      </w:r>
      <w:proofErr w:type="spellStart"/>
      <w:r w:rsidRPr="00A75DEE">
        <w:rPr>
          <w:i/>
          <w:iCs/>
          <w:lang w:val="en-ID"/>
        </w:rPr>
        <w:t>Brasileira</w:t>
      </w:r>
      <w:proofErr w:type="spellEnd"/>
      <w:r w:rsidRPr="00A75DEE">
        <w:rPr>
          <w:lang w:val="en-ID"/>
        </w:rPr>
        <w:t>, 26(2), 123-126.</w:t>
      </w:r>
    </w:p>
    <w:p w14:paraId="0A33E4A2" w14:textId="77777777" w:rsidR="00A75DEE" w:rsidRPr="00A75DEE" w:rsidRDefault="00A75DEE" w:rsidP="00D52FD0">
      <w:pPr>
        <w:pStyle w:val="Body"/>
        <w:numPr>
          <w:ilvl w:val="0"/>
          <w:numId w:val="31"/>
        </w:numPr>
        <w:spacing w:after="0"/>
        <w:rPr>
          <w:lang w:val="en-ID"/>
        </w:rPr>
      </w:pPr>
      <w:r w:rsidRPr="00A75DEE">
        <w:rPr>
          <w:lang w:val="en-ID"/>
        </w:rPr>
        <w:t>Netter, F. H. (2011). </w:t>
      </w:r>
      <w:r w:rsidRPr="00A75DEE">
        <w:rPr>
          <w:i/>
          <w:iCs/>
          <w:lang w:val="en-ID"/>
        </w:rPr>
        <w:t>Atlas of Human Anatomy</w:t>
      </w:r>
      <w:r w:rsidRPr="00A75DEE">
        <w:rPr>
          <w:lang w:val="en-ID"/>
        </w:rPr>
        <w:t>. Philadelphia: Elsevier Saunders.</w:t>
      </w:r>
    </w:p>
    <w:p w14:paraId="03D6D9F2" w14:textId="77777777" w:rsidR="00A75DEE" w:rsidRPr="00A75DEE" w:rsidRDefault="00A75DEE" w:rsidP="00D52FD0">
      <w:pPr>
        <w:pStyle w:val="Body"/>
        <w:numPr>
          <w:ilvl w:val="0"/>
          <w:numId w:val="31"/>
        </w:numPr>
        <w:spacing w:after="0"/>
        <w:rPr>
          <w:lang w:val="en-ID"/>
        </w:rPr>
      </w:pPr>
      <w:proofErr w:type="spellStart"/>
      <w:r w:rsidRPr="00A75DEE">
        <w:rPr>
          <w:lang w:val="en-ID"/>
        </w:rPr>
        <w:t>Ombregt</w:t>
      </w:r>
      <w:proofErr w:type="spellEnd"/>
      <w:r w:rsidRPr="00A75DEE">
        <w:rPr>
          <w:lang w:val="en-ID"/>
        </w:rPr>
        <w:t>, L. (2013). Applied anatomy of the cervical spine. In </w:t>
      </w:r>
      <w:r w:rsidRPr="00A75DEE">
        <w:rPr>
          <w:i/>
          <w:iCs/>
          <w:lang w:val="en-ID"/>
        </w:rPr>
        <w:t>A System of Orthopaedic Medicine</w:t>
      </w:r>
      <w:r w:rsidRPr="00A75DEE">
        <w:rPr>
          <w:lang w:val="en-ID"/>
        </w:rPr>
        <w:t> (pp. 1-12).</w:t>
      </w:r>
    </w:p>
    <w:p w14:paraId="6473CA24" w14:textId="77777777" w:rsidR="00A75DEE" w:rsidRPr="00A75DEE" w:rsidRDefault="00A75DEE" w:rsidP="00D52FD0">
      <w:pPr>
        <w:pStyle w:val="Body"/>
        <w:numPr>
          <w:ilvl w:val="0"/>
          <w:numId w:val="31"/>
        </w:numPr>
        <w:spacing w:after="0"/>
        <w:rPr>
          <w:lang w:val="en-ID"/>
        </w:rPr>
      </w:pPr>
      <w:r w:rsidRPr="00A75DEE">
        <w:rPr>
          <w:lang w:val="en-ID"/>
        </w:rPr>
        <w:t>Pearce, E. C. (2009). </w:t>
      </w:r>
      <w:proofErr w:type="spellStart"/>
      <w:r w:rsidRPr="00A75DEE">
        <w:rPr>
          <w:i/>
          <w:iCs/>
          <w:lang w:val="en-ID"/>
        </w:rPr>
        <w:t>Anatomi</w:t>
      </w:r>
      <w:proofErr w:type="spellEnd"/>
      <w:r w:rsidRPr="00A75DEE">
        <w:rPr>
          <w:i/>
          <w:iCs/>
          <w:lang w:val="en-ID"/>
        </w:rPr>
        <w:t xml:space="preserve"> Dan </w:t>
      </w:r>
      <w:proofErr w:type="spellStart"/>
      <w:r w:rsidRPr="00A75DEE">
        <w:rPr>
          <w:i/>
          <w:iCs/>
          <w:lang w:val="en-ID"/>
        </w:rPr>
        <w:t>Fisiologi</w:t>
      </w:r>
      <w:proofErr w:type="spellEnd"/>
      <w:r w:rsidRPr="00A75DEE">
        <w:rPr>
          <w:i/>
          <w:iCs/>
          <w:lang w:val="en-ID"/>
        </w:rPr>
        <w:t xml:space="preserve"> </w:t>
      </w:r>
      <w:proofErr w:type="spellStart"/>
      <w:r w:rsidRPr="00A75DEE">
        <w:rPr>
          <w:i/>
          <w:iCs/>
          <w:lang w:val="en-ID"/>
        </w:rPr>
        <w:t>Untuk</w:t>
      </w:r>
      <w:proofErr w:type="spellEnd"/>
      <w:r w:rsidRPr="00A75DEE">
        <w:rPr>
          <w:i/>
          <w:iCs/>
          <w:lang w:val="en-ID"/>
        </w:rPr>
        <w:t xml:space="preserve"> Paramedis</w:t>
      </w:r>
      <w:r w:rsidRPr="00A75DEE">
        <w:rPr>
          <w:lang w:val="en-ID"/>
        </w:rPr>
        <w:t>. Jakarta: Gramedia.</w:t>
      </w:r>
    </w:p>
    <w:p w14:paraId="491EADE1" w14:textId="77777777" w:rsidR="00A75DEE" w:rsidRDefault="00A75DEE" w:rsidP="00D52FD0">
      <w:pPr>
        <w:pStyle w:val="Body"/>
        <w:numPr>
          <w:ilvl w:val="0"/>
          <w:numId w:val="31"/>
        </w:numPr>
        <w:spacing w:after="0"/>
        <w:rPr>
          <w:lang w:val="en-ID"/>
        </w:rPr>
      </w:pPr>
      <w:r w:rsidRPr="00A75DEE">
        <w:rPr>
          <w:lang w:val="en-ID"/>
        </w:rPr>
        <w:t>Torretti, J. A., &amp; Sengupta, D. K. (2007). Cervical spine trauma. </w:t>
      </w:r>
      <w:r w:rsidRPr="00A75DEE">
        <w:rPr>
          <w:i/>
          <w:iCs/>
          <w:lang w:val="en-ID"/>
        </w:rPr>
        <w:t>Indian Journal of Orthopaedic</w:t>
      </w:r>
      <w:r w:rsidRPr="00A75DEE">
        <w:rPr>
          <w:lang w:val="en-ID"/>
        </w:rPr>
        <w:t>, 41(4).</w:t>
      </w:r>
    </w:p>
    <w:p w14:paraId="52143C8D" w14:textId="30234822" w:rsidR="00804AC2" w:rsidRPr="00A75DEE" w:rsidRDefault="00804AC2" w:rsidP="00D52FD0">
      <w:pPr>
        <w:pStyle w:val="Body"/>
        <w:numPr>
          <w:ilvl w:val="0"/>
          <w:numId w:val="31"/>
        </w:numPr>
        <w:spacing w:after="0"/>
        <w:rPr>
          <w:lang w:val="en-ID"/>
        </w:rPr>
      </w:pPr>
      <w:proofErr w:type="spellStart"/>
      <w:r w:rsidRPr="00804AC2">
        <w:rPr>
          <w:lang w:val="en-ID"/>
        </w:rPr>
        <w:t>Shaharudin</w:t>
      </w:r>
      <w:proofErr w:type="spellEnd"/>
      <w:r w:rsidRPr="00804AC2">
        <w:rPr>
          <w:lang w:val="en-ID"/>
        </w:rPr>
        <w:t xml:space="preserve"> NS, </w:t>
      </w:r>
      <w:proofErr w:type="spellStart"/>
      <w:r w:rsidRPr="00804AC2">
        <w:rPr>
          <w:lang w:val="en-ID"/>
        </w:rPr>
        <w:t>Dunseath</w:t>
      </w:r>
      <w:proofErr w:type="spellEnd"/>
      <w:r w:rsidRPr="00804AC2">
        <w:rPr>
          <w:lang w:val="en-ID"/>
        </w:rPr>
        <w:t xml:space="preserve"> OA, Azmi NA, et al. The Initial Assessment and Management of Cervical Spine Injuries: A Comprehensive Review. Cureus. 2025</w:t>
      </w:r>
      <w:proofErr w:type="gramStart"/>
      <w:r w:rsidRPr="00804AC2">
        <w:rPr>
          <w:lang w:val="en-ID"/>
        </w:rPr>
        <w:t>;17</w:t>
      </w:r>
      <w:proofErr w:type="gramEnd"/>
      <w:r w:rsidRPr="00804AC2">
        <w:rPr>
          <w:lang w:val="en-ID"/>
        </w:rPr>
        <w:t>(7):e88805.</w:t>
      </w:r>
    </w:p>
    <w:p w14:paraId="390172AC" w14:textId="77777777" w:rsidR="00A75DEE" w:rsidRDefault="00A75DEE" w:rsidP="00D52FD0">
      <w:pPr>
        <w:pStyle w:val="Body"/>
        <w:numPr>
          <w:ilvl w:val="0"/>
          <w:numId w:val="31"/>
        </w:numPr>
        <w:spacing w:after="0"/>
        <w:rPr>
          <w:lang w:val="en-ID"/>
        </w:rPr>
      </w:pPr>
      <w:r w:rsidRPr="00A75DEE">
        <w:rPr>
          <w:lang w:val="en-ID"/>
        </w:rPr>
        <w:t xml:space="preserve">Utheim, N. C., Helseth, E., </w:t>
      </w:r>
      <w:proofErr w:type="spellStart"/>
      <w:r w:rsidRPr="00A75DEE">
        <w:rPr>
          <w:lang w:val="en-ID"/>
        </w:rPr>
        <w:t>Stroem</w:t>
      </w:r>
      <w:proofErr w:type="spellEnd"/>
      <w:r w:rsidRPr="00A75DEE">
        <w:rPr>
          <w:lang w:val="en-ID"/>
        </w:rPr>
        <w:t>, M., &amp; Rønning, P. (2022). Epidemiology of traumatic cervical spinal fractures in a general Norwegian population. </w:t>
      </w:r>
      <w:r w:rsidRPr="00A75DEE">
        <w:rPr>
          <w:i/>
          <w:iCs/>
          <w:lang w:val="en-ID"/>
        </w:rPr>
        <w:t>Injury Epidemiology</w:t>
      </w:r>
      <w:r w:rsidRPr="00A75DEE">
        <w:rPr>
          <w:lang w:val="en-ID"/>
        </w:rPr>
        <w:t>, 9(10), 1-13.</w:t>
      </w:r>
    </w:p>
    <w:p w14:paraId="265B89C6" w14:textId="2BDAA4E3" w:rsidR="00804AC2" w:rsidRPr="00A75DEE" w:rsidRDefault="00804AC2" w:rsidP="00D52FD0">
      <w:pPr>
        <w:pStyle w:val="Body"/>
        <w:numPr>
          <w:ilvl w:val="0"/>
          <w:numId w:val="31"/>
        </w:numPr>
        <w:spacing w:after="0"/>
        <w:rPr>
          <w:lang w:val="en-ID"/>
        </w:rPr>
      </w:pPr>
      <w:r w:rsidRPr="00804AC2">
        <w:rPr>
          <w:lang w:val="en-ID"/>
        </w:rPr>
        <w:t>Talbott JF, Ramachandran A, Gandhi S. MR Imaging in Cervical Spine Trauma: What You Need to Know in 2025! Magnetic Resonance Imaging Clinics of North America. 2025. doi:10.1016/j.mric.2025.01.009</w:t>
      </w:r>
    </w:p>
    <w:p w14:paraId="0798F379" w14:textId="77777777" w:rsidR="00A75DEE" w:rsidRPr="00A75DEE" w:rsidRDefault="00A75DEE" w:rsidP="00D52FD0">
      <w:pPr>
        <w:pStyle w:val="Body"/>
        <w:numPr>
          <w:ilvl w:val="0"/>
          <w:numId w:val="31"/>
        </w:numPr>
        <w:spacing w:after="0"/>
        <w:rPr>
          <w:lang w:val="en-ID"/>
        </w:rPr>
      </w:pPr>
      <w:r w:rsidRPr="00A75DEE">
        <w:rPr>
          <w:lang w:val="en-ID"/>
        </w:rPr>
        <w:t>Vaccaro, A. R., Karamian, B. A., Levy, H. A., &amp; Schroeder, G. D. (2022). Update on Upper Cervical Injury Classifications. </w:t>
      </w:r>
      <w:r w:rsidRPr="00A75DEE">
        <w:rPr>
          <w:i/>
          <w:iCs/>
          <w:lang w:val="en-ID"/>
        </w:rPr>
        <w:t>Clinical Spine Surgery</w:t>
      </w:r>
      <w:r w:rsidRPr="00A75DEE">
        <w:rPr>
          <w:lang w:val="en-ID"/>
        </w:rPr>
        <w:t>, 35(6), 249-255.</w:t>
      </w:r>
    </w:p>
    <w:p w14:paraId="11C12B46" w14:textId="77777777" w:rsidR="00A75DEE" w:rsidRDefault="00A75DEE" w:rsidP="00D52FD0">
      <w:pPr>
        <w:pStyle w:val="Body"/>
        <w:numPr>
          <w:ilvl w:val="0"/>
          <w:numId w:val="31"/>
        </w:numPr>
        <w:spacing w:after="0"/>
        <w:rPr>
          <w:lang w:val="en-ID"/>
        </w:rPr>
      </w:pPr>
      <w:proofErr w:type="spellStart"/>
      <w:r w:rsidRPr="00A75DEE">
        <w:rPr>
          <w:lang w:val="en-ID"/>
        </w:rPr>
        <w:t>Widhiyanto</w:t>
      </w:r>
      <w:proofErr w:type="spellEnd"/>
      <w:r w:rsidRPr="00A75DEE">
        <w:rPr>
          <w:lang w:val="en-ID"/>
        </w:rPr>
        <w:t xml:space="preserve">, L., </w:t>
      </w:r>
      <w:proofErr w:type="spellStart"/>
      <w:r w:rsidRPr="00A75DEE">
        <w:rPr>
          <w:lang w:val="en-ID"/>
        </w:rPr>
        <w:t>Japamadisaw</w:t>
      </w:r>
      <w:proofErr w:type="spellEnd"/>
      <w:r w:rsidRPr="00A75DEE">
        <w:rPr>
          <w:lang w:val="en-ID"/>
        </w:rPr>
        <w:t xml:space="preserve">, A., &amp; </w:t>
      </w:r>
      <w:proofErr w:type="spellStart"/>
      <w:r w:rsidRPr="00A75DEE">
        <w:rPr>
          <w:lang w:val="en-ID"/>
        </w:rPr>
        <w:t>Hernugrahanto</w:t>
      </w:r>
      <w:proofErr w:type="spellEnd"/>
      <w:r w:rsidRPr="00A75DEE">
        <w:rPr>
          <w:lang w:val="en-ID"/>
        </w:rPr>
        <w:t>, K. D. (2021). A demographic profile of cervical injury: an Indonesian single tertiary hospital study. </w:t>
      </w:r>
      <w:r w:rsidRPr="00A75DEE">
        <w:rPr>
          <w:i/>
          <w:iCs/>
          <w:lang w:val="en-ID"/>
        </w:rPr>
        <w:t>The Egyptian Journal of Neurology, Psychiatry and Neurosurgery</w:t>
      </w:r>
      <w:r w:rsidRPr="00A75DEE">
        <w:rPr>
          <w:lang w:val="en-ID"/>
        </w:rPr>
        <w:t>, 57(176), 1-5.</w:t>
      </w:r>
    </w:p>
    <w:p w14:paraId="22B88FB4" w14:textId="5CA34322" w:rsidR="00804AC2" w:rsidRPr="00A75DEE" w:rsidRDefault="00804AC2" w:rsidP="00D52FD0">
      <w:pPr>
        <w:pStyle w:val="Body"/>
        <w:numPr>
          <w:ilvl w:val="0"/>
          <w:numId w:val="31"/>
        </w:numPr>
        <w:spacing w:after="0"/>
        <w:rPr>
          <w:lang w:val="en-ID"/>
        </w:rPr>
      </w:pPr>
      <w:r w:rsidRPr="00804AC2">
        <w:rPr>
          <w:lang w:val="en-ID"/>
        </w:rPr>
        <w:t>Yong JH, Tan JH, Chen J, Hey HWD. Computed tomography versus magnetic resonance imaging of the cervical spine in the spinal clearance of trauma patients: a systematic review and meta-analyses. European Spine Journal. 2025</w:t>
      </w:r>
      <w:proofErr w:type="gramStart"/>
      <w:r w:rsidRPr="00804AC2">
        <w:rPr>
          <w:lang w:val="en-ID"/>
        </w:rPr>
        <w:t>;34:3127</w:t>
      </w:r>
      <w:proofErr w:type="gramEnd"/>
      <w:r w:rsidRPr="00804AC2">
        <w:rPr>
          <w:lang w:val="en-ID"/>
        </w:rPr>
        <w:t>-3170.</w:t>
      </w:r>
    </w:p>
    <w:p w14:paraId="3AA5C664" w14:textId="77777777" w:rsidR="00A75DEE" w:rsidRPr="00A75DEE" w:rsidRDefault="00A75DEE" w:rsidP="00D52FD0">
      <w:pPr>
        <w:pStyle w:val="Body"/>
        <w:numPr>
          <w:ilvl w:val="0"/>
          <w:numId w:val="31"/>
        </w:numPr>
        <w:spacing w:after="0"/>
        <w:rPr>
          <w:lang w:val="en-ID"/>
        </w:rPr>
      </w:pPr>
      <w:r w:rsidRPr="00A75DEE">
        <w:rPr>
          <w:lang w:val="en-ID"/>
        </w:rPr>
        <w:t>Zaveri, G., &amp; Das, G. (2017). Management of Sub-axial Cervical Spine Injuries. </w:t>
      </w:r>
      <w:r w:rsidRPr="00A75DEE">
        <w:rPr>
          <w:i/>
          <w:iCs/>
          <w:lang w:val="en-ID"/>
        </w:rPr>
        <w:t>Indian Journal of Orthopaedic</w:t>
      </w:r>
      <w:r w:rsidRPr="00A75DEE">
        <w:rPr>
          <w:lang w:val="en-ID"/>
        </w:rPr>
        <w:t>, 51, 633-652.</w:t>
      </w:r>
    </w:p>
    <w:p w14:paraId="04B8B962" w14:textId="77777777" w:rsidR="00A75DEE" w:rsidRPr="00A75DEE" w:rsidRDefault="00A75DEE" w:rsidP="00D52FD0">
      <w:pPr>
        <w:pStyle w:val="Body"/>
        <w:numPr>
          <w:ilvl w:val="0"/>
          <w:numId w:val="31"/>
        </w:numPr>
        <w:spacing w:after="0"/>
        <w:rPr>
          <w:lang w:val="en-ID"/>
        </w:rPr>
      </w:pPr>
      <w:proofErr w:type="spellStart"/>
      <w:r w:rsidRPr="00A75DEE">
        <w:rPr>
          <w:lang w:val="en-ID"/>
        </w:rPr>
        <w:t>Zileli</w:t>
      </w:r>
      <w:proofErr w:type="spellEnd"/>
      <w:r w:rsidRPr="00A75DEE">
        <w:rPr>
          <w:lang w:val="en-ID"/>
        </w:rPr>
        <w:t>, M., Konovalov, N., &amp; Sharif, S. (2020). Cervical Spine Trauma and Spinal Cord Injury Recommendations. </w:t>
      </w:r>
      <w:proofErr w:type="spellStart"/>
      <w:r w:rsidRPr="00A75DEE">
        <w:rPr>
          <w:i/>
          <w:iCs/>
          <w:lang w:val="en-ID"/>
        </w:rPr>
        <w:t>Neurospine</w:t>
      </w:r>
      <w:proofErr w:type="spellEnd"/>
      <w:r w:rsidRPr="00A75DEE">
        <w:rPr>
          <w:lang w:val="en-ID"/>
        </w:rPr>
        <w:t>, 17(4), 704-707.</w:t>
      </w:r>
    </w:p>
    <w:p w14:paraId="3DAC89EB" w14:textId="77777777" w:rsidR="00441B6F" w:rsidRDefault="00441B6F" w:rsidP="00441B6F">
      <w:pPr>
        <w:pStyle w:val="Body"/>
        <w:spacing w:after="0"/>
        <w:jc w:val="left"/>
        <w:rPr>
          <w:rFonts w:ascii="Arial" w:hAnsi="Arial" w:cs="Arial"/>
        </w:rPr>
      </w:pPr>
    </w:p>
    <w:p w14:paraId="1F33C162" w14:textId="77777777" w:rsidR="00B01FCD" w:rsidRPr="00FB3A86" w:rsidRDefault="00B01FCD" w:rsidP="00441B6F">
      <w:pPr>
        <w:pStyle w:val="Reference"/>
        <w:numPr>
          <w:ilvl w:val="0"/>
          <w:numId w:val="0"/>
        </w:numPr>
        <w:spacing w:line="240" w:lineRule="auto"/>
        <w:rPr>
          <w:rFonts w:ascii="Arial" w:hAnsi="Arial" w:cs="Arial"/>
        </w:rPr>
      </w:pPr>
    </w:p>
    <w:p w14:paraId="1BE339A2" w14:textId="77777777" w:rsidR="004D4277" w:rsidRPr="00FB3A86" w:rsidRDefault="004D4277" w:rsidP="00441B6F">
      <w:pPr>
        <w:pStyle w:val="Appendix"/>
        <w:spacing w:after="0"/>
        <w:jc w:val="both"/>
        <w:rPr>
          <w:rFonts w:ascii="Arial" w:hAnsi="Arial" w:cs="Arial"/>
          <w:b w:val="0"/>
        </w:rPr>
        <w:sectPr w:rsidR="004D4277" w:rsidRPr="00FB3A86" w:rsidSect="00BE4D88">
          <w:headerReference w:type="even" r:id="rId32"/>
          <w:headerReference w:type="default" r:id="rId33"/>
          <w:footerReference w:type="default" r:id="rId34"/>
          <w:headerReference w:type="first" r:id="rId35"/>
          <w:type w:val="continuous"/>
          <w:pgSz w:w="12240" w:h="15840"/>
          <w:pgMar w:top="1440" w:right="2016" w:bottom="2016" w:left="2016" w:header="720" w:footer="1123" w:gutter="0"/>
          <w:cols w:space="720"/>
          <w:docGrid w:linePitch="272"/>
        </w:sectPr>
      </w:pPr>
    </w:p>
    <w:p w14:paraId="7726CAF9" w14:textId="106D65A2" w:rsidR="00B01FCD" w:rsidRDefault="00B01FCD" w:rsidP="00441B6F">
      <w:pPr>
        <w:pStyle w:val="Appendix"/>
        <w:spacing w:after="0"/>
        <w:jc w:val="both"/>
        <w:rPr>
          <w:rFonts w:ascii="Arial" w:hAnsi="Arial" w:cs="Arial"/>
          <w:b w:val="0"/>
        </w:rPr>
      </w:pPr>
    </w:p>
    <w:p w14:paraId="4FE0B046" w14:textId="79D73EA6" w:rsidR="00482744" w:rsidRDefault="00482744" w:rsidP="00441B6F">
      <w:pPr>
        <w:pStyle w:val="Appendix"/>
        <w:spacing w:after="0"/>
        <w:jc w:val="both"/>
        <w:rPr>
          <w:rFonts w:ascii="Arial" w:hAnsi="Arial" w:cs="Arial"/>
          <w:b w:val="0"/>
        </w:rPr>
      </w:pPr>
    </w:p>
    <w:p w14:paraId="554E6012" w14:textId="77777777" w:rsidR="00482744" w:rsidRDefault="00482744" w:rsidP="00482744">
      <w:pPr>
        <w:pStyle w:val="DefAcrHead"/>
        <w:spacing w:after="0"/>
        <w:jc w:val="both"/>
        <w:rPr>
          <w:rFonts w:ascii="Arial" w:hAnsi="Arial" w:cs="Arial"/>
        </w:rPr>
      </w:pPr>
      <w:r w:rsidRPr="00FB3A86">
        <w:rPr>
          <w:rFonts w:ascii="Arial" w:hAnsi="Arial" w:cs="Arial"/>
        </w:rPr>
        <w:t>Definitions, Acronyms, Abbreviations</w:t>
      </w:r>
    </w:p>
    <w:p w14:paraId="3AC86F00" w14:textId="77777777" w:rsidR="00482744" w:rsidRDefault="00482744" w:rsidP="00482744">
      <w:pPr>
        <w:pStyle w:val="Body"/>
        <w:spacing w:after="0"/>
        <w:rPr>
          <w:rFonts w:ascii="Arial" w:hAnsi="Arial" w:cs="Arial"/>
          <w:b/>
          <w:bCs/>
          <w:lang w:val="en-ID"/>
        </w:rPr>
      </w:pPr>
    </w:p>
    <w:p w14:paraId="36573262" w14:textId="77777777" w:rsidR="00482744" w:rsidRPr="00A75DEE" w:rsidRDefault="00482744" w:rsidP="00482744">
      <w:pPr>
        <w:pStyle w:val="Body"/>
        <w:spacing w:after="0"/>
        <w:rPr>
          <w:rFonts w:ascii="Arial" w:hAnsi="Arial" w:cs="Arial"/>
          <w:lang w:val="en-ID"/>
        </w:rPr>
      </w:pPr>
      <w:r w:rsidRPr="00A75DEE">
        <w:rPr>
          <w:rFonts w:ascii="Arial" w:hAnsi="Arial" w:cs="Arial"/>
          <w:b/>
          <w:bCs/>
          <w:lang w:val="en-ID"/>
        </w:rPr>
        <w:t>ACDF</w:t>
      </w:r>
      <w:r w:rsidRPr="00A75DEE">
        <w:rPr>
          <w:rFonts w:ascii="Arial" w:hAnsi="Arial" w:cs="Arial"/>
          <w:lang w:val="en-ID"/>
        </w:rPr>
        <w:t>: Anterior Cervical Discectomy and Fusion</w:t>
      </w:r>
    </w:p>
    <w:p w14:paraId="4A34BC35" w14:textId="77777777" w:rsidR="00482744" w:rsidRPr="00A75DEE" w:rsidRDefault="00482744" w:rsidP="00482744">
      <w:pPr>
        <w:pStyle w:val="Body"/>
        <w:spacing w:after="0"/>
        <w:rPr>
          <w:rFonts w:ascii="Arial" w:hAnsi="Arial" w:cs="Arial"/>
          <w:lang w:val="en-ID"/>
        </w:rPr>
      </w:pPr>
      <w:r w:rsidRPr="00A75DEE">
        <w:rPr>
          <w:rFonts w:ascii="Arial" w:hAnsi="Arial" w:cs="Arial"/>
          <w:b/>
          <w:bCs/>
          <w:lang w:val="en-ID"/>
        </w:rPr>
        <w:t>ALL</w:t>
      </w:r>
      <w:r w:rsidRPr="00A75DEE">
        <w:rPr>
          <w:rFonts w:ascii="Arial" w:hAnsi="Arial" w:cs="Arial"/>
          <w:lang w:val="en-ID"/>
        </w:rPr>
        <w:t>: Anterior Longitudinal Ligament</w:t>
      </w:r>
    </w:p>
    <w:p w14:paraId="64251897" w14:textId="77777777" w:rsidR="00482744" w:rsidRPr="00A75DEE" w:rsidRDefault="00482744" w:rsidP="00482744">
      <w:pPr>
        <w:pStyle w:val="Body"/>
        <w:spacing w:after="0"/>
        <w:rPr>
          <w:rFonts w:ascii="Arial" w:hAnsi="Arial" w:cs="Arial"/>
          <w:lang w:val="en-ID"/>
        </w:rPr>
      </w:pPr>
      <w:r w:rsidRPr="00A75DEE">
        <w:rPr>
          <w:rFonts w:ascii="Arial" w:hAnsi="Arial" w:cs="Arial"/>
          <w:b/>
          <w:bCs/>
          <w:lang w:val="en-ID"/>
        </w:rPr>
        <w:t>CSISS</w:t>
      </w:r>
      <w:r w:rsidRPr="00A75DEE">
        <w:rPr>
          <w:rFonts w:ascii="Arial" w:hAnsi="Arial" w:cs="Arial"/>
          <w:lang w:val="en-ID"/>
        </w:rPr>
        <w:t>: Cervical Spine Injury Severity Score</w:t>
      </w:r>
    </w:p>
    <w:p w14:paraId="7E2D42CD" w14:textId="77777777" w:rsidR="00482744" w:rsidRPr="00A75DEE" w:rsidRDefault="00482744" w:rsidP="00482744">
      <w:pPr>
        <w:pStyle w:val="Body"/>
        <w:spacing w:after="0"/>
        <w:rPr>
          <w:rFonts w:ascii="Arial" w:hAnsi="Arial" w:cs="Arial"/>
          <w:lang w:val="en-ID"/>
        </w:rPr>
      </w:pPr>
      <w:r w:rsidRPr="00A75DEE">
        <w:rPr>
          <w:rFonts w:ascii="Arial" w:hAnsi="Arial" w:cs="Arial"/>
          <w:b/>
          <w:bCs/>
          <w:lang w:val="en-ID"/>
        </w:rPr>
        <w:t>CT</w:t>
      </w:r>
      <w:r w:rsidRPr="00A75DEE">
        <w:rPr>
          <w:rFonts w:ascii="Arial" w:hAnsi="Arial" w:cs="Arial"/>
          <w:lang w:val="en-ID"/>
        </w:rPr>
        <w:t>: Computed Tomography</w:t>
      </w:r>
    </w:p>
    <w:p w14:paraId="2968AC88" w14:textId="77777777" w:rsidR="00482744" w:rsidRPr="00A75DEE" w:rsidRDefault="00482744" w:rsidP="00482744">
      <w:pPr>
        <w:pStyle w:val="Body"/>
        <w:spacing w:after="0"/>
        <w:rPr>
          <w:rFonts w:ascii="Arial" w:hAnsi="Arial" w:cs="Arial"/>
          <w:lang w:val="en-ID"/>
        </w:rPr>
      </w:pPr>
      <w:r w:rsidRPr="00A75DEE">
        <w:rPr>
          <w:rFonts w:ascii="Arial" w:hAnsi="Arial" w:cs="Arial"/>
          <w:b/>
          <w:bCs/>
          <w:lang w:val="en-ID"/>
        </w:rPr>
        <w:t>MRI</w:t>
      </w:r>
      <w:r w:rsidRPr="00A75DEE">
        <w:rPr>
          <w:rFonts w:ascii="Arial" w:hAnsi="Arial" w:cs="Arial"/>
          <w:lang w:val="en-ID"/>
        </w:rPr>
        <w:t>: Magnetic Resonance Imaging</w:t>
      </w:r>
    </w:p>
    <w:p w14:paraId="2FAFB333" w14:textId="77777777" w:rsidR="00482744" w:rsidRPr="00A75DEE" w:rsidRDefault="00482744" w:rsidP="00482744">
      <w:pPr>
        <w:pStyle w:val="Body"/>
        <w:spacing w:after="0"/>
        <w:rPr>
          <w:rFonts w:ascii="Arial" w:hAnsi="Arial" w:cs="Arial"/>
          <w:lang w:val="en-ID"/>
        </w:rPr>
      </w:pPr>
      <w:r w:rsidRPr="00A75DEE">
        <w:rPr>
          <w:rFonts w:ascii="Arial" w:hAnsi="Arial" w:cs="Arial"/>
          <w:b/>
          <w:bCs/>
          <w:lang w:val="en-ID"/>
        </w:rPr>
        <w:t>PLL</w:t>
      </w:r>
      <w:r w:rsidRPr="00A75DEE">
        <w:rPr>
          <w:rFonts w:ascii="Arial" w:hAnsi="Arial" w:cs="Arial"/>
          <w:lang w:val="en-ID"/>
        </w:rPr>
        <w:t>: Posterior Longitudinal Ligament</w:t>
      </w:r>
    </w:p>
    <w:p w14:paraId="027A848C" w14:textId="77777777" w:rsidR="00482744" w:rsidRPr="00A75DEE" w:rsidRDefault="00482744" w:rsidP="00482744">
      <w:pPr>
        <w:pStyle w:val="Body"/>
        <w:spacing w:after="0"/>
        <w:rPr>
          <w:rFonts w:ascii="Arial" w:hAnsi="Arial" w:cs="Arial"/>
          <w:lang w:val="en-ID"/>
        </w:rPr>
      </w:pPr>
      <w:r w:rsidRPr="00A75DEE">
        <w:rPr>
          <w:rFonts w:ascii="Arial" w:hAnsi="Arial" w:cs="Arial"/>
          <w:b/>
          <w:bCs/>
          <w:lang w:val="en-ID"/>
        </w:rPr>
        <w:t>SCI</w:t>
      </w:r>
      <w:r w:rsidRPr="00A75DEE">
        <w:rPr>
          <w:rFonts w:ascii="Arial" w:hAnsi="Arial" w:cs="Arial"/>
          <w:lang w:val="en-ID"/>
        </w:rPr>
        <w:t>: Spinal Cord Injury</w:t>
      </w:r>
    </w:p>
    <w:p w14:paraId="313B9A3E" w14:textId="77777777" w:rsidR="00482744" w:rsidRPr="00A75DEE" w:rsidRDefault="00482744" w:rsidP="00482744">
      <w:pPr>
        <w:pStyle w:val="Body"/>
        <w:spacing w:after="0"/>
        <w:rPr>
          <w:rFonts w:ascii="Arial" w:hAnsi="Arial" w:cs="Arial"/>
          <w:lang w:val="en-ID"/>
        </w:rPr>
      </w:pPr>
      <w:r w:rsidRPr="00A75DEE">
        <w:rPr>
          <w:rFonts w:ascii="Arial" w:hAnsi="Arial" w:cs="Arial"/>
          <w:b/>
          <w:bCs/>
          <w:lang w:val="en-ID"/>
        </w:rPr>
        <w:t>SLIC</w:t>
      </w:r>
      <w:r w:rsidRPr="00A75DEE">
        <w:rPr>
          <w:rFonts w:ascii="Arial" w:hAnsi="Arial" w:cs="Arial"/>
          <w:lang w:val="en-ID"/>
        </w:rPr>
        <w:t xml:space="preserve">: </w:t>
      </w:r>
      <w:proofErr w:type="spellStart"/>
      <w:r w:rsidRPr="00A75DEE">
        <w:rPr>
          <w:rFonts w:ascii="Arial" w:hAnsi="Arial" w:cs="Arial"/>
          <w:lang w:val="en-ID"/>
        </w:rPr>
        <w:t>Subaxial</w:t>
      </w:r>
      <w:proofErr w:type="spellEnd"/>
      <w:r w:rsidRPr="00A75DEE">
        <w:rPr>
          <w:rFonts w:ascii="Arial" w:hAnsi="Arial" w:cs="Arial"/>
          <w:lang w:val="en-ID"/>
        </w:rPr>
        <w:t xml:space="preserve"> Injury Classification</w:t>
      </w:r>
    </w:p>
    <w:p w14:paraId="518B629C" w14:textId="77777777" w:rsidR="00482744" w:rsidRPr="00FB3A86" w:rsidRDefault="00482744" w:rsidP="00441B6F">
      <w:pPr>
        <w:pStyle w:val="Appendix"/>
        <w:spacing w:after="0"/>
        <w:jc w:val="both"/>
        <w:rPr>
          <w:rFonts w:ascii="Arial" w:hAnsi="Arial" w:cs="Arial"/>
          <w:b w:val="0"/>
        </w:rPr>
      </w:pPr>
    </w:p>
    <w:sectPr w:rsidR="00482744" w:rsidRPr="00FB3A86" w:rsidSect="00BE4D88">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49596F" w14:textId="77777777" w:rsidR="00FF410F" w:rsidRDefault="00FF410F" w:rsidP="00C37E61">
      <w:r>
        <w:separator/>
      </w:r>
    </w:p>
  </w:endnote>
  <w:endnote w:type="continuationSeparator" w:id="0">
    <w:p w14:paraId="5C89B9FB" w14:textId="77777777" w:rsidR="00FF410F" w:rsidRDefault="00FF410F"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816E8A" w14:textId="77777777" w:rsidR="00BE4D88" w:rsidRDefault="00BE4D8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091919" w14:textId="77777777" w:rsidR="00BE4D88" w:rsidRDefault="00BE4D8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9F3FA9" w14:textId="05A20C2A" w:rsidR="00754C9A" w:rsidRPr="00615699" w:rsidRDefault="00754C9A" w:rsidP="0061569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97D708" w14:textId="77777777" w:rsidR="008A677F" w:rsidRDefault="008A677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2D1C85" w14:textId="77777777" w:rsidR="008A677F" w:rsidRDefault="008A677F">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B7FE31" w14:textId="77777777" w:rsidR="008A677F" w:rsidRPr="00615699" w:rsidRDefault="008A677F" w:rsidP="00615699">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6AAACC"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A4BA2A" w14:textId="77777777" w:rsidR="00FF410F" w:rsidRDefault="00FF410F" w:rsidP="00C37E61">
      <w:r>
        <w:separator/>
      </w:r>
    </w:p>
  </w:footnote>
  <w:footnote w:type="continuationSeparator" w:id="0">
    <w:p w14:paraId="0FDE1D4A" w14:textId="77777777" w:rsidR="00FF410F" w:rsidRDefault="00FF410F"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E21EDD" w14:textId="25D7558D" w:rsidR="00BE4D88" w:rsidRDefault="00B006CF">
    <w:pPr>
      <w:pStyle w:val="Header"/>
    </w:pPr>
    <w:r>
      <w:rPr>
        <w:noProof/>
      </w:rPr>
      <w:pict w14:anchorId="1CE8B0E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1598204" o:spid="_x0000_s2050" type="#_x0000_t136" style="position:absolute;margin-left:0;margin-top:0;width:519.9pt;height:58.65pt;rotation:315;z-index:-2516618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4A5A0F" w14:textId="5898FE73" w:rsidR="00BE4D88" w:rsidRDefault="00B006CF">
    <w:pPr>
      <w:pStyle w:val="Header"/>
    </w:pPr>
    <w:r>
      <w:rPr>
        <w:noProof/>
      </w:rPr>
      <w:pict w14:anchorId="20C249E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1598205" o:spid="_x0000_s2051" type="#_x0000_t136" style="position:absolute;margin-left:0;margin-top:0;width:519.9pt;height:58.65pt;rotation:315;z-index:-25166080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5C6961" w14:textId="450B0C52" w:rsidR="00296529" w:rsidRPr="00296529" w:rsidRDefault="00B006CF" w:rsidP="00296529">
    <w:pPr>
      <w:ind w:left="2160"/>
      <w:jc w:val="center"/>
      <w:rPr>
        <w:rFonts w:ascii="Times New Roman" w:eastAsia="Calibri" w:hAnsi="Times New Roman"/>
        <w:i/>
        <w:sz w:val="18"/>
        <w:szCs w:val="22"/>
      </w:rPr>
    </w:pPr>
    <w:r>
      <w:rPr>
        <w:noProof/>
      </w:rPr>
      <w:pict w14:anchorId="464AF7A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1598203" o:spid="_x0000_s2049" type="#_x0000_t136" style="position:absolute;left:0;text-align:left;margin-left:0;margin-top:0;width:519.9pt;height:58.65pt;rotation:315;z-index:-25166284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09436923"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7A250E59"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7AA453BB"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0D2D2040"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173AFFB5"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4D708F08"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4D5BB2" w14:textId="77777777" w:rsidR="008A677F" w:rsidRDefault="00B006CF">
    <w:pPr>
      <w:pStyle w:val="Header"/>
    </w:pPr>
    <w:r>
      <w:rPr>
        <w:noProof/>
      </w:rPr>
      <w:pict w14:anchorId="65A790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8" type="#_x0000_t136" style="position:absolute;margin-left:0;margin-top:0;width:519.9pt;height:58.65pt;rotation:315;z-index:-25165670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65E092" w14:textId="77777777" w:rsidR="008A677F" w:rsidRDefault="00B006CF">
    <w:pPr>
      <w:pStyle w:val="Header"/>
    </w:pPr>
    <w:r>
      <w:rPr>
        <w:noProof/>
      </w:rPr>
      <w:pict w14:anchorId="3DB2975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9" type="#_x0000_t136" style="position:absolute;margin-left:0;margin-top:0;width:519.9pt;height:58.65pt;rotation:315;z-index:-25165568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107103" w14:textId="77777777" w:rsidR="008A677F" w:rsidRPr="00296529" w:rsidRDefault="00B006CF" w:rsidP="00296529">
    <w:pPr>
      <w:ind w:left="2160"/>
      <w:jc w:val="center"/>
      <w:rPr>
        <w:rFonts w:ascii="Times New Roman" w:eastAsia="Calibri" w:hAnsi="Times New Roman"/>
        <w:i/>
        <w:sz w:val="18"/>
        <w:szCs w:val="22"/>
      </w:rPr>
    </w:pPr>
    <w:r>
      <w:rPr>
        <w:noProof/>
      </w:rPr>
      <w:pict w14:anchorId="227A977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0" type="#_x0000_t136" style="position:absolute;left:0;text-align:left;margin-left:0;margin-top:0;width:519.9pt;height:58.65pt;rotation:315;z-index:-25165465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15CC6B51" w14:textId="77777777" w:rsidR="008A677F" w:rsidRPr="00296529" w:rsidRDefault="008A677F"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5E3DB321" w14:textId="77777777" w:rsidR="008A677F" w:rsidRPr="00296529" w:rsidRDefault="008A677F" w:rsidP="00296529">
    <w:pPr>
      <w:jc w:val="center"/>
      <w:rPr>
        <w:rFonts w:ascii="Times New Roman" w:eastAsia="Calibri" w:hAnsi="Times New Roman"/>
        <w:i/>
        <w:sz w:val="18"/>
        <w:szCs w:val="22"/>
      </w:rPr>
    </w:pPr>
    <w:r>
      <w:rPr>
        <w:rFonts w:ascii="Times New Roman" w:eastAsia="Calibri" w:hAnsi="Times New Roman"/>
        <w:i/>
        <w:sz w:val="18"/>
        <w:szCs w:val="22"/>
      </w:rPr>
      <w:t>.</w:t>
    </w:r>
  </w:p>
  <w:p w14:paraId="000DD561" w14:textId="77777777" w:rsidR="008A677F" w:rsidRPr="00296529" w:rsidRDefault="008A677F"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2DBF9C4B" w14:textId="77777777" w:rsidR="008A677F" w:rsidRDefault="008A677F"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2ADBA99D" w14:textId="77777777" w:rsidR="008A677F" w:rsidRDefault="008A677F"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4806AE46" w14:textId="77777777" w:rsidR="008A677F" w:rsidRDefault="008A677F">
    <w:pPr>
      <w:pStyle w:val="Header"/>
    </w:pPr>
    <w:r>
      <w:t>..</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4D1DEA" w14:textId="457FAD33" w:rsidR="00BE4D88" w:rsidRDefault="00B006CF">
    <w:pPr>
      <w:pStyle w:val="Header"/>
    </w:pPr>
    <w:r>
      <w:rPr>
        <w:noProof/>
      </w:rPr>
      <w:pict w14:anchorId="1D183A4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1598207" o:spid="_x0000_s2053" type="#_x0000_t136" style="position:absolute;margin-left:0;margin-top:0;width:519.9pt;height:58.65pt;rotation:315;z-index:-25165875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77EB7C" w14:textId="3CC049B9" w:rsidR="00BE4D88" w:rsidRDefault="00B006CF">
    <w:pPr>
      <w:pStyle w:val="Header"/>
    </w:pPr>
    <w:r>
      <w:rPr>
        <w:noProof/>
      </w:rPr>
      <w:pict w14:anchorId="1DFAE21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1598208" o:spid="_x0000_s2054" type="#_x0000_t136" style="position:absolute;margin-left:0;margin-top:0;width:519.9pt;height:58.65pt;rotation:315;z-index:-25165772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8D5A48" w14:textId="38B63338" w:rsidR="00BE4D88" w:rsidRDefault="00B006CF">
    <w:pPr>
      <w:pStyle w:val="Header"/>
    </w:pPr>
    <w:r>
      <w:rPr>
        <w:noProof/>
      </w:rPr>
      <w:pict w14:anchorId="63DD37E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1598206" o:spid="_x0000_s2052" type="#_x0000_t136" style="position:absolute;margin-left:0;margin-top:0;width:519.9pt;height:58.65pt;rotation:315;z-index:-2516597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9396329"/>
    <w:multiLevelType w:val="hybridMultilevel"/>
    <w:tmpl w:val="E8BAB60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9"/>
  </w:num>
  <w:num w:numId="20">
    <w:abstractNumId w:val="11"/>
  </w:num>
  <w:num w:numId="21">
    <w:abstractNumId w:val="9"/>
  </w:num>
  <w:num w:numId="22">
    <w:abstractNumId w:val="13"/>
  </w:num>
  <w:num w:numId="23">
    <w:abstractNumId w:val="19"/>
  </w:num>
  <w:num w:numId="24">
    <w:abstractNumId w:val="27"/>
  </w:num>
  <w:num w:numId="25">
    <w:abstractNumId w:val="4"/>
  </w:num>
  <w:num w:numId="26">
    <w:abstractNumId w:val="16"/>
  </w:num>
  <w:num w:numId="27">
    <w:abstractNumId w:val="20"/>
  </w:num>
  <w:num w:numId="28">
    <w:abstractNumId w:val="28"/>
  </w:num>
  <w:num w:numId="29">
    <w:abstractNumId w:val="24"/>
  </w:num>
  <w:num w:numId="30">
    <w:abstractNumId w:val="10"/>
  </w:num>
  <w:num w:numId="31">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7"/>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xMjQ2MjAzMLM0N7SwNLVU0lEKTi0uzszPAykwrAUAJbg+LSwAAAA="/>
  </w:docVars>
  <w:rsids>
    <w:rsidRoot w:val="00AA6219"/>
    <w:rsid w:val="00000F8F"/>
    <w:rsid w:val="00030174"/>
    <w:rsid w:val="0004579C"/>
    <w:rsid w:val="00084188"/>
    <w:rsid w:val="000A47FA"/>
    <w:rsid w:val="000A65D3"/>
    <w:rsid w:val="000B1E33"/>
    <w:rsid w:val="000D689F"/>
    <w:rsid w:val="000E7B7B"/>
    <w:rsid w:val="000E7D62"/>
    <w:rsid w:val="00103357"/>
    <w:rsid w:val="00122A64"/>
    <w:rsid w:val="00123C9F"/>
    <w:rsid w:val="00126190"/>
    <w:rsid w:val="001303E3"/>
    <w:rsid w:val="00130F17"/>
    <w:rsid w:val="001320BF"/>
    <w:rsid w:val="00163BC4"/>
    <w:rsid w:val="00191062"/>
    <w:rsid w:val="00192B72"/>
    <w:rsid w:val="001A29D8"/>
    <w:rsid w:val="001A5CAA"/>
    <w:rsid w:val="001B0427"/>
    <w:rsid w:val="001D3A51"/>
    <w:rsid w:val="001E10D2"/>
    <w:rsid w:val="001E25B4"/>
    <w:rsid w:val="001E44FE"/>
    <w:rsid w:val="00200595"/>
    <w:rsid w:val="00204835"/>
    <w:rsid w:val="00231920"/>
    <w:rsid w:val="0023195C"/>
    <w:rsid w:val="0024282C"/>
    <w:rsid w:val="002460DC"/>
    <w:rsid w:val="00250985"/>
    <w:rsid w:val="002556F6"/>
    <w:rsid w:val="00283105"/>
    <w:rsid w:val="00284C4C"/>
    <w:rsid w:val="00287E68"/>
    <w:rsid w:val="00291390"/>
    <w:rsid w:val="0029319F"/>
    <w:rsid w:val="00296529"/>
    <w:rsid w:val="002A74A6"/>
    <w:rsid w:val="002B27FB"/>
    <w:rsid w:val="002B685A"/>
    <w:rsid w:val="002C57D2"/>
    <w:rsid w:val="002E0D56"/>
    <w:rsid w:val="00313E48"/>
    <w:rsid w:val="00315186"/>
    <w:rsid w:val="0033343E"/>
    <w:rsid w:val="0035123E"/>
    <w:rsid w:val="003512C2"/>
    <w:rsid w:val="00371FB6"/>
    <w:rsid w:val="003763C1"/>
    <w:rsid w:val="00376BBE"/>
    <w:rsid w:val="0039224F"/>
    <w:rsid w:val="003A43A4"/>
    <w:rsid w:val="003A7E18"/>
    <w:rsid w:val="003B0B2E"/>
    <w:rsid w:val="003C4C86"/>
    <w:rsid w:val="003C6258"/>
    <w:rsid w:val="003E24F4"/>
    <w:rsid w:val="003E2904"/>
    <w:rsid w:val="004014F3"/>
    <w:rsid w:val="00401927"/>
    <w:rsid w:val="0041027F"/>
    <w:rsid w:val="00412475"/>
    <w:rsid w:val="00423789"/>
    <w:rsid w:val="00440F43"/>
    <w:rsid w:val="00441B6F"/>
    <w:rsid w:val="00446221"/>
    <w:rsid w:val="00450E62"/>
    <w:rsid w:val="004539DB"/>
    <w:rsid w:val="00463706"/>
    <w:rsid w:val="00471A80"/>
    <w:rsid w:val="00482744"/>
    <w:rsid w:val="004D305E"/>
    <w:rsid w:val="004D4277"/>
    <w:rsid w:val="00502516"/>
    <w:rsid w:val="00505F06"/>
    <w:rsid w:val="00506828"/>
    <w:rsid w:val="0053056E"/>
    <w:rsid w:val="00554FDA"/>
    <w:rsid w:val="00570AC2"/>
    <w:rsid w:val="005C784C"/>
    <w:rsid w:val="005D17F6"/>
    <w:rsid w:val="005E5539"/>
    <w:rsid w:val="00602BF5"/>
    <w:rsid w:val="00614822"/>
    <w:rsid w:val="00615699"/>
    <w:rsid w:val="00617FDD"/>
    <w:rsid w:val="00633614"/>
    <w:rsid w:val="00633F68"/>
    <w:rsid w:val="00636EB2"/>
    <w:rsid w:val="006375B8"/>
    <w:rsid w:val="0066510A"/>
    <w:rsid w:val="00673F9F"/>
    <w:rsid w:val="006857DC"/>
    <w:rsid w:val="00686953"/>
    <w:rsid w:val="00687DEA"/>
    <w:rsid w:val="00687E67"/>
    <w:rsid w:val="006967F7"/>
    <w:rsid w:val="006A250C"/>
    <w:rsid w:val="006B21D3"/>
    <w:rsid w:val="006B57D0"/>
    <w:rsid w:val="006D30FF"/>
    <w:rsid w:val="006D6940"/>
    <w:rsid w:val="006F11EC"/>
    <w:rsid w:val="0070082C"/>
    <w:rsid w:val="00733ED5"/>
    <w:rsid w:val="007369E6"/>
    <w:rsid w:val="00741272"/>
    <w:rsid w:val="00742B38"/>
    <w:rsid w:val="00746E59"/>
    <w:rsid w:val="00754C9A"/>
    <w:rsid w:val="0075599A"/>
    <w:rsid w:val="00761D52"/>
    <w:rsid w:val="0077749E"/>
    <w:rsid w:val="00790ADA"/>
    <w:rsid w:val="007B10B6"/>
    <w:rsid w:val="007C56D2"/>
    <w:rsid w:val="007C729B"/>
    <w:rsid w:val="007D2288"/>
    <w:rsid w:val="007E088F"/>
    <w:rsid w:val="007F7B32"/>
    <w:rsid w:val="00804AC2"/>
    <w:rsid w:val="00804BC2"/>
    <w:rsid w:val="0081431A"/>
    <w:rsid w:val="0083216F"/>
    <w:rsid w:val="00860000"/>
    <w:rsid w:val="00863BD3"/>
    <w:rsid w:val="008641ED"/>
    <w:rsid w:val="00866D66"/>
    <w:rsid w:val="008671C6"/>
    <w:rsid w:val="00874A55"/>
    <w:rsid w:val="00875803"/>
    <w:rsid w:val="008A677F"/>
    <w:rsid w:val="008B15DE"/>
    <w:rsid w:val="008B459E"/>
    <w:rsid w:val="008E13AE"/>
    <w:rsid w:val="008E1506"/>
    <w:rsid w:val="008E710C"/>
    <w:rsid w:val="008F69D6"/>
    <w:rsid w:val="00902823"/>
    <w:rsid w:val="00915CA6"/>
    <w:rsid w:val="00927834"/>
    <w:rsid w:val="00937E67"/>
    <w:rsid w:val="009500A6"/>
    <w:rsid w:val="00957C18"/>
    <w:rsid w:val="009659BA"/>
    <w:rsid w:val="00983040"/>
    <w:rsid w:val="00986D9E"/>
    <w:rsid w:val="009A73F4"/>
    <w:rsid w:val="009B3FB9"/>
    <w:rsid w:val="009C2465"/>
    <w:rsid w:val="009D35A0"/>
    <w:rsid w:val="009D4071"/>
    <w:rsid w:val="009D7EB7"/>
    <w:rsid w:val="009E048A"/>
    <w:rsid w:val="009E08E9"/>
    <w:rsid w:val="009E3DB9"/>
    <w:rsid w:val="009E6790"/>
    <w:rsid w:val="009E6E35"/>
    <w:rsid w:val="009F0EDA"/>
    <w:rsid w:val="00A03B96"/>
    <w:rsid w:val="00A05B19"/>
    <w:rsid w:val="00A07976"/>
    <w:rsid w:val="00A1134E"/>
    <w:rsid w:val="00A24E7E"/>
    <w:rsid w:val="00A258C3"/>
    <w:rsid w:val="00A31634"/>
    <w:rsid w:val="00A347C0"/>
    <w:rsid w:val="00A51431"/>
    <w:rsid w:val="00A539AD"/>
    <w:rsid w:val="00A57E21"/>
    <w:rsid w:val="00A75DEE"/>
    <w:rsid w:val="00A94063"/>
    <w:rsid w:val="00AA5304"/>
    <w:rsid w:val="00AA6219"/>
    <w:rsid w:val="00AA74E0"/>
    <w:rsid w:val="00AB703F"/>
    <w:rsid w:val="00AC6BB8"/>
    <w:rsid w:val="00AE008F"/>
    <w:rsid w:val="00B006CF"/>
    <w:rsid w:val="00B01FCD"/>
    <w:rsid w:val="00B047E4"/>
    <w:rsid w:val="00B1776C"/>
    <w:rsid w:val="00B21F02"/>
    <w:rsid w:val="00B52583"/>
    <w:rsid w:val="00B52896"/>
    <w:rsid w:val="00B95236"/>
    <w:rsid w:val="00B96BD9"/>
    <w:rsid w:val="00BA1B01"/>
    <w:rsid w:val="00BA2641"/>
    <w:rsid w:val="00BB37AA"/>
    <w:rsid w:val="00BC53A0"/>
    <w:rsid w:val="00BD161C"/>
    <w:rsid w:val="00BE4D88"/>
    <w:rsid w:val="00BE62AD"/>
    <w:rsid w:val="00BF121F"/>
    <w:rsid w:val="00BF1F80"/>
    <w:rsid w:val="00C166EF"/>
    <w:rsid w:val="00C17EB0"/>
    <w:rsid w:val="00C27F5F"/>
    <w:rsid w:val="00C30A0F"/>
    <w:rsid w:val="00C32922"/>
    <w:rsid w:val="00C37E61"/>
    <w:rsid w:val="00C64711"/>
    <w:rsid w:val="00C70F1B"/>
    <w:rsid w:val="00C71A47"/>
    <w:rsid w:val="00C7464C"/>
    <w:rsid w:val="00C7731B"/>
    <w:rsid w:val="00C85588"/>
    <w:rsid w:val="00CD6755"/>
    <w:rsid w:val="00CD6856"/>
    <w:rsid w:val="00CE0089"/>
    <w:rsid w:val="00CE793C"/>
    <w:rsid w:val="00CF193C"/>
    <w:rsid w:val="00CF2AD4"/>
    <w:rsid w:val="00D11D9A"/>
    <w:rsid w:val="00D173F1"/>
    <w:rsid w:val="00D52FD0"/>
    <w:rsid w:val="00D74CB0"/>
    <w:rsid w:val="00D8295D"/>
    <w:rsid w:val="00DC2A65"/>
    <w:rsid w:val="00DC3082"/>
    <w:rsid w:val="00DD3566"/>
    <w:rsid w:val="00DE15F0"/>
    <w:rsid w:val="00DE5663"/>
    <w:rsid w:val="00DE78AA"/>
    <w:rsid w:val="00E053D0"/>
    <w:rsid w:val="00E15994"/>
    <w:rsid w:val="00E246F8"/>
    <w:rsid w:val="00E271C8"/>
    <w:rsid w:val="00E3114E"/>
    <w:rsid w:val="00E31A70"/>
    <w:rsid w:val="00E35B02"/>
    <w:rsid w:val="00E36DD4"/>
    <w:rsid w:val="00E66496"/>
    <w:rsid w:val="00E66B35"/>
    <w:rsid w:val="00E66E10"/>
    <w:rsid w:val="00E769F6"/>
    <w:rsid w:val="00E8407C"/>
    <w:rsid w:val="00E84F3C"/>
    <w:rsid w:val="00EA012C"/>
    <w:rsid w:val="00EC6A55"/>
    <w:rsid w:val="00ED0288"/>
    <w:rsid w:val="00EE52CB"/>
    <w:rsid w:val="00EF581D"/>
    <w:rsid w:val="00EF7FD8"/>
    <w:rsid w:val="00F06F59"/>
    <w:rsid w:val="00F17988"/>
    <w:rsid w:val="00F248DE"/>
    <w:rsid w:val="00F469F0"/>
    <w:rsid w:val="00F53273"/>
    <w:rsid w:val="00F6754C"/>
    <w:rsid w:val="00F755E4"/>
    <w:rsid w:val="00F77D02"/>
    <w:rsid w:val="00F83708"/>
    <w:rsid w:val="00FB3A86"/>
    <w:rsid w:val="00FD36C8"/>
    <w:rsid w:val="00FF41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1"/>
    <o:shapelayout v:ext="edit">
      <o:idmap v:ext="edit" data="1"/>
    </o:shapelayout>
  </w:shapeDefaults>
  <w:decimalSymbol w:val="."/>
  <w:listSeparator w:val=","/>
  <w14:docId w14:val="4B9F7EE5"/>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semiHidden/>
    <w:unhideWhenUsed/>
    <w:qFormat/>
    <w:rsid w:val="00F248DE"/>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DC3082"/>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semiHidden/>
    <w:unhideWhenUsed/>
    <w:qFormat/>
    <w:rsid w:val="00DC3082"/>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link w:val="FooterChar"/>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link w:val="HeaderChar"/>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
    <w:name w:val="Unresolved Mention"/>
    <w:basedOn w:val="DefaultParagraphFont"/>
    <w:uiPriority w:val="99"/>
    <w:semiHidden/>
    <w:unhideWhenUsed/>
    <w:rsid w:val="00287E68"/>
    <w:rPr>
      <w:color w:val="605E5C"/>
      <w:shd w:val="clear" w:color="auto" w:fill="E1DFDD"/>
    </w:rPr>
  </w:style>
  <w:style w:type="character" w:customStyle="1" w:styleId="Heading3Char">
    <w:name w:val="Heading 3 Char"/>
    <w:basedOn w:val="DefaultParagraphFont"/>
    <w:link w:val="Heading3"/>
    <w:semiHidden/>
    <w:rsid w:val="00DC3082"/>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semiHidden/>
    <w:rsid w:val="00DC3082"/>
    <w:rPr>
      <w:rFonts w:asciiTheme="majorHAnsi" w:eastAsiaTheme="majorEastAsia" w:hAnsiTheme="majorHAnsi" w:cstheme="majorBidi"/>
      <w:i/>
      <w:iCs/>
      <w:color w:val="365F91" w:themeColor="accent1" w:themeShade="BF"/>
    </w:rPr>
  </w:style>
  <w:style w:type="character" w:customStyle="1" w:styleId="FooterChar">
    <w:name w:val="Footer Char"/>
    <w:basedOn w:val="DefaultParagraphFont"/>
    <w:link w:val="Footer"/>
    <w:rsid w:val="008A677F"/>
    <w:rPr>
      <w:rFonts w:ascii="Helvetica" w:hAnsi="Helvetica"/>
    </w:rPr>
  </w:style>
  <w:style w:type="character" w:customStyle="1" w:styleId="HeaderChar">
    <w:name w:val="Header Char"/>
    <w:basedOn w:val="DefaultParagraphFont"/>
    <w:link w:val="Header"/>
    <w:rsid w:val="008A677F"/>
    <w:rPr>
      <w:rFonts w:ascii="Helvetica" w:hAnsi="Helvetica"/>
    </w:rPr>
  </w:style>
  <w:style w:type="character" w:customStyle="1" w:styleId="Heading2Char">
    <w:name w:val="Heading 2 Char"/>
    <w:basedOn w:val="DefaultParagraphFont"/>
    <w:link w:val="Heading2"/>
    <w:semiHidden/>
    <w:rsid w:val="00F248DE"/>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image" Target="media/image7.png"/><Relationship Id="rId21" Type="http://schemas.openxmlformats.org/officeDocument/2006/relationships/image" Target="media/image2.png"/><Relationship Id="rId34"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image" Target="media/image6.png"/><Relationship Id="rId33"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1.jpeg"/><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5.png"/><Relationship Id="rId32" Type="http://schemas.openxmlformats.org/officeDocument/2006/relationships/header" Target="header7.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header" Target="header9.xml"/><Relationship Id="rId8" Type="http://schemas.openxmlformats.org/officeDocument/2006/relationships/header" Target="header1.xml"/><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4C718F-8A15-4A5A-91D8-9EDDCD7AB6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141</TotalTime>
  <Pages>14</Pages>
  <Words>4655</Words>
  <Characters>26534</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31127</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CPU 1023</cp:lastModifiedBy>
  <cp:revision>37</cp:revision>
  <cp:lastPrinted>1999-07-06T11:00:00Z</cp:lastPrinted>
  <dcterms:created xsi:type="dcterms:W3CDTF">2026-03-22T23:37:00Z</dcterms:created>
  <dcterms:modified xsi:type="dcterms:W3CDTF">2026-04-22T08:39:00Z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fe58eba3-820e-47be-b966-516c97839088</vt:lpwstr>
  </property>
</Properties>
</file>