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3925EB" w14:textId="4F97304D" w:rsidR="00E3320C" w:rsidRDefault="009A173B" w:rsidP="00167DF6">
      <w:pPr>
        <w:spacing w:before="100" w:beforeAutospacing="1" w:after="100" w:afterAutospacing="1" w:line="240" w:lineRule="auto"/>
        <w:jc w:val="center"/>
        <w:outlineLvl w:val="2"/>
        <w:rPr>
          <w:rFonts w:ascii="Times New Roman" w:hAnsi="Times New Roman" w:cs="Times New Roman"/>
          <w:b/>
          <w:spacing w:val="-2"/>
          <w:sz w:val="24"/>
        </w:rPr>
      </w:pPr>
      <w:r w:rsidRPr="009A173B">
        <w:rPr>
          <w:rFonts w:ascii="Times New Roman" w:hAnsi="Times New Roman" w:cs="Times New Roman"/>
          <w:b/>
          <w:sz w:val="24"/>
        </w:rPr>
        <w:t>Combining aeromagnetic, radiometric, and remote sensing datasets to reveal subsurface structures</w:t>
      </w:r>
      <w:r w:rsidRPr="009A173B">
        <w:rPr>
          <w:rFonts w:ascii="Times New Roman" w:hAnsi="Times New Roman" w:cs="Times New Roman"/>
          <w:b/>
          <w:spacing w:val="-10"/>
          <w:sz w:val="24"/>
        </w:rPr>
        <w:t xml:space="preserve"> </w:t>
      </w:r>
      <w:r w:rsidRPr="009A173B">
        <w:rPr>
          <w:rFonts w:ascii="Times New Roman" w:hAnsi="Times New Roman" w:cs="Times New Roman"/>
          <w:b/>
          <w:sz w:val="24"/>
        </w:rPr>
        <w:t>in</w:t>
      </w:r>
      <w:r w:rsidRPr="009A173B">
        <w:rPr>
          <w:rFonts w:ascii="Times New Roman" w:hAnsi="Times New Roman" w:cs="Times New Roman"/>
          <w:b/>
          <w:spacing w:val="-8"/>
          <w:sz w:val="24"/>
        </w:rPr>
        <w:t xml:space="preserve"> </w:t>
      </w:r>
      <w:bookmarkStart w:id="0" w:name="_GoBack"/>
      <w:bookmarkEnd w:id="0"/>
      <w:proofErr w:type="spellStart"/>
      <w:r w:rsidRPr="009A173B">
        <w:rPr>
          <w:rFonts w:ascii="Times New Roman" w:hAnsi="Times New Roman" w:cs="Times New Roman"/>
          <w:b/>
          <w:sz w:val="24"/>
        </w:rPr>
        <w:t>Ikole-Itapaji</w:t>
      </w:r>
      <w:proofErr w:type="spellEnd"/>
      <w:r w:rsidRPr="009A173B">
        <w:rPr>
          <w:rFonts w:ascii="Times New Roman" w:hAnsi="Times New Roman" w:cs="Times New Roman"/>
          <w:b/>
          <w:spacing w:val="-8"/>
          <w:sz w:val="24"/>
        </w:rPr>
        <w:t xml:space="preserve"> </w:t>
      </w:r>
      <w:r w:rsidR="004C0C97">
        <w:rPr>
          <w:rFonts w:ascii="Times New Roman" w:hAnsi="Times New Roman" w:cs="Times New Roman"/>
          <w:b/>
          <w:sz w:val="24"/>
        </w:rPr>
        <w:t>A</w:t>
      </w:r>
      <w:r w:rsidRPr="009A173B">
        <w:rPr>
          <w:rFonts w:ascii="Times New Roman" w:hAnsi="Times New Roman" w:cs="Times New Roman"/>
          <w:b/>
          <w:sz w:val="24"/>
        </w:rPr>
        <w:t>rea,</w:t>
      </w:r>
      <w:r w:rsidRPr="009A173B">
        <w:rPr>
          <w:rFonts w:ascii="Times New Roman" w:hAnsi="Times New Roman" w:cs="Times New Roman"/>
          <w:b/>
          <w:spacing w:val="-8"/>
          <w:sz w:val="24"/>
        </w:rPr>
        <w:t xml:space="preserve"> </w:t>
      </w:r>
      <w:r w:rsidRPr="009A173B">
        <w:rPr>
          <w:rFonts w:ascii="Times New Roman" w:hAnsi="Times New Roman" w:cs="Times New Roman"/>
          <w:b/>
          <w:sz w:val="24"/>
        </w:rPr>
        <w:t xml:space="preserve">Southwestern </w:t>
      </w:r>
      <w:r w:rsidRPr="009A173B">
        <w:rPr>
          <w:rFonts w:ascii="Times New Roman" w:hAnsi="Times New Roman" w:cs="Times New Roman"/>
          <w:b/>
          <w:spacing w:val="-2"/>
          <w:sz w:val="24"/>
        </w:rPr>
        <w:t>Nigeria</w:t>
      </w:r>
      <w:r w:rsidR="00601748">
        <w:rPr>
          <w:rFonts w:ascii="Times New Roman" w:hAnsi="Times New Roman" w:cs="Times New Roman"/>
          <w:b/>
          <w:spacing w:val="-2"/>
          <w:sz w:val="24"/>
        </w:rPr>
        <w:t xml:space="preserve">: </w:t>
      </w:r>
      <w:r w:rsidR="00561C45">
        <w:rPr>
          <w:rFonts w:ascii="Times New Roman" w:hAnsi="Times New Roman" w:cs="Times New Roman"/>
          <w:b/>
          <w:spacing w:val="-2"/>
          <w:sz w:val="24"/>
        </w:rPr>
        <w:t xml:space="preserve">An </w:t>
      </w:r>
      <w:r w:rsidR="00601748">
        <w:rPr>
          <w:rFonts w:ascii="Times New Roman" w:hAnsi="Times New Roman" w:cs="Times New Roman"/>
          <w:b/>
          <w:spacing w:val="-2"/>
          <w:sz w:val="24"/>
        </w:rPr>
        <w:t>Interim Report</w:t>
      </w:r>
    </w:p>
    <w:p w14:paraId="1DB04926" w14:textId="509C900B" w:rsidR="007F2FB2" w:rsidRPr="007F2FB2" w:rsidRDefault="007F2FB2" w:rsidP="00167DF6">
      <w:pPr>
        <w:spacing w:before="100" w:beforeAutospacing="1" w:after="100" w:afterAutospacing="1" w:line="240" w:lineRule="auto"/>
        <w:jc w:val="center"/>
        <w:outlineLvl w:val="2"/>
        <w:rPr>
          <w:rFonts w:ascii="Times New Roman" w:eastAsia="Times New Roman" w:hAnsi="Times New Roman" w:cs="Times New Roman"/>
          <w:b/>
          <w:bCs/>
          <w:i/>
          <w:sz w:val="24"/>
          <w:szCs w:val="24"/>
        </w:rPr>
      </w:pPr>
    </w:p>
    <w:p w14:paraId="011883D9" w14:textId="53957F15" w:rsidR="00080AC8" w:rsidRPr="00080AC8" w:rsidRDefault="00080AC8" w:rsidP="009D74C8">
      <w:pPr>
        <w:spacing w:before="100" w:beforeAutospacing="1" w:after="100" w:afterAutospacing="1" w:line="240" w:lineRule="auto"/>
        <w:jc w:val="both"/>
        <w:outlineLvl w:val="2"/>
        <w:rPr>
          <w:rFonts w:ascii="Times New Roman" w:eastAsia="Times New Roman" w:hAnsi="Times New Roman" w:cs="Times New Roman"/>
          <w:b/>
          <w:bCs/>
          <w:sz w:val="24"/>
          <w:szCs w:val="24"/>
        </w:rPr>
      </w:pPr>
      <w:r w:rsidRPr="00080AC8">
        <w:rPr>
          <w:rFonts w:ascii="Times New Roman" w:eastAsia="Times New Roman" w:hAnsi="Times New Roman" w:cs="Times New Roman"/>
          <w:b/>
          <w:bCs/>
          <w:sz w:val="24"/>
          <w:szCs w:val="24"/>
        </w:rPr>
        <w:t>Abstract</w:t>
      </w:r>
    </w:p>
    <w:p w14:paraId="2486CDD0" w14:textId="4868A7E3" w:rsidR="00601FB3" w:rsidRPr="00601FB3" w:rsidRDefault="00601FB3" w:rsidP="009D74C8">
      <w:pPr>
        <w:spacing w:before="100" w:beforeAutospacing="1" w:after="100" w:afterAutospacing="1" w:line="240" w:lineRule="auto"/>
        <w:jc w:val="both"/>
        <w:rPr>
          <w:rFonts w:ascii="Times New Roman" w:eastAsia="Times New Roman" w:hAnsi="Times New Roman" w:cs="Times New Roman"/>
          <w:sz w:val="24"/>
          <w:szCs w:val="24"/>
        </w:rPr>
      </w:pPr>
      <w:r w:rsidRPr="00601FB3">
        <w:rPr>
          <w:rFonts w:ascii="Times New Roman" w:eastAsia="Times New Roman" w:hAnsi="Times New Roman" w:cs="Times New Roman"/>
          <w:sz w:val="24"/>
          <w:szCs w:val="24"/>
        </w:rPr>
        <w:t>Despite the growing application of geophysical and remote sensing techniques in mineral exploration, many studies in Pr</w:t>
      </w:r>
      <w:r w:rsidR="00A23605">
        <w:rPr>
          <w:rFonts w:ascii="Times New Roman" w:eastAsia="Times New Roman" w:hAnsi="Times New Roman" w:cs="Times New Roman"/>
          <w:sz w:val="24"/>
          <w:szCs w:val="24"/>
        </w:rPr>
        <w:t>ecambrian basement terrains of S</w:t>
      </w:r>
      <w:r w:rsidRPr="00601FB3">
        <w:rPr>
          <w:rFonts w:ascii="Times New Roman" w:eastAsia="Times New Roman" w:hAnsi="Times New Roman" w:cs="Times New Roman"/>
          <w:sz w:val="24"/>
          <w:szCs w:val="24"/>
        </w:rPr>
        <w:t xml:space="preserve">outhwestern Nigeria lack an integrated approach that combines aeromagnetic, radiometric, and satellite datasets for robust structural and mineralization targeting. This study addresses this gap by integrating high-resolution aeromagnetic, radiometric, and Landsat 8 OLI imagery to delineate lithological variations, structural trends, and mineralization zones within the </w:t>
      </w:r>
      <w:proofErr w:type="spellStart"/>
      <w:r w:rsidRPr="00601FB3">
        <w:rPr>
          <w:rFonts w:ascii="Times New Roman" w:eastAsia="Times New Roman" w:hAnsi="Times New Roman" w:cs="Times New Roman"/>
          <w:sz w:val="24"/>
          <w:szCs w:val="24"/>
        </w:rPr>
        <w:t>Ikole</w:t>
      </w:r>
      <w:proofErr w:type="spellEnd"/>
      <w:r w:rsidRPr="00601FB3">
        <w:rPr>
          <w:rFonts w:ascii="Times New Roman" w:eastAsia="Times New Roman" w:hAnsi="Times New Roman" w:cs="Times New Roman"/>
          <w:sz w:val="24"/>
          <w:szCs w:val="24"/>
        </w:rPr>
        <w:t>–</w:t>
      </w:r>
      <w:proofErr w:type="spellStart"/>
      <w:r w:rsidRPr="00601FB3">
        <w:rPr>
          <w:rFonts w:ascii="Times New Roman" w:eastAsia="Times New Roman" w:hAnsi="Times New Roman" w:cs="Times New Roman"/>
          <w:sz w:val="24"/>
          <w:szCs w:val="24"/>
        </w:rPr>
        <w:t>Itapaji</w:t>
      </w:r>
      <w:proofErr w:type="spellEnd"/>
      <w:r w:rsidRPr="00601FB3">
        <w:rPr>
          <w:rFonts w:ascii="Times New Roman" w:eastAsia="Times New Roman" w:hAnsi="Times New Roman" w:cs="Times New Roman"/>
          <w:sz w:val="24"/>
          <w:szCs w:val="24"/>
        </w:rPr>
        <w:t xml:space="preserve"> area.</w:t>
      </w:r>
      <w:r>
        <w:rPr>
          <w:rFonts w:ascii="Times New Roman" w:eastAsia="Times New Roman" w:hAnsi="Times New Roman" w:cs="Times New Roman"/>
          <w:sz w:val="24"/>
          <w:szCs w:val="24"/>
        </w:rPr>
        <w:t xml:space="preserve"> </w:t>
      </w:r>
      <w:r w:rsidRPr="00601FB3">
        <w:rPr>
          <w:rFonts w:ascii="Times New Roman" w:eastAsia="Times New Roman" w:hAnsi="Times New Roman" w:cs="Times New Roman"/>
          <w:sz w:val="24"/>
          <w:szCs w:val="24"/>
        </w:rPr>
        <w:t>Landsat 8 OLI/TIRS imagery (scene LC09_L1TP_190054_20250211) obtained from the USGS Earth Explorer platform was used for lithological and structural mapping</w:t>
      </w:r>
      <w:r w:rsidRPr="00AF5EFD">
        <w:rPr>
          <w:rFonts w:ascii="Times New Roman" w:eastAsia="Times New Roman" w:hAnsi="Times New Roman" w:cs="Times New Roman"/>
          <w:sz w:val="24"/>
          <w:szCs w:val="24"/>
        </w:rPr>
        <w:t>.</w:t>
      </w:r>
      <w:r w:rsidR="00A23605">
        <w:rPr>
          <w:rFonts w:ascii="Times New Roman" w:eastAsia="Times New Roman" w:hAnsi="Times New Roman" w:cs="Times New Roman"/>
          <w:sz w:val="24"/>
          <w:szCs w:val="24"/>
        </w:rPr>
        <w:t xml:space="preserve"> </w:t>
      </w:r>
      <w:r w:rsidR="00AF5EFD" w:rsidRPr="00AF5EFD">
        <w:rPr>
          <w:rFonts w:ascii="Times New Roman" w:hAnsi="Times New Roman" w:cs="Times New Roman"/>
          <w:sz w:val="24"/>
          <w:szCs w:val="24"/>
        </w:rPr>
        <w:t xml:space="preserve">High-resolution airborne aeromagnetic and gamma-ray spectrometric data covering the Ado-Ekiti Sheet 244 and </w:t>
      </w:r>
      <w:proofErr w:type="spellStart"/>
      <w:r w:rsidR="00AF5EFD" w:rsidRPr="00AF5EFD">
        <w:rPr>
          <w:rFonts w:ascii="Times New Roman" w:hAnsi="Times New Roman" w:cs="Times New Roman"/>
          <w:sz w:val="24"/>
          <w:szCs w:val="24"/>
        </w:rPr>
        <w:t>Ikole</w:t>
      </w:r>
      <w:proofErr w:type="spellEnd"/>
      <w:r w:rsidR="00AF5EFD" w:rsidRPr="00AF5EFD">
        <w:rPr>
          <w:rFonts w:ascii="Times New Roman" w:hAnsi="Times New Roman" w:cs="Times New Roman"/>
          <w:sz w:val="24"/>
          <w:szCs w:val="24"/>
        </w:rPr>
        <w:t xml:space="preserve"> </w:t>
      </w:r>
      <w:r w:rsidR="00C83353">
        <w:rPr>
          <w:rFonts w:ascii="Times New Roman" w:hAnsi="Times New Roman" w:cs="Times New Roman"/>
          <w:sz w:val="24"/>
          <w:szCs w:val="24"/>
        </w:rPr>
        <w:t>Sheet</w:t>
      </w:r>
      <w:r w:rsidR="00AF5EFD" w:rsidRPr="00AF5EFD">
        <w:rPr>
          <w:rFonts w:ascii="Times New Roman" w:hAnsi="Times New Roman" w:cs="Times New Roman"/>
          <w:sz w:val="24"/>
          <w:szCs w:val="24"/>
        </w:rPr>
        <w:t xml:space="preserve"> 245</w:t>
      </w:r>
      <w:r w:rsidR="00A23605">
        <w:rPr>
          <w:rFonts w:ascii="Times New Roman" w:hAnsi="Times New Roman" w:cs="Times New Roman"/>
          <w:sz w:val="24"/>
          <w:szCs w:val="24"/>
        </w:rPr>
        <w:t>,</w:t>
      </w:r>
      <w:r w:rsidR="00AF5EFD">
        <w:rPr>
          <w:rFonts w:ascii="Times New Roman" w:hAnsi="Times New Roman" w:cs="Times New Roman"/>
          <w:sz w:val="24"/>
          <w:szCs w:val="24"/>
        </w:rPr>
        <w:t xml:space="preserve"> with the following </w:t>
      </w:r>
      <w:r w:rsidR="00A23605">
        <w:rPr>
          <w:rFonts w:ascii="Times New Roman" w:hAnsi="Times New Roman" w:cs="Times New Roman"/>
          <w:sz w:val="24"/>
          <w:szCs w:val="24"/>
        </w:rPr>
        <w:t>parameters:</w:t>
      </w:r>
      <w:r w:rsidR="00AF5EFD">
        <w:rPr>
          <w:rFonts w:ascii="Times New Roman" w:hAnsi="Times New Roman" w:cs="Times New Roman"/>
          <w:sz w:val="24"/>
          <w:szCs w:val="24"/>
        </w:rPr>
        <w:t xml:space="preserve"> </w:t>
      </w:r>
      <w:r w:rsidR="00AF5EFD" w:rsidRPr="00601FB3">
        <w:rPr>
          <w:rFonts w:ascii="Times New Roman" w:eastAsia="Times New Roman" w:hAnsi="Times New Roman" w:cs="Times New Roman"/>
          <w:sz w:val="24"/>
          <w:szCs w:val="24"/>
        </w:rPr>
        <w:t xml:space="preserve">terrain clearance of 80 m, flight line spacing of 150 m, and tie line spacing of 1500 m. </w:t>
      </w:r>
      <w:r w:rsidR="00AF5EFD" w:rsidRPr="00AF5EFD">
        <w:rPr>
          <w:rFonts w:ascii="Times New Roman" w:hAnsi="Times New Roman" w:cs="Times New Roman"/>
          <w:sz w:val="24"/>
          <w:szCs w:val="24"/>
        </w:rPr>
        <w:t xml:space="preserve"> were acquired by the Nigerian Geological Survey Agency in 20</w:t>
      </w:r>
      <w:r w:rsidR="00AF5EFD">
        <w:rPr>
          <w:rFonts w:ascii="Times New Roman" w:hAnsi="Times New Roman" w:cs="Times New Roman"/>
          <w:sz w:val="24"/>
          <w:szCs w:val="24"/>
        </w:rPr>
        <w:t>23</w:t>
      </w:r>
      <w:r w:rsidR="00AF5EFD" w:rsidRPr="00AF5EFD">
        <w:rPr>
          <w:rFonts w:ascii="Times New Roman" w:hAnsi="Times New Roman" w:cs="Times New Roman"/>
          <w:sz w:val="24"/>
          <w:szCs w:val="24"/>
        </w:rPr>
        <w:t xml:space="preserve"> and processed using </w:t>
      </w:r>
      <w:proofErr w:type="spellStart"/>
      <w:r w:rsidR="00AF5EFD" w:rsidRPr="00AF5EFD">
        <w:rPr>
          <w:rFonts w:ascii="Times New Roman" w:hAnsi="Times New Roman" w:cs="Times New Roman"/>
          <w:sz w:val="24"/>
          <w:szCs w:val="24"/>
        </w:rPr>
        <w:t>Geosoft</w:t>
      </w:r>
      <w:proofErr w:type="spellEnd"/>
      <w:r w:rsidR="00AF5EFD" w:rsidRPr="00AF5EFD">
        <w:rPr>
          <w:rFonts w:ascii="Times New Roman" w:hAnsi="Times New Roman" w:cs="Times New Roman"/>
          <w:sz w:val="24"/>
          <w:szCs w:val="24"/>
        </w:rPr>
        <w:t xml:space="preserve"> Oasis </w:t>
      </w:r>
      <w:proofErr w:type="spellStart"/>
      <w:r w:rsidR="00AF5EFD" w:rsidRPr="00AF5EFD">
        <w:rPr>
          <w:rFonts w:ascii="Times New Roman" w:hAnsi="Times New Roman" w:cs="Times New Roman"/>
          <w:sz w:val="24"/>
          <w:szCs w:val="24"/>
        </w:rPr>
        <w:t>Montaj</w:t>
      </w:r>
      <w:proofErr w:type="spellEnd"/>
      <w:r w:rsidR="00AF5EFD" w:rsidRPr="00AF5EFD">
        <w:rPr>
          <w:rFonts w:ascii="Times New Roman" w:hAnsi="Times New Roman" w:cs="Times New Roman"/>
          <w:sz w:val="24"/>
          <w:szCs w:val="24"/>
        </w:rPr>
        <w:t xml:space="preserve"> 8.4 (HJ)</w:t>
      </w:r>
      <w:r w:rsidR="00AF5EFD">
        <w:rPr>
          <w:rFonts w:ascii="Times New Roman" w:hAnsi="Times New Roman" w:cs="Times New Roman"/>
          <w:sz w:val="24"/>
          <w:szCs w:val="24"/>
        </w:rPr>
        <w:t>.</w:t>
      </w:r>
      <w:r w:rsidRPr="00601FB3">
        <w:rPr>
          <w:rFonts w:ascii="Times New Roman" w:eastAsia="Times New Roman" w:hAnsi="Times New Roman" w:cs="Times New Roman"/>
          <w:sz w:val="24"/>
          <w:szCs w:val="24"/>
        </w:rPr>
        <w:t xml:space="preserve"> The methodology involved IGRF correction of Total Magnetic Intensity (TMI) data, polynomial filtering for regional–residual separation, and Reduction to the Equator (RTE) to enhance anomaly positioning. Analytical Signal and Euler deconvolution were applied to delineate structural boundaries and estimate source depths, while radiometric processing and potassium deviation mapping highlighted alteration zones. Remote sensi</w:t>
      </w:r>
      <w:r w:rsidR="00563DF4">
        <w:rPr>
          <w:rFonts w:ascii="Times New Roman" w:eastAsia="Times New Roman" w:hAnsi="Times New Roman" w:cs="Times New Roman"/>
          <w:sz w:val="24"/>
          <w:szCs w:val="24"/>
        </w:rPr>
        <w:t>ng analysis included principal component analysis (PCA)</w:t>
      </w:r>
      <w:r w:rsidRPr="00601FB3">
        <w:rPr>
          <w:rFonts w:ascii="Times New Roman" w:eastAsia="Times New Roman" w:hAnsi="Times New Roman" w:cs="Times New Roman"/>
          <w:sz w:val="24"/>
          <w:szCs w:val="24"/>
        </w:rPr>
        <w:t xml:space="preserve"> and automated lineament extraction.</w:t>
      </w:r>
      <w:r>
        <w:rPr>
          <w:rFonts w:ascii="Times New Roman" w:eastAsia="Times New Roman" w:hAnsi="Times New Roman" w:cs="Times New Roman"/>
          <w:sz w:val="24"/>
          <w:szCs w:val="24"/>
        </w:rPr>
        <w:t xml:space="preserve"> </w:t>
      </w:r>
      <w:r w:rsidRPr="00601FB3">
        <w:rPr>
          <w:rFonts w:ascii="Times New Roman" w:eastAsia="Times New Roman" w:hAnsi="Times New Roman" w:cs="Times New Roman"/>
          <w:sz w:val="24"/>
          <w:szCs w:val="24"/>
        </w:rPr>
        <w:t xml:space="preserve">Results reveal dominant NE–SW and NW–SE structural trends, with high lineament density concentrated along the </w:t>
      </w:r>
      <w:proofErr w:type="spellStart"/>
      <w:r w:rsidRPr="00601FB3">
        <w:rPr>
          <w:rFonts w:ascii="Times New Roman" w:eastAsia="Times New Roman" w:hAnsi="Times New Roman" w:cs="Times New Roman"/>
          <w:sz w:val="24"/>
          <w:szCs w:val="24"/>
        </w:rPr>
        <w:t>Itapaji</w:t>
      </w:r>
      <w:proofErr w:type="spellEnd"/>
      <w:r w:rsidRPr="00601FB3">
        <w:rPr>
          <w:rFonts w:ascii="Times New Roman" w:eastAsia="Times New Roman" w:hAnsi="Times New Roman" w:cs="Times New Roman"/>
          <w:sz w:val="24"/>
          <w:szCs w:val="24"/>
        </w:rPr>
        <w:t>–</w:t>
      </w:r>
      <w:proofErr w:type="spellStart"/>
      <w:r w:rsidRPr="00601FB3">
        <w:rPr>
          <w:rFonts w:ascii="Times New Roman" w:eastAsia="Times New Roman" w:hAnsi="Times New Roman" w:cs="Times New Roman"/>
          <w:sz w:val="24"/>
          <w:szCs w:val="24"/>
        </w:rPr>
        <w:t>Bolorunduro</w:t>
      </w:r>
      <w:proofErr w:type="spellEnd"/>
      <w:r w:rsidRPr="00601FB3">
        <w:rPr>
          <w:rFonts w:ascii="Times New Roman" w:eastAsia="Times New Roman" w:hAnsi="Times New Roman" w:cs="Times New Roman"/>
          <w:sz w:val="24"/>
          <w:szCs w:val="24"/>
        </w:rPr>
        <w:t xml:space="preserve"> axis. Euler solutions indicate shallow, structurally controlled sources at depths of approximately </w:t>
      </w:r>
      <w:r w:rsidRPr="002C61AB">
        <w:rPr>
          <w:rFonts w:ascii="Times New Roman" w:eastAsia="Times New Roman" w:hAnsi="Times New Roman" w:cs="Times New Roman"/>
          <w:bCs/>
          <w:sz w:val="24"/>
          <w:szCs w:val="24"/>
        </w:rPr>
        <w:t>0.5–2.5 km</w:t>
      </w:r>
      <w:r w:rsidRPr="00601FB3">
        <w:rPr>
          <w:rFonts w:ascii="Times New Roman" w:eastAsia="Times New Roman" w:hAnsi="Times New Roman" w:cs="Times New Roman"/>
          <w:sz w:val="24"/>
          <w:szCs w:val="24"/>
        </w:rPr>
        <w:t>.</w:t>
      </w:r>
      <w:r w:rsidR="00563DF4">
        <w:rPr>
          <w:rFonts w:ascii="Times New Roman" w:eastAsia="Times New Roman" w:hAnsi="Times New Roman" w:cs="Times New Roman"/>
          <w:sz w:val="24"/>
          <w:szCs w:val="24"/>
        </w:rPr>
        <w:t xml:space="preserve"> </w:t>
      </w:r>
      <w:r w:rsidRPr="00601FB3">
        <w:rPr>
          <w:rFonts w:ascii="Times New Roman" w:eastAsia="Times New Roman" w:hAnsi="Times New Roman" w:cs="Times New Roman"/>
          <w:sz w:val="24"/>
          <w:szCs w:val="24"/>
        </w:rPr>
        <w:t xml:space="preserve">Radiometric analysis shows significant potassium enrichment, indicating hydrothermal alteration. Mineralization is interpreted as </w:t>
      </w:r>
      <w:r w:rsidRPr="002C61AB">
        <w:rPr>
          <w:rFonts w:ascii="Times New Roman" w:eastAsia="Times New Roman" w:hAnsi="Times New Roman" w:cs="Times New Roman"/>
          <w:bCs/>
          <w:sz w:val="24"/>
          <w:szCs w:val="24"/>
        </w:rPr>
        <w:t>structurally controlled hydrothermal mineralization associated with quartz veins and pegmatitic intrusions</w:t>
      </w:r>
      <w:r w:rsidRPr="00601FB3">
        <w:rPr>
          <w:rFonts w:ascii="Times New Roman" w:eastAsia="Times New Roman" w:hAnsi="Times New Roman" w:cs="Times New Roman"/>
          <w:sz w:val="24"/>
          <w:szCs w:val="24"/>
        </w:rPr>
        <w:t xml:space="preserve">. The </w:t>
      </w:r>
      <w:proofErr w:type="spellStart"/>
      <w:r w:rsidRPr="00601FB3">
        <w:rPr>
          <w:rFonts w:ascii="Times New Roman" w:eastAsia="Times New Roman" w:hAnsi="Times New Roman" w:cs="Times New Roman"/>
          <w:sz w:val="24"/>
          <w:szCs w:val="24"/>
        </w:rPr>
        <w:t>Itapaji</w:t>
      </w:r>
      <w:proofErr w:type="spellEnd"/>
      <w:r w:rsidRPr="00601FB3">
        <w:rPr>
          <w:rFonts w:ascii="Times New Roman" w:eastAsia="Times New Roman" w:hAnsi="Times New Roman" w:cs="Times New Roman"/>
          <w:sz w:val="24"/>
          <w:szCs w:val="24"/>
        </w:rPr>
        <w:t>–</w:t>
      </w:r>
      <w:proofErr w:type="spellStart"/>
      <w:r w:rsidRPr="00601FB3">
        <w:rPr>
          <w:rFonts w:ascii="Times New Roman" w:eastAsia="Times New Roman" w:hAnsi="Times New Roman" w:cs="Times New Roman"/>
          <w:sz w:val="24"/>
          <w:szCs w:val="24"/>
        </w:rPr>
        <w:t>Bolorunduro</w:t>
      </w:r>
      <w:proofErr w:type="spellEnd"/>
      <w:r w:rsidRPr="00601FB3">
        <w:rPr>
          <w:rFonts w:ascii="Times New Roman" w:eastAsia="Times New Roman" w:hAnsi="Times New Roman" w:cs="Times New Roman"/>
          <w:sz w:val="24"/>
          <w:szCs w:val="24"/>
        </w:rPr>
        <w:t xml:space="preserve"> corridor is identified as the most prospective zone due to the convergence of favorable structures, shallow mineralization depth, and strong alteration signatures.</w:t>
      </w:r>
    </w:p>
    <w:p w14:paraId="62925DF5" w14:textId="77777777" w:rsidR="00080AC8" w:rsidRPr="00C41D4A" w:rsidRDefault="00E72998" w:rsidP="009D74C8">
      <w:pPr>
        <w:pStyle w:val="NormalWeb"/>
        <w:jc w:val="both"/>
        <w:rPr>
          <w:i/>
        </w:rPr>
      </w:pPr>
      <w:r>
        <w:rPr>
          <w:b/>
          <w:i/>
        </w:rPr>
        <w:t>Keywords</w:t>
      </w:r>
      <w:r w:rsidR="00080AC8" w:rsidRPr="00654839">
        <w:rPr>
          <w:b/>
          <w:i/>
        </w:rPr>
        <w:t xml:space="preserve">: </w:t>
      </w:r>
      <w:proofErr w:type="spellStart"/>
      <w:r w:rsidR="00080AC8" w:rsidRPr="00C41D4A">
        <w:rPr>
          <w:i/>
        </w:rPr>
        <w:t>Itapaji</w:t>
      </w:r>
      <w:proofErr w:type="spellEnd"/>
      <w:r w:rsidR="00080AC8" w:rsidRPr="00C41D4A">
        <w:rPr>
          <w:i/>
        </w:rPr>
        <w:t xml:space="preserve">, Mineralization, </w:t>
      </w:r>
      <w:r w:rsidR="00654839" w:rsidRPr="00C41D4A">
        <w:rPr>
          <w:i/>
        </w:rPr>
        <w:t>Landsat, Hydrothermal alteration, Aeromagnetic, Structural lineament</w:t>
      </w:r>
    </w:p>
    <w:p w14:paraId="1E7E9B9A" w14:textId="77777777" w:rsidR="00167DF6" w:rsidRDefault="00167DF6" w:rsidP="009D74C8">
      <w:pPr>
        <w:spacing w:before="100" w:beforeAutospacing="1" w:after="100" w:afterAutospacing="1" w:line="240" w:lineRule="auto"/>
        <w:jc w:val="both"/>
        <w:outlineLvl w:val="2"/>
        <w:rPr>
          <w:rFonts w:ascii="Times New Roman" w:eastAsia="Times New Roman" w:hAnsi="Times New Roman" w:cs="Times New Roman"/>
          <w:bCs/>
          <w:sz w:val="24"/>
          <w:szCs w:val="24"/>
        </w:rPr>
      </w:pPr>
    </w:p>
    <w:p w14:paraId="0AF0BF1E" w14:textId="58826C39" w:rsidR="00DA4193" w:rsidRPr="00DA4193" w:rsidRDefault="00DA4193" w:rsidP="009D74C8">
      <w:pPr>
        <w:spacing w:before="100" w:beforeAutospacing="1" w:after="100" w:afterAutospacing="1" w:line="240" w:lineRule="auto"/>
        <w:jc w:val="both"/>
        <w:outlineLvl w:val="2"/>
        <w:rPr>
          <w:rFonts w:ascii="Times New Roman" w:eastAsia="Times New Roman" w:hAnsi="Times New Roman" w:cs="Times New Roman"/>
          <w:b/>
          <w:bCs/>
          <w:sz w:val="24"/>
          <w:szCs w:val="24"/>
        </w:rPr>
      </w:pPr>
      <w:r w:rsidRPr="00F557F4">
        <w:rPr>
          <w:rFonts w:ascii="Times New Roman" w:eastAsia="Times New Roman" w:hAnsi="Times New Roman" w:cs="Times New Roman"/>
          <w:b/>
          <w:bCs/>
          <w:sz w:val="24"/>
          <w:szCs w:val="24"/>
        </w:rPr>
        <w:t>1. Introduction</w:t>
      </w:r>
    </w:p>
    <w:p w14:paraId="50E09752" w14:textId="6BBA6BFB" w:rsidR="004A4A9D" w:rsidRDefault="00582E84" w:rsidP="009D74C8">
      <w:pPr>
        <w:pStyle w:val="NormalWeb"/>
        <w:jc w:val="both"/>
      </w:pPr>
      <w:r>
        <w:t>The growing global demand for critical and metallic minerals has intensified exploration within Precambrian base</w:t>
      </w:r>
      <w:r w:rsidR="00A23605">
        <w:t>ment terrains, particularly in S</w:t>
      </w:r>
      <w:r>
        <w:t xml:space="preserve">outhwestern Nigeria. The Nigerian Basement Complex is known to host structurally controlled mineralization, including gold and rare metal deposits associated with pegmatites. In recent years, the integration of geophysical and remote sensing techniques has become increasingly effective for mineral exploration, as aeromagnetic data reveals subsurface lithological variations and structural features, while remote sensing enables the identification of hydrothermal alteration zones and lineaments linked to mineralizing processes (Abubakar, 2023; </w:t>
      </w:r>
      <w:proofErr w:type="spellStart"/>
      <w:r>
        <w:t>Salako</w:t>
      </w:r>
      <w:proofErr w:type="spellEnd"/>
      <w:r>
        <w:t xml:space="preserve"> et al., 2024; </w:t>
      </w:r>
      <w:proofErr w:type="spellStart"/>
      <w:r>
        <w:t>Ogah</w:t>
      </w:r>
      <w:proofErr w:type="spellEnd"/>
      <w:r>
        <w:t xml:space="preserve"> &amp; Abubakar, 2024).</w:t>
      </w:r>
      <w:r w:rsidR="00261D90">
        <w:t xml:space="preserve"> </w:t>
      </w:r>
      <w:r>
        <w:t xml:space="preserve">The </w:t>
      </w:r>
      <w:proofErr w:type="spellStart"/>
      <w:r>
        <w:t>Ikole</w:t>
      </w:r>
      <w:proofErr w:type="spellEnd"/>
      <w:r>
        <w:t>–</w:t>
      </w:r>
      <w:proofErr w:type="spellStart"/>
      <w:r>
        <w:t>Itapaji</w:t>
      </w:r>
      <w:proofErr w:type="spellEnd"/>
      <w:r>
        <w:t xml:space="preserve"> area lies within this basement terrain and is predominantly underlain by migmatite–gneiss complexes, granites, and minor schist belts, which are </w:t>
      </w:r>
      <w:proofErr w:type="spellStart"/>
      <w:r>
        <w:t>favourable</w:t>
      </w:r>
      <w:proofErr w:type="spellEnd"/>
      <w:r>
        <w:t xml:space="preserve"> for mineralization. Previous studies in and around the region have mainly focused on regional geological mapping and isolated applications of geophysical or remote sensing techniques. For instance, aeromagnetic and radiometric data have been used to delineate structural trends and infer mineralization potential in parts of Ekiti and </w:t>
      </w:r>
      <w:r>
        <w:lastRenderedPageBreak/>
        <w:t>adjacent areas, while remote sensing studies have mapped alteration zones and structural controls (</w:t>
      </w:r>
      <w:proofErr w:type="spellStart"/>
      <w:r>
        <w:t>Salako</w:t>
      </w:r>
      <w:proofErr w:type="spellEnd"/>
      <w:r>
        <w:t xml:space="preserve"> et al., 2024; </w:t>
      </w:r>
      <w:proofErr w:type="spellStart"/>
      <w:r>
        <w:t>Ogah</w:t>
      </w:r>
      <w:proofErr w:type="spellEnd"/>
      <w:r>
        <w:t xml:space="preserve"> &amp; Abubakar, 2024).</w:t>
      </w:r>
      <w:r w:rsidR="00464D3C">
        <w:t xml:space="preserve"> </w:t>
      </w:r>
    </w:p>
    <w:p w14:paraId="531A122F" w14:textId="233E370F" w:rsidR="00582E84" w:rsidRDefault="004C4DCF" w:rsidP="009D74C8">
      <w:pPr>
        <w:pStyle w:val="NormalWeb"/>
        <w:jc w:val="both"/>
      </w:pPr>
      <w:r>
        <w:t xml:space="preserve">Despite the well-established geological framework and recognized mineralization potential of the </w:t>
      </w:r>
      <w:proofErr w:type="spellStart"/>
      <w:r>
        <w:t>Ikole</w:t>
      </w:r>
      <w:proofErr w:type="spellEnd"/>
      <w:r>
        <w:t>–</w:t>
      </w:r>
      <w:proofErr w:type="spellStart"/>
      <w:r>
        <w:t>Itapaji</w:t>
      </w:r>
      <w:proofErr w:type="spellEnd"/>
      <w:r>
        <w:t xml:space="preserve"> area within the Pan-African Mobile Belt, previous investigations have not produced a coherent, high-resolution model of its fundamental structural architecture or clearly defined the spatial relationships</w:t>
      </w:r>
      <w:r w:rsidR="00582E84">
        <w:t xml:space="preserve"> between subsurface structures and mineralization zones. The reliance on traditional field mapping, often constrained by dense vegetation cover and thick regolith, has further limited the accurate characterization of subsurface structural geometry. Consequently, a critical knowledge gap persists in understanding the depth</w:t>
      </w:r>
      <w:r w:rsidR="004A4A9D">
        <w:t>,</w:t>
      </w:r>
      <w:r w:rsidR="00582E84">
        <w:t xml:space="preserve"> extent, continuity, and connectivity of ore-controlling structures, thereby hindering the transition from reconnaissance-based exploration to predictive mineral targeting (</w:t>
      </w:r>
      <w:proofErr w:type="spellStart"/>
      <w:r w:rsidR="00582E84">
        <w:t>Ogah</w:t>
      </w:r>
      <w:proofErr w:type="spellEnd"/>
      <w:r w:rsidR="00582E84">
        <w:t xml:space="preserve"> &amp; Abubakar, 2024).</w:t>
      </w:r>
      <w:r w:rsidR="00261D90">
        <w:t xml:space="preserve"> </w:t>
      </w:r>
      <w:r w:rsidR="00582E84">
        <w:t>This study</w:t>
      </w:r>
      <w:r w:rsidR="004A4A9D">
        <w:t>,</w:t>
      </w:r>
      <w:r w:rsidR="00582E84">
        <w:t xml:space="preserve"> therefore</w:t>
      </w:r>
      <w:r w:rsidR="00464D3C">
        <w:t>,</w:t>
      </w:r>
      <w:r w:rsidR="00582E84">
        <w:t xml:space="preserve"> addresses these limitations by integrating high-resolution aeromagnetic, radiometric, and remote sensing datasets to provide a comprehensive evaluation of the structural framework and mineralization potential of the </w:t>
      </w:r>
      <w:proofErr w:type="spellStart"/>
      <w:r w:rsidR="00582E84">
        <w:t>Ikole</w:t>
      </w:r>
      <w:proofErr w:type="spellEnd"/>
      <w:r w:rsidR="00582E84">
        <w:t>–</w:t>
      </w:r>
      <w:proofErr w:type="spellStart"/>
      <w:r w:rsidR="00582E84">
        <w:t>Itapaji</w:t>
      </w:r>
      <w:proofErr w:type="spellEnd"/>
      <w:r w:rsidR="00582E84">
        <w:t xml:space="preserve"> area. The integrated approach adopted in this study aims to improve the delineation of structurally controlled mineralized zones, establish the relationship between subsurface geophysical signatures and surface alteration patterns, and enhance exploration targeting within the Nigerian Basement Complex (</w:t>
      </w:r>
      <w:proofErr w:type="spellStart"/>
      <w:r w:rsidR="00582E84">
        <w:t>Salako</w:t>
      </w:r>
      <w:proofErr w:type="spellEnd"/>
      <w:r w:rsidR="00582E84">
        <w:t xml:space="preserve"> et al., 2024).</w:t>
      </w:r>
    </w:p>
    <w:p w14:paraId="2A387668" w14:textId="2676B0B2" w:rsidR="00C94C56" w:rsidRDefault="002C5775" w:rsidP="009D74C8">
      <w:pPr>
        <w:pStyle w:val="Heading3"/>
        <w:jc w:val="both"/>
      </w:pPr>
      <w:r>
        <w:rPr>
          <w:rStyle w:val="Strong"/>
          <w:b/>
          <w:bCs/>
        </w:rPr>
        <w:t>2.</w:t>
      </w:r>
      <w:r w:rsidR="000F695B">
        <w:rPr>
          <w:rStyle w:val="Strong"/>
          <w:b/>
          <w:bCs/>
        </w:rPr>
        <w:t>0</w:t>
      </w:r>
      <w:r>
        <w:rPr>
          <w:rStyle w:val="Strong"/>
          <w:b/>
          <w:bCs/>
        </w:rPr>
        <w:t xml:space="preserve"> The study a</w:t>
      </w:r>
      <w:r w:rsidR="00C94C56">
        <w:rPr>
          <w:rStyle w:val="Strong"/>
          <w:b/>
          <w:bCs/>
        </w:rPr>
        <w:t>rea</w:t>
      </w:r>
    </w:p>
    <w:p w14:paraId="53234BBF" w14:textId="0EE3EB28" w:rsidR="00C94C56" w:rsidRDefault="00C94C56" w:rsidP="009D74C8">
      <w:pPr>
        <w:pStyle w:val="NormalWeb"/>
        <w:jc w:val="both"/>
      </w:pPr>
      <w:r>
        <w:t xml:space="preserve">The study area is located within the </w:t>
      </w:r>
      <w:proofErr w:type="spellStart"/>
      <w:r>
        <w:t>Ikole</w:t>
      </w:r>
      <w:proofErr w:type="spellEnd"/>
      <w:r>
        <w:t>–</w:t>
      </w:r>
      <w:proofErr w:type="spellStart"/>
      <w:r w:rsidR="00DF79BB">
        <w:t>Itapaji</w:t>
      </w:r>
      <w:proofErr w:type="spellEnd"/>
      <w:r w:rsidR="00DF79BB">
        <w:t xml:space="preserve"> axis of Ekiti State in S</w:t>
      </w:r>
      <w:r>
        <w:t xml:space="preserve">outhwestern Nigeria, forming part of the Precambrian Basement Complex of the West African Craton. It lies approximately between latitudes 7°45′N–8°05′N and longitudes 5°20′E–5°40′E, encompassing </w:t>
      </w:r>
      <w:proofErr w:type="spellStart"/>
      <w:r>
        <w:t>Ikole</w:t>
      </w:r>
      <w:proofErr w:type="spellEnd"/>
      <w:r>
        <w:t xml:space="preserve">-Ekiti, </w:t>
      </w:r>
      <w:proofErr w:type="spellStart"/>
      <w:r>
        <w:t>Itapaji</w:t>
      </w:r>
      <w:proofErr w:type="spellEnd"/>
      <w:r>
        <w:t>, and adjoining settlements. The terrain is characterized by undulating topography with elevations ranging from about 300 to over 600 m above sea level, typical of basement terrains marked by ridges and inselbergs (</w:t>
      </w:r>
      <w:proofErr w:type="spellStart"/>
      <w:r>
        <w:t>Ojo</w:t>
      </w:r>
      <w:proofErr w:type="spellEnd"/>
      <w:r>
        <w:t xml:space="preserve"> et al., 2024). Geologically, the area is dominated by migmatite–gneiss complexes, granitic intrusions, and minor schist belts, which are characteristic of the Nigerian Basement Complex and are widely associated with mineralization processes (</w:t>
      </w:r>
      <w:proofErr w:type="spellStart"/>
      <w:r>
        <w:t>Adetunla</w:t>
      </w:r>
      <w:proofErr w:type="spellEnd"/>
      <w:r>
        <w:t xml:space="preserve"> et al., 2025). These lithologies have undergone multiple episodes of deformation, metamorphism, and magmatism, resulting in well-developed structural features such as faults, fractures, and joints that serve as conduits for hydrothermal fluids (</w:t>
      </w:r>
      <w:proofErr w:type="spellStart"/>
      <w:r>
        <w:t>Ogah</w:t>
      </w:r>
      <w:proofErr w:type="spellEnd"/>
      <w:r>
        <w:t xml:space="preserve"> &amp; Abubakar, 2024). The occurrence of pegmatitic intrusions within the granitic units further enhances the mineralization potential of the area, particularly for rare metals.</w:t>
      </w:r>
    </w:p>
    <w:p w14:paraId="0C1DC1AC" w14:textId="77777777" w:rsidR="00C94C56" w:rsidRDefault="00C94C56" w:rsidP="009D74C8">
      <w:pPr>
        <w:pStyle w:val="NormalWeb"/>
        <w:jc w:val="both"/>
      </w:pPr>
      <w:r>
        <w:t xml:space="preserve">Climatically, the region falls within the tropical humid zone, with distinct wet and dry seasons and annual rainfall exceeding 1200 mm. Vegetation is mainly derived savannah with patches of secondary forest, which moderately affects surface exposure during geological and remote sensing investigations. The area is relatively accessible through a network of roads linking </w:t>
      </w:r>
      <w:proofErr w:type="spellStart"/>
      <w:r>
        <w:t>Ikole</w:t>
      </w:r>
      <w:proofErr w:type="spellEnd"/>
      <w:r>
        <w:t>-Ekiti to other parts of Ekiti State.</w:t>
      </w:r>
      <w:r w:rsidR="005A734E">
        <w:t xml:space="preserve"> </w:t>
      </w:r>
      <w:r>
        <w:t xml:space="preserve">Overall, the </w:t>
      </w:r>
      <w:proofErr w:type="spellStart"/>
      <w:r>
        <w:t>favourable</w:t>
      </w:r>
      <w:proofErr w:type="spellEnd"/>
      <w:r>
        <w:t xml:space="preserve"> lithological composition, combined with a complex structural framework, makes the </w:t>
      </w:r>
      <w:proofErr w:type="spellStart"/>
      <w:r>
        <w:t>Ikole</w:t>
      </w:r>
      <w:proofErr w:type="spellEnd"/>
      <w:r>
        <w:t>–</w:t>
      </w:r>
      <w:proofErr w:type="spellStart"/>
      <w:r>
        <w:t>Itapaji</w:t>
      </w:r>
      <w:proofErr w:type="spellEnd"/>
      <w:r>
        <w:t xml:space="preserve"> area a promising target for integrated geophysical and remote sensing studies </w:t>
      </w:r>
      <w:r w:rsidR="00127AB9">
        <w:t>to delineate</w:t>
      </w:r>
      <w:r>
        <w:t xml:space="preserve"> zones of mineralization (</w:t>
      </w:r>
      <w:proofErr w:type="spellStart"/>
      <w:r>
        <w:t>Salako</w:t>
      </w:r>
      <w:proofErr w:type="spellEnd"/>
      <w:r>
        <w:t xml:space="preserve"> et al., 2024).</w:t>
      </w:r>
    </w:p>
    <w:p w14:paraId="6C9B8A72" w14:textId="75AF090A" w:rsidR="006A4F9C" w:rsidRDefault="006A4F9C" w:rsidP="009D74C8">
      <w:pPr>
        <w:pStyle w:val="Heading3"/>
        <w:jc w:val="both"/>
      </w:pPr>
      <w:r>
        <w:rPr>
          <w:rStyle w:val="Strong"/>
          <w:b/>
          <w:bCs/>
        </w:rPr>
        <w:t xml:space="preserve">2.1 </w:t>
      </w:r>
      <w:r w:rsidR="00A23605">
        <w:rPr>
          <w:rStyle w:val="Strong"/>
          <w:b/>
          <w:bCs/>
        </w:rPr>
        <w:t xml:space="preserve">Regional </w:t>
      </w:r>
      <w:r>
        <w:rPr>
          <w:rStyle w:val="Strong"/>
          <w:b/>
          <w:bCs/>
        </w:rPr>
        <w:t>Geological Setting</w:t>
      </w:r>
    </w:p>
    <w:p w14:paraId="261B22A3" w14:textId="3111E682" w:rsidR="00AB4E24" w:rsidRDefault="006A4F9C" w:rsidP="009D74C8">
      <w:pPr>
        <w:pStyle w:val="NormalWeb"/>
        <w:ind w:left="-270"/>
        <w:jc w:val="both"/>
      </w:pPr>
      <w:r>
        <w:t>The study area is located within southwestern Nigeria, forming part of the Precambrian Basement Complex of the W</w:t>
      </w:r>
      <w:r w:rsidR="00DF408F">
        <w:t>est African Craton</w:t>
      </w:r>
      <w:r>
        <w:t xml:space="preserve">. This crystalline basement terrain is distinct from the surrounding sedimentary basins, including the Sokoto Basin, Chad Basin, </w:t>
      </w:r>
      <w:proofErr w:type="spellStart"/>
      <w:r>
        <w:t>Bida</w:t>
      </w:r>
      <w:proofErr w:type="spellEnd"/>
      <w:r>
        <w:t xml:space="preserve"> Basin, and the Benue Trough, which are largely composed of Cretaceous to Tertiary sediments (</w:t>
      </w:r>
      <w:proofErr w:type="spellStart"/>
      <w:r>
        <w:t>Ojo</w:t>
      </w:r>
      <w:proofErr w:type="spellEnd"/>
      <w:r>
        <w:t xml:space="preserve"> et al., 2024). The southwestern region, including the </w:t>
      </w:r>
      <w:proofErr w:type="spellStart"/>
      <w:r>
        <w:t>Ikole</w:t>
      </w:r>
      <w:proofErr w:type="spellEnd"/>
      <w:r>
        <w:t>–</w:t>
      </w:r>
      <w:proofErr w:type="spellStart"/>
      <w:r>
        <w:t>Itapaji</w:t>
      </w:r>
      <w:proofErr w:type="spellEnd"/>
      <w:r>
        <w:t xml:space="preserve"> axis, is dominated by crystalline rocks that have undergone extensive tectono-metamorphic evolution. The Nigerian Basement Complex evolved through multiple orogenic events, notably the Liberian, Eburnean, and Pan-African cycles, which resulted in </w:t>
      </w:r>
      <w:r>
        <w:lastRenderedPageBreak/>
        <w:t>widespread deformation, metamorphism, and granitoid emplacement (</w:t>
      </w:r>
      <w:proofErr w:type="spellStart"/>
      <w:r>
        <w:t>Adetunla</w:t>
      </w:r>
      <w:proofErr w:type="spellEnd"/>
      <w:r>
        <w:t xml:space="preserve"> et al., 2025). These processes led to the development of major lithological units, including the migmatite–gneiss complex, schist belts, and Pan-African granitoids. In the study area, migmatite–gneiss and granitic rocks are predominant, with minor metasedimentary occurrences. Structurally, the area is characterized by well-developed faults, fractures, and foliations, predominantly trending NE–SW and NW–SE, reflecting the imprint of Pan-African deformation</w:t>
      </w:r>
      <w:r w:rsidR="002D646B">
        <w:t>al event</w:t>
      </w:r>
      <w:r>
        <w:t xml:space="preserve"> (</w:t>
      </w:r>
      <w:proofErr w:type="spellStart"/>
      <w:r>
        <w:t>Ogah</w:t>
      </w:r>
      <w:proofErr w:type="spellEnd"/>
      <w:r>
        <w:t xml:space="preserve"> &amp; Abubakar, 2024). These structures are critical in controlling hydrothermal fluid flow and mineral deposition. Mineralization within the Basement Complex is commonly associated with quartz veins, pegmatites, and shear zones. The presence of granitic and pegmatitic intrusions within the </w:t>
      </w:r>
      <w:proofErr w:type="spellStart"/>
      <w:r>
        <w:t>Ikole</w:t>
      </w:r>
      <w:proofErr w:type="spellEnd"/>
      <w:r>
        <w:t>–</w:t>
      </w:r>
      <w:proofErr w:type="spellStart"/>
      <w:r>
        <w:t>Itapaji</w:t>
      </w:r>
      <w:proofErr w:type="spellEnd"/>
      <w:r>
        <w:t xml:space="preserve"> area further suggests </w:t>
      </w:r>
      <w:proofErr w:type="spellStart"/>
      <w:r>
        <w:t>favourable</w:t>
      </w:r>
      <w:proofErr w:type="spellEnd"/>
      <w:r>
        <w:t xml:space="preserve"> conditions for mineralization. Recent studies have demonstrated the effectiveness of integrated geophysical methods in delineating such structurally controlled mineralized zones (</w:t>
      </w:r>
      <w:proofErr w:type="spellStart"/>
      <w:r>
        <w:t>Salako</w:t>
      </w:r>
      <w:proofErr w:type="spellEnd"/>
      <w:r>
        <w:t xml:space="preserve"> et al., 2024). The geological framework of the study area reflects a complex interplay of lithology and structure, providing a suitable environment f</w:t>
      </w:r>
      <w:r w:rsidR="00DF79BB">
        <w:t>or mineralization and justification for</w:t>
      </w:r>
      <w:r>
        <w:t xml:space="preserve"> integrated geophysical and remote sensing investigations</w:t>
      </w:r>
      <w:r w:rsidR="00DF408F">
        <w:t xml:space="preserve"> </w:t>
      </w:r>
      <w:r w:rsidR="00DF408F" w:rsidRPr="00DF408F">
        <w:rPr>
          <w:b/>
        </w:rPr>
        <w:t>(Fig</w:t>
      </w:r>
      <w:r w:rsidRPr="00DF408F">
        <w:rPr>
          <w:b/>
        </w:rPr>
        <w:t>.</w:t>
      </w:r>
      <w:r w:rsidR="00DF408F" w:rsidRPr="00DF408F">
        <w:rPr>
          <w:b/>
        </w:rPr>
        <w:t xml:space="preserve"> 1)</w:t>
      </w:r>
    </w:p>
    <w:p w14:paraId="7A0C9E5A" w14:textId="0594C9B9" w:rsidR="00882464" w:rsidRDefault="00882464" w:rsidP="009D74C8">
      <w:pPr>
        <w:pStyle w:val="NormalWeb"/>
        <w:ind w:left="-270"/>
        <w:jc w:val="both"/>
      </w:pPr>
      <w:r>
        <w:t xml:space="preserve">The geological map delineates the principal lithological units within the Precambrian Basement Complex of Southwestern Nigeria, particularly within the Ekiti basement terrain. The lithological framework reflects a long and complex evolution involving high-grade metamorphism, magmatism, and tectonic reworking associated mainly with the Pan-African orogeny (~600 ± 150 Ma). Regional geological syntheses have long established that the Nigerian Basement Complex is dominated by migmatite–gneiss complexes, granitoids, and related intrusive rocks formed during successive </w:t>
      </w:r>
      <w:proofErr w:type="spellStart"/>
      <w:r>
        <w:t>tectonothermal</w:t>
      </w:r>
      <w:proofErr w:type="spellEnd"/>
      <w:r>
        <w:t xml:space="preserve"> events (</w:t>
      </w:r>
      <w:proofErr w:type="spellStart"/>
      <w:r>
        <w:t>Rahaman</w:t>
      </w:r>
      <w:proofErr w:type="spellEnd"/>
      <w:r>
        <w:t xml:space="preserve">, 1988; </w:t>
      </w:r>
      <w:proofErr w:type="spellStart"/>
      <w:r>
        <w:t>Oyinloye</w:t>
      </w:r>
      <w:proofErr w:type="spellEnd"/>
      <w:r>
        <w:t xml:space="preserve">, 2011). The </w:t>
      </w:r>
      <w:r w:rsidRPr="006E1CF3">
        <w:rPr>
          <w:rStyle w:val="Strong"/>
          <w:b w:val="0"/>
        </w:rPr>
        <w:t>migmatite (Mg)</w:t>
      </w:r>
      <w:r w:rsidRPr="006E1CF3">
        <w:rPr>
          <w:b/>
        </w:rPr>
        <w:t xml:space="preserve"> </w:t>
      </w:r>
      <w:r>
        <w:t xml:space="preserve">unit dominates the southern and lower-central portions of the study area, especially around </w:t>
      </w:r>
      <w:proofErr w:type="spellStart"/>
      <w:r>
        <w:t>Ikole</w:t>
      </w:r>
      <w:proofErr w:type="spellEnd"/>
      <w:r>
        <w:t xml:space="preserve"> and </w:t>
      </w:r>
      <w:proofErr w:type="spellStart"/>
      <w:r>
        <w:t>Odo</w:t>
      </w:r>
      <w:proofErr w:type="spellEnd"/>
      <w:r>
        <w:t xml:space="preserve"> Oro. Migmatites represent the oldest lithological components of the terrain and are characterized by mixed metamorphic and igneous textures formed through partial melting (anatexis) under high-grade metamorphic conditions. According to </w:t>
      </w:r>
      <w:proofErr w:type="spellStart"/>
      <w:r>
        <w:t>Rahaman</w:t>
      </w:r>
      <w:proofErr w:type="spellEnd"/>
      <w:r>
        <w:t xml:space="preserve"> (1988), these rocks form part of the extensive Migmatite–Gneiss Complex that constitutes the </w:t>
      </w:r>
      <w:r w:rsidR="00DF79BB">
        <w:t>foundational framework of the basement</w:t>
      </w:r>
      <w:r w:rsidR="002702A6">
        <w:t xml:space="preserve">. </w:t>
      </w:r>
      <w:r>
        <w:t xml:space="preserve">The </w:t>
      </w:r>
      <w:r w:rsidRPr="006E1CF3">
        <w:rPr>
          <w:rStyle w:val="Strong"/>
          <w:b w:val="0"/>
        </w:rPr>
        <w:t>granite gneiss (GG</w:t>
      </w:r>
      <w:r>
        <w:rPr>
          <w:rStyle w:val="Strong"/>
        </w:rPr>
        <w:t>)</w:t>
      </w:r>
      <w:r>
        <w:t xml:space="preserve"> unit is the most widespread, covering the northern, central, and western portions of the map, including </w:t>
      </w:r>
      <w:proofErr w:type="spellStart"/>
      <w:r>
        <w:t>Itapaji</w:t>
      </w:r>
      <w:proofErr w:type="spellEnd"/>
      <w:r>
        <w:t xml:space="preserve"> and </w:t>
      </w:r>
      <w:proofErr w:type="spellStart"/>
      <w:r>
        <w:t>Bolorunduro</w:t>
      </w:r>
      <w:proofErr w:type="spellEnd"/>
      <w:r>
        <w:t xml:space="preserve">. These rocks are foliated granitic bodies that have undergone dynamic metamorphism and represent competent, rigid lithologies within the basement. As emphasized by </w:t>
      </w:r>
      <w:proofErr w:type="spellStart"/>
      <w:r>
        <w:t>Oyinloye</w:t>
      </w:r>
      <w:proofErr w:type="spellEnd"/>
      <w:r>
        <w:t xml:space="preserve"> (2011), such units commonly preserve structural fabrics and act as mechanical hosts that localize deformation, faulting, and fracturing during tectonic events. A localized </w:t>
      </w:r>
      <w:proofErr w:type="spellStart"/>
      <w:r w:rsidRPr="006E1CF3">
        <w:rPr>
          <w:rStyle w:val="Strong"/>
          <w:b w:val="0"/>
        </w:rPr>
        <w:t>charnockite</w:t>
      </w:r>
      <w:proofErr w:type="spellEnd"/>
      <w:r w:rsidRPr="006E1CF3">
        <w:rPr>
          <w:rStyle w:val="Strong"/>
          <w:b w:val="0"/>
        </w:rPr>
        <w:t xml:space="preserve"> (Ch</w:t>
      </w:r>
      <w:r>
        <w:rPr>
          <w:rStyle w:val="Strong"/>
        </w:rPr>
        <w:t>)</w:t>
      </w:r>
      <w:r>
        <w:t xml:space="preserve"> body occurs along the western margin of the map. </w:t>
      </w:r>
      <w:proofErr w:type="spellStart"/>
      <w:r>
        <w:t>Charnockites</w:t>
      </w:r>
      <w:proofErr w:type="spellEnd"/>
      <w:r>
        <w:t xml:space="preserve"> are high-temperature, hypersthene-bearing rocks formed under granulite-facies conditions, typically associated with deep crustal environments. Their occurrence in the Nigerian Basement Complex is indicative of high-grade metamorphic conditions and provides evidence of deep-seated crustal processes during the evolution of the terrain (</w:t>
      </w:r>
      <w:proofErr w:type="spellStart"/>
      <w:r>
        <w:t>Rahaman</w:t>
      </w:r>
      <w:proofErr w:type="spellEnd"/>
      <w:r>
        <w:t xml:space="preserve">, 1988). The </w:t>
      </w:r>
      <w:r w:rsidRPr="006E1CF3">
        <w:rPr>
          <w:rStyle w:val="Strong"/>
          <w:b w:val="0"/>
        </w:rPr>
        <w:t>granodiorite (</w:t>
      </w:r>
      <w:proofErr w:type="spellStart"/>
      <w:r w:rsidRPr="006E1CF3">
        <w:rPr>
          <w:rStyle w:val="Strong"/>
          <w:b w:val="0"/>
        </w:rPr>
        <w:t>OGd</w:t>
      </w:r>
      <w:proofErr w:type="spellEnd"/>
      <w:r>
        <w:rPr>
          <w:rStyle w:val="Strong"/>
        </w:rPr>
        <w:t>)</w:t>
      </w:r>
      <w:r>
        <w:t xml:space="preserve"> unit forms a prominent, rounded intrusive body in the north-central part of the study area. This lithology belongs to the syn- to late-tectonic granitoid suite commonly referred to as the “Older Granites.” These intrusive bodies were emplaced during the waning stages of the Pan-African orogeny, often exploiting zones of structural weakness within the pre-existing basement (</w:t>
      </w:r>
      <w:proofErr w:type="spellStart"/>
      <w:r>
        <w:t>Oyinloye</w:t>
      </w:r>
      <w:proofErr w:type="spellEnd"/>
      <w:r>
        <w:t>, 2011)</w:t>
      </w:r>
      <w:r w:rsidR="006E1CF3">
        <w:t xml:space="preserve"> </w:t>
      </w:r>
      <w:r w:rsidR="002702A6">
        <w:t>(</w:t>
      </w:r>
      <w:r w:rsidR="006E1CF3" w:rsidRPr="006E1CF3">
        <w:rPr>
          <w:b/>
        </w:rPr>
        <w:t>Fig. 2</w:t>
      </w:r>
      <w:r w:rsidR="002702A6">
        <w:rPr>
          <w:b/>
        </w:rPr>
        <w:t>)</w:t>
      </w:r>
      <w:r>
        <w:t>.</w:t>
      </w:r>
    </w:p>
    <w:p w14:paraId="6A3172F3" w14:textId="73BBF72F" w:rsidR="006E1CF3" w:rsidRDefault="00DF79BB" w:rsidP="009D74C8">
      <w:pPr>
        <w:pStyle w:val="NormalWeb"/>
        <w:jc w:val="both"/>
      </w:pPr>
      <w:r>
        <w:rPr>
          <w:noProof/>
        </w:rPr>
        <w:lastRenderedPageBreak/>
        <mc:AlternateContent>
          <mc:Choice Requires="wps">
            <w:drawing>
              <wp:anchor distT="0" distB="0" distL="114300" distR="114300" simplePos="0" relativeHeight="251659264" behindDoc="0" locked="0" layoutInCell="1" allowOverlap="1" wp14:anchorId="77D8CB3B" wp14:editId="4B50A0B3">
                <wp:simplePos x="0" y="0"/>
                <wp:positionH relativeFrom="column">
                  <wp:posOffset>-304800</wp:posOffset>
                </wp:positionH>
                <wp:positionV relativeFrom="paragraph">
                  <wp:posOffset>4106545</wp:posOffset>
                </wp:positionV>
                <wp:extent cx="7435850" cy="742950"/>
                <wp:effectExtent l="0" t="0" r="0" b="0"/>
                <wp:wrapNone/>
                <wp:docPr id="2" name="Text Box 2"/>
                <wp:cNvGraphicFramePr/>
                <a:graphic xmlns:a="http://schemas.openxmlformats.org/drawingml/2006/main">
                  <a:graphicData uri="http://schemas.microsoft.com/office/word/2010/wordprocessingShape">
                    <wps:wsp>
                      <wps:cNvSpPr txBox="1"/>
                      <wps:spPr>
                        <a:xfrm>
                          <a:off x="0" y="0"/>
                          <a:ext cx="7435850" cy="742950"/>
                        </a:xfrm>
                        <a:prstGeom prst="rect">
                          <a:avLst/>
                        </a:prstGeom>
                        <a:noFill/>
                        <a:ln w="6350">
                          <a:noFill/>
                        </a:ln>
                      </wps:spPr>
                      <wps:txbx>
                        <w:txbxContent>
                          <w:p w14:paraId="26AD5433" w14:textId="77777777" w:rsidR="00291608" w:rsidRPr="00827461" w:rsidRDefault="00291608" w:rsidP="00827461">
                            <w:pPr>
                              <w:jc w:val="both"/>
                              <w:rPr>
                                <w:rFonts w:ascii="Times New Roman" w:hAnsi="Times New Roman" w:cs="Times New Roman"/>
                                <w:sz w:val="24"/>
                                <w:szCs w:val="24"/>
                              </w:rPr>
                            </w:pPr>
                            <w:r>
                              <w:rPr>
                                <w:rStyle w:val="Strong"/>
                                <w:rFonts w:ascii="Times New Roman" w:hAnsi="Times New Roman" w:cs="Times New Roman"/>
                                <w:sz w:val="24"/>
                                <w:szCs w:val="24"/>
                              </w:rPr>
                              <w:t>Figure 1:</w:t>
                            </w:r>
                            <w:r w:rsidRPr="00827461">
                              <w:rPr>
                                <w:rFonts w:ascii="Times New Roman" w:hAnsi="Times New Roman" w:cs="Times New Roman"/>
                                <w:sz w:val="24"/>
                                <w:szCs w:val="24"/>
                              </w:rPr>
                              <w:t xml:space="preserve"> Geological map of Nigeria showing the distribution of major lithological units, including the Precambrian Basement Complex and surrounding sedimentary basins (Sokoto, Chad, </w:t>
                            </w:r>
                            <w:proofErr w:type="spellStart"/>
                            <w:r w:rsidRPr="00827461">
                              <w:rPr>
                                <w:rFonts w:ascii="Times New Roman" w:hAnsi="Times New Roman" w:cs="Times New Roman"/>
                                <w:sz w:val="24"/>
                                <w:szCs w:val="24"/>
                              </w:rPr>
                              <w:t>Bida</w:t>
                            </w:r>
                            <w:proofErr w:type="spellEnd"/>
                            <w:r w:rsidRPr="00827461">
                              <w:rPr>
                                <w:rFonts w:ascii="Times New Roman" w:hAnsi="Times New Roman" w:cs="Times New Roman"/>
                                <w:sz w:val="24"/>
                                <w:szCs w:val="24"/>
                              </w:rPr>
                              <w:t>, and Benue Trough). The study area (</w:t>
                            </w:r>
                            <w:proofErr w:type="spellStart"/>
                            <w:r w:rsidRPr="00827461">
                              <w:rPr>
                                <w:rFonts w:ascii="Times New Roman" w:hAnsi="Times New Roman" w:cs="Times New Roman"/>
                                <w:sz w:val="24"/>
                                <w:szCs w:val="24"/>
                              </w:rPr>
                              <w:t>Ikole</w:t>
                            </w:r>
                            <w:proofErr w:type="spellEnd"/>
                            <w:r w:rsidRPr="00827461">
                              <w:rPr>
                                <w:rFonts w:ascii="Times New Roman" w:hAnsi="Times New Roman" w:cs="Times New Roman"/>
                                <w:sz w:val="24"/>
                                <w:szCs w:val="24"/>
                              </w:rPr>
                              <w:t>–</w:t>
                            </w:r>
                            <w:proofErr w:type="spellStart"/>
                            <w:r w:rsidRPr="00827461">
                              <w:rPr>
                                <w:rFonts w:ascii="Times New Roman" w:hAnsi="Times New Roman" w:cs="Times New Roman"/>
                                <w:sz w:val="24"/>
                                <w:szCs w:val="24"/>
                              </w:rPr>
                              <w:t>Itapaji</w:t>
                            </w:r>
                            <w:proofErr w:type="spellEnd"/>
                            <w:r w:rsidRPr="00827461">
                              <w:rPr>
                                <w:rFonts w:ascii="Times New Roman" w:hAnsi="Times New Roman" w:cs="Times New Roman"/>
                                <w:sz w:val="24"/>
                                <w:szCs w:val="24"/>
                              </w:rPr>
                              <w:t>, southwestern Nigeria) is located within the Basement Complex.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D8CB3B" id="_x0000_t202" coordsize="21600,21600" o:spt="202" path="m,l,21600r21600,l21600,xe">
                <v:stroke joinstyle="miter"/>
                <v:path gradientshapeok="t" o:connecttype="rect"/>
              </v:shapetype>
              <v:shape id="Text Box 2" o:spid="_x0000_s1026" type="#_x0000_t202" style="position:absolute;left:0;text-align:left;margin-left:-24pt;margin-top:323.35pt;width:585.5pt;height:5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" filled="f" stroked="f" strokeweight=".5pt">
                <v:textbox>
                  <w:txbxContent>
                    <w:p w14:paraId="26AD5433" w14:textId="77777777" w:rsidR="00291608" w:rsidRPr="00827461" w:rsidRDefault="00291608" w:rsidP="00827461">
                      <w:pPr>
                        <w:jc w:val="both"/>
                        <w:rPr>
                          <w:rFonts w:ascii="Times New Roman" w:hAnsi="Times New Roman" w:cs="Times New Roman"/>
                          <w:sz w:val="24"/>
                          <w:szCs w:val="24"/>
                        </w:rPr>
                      </w:pPr>
                      <w:r>
                        <w:rPr>
                          <w:rStyle w:val="Strong"/>
                          <w:rFonts w:ascii="Times New Roman" w:hAnsi="Times New Roman" w:cs="Times New Roman"/>
                          <w:sz w:val="24"/>
                          <w:szCs w:val="24"/>
                        </w:rPr>
                        <w:t>Figure 1:</w:t>
                      </w:r>
                      <w:r w:rsidRPr="00827461">
                        <w:rPr>
                          <w:rFonts w:ascii="Times New Roman" w:hAnsi="Times New Roman" w:cs="Times New Roman"/>
                          <w:sz w:val="24"/>
                          <w:szCs w:val="24"/>
                        </w:rPr>
                        <w:t xml:space="preserve"> Geological map of Nigeria showing the distribution of major lithological units, including the Precambrian Basement Complex and surrounding sedimentary basins (Sokoto, Chad, </w:t>
                      </w:r>
                      <w:proofErr w:type="spellStart"/>
                      <w:r w:rsidRPr="00827461">
                        <w:rPr>
                          <w:rFonts w:ascii="Times New Roman" w:hAnsi="Times New Roman" w:cs="Times New Roman"/>
                          <w:sz w:val="24"/>
                          <w:szCs w:val="24"/>
                        </w:rPr>
                        <w:t>Bida</w:t>
                      </w:r>
                      <w:proofErr w:type="spellEnd"/>
                      <w:r w:rsidRPr="00827461">
                        <w:rPr>
                          <w:rFonts w:ascii="Times New Roman" w:hAnsi="Times New Roman" w:cs="Times New Roman"/>
                          <w:sz w:val="24"/>
                          <w:szCs w:val="24"/>
                        </w:rPr>
                        <w:t>, and Benue Trough). The study area (</w:t>
                      </w:r>
                      <w:proofErr w:type="spellStart"/>
                      <w:r w:rsidRPr="00827461">
                        <w:rPr>
                          <w:rFonts w:ascii="Times New Roman" w:hAnsi="Times New Roman" w:cs="Times New Roman"/>
                          <w:sz w:val="24"/>
                          <w:szCs w:val="24"/>
                        </w:rPr>
                        <w:t>Ikole</w:t>
                      </w:r>
                      <w:proofErr w:type="spellEnd"/>
                      <w:r w:rsidRPr="00827461">
                        <w:rPr>
                          <w:rFonts w:ascii="Times New Roman" w:hAnsi="Times New Roman" w:cs="Times New Roman"/>
                          <w:sz w:val="24"/>
                          <w:szCs w:val="24"/>
                        </w:rPr>
                        <w:t>–</w:t>
                      </w:r>
                      <w:proofErr w:type="spellStart"/>
                      <w:r w:rsidRPr="00827461">
                        <w:rPr>
                          <w:rFonts w:ascii="Times New Roman" w:hAnsi="Times New Roman" w:cs="Times New Roman"/>
                          <w:sz w:val="24"/>
                          <w:szCs w:val="24"/>
                        </w:rPr>
                        <w:t>Itapaji</w:t>
                      </w:r>
                      <w:proofErr w:type="spellEnd"/>
                      <w:r w:rsidRPr="00827461">
                        <w:rPr>
                          <w:rFonts w:ascii="Times New Roman" w:hAnsi="Times New Roman" w:cs="Times New Roman"/>
                          <w:sz w:val="24"/>
                          <w:szCs w:val="24"/>
                        </w:rPr>
                        <w:t>, southwestern Nigeria) is located within the Basement Complex.</w:t>
                      </w:r>
                    </w:p>
                  </w:txbxContent>
                </v:textbox>
              </v:shape>
            </w:pict>
          </mc:Fallback>
        </mc:AlternateContent>
      </w:r>
      <w:r w:rsidR="00B40CAD" w:rsidRPr="00B40CAD">
        <w:rPr>
          <w:noProof/>
        </w:rPr>
        <w:t xml:space="preserve"> </w:t>
      </w:r>
      <w:r w:rsidR="00C83353">
        <w:rPr>
          <w:noProof/>
        </w:rPr>
        <w:t xml:space="preserve">                                </w:t>
      </w:r>
      <w:r w:rsidR="00B40CAD">
        <w:rPr>
          <w:noProof/>
        </w:rPr>
        <w:drawing>
          <wp:inline distT="0" distB="0" distL="0" distR="0" wp14:anchorId="62CF747B" wp14:editId="4BB473A4">
            <wp:extent cx="5124450" cy="4105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124450" cy="4105275"/>
                    </a:xfrm>
                    <a:prstGeom prst="rect">
                      <a:avLst/>
                    </a:prstGeom>
                  </pic:spPr>
                </pic:pic>
              </a:graphicData>
            </a:graphic>
          </wp:inline>
        </w:drawing>
      </w:r>
      <w:r w:rsidR="006E1CF3">
        <w:rPr>
          <w:noProof/>
        </w:rPr>
        <w:t xml:space="preserve">      </w:t>
      </w:r>
    </w:p>
    <w:p w14:paraId="0613C952" w14:textId="3E00F652" w:rsidR="00882464" w:rsidRDefault="00882464" w:rsidP="009D74C8">
      <w:pPr>
        <w:pStyle w:val="Heading3"/>
        <w:jc w:val="both"/>
        <w:rPr>
          <w:rStyle w:val="Strong"/>
          <w:b/>
          <w:bCs/>
          <w:sz w:val="24"/>
          <w:szCs w:val="24"/>
        </w:rPr>
      </w:pPr>
    </w:p>
    <w:p w14:paraId="401EF7A0" w14:textId="77777777" w:rsidR="00882464" w:rsidRDefault="00882464" w:rsidP="009D74C8">
      <w:pPr>
        <w:pStyle w:val="Heading3"/>
        <w:jc w:val="both"/>
        <w:rPr>
          <w:rStyle w:val="Strong"/>
          <w:b/>
          <w:bCs/>
          <w:sz w:val="24"/>
          <w:szCs w:val="24"/>
        </w:rPr>
      </w:pPr>
    </w:p>
    <w:p w14:paraId="7F0E8EBC" w14:textId="77777777" w:rsidR="00882464" w:rsidRDefault="00882464" w:rsidP="009D74C8">
      <w:pPr>
        <w:pStyle w:val="Heading3"/>
        <w:jc w:val="both"/>
        <w:rPr>
          <w:rStyle w:val="Strong"/>
          <w:b/>
          <w:bCs/>
          <w:sz w:val="24"/>
          <w:szCs w:val="24"/>
        </w:rPr>
      </w:pPr>
    </w:p>
    <w:p w14:paraId="6C86CBCA" w14:textId="77777777" w:rsidR="00316083" w:rsidRDefault="00316083" w:rsidP="009D74C8">
      <w:pPr>
        <w:spacing w:before="100" w:beforeAutospacing="1" w:after="100" w:afterAutospacing="1" w:line="240" w:lineRule="auto"/>
        <w:jc w:val="both"/>
        <w:outlineLvl w:val="1"/>
        <w:rPr>
          <w:rStyle w:val="Strong"/>
          <w:rFonts w:ascii="Times New Roman" w:eastAsia="Times New Roman" w:hAnsi="Times New Roman" w:cs="Times New Roman"/>
          <w:sz w:val="24"/>
          <w:szCs w:val="24"/>
        </w:rPr>
      </w:pPr>
    </w:p>
    <w:p w14:paraId="0A44EA37" w14:textId="77777777" w:rsidR="00565CF5" w:rsidRDefault="00565CF5" w:rsidP="009D74C8">
      <w:pPr>
        <w:spacing w:before="100" w:beforeAutospacing="1" w:after="100" w:afterAutospacing="1" w:line="240" w:lineRule="auto"/>
        <w:jc w:val="both"/>
        <w:outlineLvl w:val="1"/>
        <w:rPr>
          <w:rStyle w:val="Strong"/>
          <w:rFonts w:ascii="Times New Roman" w:eastAsia="Times New Roman" w:hAnsi="Times New Roman" w:cs="Times New Roman"/>
          <w:sz w:val="24"/>
          <w:szCs w:val="24"/>
        </w:rPr>
      </w:pPr>
    </w:p>
    <w:p w14:paraId="10D9EDC4" w14:textId="77777777" w:rsidR="00565CF5" w:rsidRDefault="00565CF5" w:rsidP="009D74C8">
      <w:pPr>
        <w:spacing w:before="100" w:beforeAutospacing="1" w:after="100" w:afterAutospacing="1" w:line="240" w:lineRule="auto"/>
        <w:jc w:val="both"/>
        <w:outlineLvl w:val="1"/>
        <w:rPr>
          <w:rStyle w:val="Strong"/>
          <w:rFonts w:ascii="Times New Roman" w:eastAsia="Times New Roman" w:hAnsi="Times New Roman" w:cs="Times New Roman"/>
          <w:sz w:val="24"/>
          <w:szCs w:val="24"/>
        </w:rPr>
      </w:pPr>
    </w:p>
    <w:p w14:paraId="13832B02" w14:textId="191DC5D8" w:rsidR="00565CF5" w:rsidRDefault="00565CF5" w:rsidP="009D74C8">
      <w:pPr>
        <w:spacing w:before="100" w:beforeAutospacing="1" w:after="100" w:afterAutospacing="1" w:line="240" w:lineRule="auto"/>
        <w:jc w:val="both"/>
        <w:outlineLvl w:val="1"/>
        <w:rPr>
          <w:rStyle w:val="Strong"/>
          <w:rFonts w:ascii="Times New Roman" w:eastAsia="Times New Roman" w:hAnsi="Times New Roman" w:cs="Times New Roman"/>
          <w:sz w:val="24"/>
          <w:szCs w:val="24"/>
        </w:rPr>
      </w:pPr>
    </w:p>
    <w:p w14:paraId="263BBA06" w14:textId="7E549756" w:rsidR="009D74C8" w:rsidRDefault="009D74C8" w:rsidP="009D74C8">
      <w:pPr>
        <w:spacing w:before="100" w:beforeAutospacing="1" w:after="100" w:afterAutospacing="1" w:line="240" w:lineRule="auto"/>
        <w:jc w:val="both"/>
        <w:outlineLvl w:val="1"/>
        <w:rPr>
          <w:rStyle w:val="Strong"/>
          <w:rFonts w:ascii="Times New Roman" w:eastAsia="Times New Roman" w:hAnsi="Times New Roman" w:cs="Times New Roman"/>
          <w:sz w:val="24"/>
          <w:szCs w:val="24"/>
        </w:rPr>
      </w:pPr>
    </w:p>
    <w:p w14:paraId="0E3ECBDC" w14:textId="77777777" w:rsidR="009D74C8" w:rsidRDefault="009D74C8" w:rsidP="009D74C8">
      <w:pPr>
        <w:spacing w:before="100" w:beforeAutospacing="1" w:after="100" w:afterAutospacing="1" w:line="240" w:lineRule="auto"/>
        <w:jc w:val="both"/>
        <w:outlineLvl w:val="1"/>
        <w:rPr>
          <w:rStyle w:val="Strong"/>
          <w:rFonts w:ascii="Times New Roman" w:eastAsia="Times New Roman" w:hAnsi="Times New Roman" w:cs="Times New Roman"/>
          <w:sz w:val="24"/>
          <w:szCs w:val="24"/>
        </w:rPr>
      </w:pPr>
    </w:p>
    <w:p w14:paraId="2A15A50C" w14:textId="77777777" w:rsidR="00565CF5" w:rsidRDefault="00565CF5" w:rsidP="009D74C8">
      <w:pPr>
        <w:spacing w:before="100" w:beforeAutospacing="1" w:after="100" w:afterAutospacing="1" w:line="240" w:lineRule="auto"/>
        <w:jc w:val="both"/>
        <w:outlineLvl w:val="1"/>
        <w:rPr>
          <w:rStyle w:val="Strong"/>
          <w:rFonts w:ascii="Times New Roman" w:eastAsia="Times New Roman" w:hAnsi="Times New Roman" w:cs="Times New Roman"/>
          <w:sz w:val="24"/>
          <w:szCs w:val="24"/>
        </w:rPr>
      </w:pPr>
    </w:p>
    <w:p w14:paraId="1B69957A" w14:textId="77777777" w:rsidR="00565CF5" w:rsidRDefault="00565CF5" w:rsidP="009D74C8">
      <w:pPr>
        <w:spacing w:before="100" w:beforeAutospacing="1" w:after="100" w:afterAutospacing="1" w:line="240" w:lineRule="auto"/>
        <w:jc w:val="both"/>
        <w:outlineLvl w:val="1"/>
        <w:rPr>
          <w:rStyle w:val="Strong"/>
          <w:rFonts w:ascii="Times New Roman" w:eastAsia="Times New Roman" w:hAnsi="Times New Roman" w:cs="Times New Roman"/>
          <w:sz w:val="24"/>
          <w:szCs w:val="24"/>
        </w:rPr>
      </w:pPr>
    </w:p>
    <w:p w14:paraId="3C98342D" w14:textId="77777777" w:rsidR="001A0516" w:rsidRDefault="00565CF5" w:rsidP="009D74C8">
      <w:pPr>
        <w:spacing w:before="100" w:beforeAutospacing="1" w:after="100" w:afterAutospacing="1" w:line="240" w:lineRule="auto"/>
        <w:jc w:val="both"/>
        <w:outlineLvl w:val="1"/>
        <w:rPr>
          <w:rFonts w:ascii="Times New Roman" w:eastAsia="Times New Roman" w:hAnsi="Times New Roman" w:cs="Times New Roman"/>
          <w:b/>
          <w:bCs/>
          <w:sz w:val="24"/>
          <w:szCs w:val="24"/>
        </w:rPr>
      </w:pPr>
      <w:r>
        <w:rPr>
          <w:noProof/>
        </w:rPr>
        <w:lastRenderedPageBreak/>
        <mc:AlternateContent>
          <mc:Choice Requires="wps">
            <w:drawing>
              <wp:anchor distT="0" distB="0" distL="114300" distR="114300" simplePos="0" relativeHeight="251670528" behindDoc="0" locked="0" layoutInCell="1" allowOverlap="1" wp14:anchorId="0FE4B9F5" wp14:editId="54BEB00A">
                <wp:simplePos x="0" y="0"/>
                <wp:positionH relativeFrom="column">
                  <wp:posOffset>-368300</wp:posOffset>
                </wp:positionH>
                <wp:positionV relativeFrom="paragraph">
                  <wp:posOffset>4086860</wp:posOffset>
                </wp:positionV>
                <wp:extent cx="7537450" cy="7620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7537450" cy="762000"/>
                        </a:xfrm>
                        <a:prstGeom prst="rect">
                          <a:avLst/>
                        </a:prstGeom>
                        <a:noFill/>
                        <a:ln w="6350">
                          <a:noFill/>
                        </a:ln>
                      </wps:spPr>
                      <wps:txbx>
                        <w:txbxContent>
                          <w:p w14:paraId="7A8D0226" w14:textId="55B9EA55" w:rsidR="00291608" w:rsidRPr="006E1CF3" w:rsidRDefault="00291608" w:rsidP="006E1CF3">
                            <w:pPr>
                              <w:jc w:val="both"/>
                              <w:rPr>
                                <w:rFonts w:ascii="Times New Roman" w:hAnsi="Times New Roman" w:cs="Times New Roman"/>
                                <w:sz w:val="24"/>
                                <w:szCs w:val="24"/>
                              </w:rPr>
                            </w:pPr>
                            <w:r>
                              <w:rPr>
                                <w:rFonts w:ascii="Times New Roman" w:hAnsi="Times New Roman" w:cs="Times New Roman"/>
                                <w:b/>
                                <w:sz w:val="24"/>
                                <w:szCs w:val="24"/>
                              </w:rPr>
                              <w:t>Figure</w:t>
                            </w:r>
                            <w:r w:rsidRPr="006E1CF3">
                              <w:rPr>
                                <w:rFonts w:ascii="Times New Roman" w:hAnsi="Times New Roman" w:cs="Times New Roman"/>
                                <w:b/>
                                <w:sz w:val="24"/>
                                <w:szCs w:val="24"/>
                              </w:rPr>
                              <w:t xml:space="preserve"> 2</w:t>
                            </w:r>
                            <w:r>
                              <w:rPr>
                                <w:rFonts w:ascii="Times New Roman" w:hAnsi="Times New Roman" w:cs="Times New Roman"/>
                                <w:sz w:val="24"/>
                                <w:szCs w:val="24"/>
                              </w:rPr>
                              <w:t>:</w:t>
                            </w:r>
                            <w:r w:rsidRPr="006E1CF3">
                              <w:rPr>
                                <w:rFonts w:ascii="Times New Roman" w:hAnsi="Times New Roman" w:cs="Times New Roman"/>
                                <w:sz w:val="24"/>
                                <w:szCs w:val="24"/>
                              </w:rPr>
                              <w:t xml:space="preserve"> Geologica</w:t>
                            </w:r>
                            <w:r w:rsidR="000F695B">
                              <w:rPr>
                                <w:rFonts w:ascii="Times New Roman" w:hAnsi="Times New Roman" w:cs="Times New Roman"/>
                                <w:sz w:val="24"/>
                                <w:szCs w:val="24"/>
                              </w:rPr>
                              <w:t>l map of the study area modified (compiled)</w:t>
                            </w:r>
                            <w:r w:rsidRPr="006E1CF3">
                              <w:rPr>
                                <w:rFonts w:ascii="Times New Roman" w:hAnsi="Times New Roman" w:cs="Times New Roman"/>
                                <w:sz w:val="24"/>
                                <w:szCs w:val="24"/>
                              </w:rPr>
                              <w:t xml:space="preserve"> after NGSA (2026). The map delineates the distribution of major lithological units and their spatial relationships.</w:t>
                            </w:r>
                            <w:r>
                              <w:rPr>
                                <w:rFonts w:ascii="Times New Roman" w:hAnsi="Times New Roman" w:cs="Times New Roman"/>
                                <w:sz w:val="24"/>
                                <w:szCs w:val="24"/>
                              </w:rPr>
                              <w:t xml:space="preserve"> </w:t>
                            </w:r>
                            <w:r w:rsidRPr="006E1CF3">
                              <w:rPr>
                                <w:rFonts w:ascii="Times New Roman" w:hAnsi="Times New Roman" w:cs="Times New Roman"/>
                                <w:sz w:val="24"/>
                                <w:szCs w:val="24"/>
                              </w:rPr>
                              <w:t>It provides a foundational framework for structural interpretation and mineral exploration within the study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4B9F5" id="Text Box 24" o:spid="_x0000_s1027" type="#_x0000_t202" style="position:absolute;left:0;text-align:left;margin-left:-29pt;margin-top:321.8pt;width:593.5pt;height:60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" filled="f" stroked="f" strokeweight=".5pt">
                <v:textbox>
                  <w:txbxContent>
                    <w:p w14:paraId="7A8D0226" w14:textId="55B9EA55" w:rsidR="00291608" w:rsidRPr="006E1CF3" w:rsidRDefault="00291608" w:rsidP="006E1CF3">
                      <w:pPr>
                        <w:jc w:val="both"/>
                        <w:rPr>
                          <w:rFonts w:ascii="Times New Roman" w:hAnsi="Times New Roman" w:cs="Times New Roman"/>
                          <w:sz w:val="24"/>
                          <w:szCs w:val="24"/>
                        </w:rPr>
                      </w:pPr>
                      <w:r>
                        <w:rPr>
                          <w:rFonts w:ascii="Times New Roman" w:hAnsi="Times New Roman" w:cs="Times New Roman"/>
                          <w:b/>
                          <w:sz w:val="24"/>
                          <w:szCs w:val="24"/>
                        </w:rPr>
                        <w:t>Figure</w:t>
                      </w:r>
                      <w:r w:rsidRPr="006E1CF3">
                        <w:rPr>
                          <w:rFonts w:ascii="Times New Roman" w:hAnsi="Times New Roman" w:cs="Times New Roman"/>
                          <w:b/>
                          <w:sz w:val="24"/>
                          <w:szCs w:val="24"/>
                        </w:rPr>
                        <w:t xml:space="preserve"> 2</w:t>
                      </w:r>
                      <w:r>
                        <w:rPr>
                          <w:rFonts w:ascii="Times New Roman" w:hAnsi="Times New Roman" w:cs="Times New Roman"/>
                          <w:sz w:val="24"/>
                          <w:szCs w:val="24"/>
                        </w:rPr>
                        <w:t>:</w:t>
                      </w:r>
                      <w:r w:rsidRPr="006E1CF3">
                        <w:rPr>
                          <w:rFonts w:ascii="Times New Roman" w:hAnsi="Times New Roman" w:cs="Times New Roman"/>
                          <w:sz w:val="24"/>
                          <w:szCs w:val="24"/>
                        </w:rPr>
                        <w:t xml:space="preserve"> Geologica</w:t>
                      </w:r>
                      <w:r w:rsidR="000F695B">
                        <w:rPr>
                          <w:rFonts w:ascii="Times New Roman" w:hAnsi="Times New Roman" w:cs="Times New Roman"/>
                          <w:sz w:val="24"/>
                          <w:szCs w:val="24"/>
                        </w:rPr>
                        <w:t>l map of the study area modified (compiled)</w:t>
                      </w:r>
                      <w:r w:rsidRPr="006E1CF3">
                        <w:rPr>
                          <w:rFonts w:ascii="Times New Roman" w:hAnsi="Times New Roman" w:cs="Times New Roman"/>
                          <w:sz w:val="24"/>
                          <w:szCs w:val="24"/>
                        </w:rPr>
                        <w:t xml:space="preserve"> after NGSA (2026). The map delineates the distribution of major lithological units and their spatial relationships.</w:t>
                      </w:r>
                      <w:r>
                        <w:rPr>
                          <w:rFonts w:ascii="Times New Roman" w:hAnsi="Times New Roman" w:cs="Times New Roman"/>
                          <w:sz w:val="24"/>
                          <w:szCs w:val="24"/>
                        </w:rPr>
                        <w:t xml:space="preserve"> </w:t>
                      </w:r>
                      <w:r w:rsidRPr="006E1CF3">
                        <w:rPr>
                          <w:rFonts w:ascii="Times New Roman" w:hAnsi="Times New Roman" w:cs="Times New Roman"/>
                          <w:sz w:val="24"/>
                          <w:szCs w:val="24"/>
                        </w:rPr>
                        <w:t>It provides a foundational framework for structural interpretation and mineral exploration within the study area.</w:t>
                      </w:r>
                    </w:p>
                  </w:txbxContent>
                </v:textbox>
              </v:shape>
            </w:pict>
          </mc:Fallback>
        </mc:AlternateContent>
      </w:r>
      <w:r w:rsidR="001A0516">
        <w:rPr>
          <w:noProof/>
        </w:rPr>
        <w:t xml:space="preserve">                                          </w:t>
      </w:r>
      <w:r w:rsidR="001A0516">
        <w:rPr>
          <w:noProof/>
        </w:rPr>
        <w:drawing>
          <wp:inline distT="0" distB="0" distL="0" distR="0" wp14:anchorId="327446C7" wp14:editId="2EE6AC25">
            <wp:extent cx="4332556" cy="3997842"/>
            <wp:effectExtent l="0" t="0" r="0" b="3175"/>
            <wp:docPr id="48" name="Picture 48" descr="C:\Users\HP\Desktop\MR ADELEKE PAPER\Adeleke Radiometric Result\Radiometric Result\Geological map of the study Area After NGSA 2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esktop\MR ADELEKE PAPER\Adeleke Radiometric Result\Radiometric Result\Geological map of the study Area After NGSA 2006.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40706" cy="4005362"/>
                    </a:xfrm>
                    <a:prstGeom prst="rect">
                      <a:avLst/>
                    </a:prstGeom>
                    <a:noFill/>
                    <a:ln>
                      <a:noFill/>
                    </a:ln>
                  </pic:spPr>
                </pic:pic>
              </a:graphicData>
            </a:graphic>
          </wp:inline>
        </w:drawing>
      </w:r>
    </w:p>
    <w:p w14:paraId="3616676F" w14:textId="77777777" w:rsidR="001A0516" w:rsidRDefault="001A0516" w:rsidP="009D74C8">
      <w:pPr>
        <w:spacing w:before="100" w:beforeAutospacing="1" w:after="100" w:afterAutospacing="1" w:line="240" w:lineRule="auto"/>
        <w:jc w:val="both"/>
        <w:outlineLvl w:val="1"/>
        <w:rPr>
          <w:rFonts w:ascii="Times New Roman" w:eastAsia="Times New Roman" w:hAnsi="Times New Roman" w:cs="Times New Roman"/>
          <w:b/>
          <w:bCs/>
          <w:sz w:val="24"/>
          <w:szCs w:val="24"/>
        </w:rPr>
      </w:pPr>
    </w:p>
    <w:p w14:paraId="148AD2F0" w14:textId="77777777" w:rsidR="001A0516" w:rsidRDefault="001A0516" w:rsidP="009D74C8">
      <w:pPr>
        <w:spacing w:before="100" w:beforeAutospacing="1" w:after="100" w:afterAutospacing="1" w:line="240" w:lineRule="auto"/>
        <w:jc w:val="both"/>
        <w:outlineLvl w:val="1"/>
        <w:rPr>
          <w:rFonts w:ascii="Times New Roman" w:eastAsia="Times New Roman" w:hAnsi="Times New Roman" w:cs="Times New Roman"/>
          <w:b/>
          <w:bCs/>
          <w:sz w:val="24"/>
          <w:szCs w:val="24"/>
        </w:rPr>
      </w:pPr>
    </w:p>
    <w:p w14:paraId="2CCAEAD9" w14:textId="77777777" w:rsidR="00316083" w:rsidRPr="009A236C" w:rsidRDefault="00316083" w:rsidP="009D74C8">
      <w:pPr>
        <w:spacing w:before="100" w:beforeAutospacing="1" w:after="100" w:afterAutospacing="1" w:line="240" w:lineRule="auto"/>
        <w:jc w:val="both"/>
        <w:outlineLvl w:val="1"/>
        <w:rPr>
          <w:rFonts w:ascii="Times New Roman" w:eastAsia="Times New Roman" w:hAnsi="Times New Roman" w:cs="Times New Roman"/>
          <w:b/>
          <w:bCs/>
          <w:sz w:val="24"/>
          <w:szCs w:val="24"/>
        </w:rPr>
      </w:pPr>
      <w:r w:rsidRPr="00316083">
        <w:rPr>
          <w:rFonts w:ascii="Times New Roman" w:eastAsia="Times New Roman" w:hAnsi="Times New Roman" w:cs="Times New Roman"/>
          <w:b/>
          <w:bCs/>
          <w:sz w:val="24"/>
          <w:szCs w:val="24"/>
        </w:rPr>
        <w:t>3. Materials and Methods for Geophysical and Remote Sensing Data Workflow</w:t>
      </w:r>
    </w:p>
    <w:p w14:paraId="7FA0605E" w14:textId="77777777" w:rsidR="00316083" w:rsidRPr="009A236C" w:rsidRDefault="00316083" w:rsidP="009D74C8">
      <w:pPr>
        <w:spacing w:before="100" w:beforeAutospacing="1" w:after="100" w:afterAutospacing="1" w:line="240" w:lineRule="auto"/>
        <w:jc w:val="both"/>
        <w:outlineLvl w:val="2"/>
        <w:rPr>
          <w:rFonts w:ascii="Times New Roman" w:eastAsia="Times New Roman" w:hAnsi="Times New Roman" w:cs="Times New Roman"/>
          <w:b/>
          <w:bCs/>
          <w:sz w:val="27"/>
          <w:szCs w:val="27"/>
        </w:rPr>
      </w:pPr>
      <w:r w:rsidRPr="009A236C">
        <w:rPr>
          <w:rFonts w:ascii="Times New Roman" w:eastAsia="Times New Roman" w:hAnsi="Times New Roman" w:cs="Times New Roman"/>
          <w:b/>
          <w:bCs/>
          <w:sz w:val="27"/>
          <w:szCs w:val="27"/>
        </w:rPr>
        <w:t>3.1 Data Sources (Materials)</w:t>
      </w:r>
    </w:p>
    <w:p w14:paraId="469DF8AC" w14:textId="6ED3204A" w:rsidR="00316083" w:rsidRPr="009A236C" w:rsidRDefault="00316083" w:rsidP="009D74C8">
      <w:pPr>
        <w:spacing w:before="100" w:beforeAutospacing="1" w:after="100" w:afterAutospacing="1" w:line="240" w:lineRule="auto"/>
        <w:jc w:val="both"/>
        <w:rPr>
          <w:rFonts w:ascii="Times New Roman" w:eastAsia="Times New Roman" w:hAnsi="Times New Roman" w:cs="Times New Roman"/>
          <w:sz w:val="24"/>
          <w:szCs w:val="24"/>
        </w:rPr>
      </w:pPr>
      <w:r w:rsidRPr="009A236C">
        <w:rPr>
          <w:rFonts w:ascii="Times New Roman" w:eastAsia="Times New Roman" w:hAnsi="Times New Roman" w:cs="Times New Roman"/>
          <w:sz w:val="24"/>
          <w:szCs w:val="24"/>
        </w:rPr>
        <w:t xml:space="preserve">The datasets used in this study </w:t>
      </w:r>
      <w:r w:rsidR="00C23A3C">
        <w:rPr>
          <w:rFonts w:ascii="Times New Roman" w:eastAsia="Times New Roman" w:hAnsi="Times New Roman" w:cs="Times New Roman"/>
          <w:sz w:val="24"/>
          <w:szCs w:val="24"/>
        </w:rPr>
        <w:t>were clipped from</w:t>
      </w:r>
      <w:r w:rsidRPr="009A236C">
        <w:rPr>
          <w:rFonts w:ascii="Times New Roman" w:eastAsia="Times New Roman" w:hAnsi="Times New Roman" w:cs="Times New Roman"/>
          <w:sz w:val="24"/>
          <w:szCs w:val="24"/>
        </w:rPr>
        <w:t xml:space="preserve"> high-resolution aeromagnetic, radiometric, and satellite-based remote sensing data. Landsat 8 OLI/TIRS imagery (scene </w:t>
      </w:r>
      <w:r w:rsidRPr="009A236C">
        <w:rPr>
          <w:rFonts w:ascii="Times New Roman" w:eastAsia="Times New Roman" w:hAnsi="Times New Roman" w:cs="Times New Roman"/>
          <w:bCs/>
          <w:sz w:val="24"/>
          <w:szCs w:val="24"/>
        </w:rPr>
        <w:t>LC09_L1TP_190054_20250211_20250215_02_TI_SR</w:t>
      </w:r>
      <w:r w:rsidRPr="009A236C">
        <w:rPr>
          <w:rFonts w:ascii="Times New Roman" w:eastAsia="Times New Roman" w:hAnsi="Times New Roman" w:cs="Times New Roman"/>
          <w:sz w:val="24"/>
          <w:szCs w:val="24"/>
        </w:rPr>
        <w:t>) was obtained from the USGS Earth Explorer platform and utilized for lithological discrimination and structural mapping. The imagery was acquired using the Operational Land Imager (OLI) and Thermal Infrared Sensor (TIRS).</w:t>
      </w:r>
    </w:p>
    <w:p w14:paraId="3559C882" w14:textId="783C939B" w:rsidR="00316083" w:rsidRPr="009A236C" w:rsidRDefault="00212288" w:rsidP="009D74C8">
      <w:pPr>
        <w:spacing w:before="100" w:beforeAutospacing="1" w:after="100" w:afterAutospacing="1"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a</w:t>
      </w:r>
      <w:r w:rsidR="00316083" w:rsidRPr="009A236C">
        <w:rPr>
          <w:rFonts w:ascii="Times New Roman" w:eastAsia="Times New Roman" w:hAnsi="Times New Roman" w:cs="Times New Roman"/>
          <w:sz w:val="24"/>
          <w:szCs w:val="24"/>
        </w:rPr>
        <w:t>eromagnetic and radiometric datasets (K, Th, and U channels)</w:t>
      </w:r>
      <w:r w:rsidR="0042050F">
        <w:rPr>
          <w:rFonts w:ascii="Times New Roman" w:eastAsia="Times New Roman" w:hAnsi="Times New Roman" w:cs="Times New Roman"/>
          <w:sz w:val="24"/>
          <w:szCs w:val="24"/>
        </w:rPr>
        <w:t xml:space="preserve"> of Ado-Ekiti</w:t>
      </w:r>
      <w:r>
        <w:rPr>
          <w:rFonts w:ascii="Times New Roman" w:eastAsia="Times New Roman" w:hAnsi="Times New Roman" w:cs="Times New Roman"/>
          <w:sz w:val="24"/>
          <w:szCs w:val="24"/>
        </w:rPr>
        <w:t xml:space="preserve"> 244 </w:t>
      </w:r>
      <w:r w:rsidR="00C23A3C">
        <w:rPr>
          <w:rFonts w:ascii="Times New Roman" w:eastAsia="Times New Roman" w:hAnsi="Times New Roman" w:cs="Times New Roman"/>
          <w:sz w:val="24"/>
          <w:szCs w:val="24"/>
        </w:rPr>
        <w:t>and Ikole-24</w:t>
      </w:r>
      <w:r w:rsidR="0042050F">
        <w:rPr>
          <w:rFonts w:ascii="Times New Roman" w:eastAsia="Times New Roman" w:hAnsi="Times New Roman" w:cs="Times New Roman"/>
          <w:sz w:val="24"/>
          <w:szCs w:val="24"/>
        </w:rPr>
        <w:t>5 sheets</w:t>
      </w:r>
      <w:r w:rsidR="00316083" w:rsidRPr="009A236C">
        <w:rPr>
          <w:rFonts w:ascii="Times New Roman" w:eastAsia="Times New Roman" w:hAnsi="Times New Roman" w:cs="Times New Roman"/>
          <w:sz w:val="24"/>
          <w:szCs w:val="24"/>
        </w:rPr>
        <w:t xml:space="preserve"> were acquired from the Nigerian Geological Survey Agency (NGSA), Abuja. The high-resolution data (1:100,000 scale) were collected between </w:t>
      </w:r>
      <w:r w:rsidR="00316083" w:rsidRPr="009A236C">
        <w:rPr>
          <w:rFonts w:ascii="Times New Roman" w:eastAsia="Times New Roman" w:hAnsi="Times New Roman" w:cs="Times New Roman"/>
          <w:bCs/>
          <w:sz w:val="24"/>
          <w:szCs w:val="24"/>
        </w:rPr>
        <w:t>December 2023 and May 2024</w:t>
      </w:r>
      <w:r w:rsidR="00316083" w:rsidRPr="009A236C">
        <w:rPr>
          <w:rFonts w:ascii="Times New Roman" w:eastAsia="Times New Roman" w:hAnsi="Times New Roman" w:cs="Times New Roman"/>
          <w:sz w:val="24"/>
          <w:szCs w:val="24"/>
        </w:rPr>
        <w:t xml:space="preserve"> by Fugro Airborne Survey, with a terrain clearance of </w:t>
      </w:r>
      <w:r w:rsidR="00316083" w:rsidRPr="009A236C">
        <w:rPr>
          <w:rFonts w:ascii="Times New Roman" w:eastAsia="Times New Roman" w:hAnsi="Times New Roman" w:cs="Times New Roman"/>
          <w:bCs/>
          <w:sz w:val="24"/>
          <w:szCs w:val="24"/>
        </w:rPr>
        <w:t>80 m</w:t>
      </w:r>
      <w:r w:rsidR="00316083" w:rsidRPr="009A236C">
        <w:rPr>
          <w:rFonts w:ascii="Times New Roman" w:eastAsia="Times New Roman" w:hAnsi="Times New Roman" w:cs="Times New Roman"/>
          <w:sz w:val="24"/>
          <w:szCs w:val="24"/>
        </w:rPr>
        <w:t xml:space="preserve">, flight line spacing of </w:t>
      </w:r>
      <w:r w:rsidR="00316083" w:rsidRPr="009A236C">
        <w:rPr>
          <w:rFonts w:ascii="Times New Roman" w:eastAsia="Times New Roman" w:hAnsi="Times New Roman" w:cs="Times New Roman"/>
          <w:bCs/>
          <w:sz w:val="24"/>
          <w:szCs w:val="24"/>
        </w:rPr>
        <w:t>150 m</w:t>
      </w:r>
      <w:r w:rsidR="00316083" w:rsidRPr="009A236C">
        <w:rPr>
          <w:rFonts w:ascii="Times New Roman" w:eastAsia="Times New Roman" w:hAnsi="Times New Roman" w:cs="Times New Roman"/>
          <w:sz w:val="24"/>
          <w:szCs w:val="24"/>
        </w:rPr>
        <w:t xml:space="preserve">, and tie line spacing of </w:t>
      </w:r>
      <w:r w:rsidR="00316083" w:rsidRPr="009A236C">
        <w:rPr>
          <w:rFonts w:ascii="Times New Roman" w:eastAsia="Times New Roman" w:hAnsi="Times New Roman" w:cs="Times New Roman"/>
          <w:bCs/>
          <w:sz w:val="24"/>
          <w:szCs w:val="24"/>
        </w:rPr>
        <w:t>1500 m</w:t>
      </w:r>
      <w:r w:rsidR="00316083" w:rsidRPr="009A236C">
        <w:rPr>
          <w:rFonts w:ascii="Times New Roman" w:eastAsia="Times New Roman" w:hAnsi="Times New Roman" w:cs="Times New Roman"/>
          <w:sz w:val="24"/>
          <w:szCs w:val="24"/>
        </w:rPr>
        <w:t>. The aeromagnetic data w</w:t>
      </w:r>
      <w:r w:rsidR="00316083">
        <w:rPr>
          <w:rFonts w:ascii="Times New Roman" w:eastAsia="Times New Roman" w:hAnsi="Times New Roman" w:cs="Times New Roman"/>
          <w:sz w:val="24"/>
          <w:szCs w:val="24"/>
        </w:rPr>
        <w:t xml:space="preserve">ere flown along NE–SW </w:t>
      </w:r>
      <w:r w:rsidR="00316083" w:rsidRPr="009A236C">
        <w:rPr>
          <w:rFonts w:ascii="Times New Roman" w:eastAsia="Times New Roman" w:hAnsi="Times New Roman" w:cs="Times New Roman"/>
          <w:sz w:val="24"/>
          <w:szCs w:val="24"/>
        </w:rPr>
        <w:t>and gridded at 250 m resolution, while the radiometric data provide information on surface geochemistry.</w:t>
      </w:r>
    </w:p>
    <w:p w14:paraId="506DFDE4" w14:textId="77777777" w:rsidR="00316083" w:rsidRPr="009A236C" w:rsidRDefault="00316083" w:rsidP="009D74C8">
      <w:pPr>
        <w:spacing w:before="100" w:beforeAutospacing="1" w:after="100" w:afterAutospacing="1" w:line="240" w:lineRule="auto"/>
        <w:jc w:val="both"/>
        <w:rPr>
          <w:rFonts w:ascii="Times New Roman" w:eastAsia="Times New Roman" w:hAnsi="Times New Roman" w:cs="Times New Roman"/>
          <w:sz w:val="24"/>
          <w:szCs w:val="24"/>
        </w:rPr>
      </w:pPr>
      <w:r w:rsidRPr="009A236C">
        <w:rPr>
          <w:rFonts w:ascii="Times New Roman" w:eastAsia="Times New Roman" w:hAnsi="Times New Roman" w:cs="Times New Roman"/>
          <w:sz w:val="24"/>
          <w:szCs w:val="24"/>
        </w:rPr>
        <w:t xml:space="preserve">All data processing and interpretation were carried out using </w:t>
      </w:r>
      <w:proofErr w:type="spellStart"/>
      <w:r w:rsidRPr="009A236C">
        <w:rPr>
          <w:rFonts w:ascii="Times New Roman" w:eastAsia="Times New Roman" w:hAnsi="Times New Roman" w:cs="Times New Roman"/>
          <w:bCs/>
          <w:sz w:val="24"/>
          <w:szCs w:val="24"/>
        </w:rPr>
        <w:t>Geosoft</w:t>
      </w:r>
      <w:proofErr w:type="spellEnd"/>
      <w:r w:rsidRPr="009A236C">
        <w:rPr>
          <w:rFonts w:ascii="Times New Roman" w:eastAsia="Times New Roman" w:hAnsi="Times New Roman" w:cs="Times New Roman"/>
          <w:bCs/>
          <w:sz w:val="24"/>
          <w:szCs w:val="24"/>
        </w:rPr>
        <w:t xml:space="preserve"> Oasis Montaj™</w:t>
      </w:r>
      <w:r w:rsidR="0042050F">
        <w:rPr>
          <w:rFonts w:ascii="Times New Roman" w:eastAsia="Times New Roman" w:hAnsi="Times New Roman" w:cs="Times New Roman"/>
          <w:bCs/>
          <w:sz w:val="24"/>
          <w:szCs w:val="24"/>
        </w:rPr>
        <w:t>8.4HJ</w:t>
      </w:r>
      <w:r w:rsidRPr="009A236C">
        <w:rPr>
          <w:rFonts w:ascii="Times New Roman" w:eastAsia="Times New Roman" w:hAnsi="Times New Roman" w:cs="Times New Roman"/>
          <w:sz w:val="24"/>
          <w:szCs w:val="24"/>
        </w:rPr>
        <w:t xml:space="preserve"> and GIS</w:t>
      </w:r>
      <w:r w:rsidR="0042050F">
        <w:rPr>
          <w:rFonts w:ascii="Times New Roman" w:eastAsia="Times New Roman" w:hAnsi="Times New Roman" w:cs="Times New Roman"/>
          <w:sz w:val="24"/>
          <w:szCs w:val="24"/>
        </w:rPr>
        <w:t xml:space="preserve"> 10.7</w:t>
      </w:r>
      <w:r w:rsidRPr="009A236C">
        <w:rPr>
          <w:rFonts w:ascii="Times New Roman" w:eastAsia="Times New Roman" w:hAnsi="Times New Roman" w:cs="Times New Roman"/>
          <w:sz w:val="24"/>
          <w:szCs w:val="24"/>
        </w:rPr>
        <w:t>-based platforms (Abubakar, 2023).</w:t>
      </w:r>
    </w:p>
    <w:p w14:paraId="26B1E56D" w14:textId="77777777" w:rsidR="002702A6" w:rsidRDefault="002702A6" w:rsidP="009D74C8">
      <w:pPr>
        <w:spacing w:before="100" w:beforeAutospacing="1" w:after="100" w:afterAutospacing="1" w:line="240" w:lineRule="auto"/>
        <w:jc w:val="both"/>
        <w:outlineLvl w:val="2"/>
        <w:rPr>
          <w:rFonts w:ascii="Times New Roman" w:eastAsia="Times New Roman" w:hAnsi="Times New Roman" w:cs="Times New Roman"/>
          <w:b/>
          <w:bCs/>
          <w:sz w:val="27"/>
          <w:szCs w:val="27"/>
        </w:rPr>
      </w:pPr>
    </w:p>
    <w:p w14:paraId="11BB5906" w14:textId="77777777" w:rsidR="00316083" w:rsidRPr="009A236C" w:rsidRDefault="00316083" w:rsidP="009D74C8">
      <w:pPr>
        <w:spacing w:before="100" w:beforeAutospacing="1" w:after="100" w:afterAutospacing="1" w:line="240" w:lineRule="auto"/>
        <w:jc w:val="both"/>
        <w:outlineLvl w:val="2"/>
        <w:rPr>
          <w:rFonts w:ascii="Times New Roman" w:eastAsia="Times New Roman" w:hAnsi="Times New Roman" w:cs="Times New Roman"/>
          <w:b/>
          <w:bCs/>
          <w:sz w:val="27"/>
          <w:szCs w:val="27"/>
        </w:rPr>
      </w:pPr>
      <w:r w:rsidRPr="009A236C">
        <w:rPr>
          <w:rFonts w:ascii="Times New Roman" w:eastAsia="Times New Roman" w:hAnsi="Times New Roman" w:cs="Times New Roman"/>
          <w:b/>
          <w:bCs/>
          <w:sz w:val="27"/>
          <w:szCs w:val="27"/>
        </w:rPr>
        <w:t>3.2 Methodological Workflow</w:t>
      </w:r>
    </w:p>
    <w:p w14:paraId="5B52E729" w14:textId="77777777" w:rsidR="00316083" w:rsidRPr="009A236C" w:rsidRDefault="00316083" w:rsidP="009D74C8">
      <w:pPr>
        <w:spacing w:before="100" w:beforeAutospacing="1" w:after="100" w:afterAutospacing="1" w:line="240" w:lineRule="auto"/>
        <w:jc w:val="both"/>
        <w:outlineLvl w:val="3"/>
        <w:rPr>
          <w:rFonts w:ascii="Times New Roman" w:eastAsia="Times New Roman" w:hAnsi="Times New Roman" w:cs="Times New Roman"/>
          <w:b/>
          <w:bCs/>
          <w:sz w:val="24"/>
          <w:szCs w:val="24"/>
        </w:rPr>
      </w:pPr>
      <w:r w:rsidRPr="009A236C">
        <w:rPr>
          <w:rFonts w:ascii="Times New Roman" w:eastAsia="Times New Roman" w:hAnsi="Times New Roman" w:cs="Times New Roman"/>
          <w:b/>
          <w:bCs/>
          <w:sz w:val="24"/>
          <w:szCs w:val="24"/>
        </w:rPr>
        <w:t>Step 1: Pre-processing and IGRF Correction</w:t>
      </w:r>
    </w:p>
    <w:p w14:paraId="167B01A3" w14:textId="77777777" w:rsidR="00316083" w:rsidRPr="009A236C" w:rsidRDefault="00316083" w:rsidP="009D74C8">
      <w:pPr>
        <w:spacing w:before="100" w:beforeAutospacing="1" w:after="100" w:afterAutospacing="1" w:line="240" w:lineRule="auto"/>
        <w:jc w:val="both"/>
        <w:rPr>
          <w:rFonts w:ascii="Times New Roman" w:eastAsia="Times New Roman" w:hAnsi="Times New Roman" w:cs="Times New Roman"/>
          <w:sz w:val="24"/>
          <w:szCs w:val="24"/>
        </w:rPr>
      </w:pPr>
      <w:r w:rsidRPr="009A236C">
        <w:rPr>
          <w:rFonts w:ascii="Times New Roman" w:eastAsia="Times New Roman" w:hAnsi="Times New Roman" w:cs="Times New Roman"/>
          <w:sz w:val="24"/>
          <w:szCs w:val="24"/>
        </w:rPr>
        <w:t>The Total Magnetic Intensity (TMI) data were corrected for the Earth’s main magnetic field using the International Geomagnetic Reference Field (IGRF) to isolate local anomalies:</w:t>
      </w:r>
    </w:p>
    <w:p w14:paraId="07FA99B8" w14:textId="77777777" w:rsidR="00316083" w:rsidRPr="0075262C" w:rsidRDefault="00316083" w:rsidP="009D74C8">
      <w:pPr>
        <w:pStyle w:val="NormalWeb"/>
        <w:jc w:val="both"/>
      </w:pPr>
      <m:oMath>
        <m:r>
          <w:rPr>
            <w:rFonts w:ascii="Cambria Math" w:hAnsi="Cambria Math"/>
          </w:rPr>
          <m:t xml:space="preserve">ΔB </m:t>
        </m:r>
        <m:d>
          <m:dPr>
            <m:ctrlPr>
              <w:rPr>
                <w:rFonts w:ascii="Cambria Math" w:hAnsi="Cambria Math"/>
                <w:i/>
              </w:rPr>
            </m:ctrlPr>
          </m:dPr>
          <m:e>
            <m:r>
              <w:rPr>
                <w:rFonts w:ascii="Cambria Math" w:hAnsi="Cambria Math"/>
              </w:rPr>
              <m:t>x, y</m:t>
            </m:r>
          </m:e>
        </m:d>
        <m:r>
          <w:rPr>
            <w:rFonts w:ascii="Cambria Math" w:hAnsi="Cambria Math"/>
          </w:rPr>
          <m:t xml:space="preserve">= TMI_observed </m:t>
        </m:r>
        <m:d>
          <m:dPr>
            <m:ctrlPr>
              <w:rPr>
                <w:rFonts w:ascii="Cambria Math" w:hAnsi="Cambria Math"/>
                <w:i/>
              </w:rPr>
            </m:ctrlPr>
          </m:dPr>
          <m:e>
            <m:r>
              <w:rPr>
                <w:rFonts w:ascii="Cambria Math" w:hAnsi="Cambria Math"/>
              </w:rPr>
              <m:t>x, y</m:t>
            </m:r>
          </m:e>
        </m:d>
        <m:r>
          <w:rPr>
            <w:rFonts w:ascii="Cambria Math" w:hAnsi="Cambria Math"/>
          </w:rPr>
          <m:t>- IGRF</m:t>
        </m:r>
      </m:oMath>
      <w:r>
        <w:t>………………………………….. (1)</w:t>
      </w:r>
    </w:p>
    <w:p w14:paraId="33E7D09B" w14:textId="77777777" w:rsidR="00316083" w:rsidRPr="009A236C" w:rsidRDefault="00316083" w:rsidP="009D74C8">
      <w:pPr>
        <w:spacing w:before="100" w:beforeAutospacing="1" w:after="100" w:afterAutospacing="1" w:line="240" w:lineRule="auto"/>
        <w:jc w:val="both"/>
        <w:rPr>
          <w:rFonts w:ascii="Times New Roman" w:eastAsia="Times New Roman" w:hAnsi="Times New Roman" w:cs="Times New Roman"/>
          <w:sz w:val="24"/>
          <w:szCs w:val="24"/>
        </w:rPr>
      </w:pPr>
      <w:r w:rsidRPr="009A236C">
        <w:rPr>
          <w:rFonts w:ascii="Times New Roman" w:eastAsia="Times New Roman" w:hAnsi="Times New Roman" w:cs="Times New Roman"/>
          <w:sz w:val="24"/>
          <w:szCs w:val="24"/>
        </w:rPr>
        <w:t>Radiometric data were corrected for background radiation and normalized. Potassium deviation (KD) was computed as:</w:t>
      </w:r>
    </w:p>
    <w:p w14:paraId="5F3A9CF4" w14:textId="77777777" w:rsidR="00316083" w:rsidRPr="00605A35" w:rsidRDefault="00316083" w:rsidP="009D74C8">
      <w:pPr>
        <w:pStyle w:val="NormalWeb"/>
        <w:jc w:val="both"/>
      </w:pPr>
      <m:oMath>
        <m:r>
          <m:rPr>
            <m:sty m:val="p"/>
          </m:rPr>
          <w:rPr>
            <w:rFonts w:ascii="Cambria Math" w:hAnsi="Cambria Math"/>
          </w:rPr>
          <m:t>KD = (K - Kmean) / Ksd</m:t>
        </m:r>
      </m:oMath>
      <w:r>
        <w:t>……………………………………………………. (2)</w:t>
      </w:r>
    </w:p>
    <w:p w14:paraId="66A423E4" w14:textId="77777777" w:rsidR="00316083" w:rsidRPr="009A236C" w:rsidRDefault="00316083" w:rsidP="009D74C8">
      <w:pPr>
        <w:spacing w:before="100" w:beforeAutospacing="1" w:after="100" w:afterAutospacing="1" w:line="240" w:lineRule="auto"/>
        <w:jc w:val="both"/>
        <w:outlineLvl w:val="3"/>
        <w:rPr>
          <w:rFonts w:ascii="Times New Roman" w:eastAsia="Times New Roman" w:hAnsi="Times New Roman" w:cs="Times New Roman"/>
          <w:b/>
          <w:bCs/>
          <w:sz w:val="24"/>
          <w:szCs w:val="24"/>
        </w:rPr>
      </w:pPr>
      <w:r w:rsidRPr="009A236C">
        <w:rPr>
          <w:rFonts w:ascii="Times New Roman" w:eastAsia="Times New Roman" w:hAnsi="Times New Roman" w:cs="Times New Roman"/>
          <w:b/>
          <w:bCs/>
          <w:sz w:val="24"/>
          <w:szCs w:val="24"/>
        </w:rPr>
        <w:t>Step 2: Generation of TMI and Radiometric Maps</w:t>
      </w:r>
    </w:p>
    <w:p w14:paraId="4201C735" w14:textId="77777777" w:rsidR="00316083" w:rsidRPr="009A236C" w:rsidRDefault="00316083" w:rsidP="009D74C8">
      <w:pPr>
        <w:spacing w:before="100" w:beforeAutospacing="1" w:after="100" w:afterAutospacing="1" w:line="240" w:lineRule="auto"/>
        <w:jc w:val="both"/>
        <w:rPr>
          <w:rFonts w:ascii="Times New Roman" w:eastAsia="Times New Roman" w:hAnsi="Times New Roman" w:cs="Times New Roman"/>
          <w:sz w:val="24"/>
          <w:szCs w:val="24"/>
        </w:rPr>
      </w:pPr>
      <w:r w:rsidRPr="009A236C">
        <w:rPr>
          <w:rFonts w:ascii="Times New Roman" w:eastAsia="Times New Roman" w:hAnsi="Times New Roman" w:cs="Times New Roman"/>
          <w:sz w:val="24"/>
          <w:szCs w:val="24"/>
        </w:rPr>
        <w:t>The corrected TMI grid was used to generate the base magnetic map, reflecting subsurface lithological and structural variations. Radiometric maps (K, Th, U, and ternary composites) were produced to highlight geochemical variations associated with alteration and mineralization.</w:t>
      </w:r>
    </w:p>
    <w:p w14:paraId="59440CE0" w14:textId="77777777" w:rsidR="00316083" w:rsidRPr="009A236C" w:rsidRDefault="00316083" w:rsidP="009D74C8">
      <w:pPr>
        <w:spacing w:before="100" w:beforeAutospacing="1" w:after="100" w:afterAutospacing="1" w:line="240" w:lineRule="auto"/>
        <w:jc w:val="both"/>
        <w:outlineLvl w:val="3"/>
        <w:rPr>
          <w:rFonts w:ascii="Times New Roman" w:eastAsia="Times New Roman" w:hAnsi="Times New Roman" w:cs="Times New Roman"/>
          <w:b/>
          <w:bCs/>
          <w:sz w:val="24"/>
          <w:szCs w:val="24"/>
        </w:rPr>
      </w:pPr>
      <w:r w:rsidRPr="009A236C">
        <w:rPr>
          <w:rFonts w:ascii="Times New Roman" w:eastAsia="Times New Roman" w:hAnsi="Times New Roman" w:cs="Times New Roman"/>
          <w:b/>
          <w:bCs/>
          <w:sz w:val="24"/>
          <w:szCs w:val="24"/>
        </w:rPr>
        <w:t>Step 3: Regional–Residual Separation (Polynomial Filtering)</w:t>
      </w:r>
    </w:p>
    <w:p w14:paraId="22AED84D" w14:textId="77777777" w:rsidR="00316083" w:rsidRPr="009A236C" w:rsidRDefault="00316083" w:rsidP="009D74C8">
      <w:pPr>
        <w:spacing w:before="100" w:beforeAutospacing="1" w:after="100" w:afterAutospacing="1" w:line="240" w:lineRule="auto"/>
        <w:jc w:val="both"/>
        <w:rPr>
          <w:rFonts w:ascii="Times New Roman" w:eastAsia="Times New Roman" w:hAnsi="Times New Roman" w:cs="Times New Roman"/>
          <w:sz w:val="24"/>
          <w:szCs w:val="24"/>
        </w:rPr>
      </w:pPr>
      <w:r w:rsidRPr="009A236C">
        <w:rPr>
          <w:rFonts w:ascii="Times New Roman" w:eastAsia="Times New Roman" w:hAnsi="Times New Roman" w:cs="Times New Roman"/>
          <w:sz w:val="24"/>
          <w:szCs w:val="24"/>
        </w:rPr>
        <w:t>A low-order polynomial surface was fitted to separate regional and residual magnetic components:</w:t>
      </w:r>
    </w:p>
    <w:p w14:paraId="28ACBD2B" w14:textId="77777777" w:rsidR="00316083" w:rsidRPr="0075262C" w:rsidRDefault="00316083" w:rsidP="009D74C8">
      <w:pPr>
        <w:pStyle w:val="NormalWeb"/>
        <w:jc w:val="both"/>
      </w:pPr>
      <m:oMath>
        <m:r>
          <w:rPr>
            <w:rFonts w:ascii="Cambria Math" w:hAnsi="Cambria Math"/>
          </w:rPr>
          <m:t>ΔT_ residual (x, y) = ΔT_ observed(x, y) - ΔT_ regional(x, y)</m:t>
        </m:r>
      </m:oMath>
      <w:r>
        <w:t>…………… (3)</w:t>
      </w:r>
    </w:p>
    <w:p w14:paraId="05E1E122" w14:textId="77777777" w:rsidR="00316083" w:rsidRDefault="00316083" w:rsidP="009D74C8">
      <w:pPr>
        <w:spacing w:before="100" w:beforeAutospacing="1" w:after="100" w:afterAutospacing="1" w:line="240" w:lineRule="auto"/>
        <w:jc w:val="both"/>
        <w:rPr>
          <w:rFonts w:ascii="Times New Roman" w:eastAsia="Times New Roman" w:hAnsi="Times New Roman" w:cs="Times New Roman"/>
          <w:sz w:val="24"/>
          <w:szCs w:val="24"/>
        </w:rPr>
      </w:pPr>
      <w:r w:rsidRPr="009A236C">
        <w:rPr>
          <w:rFonts w:ascii="Times New Roman" w:eastAsia="Times New Roman" w:hAnsi="Times New Roman" w:cs="Times New Roman"/>
          <w:sz w:val="24"/>
          <w:szCs w:val="24"/>
        </w:rPr>
        <w:t>This enhances shallow structures such as faults and fractures.</w:t>
      </w:r>
    </w:p>
    <w:p w14:paraId="458685E8" w14:textId="77777777" w:rsidR="00316083" w:rsidRPr="009A236C" w:rsidRDefault="00316083" w:rsidP="009D74C8">
      <w:pPr>
        <w:spacing w:before="100" w:beforeAutospacing="1" w:after="100" w:afterAutospacing="1" w:line="240" w:lineRule="auto"/>
        <w:jc w:val="both"/>
        <w:rPr>
          <w:rFonts w:ascii="Times New Roman" w:eastAsia="Times New Roman" w:hAnsi="Times New Roman" w:cs="Times New Roman"/>
          <w:sz w:val="24"/>
          <w:szCs w:val="24"/>
        </w:rPr>
      </w:pPr>
      <w:r w:rsidRPr="009A236C">
        <w:rPr>
          <w:rFonts w:ascii="Times New Roman" w:eastAsia="Times New Roman" w:hAnsi="Times New Roman" w:cs="Times New Roman"/>
          <w:b/>
          <w:bCs/>
          <w:sz w:val="24"/>
          <w:szCs w:val="24"/>
        </w:rPr>
        <w:t>Step 4: Reduction to the Equator (RTE)</w:t>
      </w:r>
    </w:p>
    <w:p w14:paraId="54CBE3BB" w14:textId="77777777" w:rsidR="00316083" w:rsidRPr="009A236C" w:rsidRDefault="00316083" w:rsidP="009D74C8">
      <w:pPr>
        <w:spacing w:before="100" w:beforeAutospacing="1" w:after="100" w:afterAutospacing="1" w:line="240" w:lineRule="auto"/>
        <w:jc w:val="both"/>
        <w:rPr>
          <w:rFonts w:ascii="Times New Roman" w:eastAsia="Times New Roman" w:hAnsi="Times New Roman" w:cs="Times New Roman"/>
          <w:sz w:val="24"/>
          <w:szCs w:val="24"/>
        </w:rPr>
      </w:pPr>
      <w:r w:rsidRPr="009A236C">
        <w:rPr>
          <w:rFonts w:ascii="Times New Roman" w:eastAsia="Times New Roman" w:hAnsi="Times New Roman" w:cs="Times New Roman"/>
          <w:sz w:val="24"/>
          <w:szCs w:val="24"/>
        </w:rPr>
        <w:t>Due to the low magnetic latitude (~5–10°N), RTE was applied to reposition anomalies directly over their causative sources, improving interpretability (</w:t>
      </w:r>
      <w:proofErr w:type="spellStart"/>
      <w:r w:rsidRPr="009A236C">
        <w:rPr>
          <w:rFonts w:ascii="Times New Roman" w:eastAsia="Times New Roman" w:hAnsi="Times New Roman" w:cs="Times New Roman"/>
          <w:sz w:val="24"/>
          <w:szCs w:val="24"/>
        </w:rPr>
        <w:t>Ogah</w:t>
      </w:r>
      <w:proofErr w:type="spellEnd"/>
      <w:r w:rsidRPr="009A236C">
        <w:rPr>
          <w:rFonts w:ascii="Times New Roman" w:eastAsia="Times New Roman" w:hAnsi="Times New Roman" w:cs="Times New Roman"/>
          <w:sz w:val="24"/>
          <w:szCs w:val="24"/>
        </w:rPr>
        <w:t xml:space="preserve"> &amp; Abubakar, 2024).</w:t>
      </w:r>
    </w:p>
    <w:p w14:paraId="2CEC5D98" w14:textId="77777777" w:rsidR="00316083" w:rsidRPr="009A236C" w:rsidRDefault="00316083" w:rsidP="009D74C8">
      <w:pPr>
        <w:spacing w:before="100" w:beforeAutospacing="1" w:after="100" w:afterAutospacing="1" w:line="240" w:lineRule="auto"/>
        <w:jc w:val="both"/>
        <w:outlineLvl w:val="3"/>
        <w:rPr>
          <w:rFonts w:ascii="Times New Roman" w:eastAsia="Times New Roman" w:hAnsi="Times New Roman" w:cs="Times New Roman"/>
          <w:b/>
          <w:bCs/>
          <w:sz w:val="24"/>
          <w:szCs w:val="24"/>
        </w:rPr>
      </w:pPr>
      <w:r w:rsidRPr="009A236C">
        <w:rPr>
          <w:rFonts w:ascii="Times New Roman" w:eastAsia="Times New Roman" w:hAnsi="Times New Roman" w:cs="Times New Roman"/>
          <w:b/>
          <w:bCs/>
          <w:sz w:val="24"/>
          <w:szCs w:val="24"/>
        </w:rPr>
        <w:t>Step 5: Analytical Signal (AS)</w:t>
      </w:r>
    </w:p>
    <w:p w14:paraId="02CF4FD6" w14:textId="77777777" w:rsidR="00316083" w:rsidRPr="009A236C" w:rsidRDefault="00316083" w:rsidP="009D74C8">
      <w:pPr>
        <w:spacing w:before="100" w:beforeAutospacing="1" w:after="100" w:afterAutospacing="1" w:line="240" w:lineRule="auto"/>
        <w:jc w:val="both"/>
        <w:rPr>
          <w:rFonts w:ascii="Times New Roman" w:eastAsia="Times New Roman" w:hAnsi="Times New Roman" w:cs="Times New Roman"/>
          <w:sz w:val="24"/>
          <w:szCs w:val="24"/>
        </w:rPr>
      </w:pPr>
      <w:r w:rsidRPr="009A236C">
        <w:rPr>
          <w:rFonts w:ascii="Times New Roman" w:eastAsia="Times New Roman" w:hAnsi="Times New Roman" w:cs="Times New Roman"/>
          <w:sz w:val="24"/>
          <w:szCs w:val="24"/>
        </w:rPr>
        <w:t xml:space="preserve">The Analytical Signal was computed to enhance </w:t>
      </w:r>
      <w:r>
        <w:rPr>
          <w:rFonts w:ascii="Times New Roman" w:eastAsia="Times New Roman" w:hAnsi="Times New Roman" w:cs="Times New Roman"/>
          <w:sz w:val="24"/>
          <w:szCs w:val="24"/>
        </w:rPr>
        <w:t xml:space="preserve">the </w:t>
      </w:r>
      <w:r w:rsidRPr="009A236C">
        <w:rPr>
          <w:rFonts w:ascii="Times New Roman" w:eastAsia="Times New Roman" w:hAnsi="Times New Roman" w:cs="Times New Roman"/>
          <w:sz w:val="24"/>
          <w:szCs w:val="24"/>
        </w:rPr>
        <w:t>edges of magnetic bodies independent of magnetization direction:</w:t>
      </w:r>
    </w:p>
    <w:p w14:paraId="66368062" w14:textId="77777777" w:rsidR="00316083" w:rsidRPr="0075262C" w:rsidRDefault="00316083" w:rsidP="009D74C8">
      <w:pPr>
        <w:pStyle w:val="NormalWeb"/>
        <w:jc w:val="both"/>
      </w:pPr>
      <m:oMath>
        <m:r>
          <w:rPr>
            <w:rFonts w:ascii="Cambria Math" w:hAnsi="Cambria Math"/>
          </w:rPr>
          <m:t>AS = √ [(∂M/∂x)² + (∂M/∂y)² + (∂M/∂z)²]</m:t>
        </m:r>
      </m:oMath>
      <w:r>
        <w:t>………………………………. (4)</w:t>
      </w:r>
    </w:p>
    <w:p w14:paraId="53E81FEC" w14:textId="77777777" w:rsidR="00316083" w:rsidRPr="009A236C" w:rsidRDefault="00316083" w:rsidP="009D74C8">
      <w:pPr>
        <w:spacing w:before="100" w:beforeAutospacing="1" w:after="100" w:afterAutospacing="1" w:line="240" w:lineRule="auto"/>
        <w:jc w:val="both"/>
        <w:rPr>
          <w:rFonts w:ascii="Times New Roman" w:eastAsia="Times New Roman" w:hAnsi="Times New Roman" w:cs="Times New Roman"/>
          <w:sz w:val="24"/>
          <w:szCs w:val="24"/>
        </w:rPr>
      </w:pPr>
      <w:r w:rsidRPr="009A236C">
        <w:rPr>
          <w:rFonts w:ascii="Times New Roman" w:eastAsia="Times New Roman" w:hAnsi="Times New Roman" w:cs="Times New Roman"/>
          <w:sz w:val="24"/>
          <w:szCs w:val="24"/>
        </w:rPr>
        <w:t>This enables accurate delineation of lithological boundaries and structural lineaments.</w:t>
      </w:r>
    </w:p>
    <w:p w14:paraId="0B1D75EE" w14:textId="77777777" w:rsidR="00316083" w:rsidRPr="009A236C" w:rsidRDefault="00316083" w:rsidP="009D74C8">
      <w:pPr>
        <w:spacing w:before="100" w:beforeAutospacing="1" w:after="100" w:afterAutospacing="1" w:line="240" w:lineRule="auto"/>
        <w:jc w:val="both"/>
        <w:outlineLvl w:val="3"/>
        <w:rPr>
          <w:rFonts w:ascii="Times New Roman" w:eastAsia="Times New Roman" w:hAnsi="Times New Roman" w:cs="Times New Roman"/>
          <w:b/>
          <w:bCs/>
          <w:sz w:val="24"/>
          <w:szCs w:val="24"/>
        </w:rPr>
      </w:pPr>
      <w:r w:rsidRPr="009A236C">
        <w:rPr>
          <w:rFonts w:ascii="Times New Roman" w:eastAsia="Times New Roman" w:hAnsi="Times New Roman" w:cs="Times New Roman"/>
          <w:b/>
          <w:bCs/>
          <w:sz w:val="24"/>
          <w:szCs w:val="24"/>
        </w:rPr>
        <w:t>Step 6: Remote Sensing Analysis</w:t>
      </w:r>
    </w:p>
    <w:p w14:paraId="0441F319" w14:textId="77777777" w:rsidR="00316083" w:rsidRPr="009A236C" w:rsidRDefault="00316083" w:rsidP="009D74C8">
      <w:pPr>
        <w:jc w:val="both"/>
        <w:rPr>
          <w:rFonts w:ascii="Times New Roman" w:hAnsi="Times New Roman" w:cs="Times New Roman"/>
          <w:color w:val="2DA2BF"/>
          <w:sz w:val="24"/>
          <w:szCs w:val="24"/>
        </w:rPr>
      </w:pPr>
      <w:r w:rsidRPr="009A236C">
        <w:rPr>
          <w:rFonts w:ascii="Times New Roman" w:hAnsi="Times New Roman" w:cs="Times New Roman"/>
          <w:bCs/>
          <w:sz w:val="24"/>
          <w:szCs w:val="24"/>
        </w:rPr>
        <w:lastRenderedPageBreak/>
        <w:t>Landsat8 OLI Imagery</w:t>
      </w:r>
      <w:r w:rsidRPr="009A236C">
        <w:rPr>
          <w:rFonts w:ascii="Times New Roman" w:hAnsi="Times New Roman" w:cs="Times New Roman"/>
          <w:sz w:val="24"/>
          <w:szCs w:val="24"/>
        </w:rPr>
        <w:t xml:space="preserve"> clipped from the Landsat 8 scene </w:t>
      </w:r>
      <w:r w:rsidRPr="009A236C">
        <w:rPr>
          <w:rFonts w:ascii="Times New Roman" w:hAnsi="Times New Roman" w:cs="Times New Roman"/>
          <w:bCs/>
          <w:sz w:val="24"/>
          <w:szCs w:val="24"/>
        </w:rPr>
        <w:t>LC09_L1TP_190054_20250211_20250215_02_TI_SR</w:t>
      </w:r>
      <w:r w:rsidRPr="009A236C">
        <w:rPr>
          <w:rFonts w:ascii="Times New Roman" w:hAnsi="Times New Roman" w:cs="Times New Roman"/>
          <w:sz w:val="24"/>
          <w:szCs w:val="24"/>
        </w:rPr>
        <w:t xml:space="preserve"> (available at: earthexplorer.usgs.gov), collected by sensors OLI (Operational Land Imager) and TIRS (Thermal Infrared Sensor) downloaded.</w:t>
      </w:r>
      <w:r>
        <w:rPr>
          <w:rFonts w:ascii="Times New Roman" w:hAnsi="Times New Roman" w:cs="Times New Roman"/>
          <w:color w:val="2DA2BF"/>
          <w:sz w:val="24"/>
          <w:szCs w:val="24"/>
        </w:rPr>
        <w:t xml:space="preserve"> </w:t>
      </w:r>
      <w:r w:rsidRPr="009A236C">
        <w:rPr>
          <w:rFonts w:ascii="Times New Roman" w:eastAsia="Times New Roman" w:hAnsi="Times New Roman" w:cs="Times New Roman"/>
          <w:sz w:val="24"/>
          <w:szCs w:val="24"/>
        </w:rPr>
        <w:t>These methods enhance spectral contrasts associated with lithological variations, iron oxides, clay minerals, and hydrothermal alteration zones. Extracted lineaments were used to define structural trends controlling mineralization.</w:t>
      </w:r>
    </w:p>
    <w:p w14:paraId="7117AC11" w14:textId="77777777" w:rsidR="00316083" w:rsidRPr="009A236C" w:rsidRDefault="00316083" w:rsidP="009D74C8">
      <w:pPr>
        <w:spacing w:before="100" w:beforeAutospacing="1" w:after="100" w:afterAutospacing="1" w:line="240" w:lineRule="auto"/>
        <w:jc w:val="both"/>
        <w:outlineLvl w:val="3"/>
        <w:rPr>
          <w:rFonts w:ascii="Times New Roman" w:eastAsia="Times New Roman" w:hAnsi="Times New Roman" w:cs="Times New Roman"/>
          <w:b/>
          <w:bCs/>
          <w:sz w:val="24"/>
          <w:szCs w:val="24"/>
        </w:rPr>
      </w:pPr>
      <w:r w:rsidRPr="009A236C">
        <w:rPr>
          <w:rFonts w:ascii="Times New Roman" w:eastAsia="Times New Roman" w:hAnsi="Times New Roman" w:cs="Times New Roman"/>
          <w:b/>
          <w:bCs/>
          <w:sz w:val="24"/>
          <w:szCs w:val="24"/>
        </w:rPr>
        <w:t>Step 7: Euler Deconvolution</w:t>
      </w:r>
    </w:p>
    <w:p w14:paraId="34310BE7" w14:textId="77777777" w:rsidR="00316083" w:rsidRPr="009A236C" w:rsidRDefault="00316083" w:rsidP="009D74C8">
      <w:pPr>
        <w:spacing w:before="100" w:beforeAutospacing="1" w:after="100" w:afterAutospacing="1" w:line="240" w:lineRule="auto"/>
        <w:jc w:val="both"/>
        <w:rPr>
          <w:rFonts w:ascii="Times New Roman" w:eastAsia="Times New Roman" w:hAnsi="Times New Roman" w:cs="Times New Roman"/>
          <w:sz w:val="24"/>
          <w:szCs w:val="24"/>
        </w:rPr>
      </w:pPr>
      <w:r w:rsidRPr="009A236C">
        <w:rPr>
          <w:rFonts w:ascii="Times New Roman" w:eastAsia="Times New Roman" w:hAnsi="Times New Roman" w:cs="Times New Roman"/>
          <w:sz w:val="24"/>
          <w:szCs w:val="24"/>
        </w:rPr>
        <w:t>Euler Deconvolution was applied to estimate the depth and geometry of magnetic sources:</w:t>
      </w:r>
    </w:p>
    <w:p w14:paraId="58A25CFB" w14:textId="77777777" w:rsidR="00316083" w:rsidRPr="0075262C" w:rsidRDefault="00316083" w:rsidP="009D74C8">
      <w:pPr>
        <w:pStyle w:val="NormalWeb"/>
        <w:jc w:val="both"/>
      </w:pPr>
      <m:oMath>
        <m:r>
          <w:rPr>
            <w:rFonts w:ascii="Cambria Math" w:hAnsi="Cambria Math"/>
          </w:rPr>
          <m:t>(x - x₀)(∂M/∂x) + (y - y₀)(∂M/∂y) + (z - z₀)(∂M/∂z) = N(B - M)</m:t>
        </m:r>
      </m:oMath>
      <w:r>
        <w:t>... (5)</w:t>
      </w:r>
    </w:p>
    <w:p w14:paraId="67D5EEA2" w14:textId="77777777" w:rsidR="00316083" w:rsidRDefault="00316083" w:rsidP="009D74C8">
      <w:pPr>
        <w:pStyle w:val="NormalWeb"/>
        <w:jc w:val="both"/>
      </w:pPr>
      <w:r w:rsidRPr="0075262C">
        <w:t xml:space="preserve">Where (x₀, y₀, z₀) represent </w:t>
      </w:r>
      <w:r>
        <w:t xml:space="preserve">the </w:t>
      </w:r>
      <w:r w:rsidRPr="0075262C">
        <w:t xml:space="preserve">source location and </w:t>
      </w:r>
      <w:r w:rsidRPr="0075262C">
        <w:rPr>
          <w:rStyle w:val="Emphasis"/>
        </w:rPr>
        <w:t>N</w:t>
      </w:r>
      <w:r w:rsidRPr="0075262C">
        <w:t xml:space="preserve"> is the structural index. This provides depth solutions and structural control of mineralization.</w:t>
      </w:r>
    </w:p>
    <w:p w14:paraId="1530BACF" w14:textId="77777777" w:rsidR="00316083" w:rsidRPr="009A236C" w:rsidRDefault="00316083" w:rsidP="009D74C8">
      <w:pPr>
        <w:pStyle w:val="NormalWeb"/>
        <w:jc w:val="both"/>
      </w:pPr>
      <w:r w:rsidRPr="009A236C">
        <w:rPr>
          <w:b/>
          <w:bCs/>
        </w:rPr>
        <w:t>Step 8: Integration and Interpretation</w:t>
      </w:r>
    </w:p>
    <w:p w14:paraId="097B57A4" w14:textId="77777777" w:rsidR="00316083" w:rsidRPr="009A236C" w:rsidRDefault="00316083" w:rsidP="009D74C8">
      <w:pPr>
        <w:spacing w:before="100" w:beforeAutospacing="1" w:after="100" w:afterAutospacing="1" w:line="240" w:lineRule="auto"/>
        <w:jc w:val="both"/>
        <w:rPr>
          <w:rFonts w:ascii="Times New Roman" w:eastAsia="Times New Roman" w:hAnsi="Times New Roman" w:cs="Times New Roman"/>
          <w:sz w:val="24"/>
          <w:szCs w:val="24"/>
        </w:rPr>
      </w:pPr>
      <w:r w:rsidRPr="009A236C">
        <w:rPr>
          <w:rFonts w:ascii="Times New Roman" w:eastAsia="Times New Roman" w:hAnsi="Times New Roman" w:cs="Times New Roman"/>
          <w:sz w:val="24"/>
          <w:szCs w:val="24"/>
        </w:rPr>
        <w:t>All processed aeromagnetic, radiometric, and remote sensing datasets were integrated to delineate structurally controlled mineralized zones. Correlation between subsurface structures and surface alteration signatures enhances the reliability and accuracy of mineral exploration targeting.</w:t>
      </w:r>
    </w:p>
    <w:p w14:paraId="5BDDEA25" w14:textId="77777777" w:rsidR="00765320" w:rsidRDefault="00765320" w:rsidP="009D74C8">
      <w:pPr>
        <w:pStyle w:val="NormalWeb"/>
        <w:jc w:val="both"/>
        <w:rPr>
          <w:b/>
        </w:rPr>
      </w:pPr>
    </w:p>
    <w:p w14:paraId="6B6C76CA" w14:textId="77777777" w:rsidR="00765320" w:rsidRDefault="00765320" w:rsidP="009D74C8">
      <w:pPr>
        <w:pStyle w:val="NormalWeb"/>
        <w:jc w:val="both"/>
        <w:rPr>
          <w:b/>
        </w:rPr>
      </w:pPr>
    </w:p>
    <w:p w14:paraId="3B160C0F" w14:textId="77777777" w:rsidR="00765320" w:rsidRDefault="00765320" w:rsidP="009D74C8">
      <w:pPr>
        <w:pStyle w:val="NormalWeb"/>
        <w:jc w:val="both"/>
        <w:rPr>
          <w:b/>
        </w:rPr>
      </w:pPr>
    </w:p>
    <w:p w14:paraId="57D96BD9" w14:textId="77777777" w:rsidR="00765320" w:rsidRDefault="00765320" w:rsidP="009D74C8">
      <w:pPr>
        <w:pStyle w:val="NormalWeb"/>
        <w:jc w:val="both"/>
        <w:rPr>
          <w:b/>
        </w:rPr>
      </w:pPr>
    </w:p>
    <w:p w14:paraId="4B0B39D9" w14:textId="77777777" w:rsidR="00765320" w:rsidRDefault="00765320" w:rsidP="009D74C8">
      <w:pPr>
        <w:pStyle w:val="NormalWeb"/>
        <w:jc w:val="both"/>
        <w:rPr>
          <w:b/>
        </w:rPr>
      </w:pPr>
    </w:p>
    <w:p w14:paraId="08B727C1" w14:textId="77777777" w:rsidR="00765320" w:rsidRDefault="00765320" w:rsidP="009D74C8">
      <w:pPr>
        <w:pStyle w:val="NormalWeb"/>
        <w:jc w:val="both"/>
        <w:rPr>
          <w:b/>
        </w:rPr>
      </w:pPr>
    </w:p>
    <w:p w14:paraId="757CDC7E" w14:textId="77777777" w:rsidR="00765320" w:rsidRDefault="00765320" w:rsidP="009D74C8">
      <w:pPr>
        <w:pStyle w:val="NormalWeb"/>
        <w:jc w:val="both"/>
        <w:rPr>
          <w:b/>
        </w:rPr>
      </w:pPr>
    </w:p>
    <w:p w14:paraId="5223D59E" w14:textId="77777777" w:rsidR="00765320" w:rsidRDefault="00765320" w:rsidP="009D74C8">
      <w:pPr>
        <w:pStyle w:val="NormalWeb"/>
        <w:jc w:val="both"/>
        <w:rPr>
          <w:b/>
        </w:rPr>
      </w:pPr>
    </w:p>
    <w:p w14:paraId="43C6F460" w14:textId="77777777" w:rsidR="00765320" w:rsidRDefault="00765320" w:rsidP="009D74C8">
      <w:pPr>
        <w:pStyle w:val="NormalWeb"/>
        <w:jc w:val="both"/>
        <w:rPr>
          <w:b/>
        </w:rPr>
      </w:pPr>
    </w:p>
    <w:p w14:paraId="4299E8E2" w14:textId="77777777" w:rsidR="00765320" w:rsidRDefault="00765320" w:rsidP="009D74C8">
      <w:pPr>
        <w:pStyle w:val="NormalWeb"/>
        <w:jc w:val="both"/>
        <w:rPr>
          <w:b/>
        </w:rPr>
      </w:pPr>
    </w:p>
    <w:p w14:paraId="79FDB687" w14:textId="77777777" w:rsidR="000C0F90" w:rsidRDefault="000C0F90" w:rsidP="009D74C8">
      <w:pPr>
        <w:pStyle w:val="NormalWeb"/>
        <w:jc w:val="both"/>
        <w:rPr>
          <w:b/>
        </w:rPr>
      </w:pPr>
    </w:p>
    <w:p w14:paraId="3009464C" w14:textId="77777777" w:rsidR="000C0F90" w:rsidRDefault="000C0F90" w:rsidP="009D74C8">
      <w:pPr>
        <w:pStyle w:val="NormalWeb"/>
        <w:jc w:val="both"/>
        <w:rPr>
          <w:b/>
        </w:rPr>
      </w:pPr>
    </w:p>
    <w:p w14:paraId="2587F00F" w14:textId="176D88AC" w:rsidR="00234907" w:rsidRPr="00234907" w:rsidRDefault="00234907" w:rsidP="009D74C8">
      <w:pPr>
        <w:pStyle w:val="NormalWeb"/>
        <w:jc w:val="both"/>
        <w:rPr>
          <w:b/>
        </w:rPr>
      </w:pPr>
      <w:r w:rsidRPr="00234907">
        <w:rPr>
          <w:b/>
        </w:rPr>
        <w:t>4.0 Results and discussion</w:t>
      </w:r>
    </w:p>
    <w:p w14:paraId="6B112DA3" w14:textId="200EB1CC" w:rsidR="00234907" w:rsidRDefault="00F928E7" w:rsidP="009D74C8">
      <w:pPr>
        <w:pStyle w:val="NormalWeb"/>
        <w:jc w:val="both"/>
        <w:rPr>
          <w:b/>
        </w:rPr>
      </w:pPr>
      <w:r>
        <w:rPr>
          <w:b/>
        </w:rPr>
        <w:lastRenderedPageBreak/>
        <w:t>4.1 Aeromagnetic data</w:t>
      </w:r>
    </w:p>
    <w:p w14:paraId="0D10BD48" w14:textId="355DBAD1" w:rsidR="00234907" w:rsidRPr="00234907" w:rsidRDefault="00234907" w:rsidP="009D74C8">
      <w:pPr>
        <w:spacing w:before="100" w:beforeAutospacing="1" w:after="100" w:afterAutospacing="1"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t xml:space="preserve">  </w:t>
      </w:r>
      <w:r w:rsidR="00A237B8">
        <w:rPr>
          <w:rFonts w:ascii="Times New Roman" w:eastAsia="Times New Roman" w:hAnsi="Times New Roman" w:cs="Times New Roman"/>
          <w:noProof/>
          <w:sz w:val="24"/>
          <w:szCs w:val="24"/>
        </w:rPr>
        <w:t xml:space="preserve"> </w:t>
      </w:r>
      <w:r w:rsidR="00C86934">
        <w:rPr>
          <w:rFonts w:ascii="Times New Roman" w:eastAsia="Times New Roman" w:hAnsi="Times New Roman" w:cs="Times New Roman"/>
          <w:noProof/>
          <w:sz w:val="24"/>
          <w:szCs w:val="24"/>
        </w:rPr>
        <w:t xml:space="preserve"> </w:t>
      </w:r>
      <w:r w:rsidR="00597EF9">
        <w:rPr>
          <w:rFonts w:ascii="Times New Roman" w:eastAsia="Times New Roman" w:hAnsi="Times New Roman" w:cs="Times New Roman"/>
          <w:noProof/>
          <w:sz w:val="24"/>
          <w:szCs w:val="24"/>
        </w:rPr>
        <w:t xml:space="preserve">                              </w:t>
      </w:r>
      <w:r w:rsidR="0058419D">
        <w:rPr>
          <w:noProof/>
        </w:rPr>
        <w:drawing>
          <wp:inline distT="0" distB="0" distL="0" distR="0" wp14:anchorId="687F6DF3" wp14:editId="50BA9A68">
            <wp:extent cx="5052695" cy="4839201"/>
            <wp:effectExtent l="0" t="0" r="635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052695" cy="4839201"/>
                    </a:xfrm>
                    <a:prstGeom prst="rect">
                      <a:avLst/>
                    </a:prstGeom>
                  </pic:spPr>
                </pic:pic>
              </a:graphicData>
            </a:graphic>
          </wp:inline>
        </w:drawing>
      </w:r>
      <w:r w:rsidR="00A237B8">
        <w:rPr>
          <w:rFonts w:ascii="Times New Roman" w:eastAsia="Times New Roman" w:hAnsi="Times New Roman" w:cs="Times New Roman"/>
          <w:noProof/>
          <w:sz w:val="24"/>
          <w:szCs w:val="24"/>
        </w:rPr>
        <w:t xml:space="preserve">     </w:t>
      </w:r>
      <w:r w:rsidR="005E3686">
        <w:rPr>
          <w:rFonts w:ascii="Times New Roman" w:eastAsia="Times New Roman" w:hAnsi="Times New Roman" w:cs="Times New Roman"/>
          <w:noProof/>
          <w:sz w:val="24"/>
          <w:szCs w:val="24"/>
        </w:rPr>
        <w:t xml:space="preserve">                    </w:t>
      </w:r>
    </w:p>
    <w:p w14:paraId="563A1865" w14:textId="76B5C19B" w:rsidR="00234907" w:rsidRPr="00234907" w:rsidRDefault="0058419D" w:rsidP="009D74C8">
      <w:pPr>
        <w:pStyle w:val="NormalWeb"/>
        <w:jc w:val="both"/>
        <w:rPr>
          <w:b/>
        </w:rPr>
      </w:pPr>
      <w:r w:rsidRPr="001B5D3F">
        <w:rPr>
          <w:b/>
        </w:rPr>
        <w:t>Figure 3</w:t>
      </w:r>
      <w:r w:rsidRPr="001B5D3F">
        <w:t>: Total Magnetic Intensity (TMI) anomaly map of the study area showing variations in magnetic signatures associated with subsurface lithological and structural features. High and low magnetic anomalies reflect contrasts in rock types and magnetic susceptibility. The map serves as the baseline for subsequent filtering and structural interpretation</w:t>
      </w:r>
      <w:r w:rsidRPr="0058419D">
        <w:rPr>
          <w:b/>
        </w:rPr>
        <w:t>.</w:t>
      </w:r>
    </w:p>
    <w:p w14:paraId="1C9DE4D8" w14:textId="77777777" w:rsidR="00597EF9" w:rsidRDefault="00597EF9" w:rsidP="009D74C8">
      <w:pPr>
        <w:spacing w:before="100" w:beforeAutospacing="1" w:after="100" w:afterAutospacing="1"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Total magnetic i</w:t>
      </w:r>
      <w:r w:rsidRPr="00234907">
        <w:rPr>
          <w:rFonts w:ascii="Times New Roman" w:hAnsi="Times New Roman" w:cs="Times New Roman"/>
          <w:sz w:val="24"/>
          <w:szCs w:val="24"/>
        </w:rPr>
        <w:t>ntensity</w:t>
      </w:r>
      <w:r>
        <w:rPr>
          <w:rFonts w:ascii="Times New Roman" w:hAnsi="Times New Roman" w:cs="Times New Roman"/>
          <w:sz w:val="24"/>
          <w:szCs w:val="24"/>
        </w:rPr>
        <w:t xml:space="preserve"> map</w:t>
      </w:r>
      <w:r w:rsidRPr="00234907">
        <w:rPr>
          <w:rFonts w:ascii="Times New Roman" w:hAnsi="Times New Roman" w:cs="Times New Roman"/>
          <w:sz w:val="24"/>
          <w:szCs w:val="24"/>
        </w:rPr>
        <w:t xml:space="preserve"> </w:t>
      </w:r>
      <w:r w:rsidRPr="00EC668B">
        <w:rPr>
          <w:rFonts w:ascii="Times New Roman" w:eastAsia="Times New Roman" w:hAnsi="Times New Roman" w:cs="Times New Roman"/>
          <w:sz w:val="24"/>
          <w:szCs w:val="24"/>
        </w:rPr>
        <w:t xml:space="preserve">reveals variations in magnetic field intensity across the study area, reflecting lithological and structural controls. </w:t>
      </w:r>
      <w:r w:rsidRPr="00C20235">
        <w:rPr>
          <w:rFonts w:ascii="Times New Roman" w:eastAsia="Times New Roman" w:hAnsi="Times New Roman" w:cs="Times New Roman"/>
          <w:bCs/>
          <w:sz w:val="24"/>
          <w:szCs w:val="24"/>
        </w:rPr>
        <w:t>High anomalies</w:t>
      </w:r>
      <w:r w:rsidRPr="00EC668B">
        <w:rPr>
          <w:rFonts w:ascii="Times New Roman" w:eastAsia="Times New Roman" w:hAnsi="Times New Roman" w:cs="Times New Roman"/>
          <w:sz w:val="24"/>
          <w:szCs w:val="24"/>
        </w:rPr>
        <w:t xml:space="preserve"> (~19 </w:t>
      </w:r>
      <w:proofErr w:type="spellStart"/>
      <w:r w:rsidRPr="00EC668B">
        <w:rPr>
          <w:rFonts w:ascii="Times New Roman" w:eastAsia="Times New Roman" w:hAnsi="Times New Roman" w:cs="Times New Roman"/>
          <w:sz w:val="24"/>
          <w:szCs w:val="24"/>
        </w:rPr>
        <w:t>nT</w:t>
      </w:r>
      <w:proofErr w:type="spellEnd"/>
      <w:r w:rsidRPr="00EC668B">
        <w:rPr>
          <w:rFonts w:ascii="Times New Roman" w:eastAsia="Times New Roman" w:hAnsi="Times New Roman" w:cs="Times New Roman"/>
          <w:sz w:val="24"/>
          <w:szCs w:val="24"/>
        </w:rPr>
        <w:t xml:space="preserve"> to ~96 </w:t>
      </w:r>
      <w:proofErr w:type="spellStart"/>
      <w:r w:rsidRPr="00EC668B">
        <w:rPr>
          <w:rFonts w:ascii="Times New Roman" w:eastAsia="Times New Roman" w:hAnsi="Times New Roman" w:cs="Times New Roman"/>
          <w:sz w:val="24"/>
          <w:szCs w:val="24"/>
        </w:rPr>
        <w:t>nT</w:t>
      </w:r>
      <w:proofErr w:type="spellEnd"/>
      <w:r w:rsidRPr="00EC668B">
        <w:rPr>
          <w:rFonts w:ascii="Times New Roman" w:eastAsia="Times New Roman" w:hAnsi="Times New Roman" w:cs="Times New Roman"/>
          <w:sz w:val="24"/>
          <w:szCs w:val="24"/>
        </w:rPr>
        <w:t xml:space="preserve">), concentrated around </w:t>
      </w:r>
      <w:proofErr w:type="spellStart"/>
      <w:r w:rsidRPr="00C20235">
        <w:rPr>
          <w:rFonts w:ascii="Times New Roman" w:eastAsia="Times New Roman" w:hAnsi="Times New Roman" w:cs="Times New Roman"/>
          <w:bCs/>
          <w:sz w:val="24"/>
          <w:szCs w:val="24"/>
        </w:rPr>
        <w:t>Bolorunduro</w:t>
      </w:r>
      <w:proofErr w:type="spellEnd"/>
      <w:r w:rsidRPr="00C20235">
        <w:rPr>
          <w:rFonts w:ascii="Times New Roman" w:eastAsia="Times New Roman" w:hAnsi="Times New Roman" w:cs="Times New Roman"/>
          <w:bCs/>
          <w:sz w:val="24"/>
          <w:szCs w:val="24"/>
        </w:rPr>
        <w:t xml:space="preserve"> and parts of </w:t>
      </w:r>
      <w:proofErr w:type="spellStart"/>
      <w:r w:rsidRPr="00C20235">
        <w:rPr>
          <w:rFonts w:ascii="Times New Roman" w:eastAsia="Times New Roman" w:hAnsi="Times New Roman" w:cs="Times New Roman"/>
          <w:bCs/>
          <w:sz w:val="24"/>
          <w:szCs w:val="24"/>
        </w:rPr>
        <w:t>Itapaji</w:t>
      </w:r>
      <w:proofErr w:type="spellEnd"/>
      <w:r w:rsidRPr="00EC668B">
        <w:rPr>
          <w:rFonts w:ascii="Times New Roman" w:eastAsia="Times New Roman" w:hAnsi="Times New Roman" w:cs="Times New Roman"/>
          <w:sz w:val="24"/>
          <w:szCs w:val="24"/>
        </w:rPr>
        <w:t>, likely correspond to magnetically susceptible rocks such as mafic intrusions or banded gneisses (</w:t>
      </w:r>
      <w:proofErr w:type="spellStart"/>
      <w:r w:rsidRPr="00EC668B">
        <w:rPr>
          <w:rFonts w:ascii="Times New Roman" w:eastAsia="Times New Roman" w:hAnsi="Times New Roman" w:cs="Times New Roman"/>
          <w:sz w:val="24"/>
          <w:szCs w:val="24"/>
        </w:rPr>
        <w:t>Ogah</w:t>
      </w:r>
      <w:proofErr w:type="spellEnd"/>
      <w:r w:rsidRPr="00EC668B">
        <w:rPr>
          <w:rFonts w:ascii="Times New Roman" w:eastAsia="Times New Roman" w:hAnsi="Times New Roman" w:cs="Times New Roman"/>
          <w:sz w:val="24"/>
          <w:szCs w:val="24"/>
        </w:rPr>
        <w:t xml:space="preserve"> &amp; Abubakar, 2024; </w:t>
      </w:r>
      <w:proofErr w:type="spellStart"/>
      <w:r w:rsidRPr="00EC668B">
        <w:rPr>
          <w:rFonts w:ascii="Times New Roman" w:eastAsia="Times New Roman" w:hAnsi="Times New Roman" w:cs="Times New Roman"/>
          <w:sz w:val="24"/>
          <w:szCs w:val="24"/>
        </w:rPr>
        <w:t>Vallée</w:t>
      </w:r>
      <w:proofErr w:type="spellEnd"/>
      <w:r w:rsidRPr="00EC668B">
        <w:rPr>
          <w:rFonts w:ascii="Times New Roman" w:eastAsia="Times New Roman" w:hAnsi="Times New Roman" w:cs="Times New Roman"/>
          <w:sz w:val="24"/>
          <w:szCs w:val="24"/>
        </w:rPr>
        <w:t xml:space="preserve"> et al., 2025). </w:t>
      </w:r>
      <w:r w:rsidRPr="00C20235">
        <w:rPr>
          <w:rFonts w:ascii="Times New Roman" w:eastAsia="Times New Roman" w:hAnsi="Times New Roman" w:cs="Times New Roman"/>
          <w:bCs/>
          <w:sz w:val="24"/>
          <w:szCs w:val="24"/>
        </w:rPr>
        <w:t>Moderate anomalies</w:t>
      </w:r>
      <w:r w:rsidRPr="00EC668B">
        <w:rPr>
          <w:rFonts w:ascii="Times New Roman" w:eastAsia="Times New Roman" w:hAnsi="Times New Roman" w:cs="Times New Roman"/>
          <w:sz w:val="24"/>
          <w:szCs w:val="24"/>
        </w:rPr>
        <w:t xml:space="preserve"> (~1 </w:t>
      </w:r>
      <w:proofErr w:type="spellStart"/>
      <w:r w:rsidRPr="00EC668B">
        <w:rPr>
          <w:rFonts w:ascii="Times New Roman" w:eastAsia="Times New Roman" w:hAnsi="Times New Roman" w:cs="Times New Roman"/>
          <w:sz w:val="24"/>
          <w:szCs w:val="24"/>
        </w:rPr>
        <w:t>nT</w:t>
      </w:r>
      <w:proofErr w:type="spellEnd"/>
      <w:r w:rsidRPr="00EC668B">
        <w:rPr>
          <w:rFonts w:ascii="Times New Roman" w:eastAsia="Times New Roman" w:hAnsi="Times New Roman" w:cs="Times New Roman"/>
          <w:sz w:val="24"/>
          <w:szCs w:val="24"/>
        </w:rPr>
        <w:t xml:space="preserve"> to 19 </w:t>
      </w:r>
      <w:proofErr w:type="spellStart"/>
      <w:r w:rsidRPr="00EC668B">
        <w:rPr>
          <w:rFonts w:ascii="Times New Roman" w:eastAsia="Times New Roman" w:hAnsi="Times New Roman" w:cs="Times New Roman"/>
          <w:sz w:val="24"/>
          <w:szCs w:val="24"/>
        </w:rPr>
        <w:t>nT</w:t>
      </w:r>
      <w:proofErr w:type="spellEnd"/>
      <w:r w:rsidRPr="00EC668B">
        <w:rPr>
          <w:rFonts w:ascii="Times New Roman" w:eastAsia="Times New Roman" w:hAnsi="Times New Roman" w:cs="Times New Roman"/>
          <w:sz w:val="24"/>
          <w:szCs w:val="24"/>
        </w:rPr>
        <w:t xml:space="preserve">) dominate surrounding areas, indicative of intermediate lithologies, possibly granitic gneisses (Hamman et al., 2025). </w:t>
      </w:r>
      <w:r w:rsidRPr="00C20235">
        <w:rPr>
          <w:rFonts w:ascii="Times New Roman" w:eastAsia="Times New Roman" w:hAnsi="Times New Roman" w:cs="Times New Roman"/>
          <w:bCs/>
          <w:sz w:val="24"/>
          <w:szCs w:val="24"/>
        </w:rPr>
        <w:t>Low anomalies</w:t>
      </w:r>
      <w:r w:rsidRPr="00EC668B">
        <w:rPr>
          <w:rFonts w:ascii="Times New Roman" w:eastAsia="Times New Roman" w:hAnsi="Times New Roman" w:cs="Times New Roman"/>
          <w:sz w:val="24"/>
          <w:szCs w:val="24"/>
        </w:rPr>
        <w:t xml:space="preserve"> (−234 </w:t>
      </w:r>
      <w:proofErr w:type="spellStart"/>
      <w:r w:rsidRPr="00EC668B">
        <w:rPr>
          <w:rFonts w:ascii="Times New Roman" w:eastAsia="Times New Roman" w:hAnsi="Times New Roman" w:cs="Times New Roman"/>
          <w:sz w:val="24"/>
          <w:szCs w:val="24"/>
        </w:rPr>
        <w:t>nT</w:t>
      </w:r>
      <w:proofErr w:type="spellEnd"/>
      <w:r w:rsidRPr="00EC668B">
        <w:rPr>
          <w:rFonts w:ascii="Times New Roman" w:eastAsia="Times New Roman" w:hAnsi="Times New Roman" w:cs="Times New Roman"/>
          <w:sz w:val="24"/>
          <w:szCs w:val="24"/>
        </w:rPr>
        <w:t xml:space="preserve"> to −23 </w:t>
      </w:r>
      <w:proofErr w:type="spellStart"/>
      <w:r w:rsidRPr="00EC668B">
        <w:rPr>
          <w:rFonts w:ascii="Times New Roman" w:eastAsia="Times New Roman" w:hAnsi="Times New Roman" w:cs="Times New Roman"/>
          <w:sz w:val="24"/>
          <w:szCs w:val="24"/>
        </w:rPr>
        <w:t>nT</w:t>
      </w:r>
      <w:proofErr w:type="spellEnd"/>
      <w:r w:rsidRPr="00EC668B">
        <w:rPr>
          <w:rFonts w:ascii="Times New Roman" w:eastAsia="Times New Roman" w:hAnsi="Times New Roman" w:cs="Times New Roman"/>
          <w:sz w:val="24"/>
          <w:szCs w:val="24"/>
        </w:rPr>
        <w:t xml:space="preserve">) around </w:t>
      </w:r>
      <w:proofErr w:type="spellStart"/>
      <w:r w:rsidRPr="00C20235">
        <w:rPr>
          <w:rFonts w:ascii="Times New Roman" w:eastAsia="Times New Roman" w:hAnsi="Times New Roman" w:cs="Times New Roman"/>
          <w:bCs/>
          <w:sz w:val="24"/>
          <w:szCs w:val="24"/>
        </w:rPr>
        <w:t>Odo</w:t>
      </w:r>
      <w:proofErr w:type="spellEnd"/>
      <w:r w:rsidRPr="00C20235">
        <w:rPr>
          <w:rFonts w:ascii="Times New Roman" w:eastAsia="Times New Roman" w:hAnsi="Times New Roman" w:cs="Times New Roman"/>
          <w:bCs/>
          <w:sz w:val="24"/>
          <w:szCs w:val="24"/>
        </w:rPr>
        <w:t xml:space="preserve"> Oro and </w:t>
      </w:r>
      <w:proofErr w:type="spellStart"/>
      <w:r w:rsidRPr="00C20235">
        <w:rPr>
          <w:rFonts w:ascii="Times New Roman" w:eastAsia="Times New Roman" w:hAnsi="Times New Roman" w:cs="Times New Roman"/>
          <w:bCs/>
          <w:sz w:val="24"/>
          <w:szCs w:val="24"/>
        </w:rPr>
        <w:t>Ikole</w:t>
      </w:r>
      <w:proofErr w:type="spellEnd"/>
      <w:r w:rsidRPr="00EC668B">
        <w:rPr>
          <w:rFonts w:ascii="Times New Roman" w:eastAsia="Times New Roman" w:hAnsi="Times New Roman" w:cs="Times New Roman"/>
          <w:sz w:val="24"/>
          <w:szCs w:val="24"/>
        </w:rPr>
        <w:t xml:space="preserve"> suggest quartz-rich or </w:t>
      </w:r>
      <w:proofErr w:type="spellStart"/>
      <w:r w:rsidRPr="00EC668B">
        <w:rPr>
          <w:rFonts w:ascii="Times New Roman" w:eastAsia="Times New Roman" w:hAnsi="Times New Roman" w:cs="Times New Roman"/>
          <w:sz w:val="24"/>
          <w:szCs w:val="24"/>
        </w:rPr>
        <w:t>migmatitic</w:t>
      </w:r>
      <w:proofErr w:type="spellEnd"/>
      <w:r w:rsidRPr="00EC668B">
        <w:rPr>
          <w:rFonts w:ascii="Times New Roman" w:eastAsia="Times New Roman" w:hAnsi="Times New Roman" w:cs="Times New Roman"/>
          <w:sz w:val="24"/>
          <w:szCs w:val="24"/>
        </w:rPr>
        <w:t xml:space="preserve"> formations with low magnetic susceptibility (</w:t>
      </w:r>
      <w:proofErr w:type="spellStart"/>
      <w:r w:rsidRPr="00EC668B">
        <w:rPr>
          <w:rFonts w:ascii="Times New Roman" w:eastAsia="Times New Roman" w:hAnsi="Times New Roman" w:cs="Times New Roman"/>
          <w:sz w:val="24"/>
          <w:szCs w:val="24"/>
        </w:rPr>
        <w:t>Ogah</w:t>
      </w:r>
      <w:proofErr w:type="spellEnd"/>
      <w:r w:rsidRPr="00EC668B">
        <w:rPr>
          <w:rFonts w:ascii="Times New Roman" w:eastAsia="Times New Roman" w:hAnsi="Times New Roman" w:cs="Times New Roman"/>
          <w:sz w:val="24"/>
          <w:szCs w:val="24"/>
        </w:rPr>
        <w:t xml:space="preserve"> &amp; Abubakar, 2024).</w:t>
      </w:r>
      <w:r>
        <w:rPr>
          <w:rFonts w:ascii="Times New Roman" w:eastAsia="Times New Roman" w:hAnsi="Times New Roman" w:cs="Times New Roman"/>
          <w:sz w:val="24"/>
          <w:szCs w:val="24"/>
        </w:rPr>
        <w:t xml:space="preserve"> </w:t>
      </w:r>
      <w:r w:rsidRPr="00EC668B">
        <w:rPr>
          <w:rFonts w:ascii="Times New Roman" w:eastAsia="Times New Roman" w:hAnsi="Times New Roman" w:cs="Times New Roman"/>
          <w:sz w:val="24"/>
          <w:szCs w:val="24"/>
        </w:rPr>
        <w:t xml:space="preserve">The spatial distribution exhibits </w:t>
      </w:r>
      <w:r w:rsidRPr="00C20235">
        <w:rPr>
          <w:rFonts w:ascii="Times New Roman" w:eastAsia="Times New Roman" w:hAnsi="Times New Roman" w:cs="Times New Roman"/>
          <w:bCs/>
          <w:sz w:val="24"/>
          <w:szCs w:val="24"/>
        </w:rPr>
        <w:t>NW–SE and NE–SW alignments</w:t>
      </w:r>
      <w:r w:rsidRPr="00EC668B">
        <w:rPr>
          <w:rFonts w:ascii="Times New Roman" w:eastAsia="Times New Roman" w:hAnsi="Times New Roman" w:cs="Times New Roman"/>
          <w:sz w:val="24"/>
          <w:szCs w:val="24"/>
        </w:rPr>
        <w:t>, reflecting structural trends likely controlled by basement lineaments and faults, consistent with regional tectonic fabrics that influence the emplacement of magnetic lithologies (</w:t>
      </w:r>
      <w:proofErr w:type="spellStart"/>
      <w:r w:rsidRPr="00EC668B">
        <w:rPr>
          <w:rFonts w:ascii="Times New Roman" w:eastAsia="Times New Roman" w:hAnsi="Times New Roman" w:cs="Times New Roman"/>
          <w:sz w:val="24"/>
          <w:szCs w:val="24"/>
        </w:rPr>
        <w:t>Val</w:t>
      </w:r>
      <w:r>
        <w:rPr>
          <w:rFonts w:ascii="Times New Roman" w:eastAsia="Times New Roman" w:hAnsi="Times New Roman" w:cs="Times New Roman"/>
          <w:sz w:val="24"/>
          <w:szCs w:val="24"/>
        </w:rPr>
        <w:t>lée</w:t>
      </w:r>
      <w:proofErr w:type="spellEnd"/>
      <w:r>
        <w:rPr>
          <w:rFonts w:ascii="Times New Roman" w:eastAsia="Times New Roman" w:hAnsi="Times New Roman" w:cs="Times New Roman"/>
          <w:sz w:val="24"/>
          <w:szCs w:val="24"/>
        </w:rPr>
        <w:t xml:space="preserve"> &amp; Mazur, 2025; </w:t>
      </w:r>
      <w:r w:rsidRPr="00E75263">
        <w:rPr>
          <w:rFonts w:ascii="Times New Roman" w:hAnsi="Times New Roman" w:cs="Times New Roman"/>
          <w:sz w:val="24"/>
          <w:szCs w:val="24"/>
        </w:rPr>
        <w:t xml:space="preserve">Suleiman et </w:t>
      </w:r>
      <w:r>
        <w:rPr>
          <w:rFonts w:ascii="Times New Roman" w:hAnsi="Times New Roman" w:cs="Times New Roman"/>
          <w:sz w:val="24"/>
          <w:szCs w:val="24"/>
        </w:rPr>
        <w:t>al.,</w:t>
      </w:r>
      <w:r w:rsidRPr="00E75263">
        <w:rPr>
          <w:rFonts w:ascii="Times New Roman" w:hAnsi="Times New Roman" w:cs="Times New Roman"/>
          <w:sz w:val="24"/>
          <w:szCs w:val="24"/>
        </w:rPr>
        <w:t xml:space="preserve"> </w:t>
      </w:r>
      <w:r w:rsidRPr="00E75263">
        <w:rPr>
          <w:rFonts w:ascii="Times New Roman" w:eastAsia="Times New Roman" w:hAnsi="Times New Roman" w:cs="Times New Roman"/>
          <w:sz w:val="24"/>
          <w:szCs w:val="24"/>
        </w:rPr>
        <w:t>2025</w:t>
      </w:r>
      <w:r w:rsidRPr="00EC668B">
        <w:rPr>
          <w:rFonts w:ascii="Times New Roman" w:eastAsia="Times New Roman" w:hAnsi="Times New Roman" w:cs="Times New Roman"/>
          <w:sz w:val="24"/>
          <w:szCs w:val="24"/>
        </w:rPr>
        <w:t>). These structural trends may guide fluid pathways and target zones for metallic mineralization, highlighting areas of exploration potential</w:t>
      </w:r>
      <w:r>
        <w:rPr>
          <w:rFonts w:ascii="Times New Roman" w:eastAsia="Times New Roman" w:hAnsi="Times New Roman" w:cs="Times New Roman"/>
          <w:sz w:val="24"/>
          <w:szCs w:val="24"/>
        </w:rPr>
        <w:t xml:space="preserve"> </w:t>
      </w:r>
      <w:r w:rsidRPr="00DC0D50">
        <w:rPr>
          <w:rFonts w:ascii="Times New Roman" w:eastAsia="Times New Roman" w:hAnsi="Times New Roman" w:cs="Times New Roman"/>
          <w:b/>
          <w:sz w:val="24"/>
          <w:szCs w:val="24"/>
        </w:rPr>
        <w:t>(Fig. 3</w:t>
      </w:r>
      <w:r>
        <w:rPr>
          <w:rFonts w:ascii="Times New Roman" w:eastAsia="Times New Roman" w:hAnsi="Times New Roman" w:cs="Times New Roman"/>
          <w:sz w:val="24"/>
          <w:szCs w:val="24"/>
        </w:rPr>
        <w:t>)</w:t>
      </w:r>
      <w:r w:rsidRPr="00EC668B">
        <w:rPr>
          <w:rFonts w:ascii="Times New Roman" w:eastAsia="Times New Roman" w:hAnsi="Times New Roman" w:cs="Times New Roman"/>
          <w:sz w:val="24"/>
          <w:szCs w:val="24"/>
        </w:rPr>
        <w:t>.</w:t>
      </w:r>
    </w:p>
    <w:p w14:paraId="7061063C" w14:textId="77777777" w:rsidR="002702A6" w:rsidRDefault="002702A6" w:rsidP="009D74C8">
      <w:pPr>
        <w:spacing w:before="100" w:beforeAutospacing="1" w:after="100" w:afterAutospacing="1" w:line="240" w:lineRule="auto"/>
        <w:jc w:val="both"/>
        <w:rPr>
          <w:rFonts w:ascii="Times New Roman" w:eastAsia="Times New Roman" w:hAnsi="Times New Roman" w:cs="Times New Roman"/>
          <w:b/>
          <w:sz w:val="24"/>
          <w:szCs w:val="24"/>
        </w:rPr>
      </w:pPr>
    </w:p>
    <w:p w14:paraId="0DC708D6" w14:textId="700659DF" w:rsidR="004F6E7A" w:rsidRDefault="004F6E7A" w:rsidP="009D74C8">
      <w:pPr>
        <w:spacing w:before="100" w:beforeAutospacing="1" w:after="100" w:afterAutospacing="1" w:line="240" w:lineRule="auto"/>
        <w:jc w:val="both"/>
        <w:rPr>
          <w:rFonts w:ascii="Times New Roman" w:eastAsia="Times New Roman" w:hAnsi="Times New Roman" w:cs="Times New Roman"/>
          <w:b/>
          <w:sz w:val="24"/>
          <w:szCs w:val="24"/>
        </w:rPr>
      </w:pPr>
    </w:p>
    <w:p w14:paraId="73F86738" w14:textId="15A6F74D" w:rsidR="00B02EC8" w:rsidRDefault="0002241B" w:rsidP="009D74C8">
      <w:pPr>
        <w:spacing w:before="100" w:beforeAutospacing="1" w:after="100" w:afterAutospacing="1" w:line="240" w:lineRule="auto"/>
        <w:jc w:val="both"/>
        <w:rPr>
          <w:rFonts w:ascii="Times New Roman" w:hAnsi="Times New Roman" w:cs="Times New Roman"/>
          <w:sz w:val="24"/>
          <w:szCs w:val="24"/>
        </w:rPr>
      </w:pPr>
      <w:r>
        <w:rPr>
          <w:noProof/>
        </w:rPr>
        <w:t xml:space="preserve">                                    </w:t>
      </w:r>
      <w:r w:rsidR="00B02EC8">
        <w:rPr>
          <w:noProof/>
        </w:rPr>
        <w:drawing>
          <wp:inline distT="0" distB="0" distL="0" distR="0" wp14:anchorId="14FF2A57" wp14:editId="30443CBA">
            <wp:extent cx="4314355" cy="494547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29874" cy="4963259"/>
                    </a:xfrm>
                    <a:prstGeom prst="rect">
                      <a:avLst/>
                    </a:prstGeom>
                  </pic:spPr>
                </pic:pic>
              </a:graphicData>
            </a:graphic>
          </wp:inline>
        </w:drawing>
      </w:r>
    </w:p>
    <w:p w14:paraId="67AB186F" w14:textId="5287A314" w:rsidR="00B02EC8" w:rsidRDefault="00B02EC8" w:rsidP="009D74C8">
      <w:pPr>
        <w:spacing w:before="100" w:beforeAutospacing="1" w:after="100" w:afterAutospacing="1" w:line="240" w:lineRule="auto"/>
        <w:jc w:val="both"/>
        <w:rPr>
          <w:rFonts w:ascii="Times New Roman" w:hAnsi="Times New Roman" w:cs="Times New Roman"/>
          <w:sz w:val="24"/>
          <w:szCs w:val="24"/>
        </w:rPr>
      </w:pPr>
      <w:r w:rsidRPr="001B5D3F">
        <w:rPr>
          <w:rFonts w:ascii="Times New Roman" w:hAnsi="Times New Roman" w:cs="Times New Roman"/>
          <w:b/>
          <w:sz w:val="24"/>
          <w:szCs w:val="24"/>
        </w:rPr>
        <w:t>Figure 4</w:t>
      </w:r>
      <w:r w:rsidRPr="00B02EC8">
        <w:rPr>
          <w:rFonts w:ascii="Times New Roman" w:hAnsi="Times New Roman" w:cs="Times New Roman"/>
          <w:sz w:val="24"/>
          <w:szCs w:val="24"/>
        </w:rPr>
        <w:t>: Reduced to equator (RTE) magnetic anomaly map of the study area showing transformation repositions magnetic anomalies over their causative sources, minimizing dipolar distortion at low latitudes. Enhanced anomaly patterns clearly delineate subsurface structures and lithological variations relevant to mineral exploration.</w:t>
      </w:r>
    </w:p>
    <w:p w14:paraId="27AAB097" w14:textId="79A20C9B" w:rsidR="00C94C56" w:rsidRDefault="00E81423" w:rsidP="009D74C8">
      <w:pPr>
        <w:spacing w:before="100" w:beforeAutospacing="1" w:after="100" w:afterAutospacing="1" w:line="240" w:lineRule="auto"/>
        <w:jc w:val="both"/>
        <w:rPr>
          <w:rFonts w:ascii="Times New Roman" w:hAnsi="Times New Roman" w:cs="Times New Roman"/>
          <w:sz w:val="24"/>
          <w:szCs w:val="24"/>
        </w:rPr>
      </w:pPr>
      <w:r w:rsidRPr="005A45A4">
        <w:rPr>
          <w:rFonts w:ascii="Times New Roman" w:hAnsi="Times New Roman" w:cs="Times New Roman"/>
          <w:sz w:val="24"/>
          <w:szCs w:val="24"/>
        </w:rPr>
        <w:t>Reduced to Equator (RTE) magnetic anomaly map corrects for the asymmetry of magnetic anomalies at low magnetic latitudes by repositioning anomalies directly above their causative bodies, thereby enhancing geological interpretation (Blakely,</w:t>
      </w:r>
      <w:r w:rsidR="00DC0D50">
        <w:rPr>
          <w:rFonts w:ascii="Times New Roman" w:hAnsi="Times New Roman" w:cs="Times New Roman"/>
          <w:sz w:val="24"/>
          <w:szCs w:val="24"/>
        </w:rPr>
        <w:t xml:space="preserve"> 1995; </w:t>
      </w:r>
      <w:proofErr w:type="spellStart"/>
      <w:r w:rsidR="00DC0D50">
        <w:rPr>
          <w:rFonts w:ascii="Times New Roman" w:hAnsi="Times New Roman" w:cs="Times New Roman"/>
          <w:sz w:val="24"/>
          <w:szCs w:val="24"/>
        </w:rPr>
        <w:t>Nabighian</w:t>
      </w:r>
      <w:proofErr w:type="spellEnd"/>
      <w:r w:rsidR="00DC0D50">
        <w:rPr>
          <w:rFonts w:ascii="Times New Roman" w:hAnsi="Times New Roman" w:cs="Times New Roman"/>
          <w:sz w:val="24"/>
          <w:szCs w:val="24"/>
        </w:rPr>
        <w:t xml:space="preserve"> et al., 2005). The map </w:t>
      </w:r>
      <w:r w:rsidRPr="005A45A4">
        <w:rPr>
          <w:rFonts w:ascii="Times New Roman" w:hAnsi="Times New Roman" w:cs="Times New Roman"/>
          <w:sz w:val="24"/>
          <w:szCs w:val="24"/>
        </w:rPr>
        <w:t xml:space="preserve">reveals distinct spatial variations in magnetic intensity, reflecting differences in lithology and subsurface structural configuration. High-amplitude anomalies (approximately 23 to 93 </w:t>
      </w:r>
      <w:proofErr w:type="spellStart"/>
      <w:r w:rsidRPr="005A45A4">
        <w:rPr>
          <w:rFonts w:ascii="Times New Roman" w:hAnsi="Times New Roman" w:cs="Times New Roman"/>
          <w:sz w:val="24"/>
          <w:szCs w:val="24"/>
        </w:rPr>
        <w:t>nT</w:t>
      </w:r>
      <w:proofErr w:type="spellEnd"/>
      <w:r w:rsidRPr="005A45A4">
        <w:rPr>
          <w:rFonts w:ascii="Times New Roman" w:hAnsi="Times New Roman" w:cs="Times New Roman"/>
          <w:sz w:val="24"/>
          <w:szCs w:val="24"/>
        </w:rPr>
        <w:t xml:space="preserve">), particularly around </w:t>
      </w:r>
      <w:proofErr w:type="spellStart"/>
      <w:r w:rsidRPr="005A45A4">
        <w:rPr>
          <w:rFonts w:ascii="Times New Roman" w:hAnsi="Times New Roman" w:cs="Times New Roman"/>
          <w:sz w:val="24"/>
          <w:szCs w:val="24"/>
        </w:rPr>
        <w:t>Bolorunduro</w:t>
      </w:r>
      <w:proofErr w:type="spellEnd"/>
      <w:r w:rsidRPr="005A45A4">
        <w:rPr>
          <w:rFonts w:ascii="Times New Roman" w:hAnsi="Times New Roman" w:cs="Times New Roman"/>
          <w:sz w:val="24"/>
          <w:szCs w:val="24"/>
        </w:rPr>
        <w:t xml:space="preserve"> and parts of </w:t>
      </w:r>
      <w:proofErr w:type="spellStart"/>
      <w:r w:rsidRPr="005A45A4">
        <w:rPr>
          <w:rFonts w:ascii="Times New Roman" w:hAnsi="Times New Roman" w:cs="Times New Roman"/>
          <w:sz w:val="24"/>
          <w:szCs w:val="24"/>
        </w:rPr>
        <w:t>Itapaji</w:t>
      </w:r>
      <w:proofErr w:type="spellEnd"/>
      <w:r w:rsidRPr="005A45A4">
        <w:rPr>
          <w:rFonts w:ascii="Times New Roman" w:hAnsi="Times New Roman" w:cs="Times New Roman"/>
          <w:sz w:val="24"/>
          <w:szCs w:val="24"/>
        </w:rPr>
        <w:t xml:space="preserve">, indicate shallow, highly magnetic sources such as mafic intrusions, </w:t>
      </w:r>
      <w:proofErr w:type="spellStart"/>
      <w:r w:rsidRPr="005A45A4">
        <w:rPr>
          <w:rFonts w:ascii="Times New Roman" w:hAnsi="Times New Roman" w:cs="Times New Roman"/>
          <w:sz w:val="24"/>
          <w:szCs w:val="24"/>
        </w:rPr>
        <w:t>amphibolites</w:t>
      </w:r>
      <w:proofErr w:type="spellEnd"/>
      <w:r w:rsidRPr="005A45A4">
        <w:rPr>
          <w:rFonts w:ascii="Times New Roman" w:hAnsi="Times New Roman" w:cs="Times New Roman"/>
          <w:sz w:val="24"/>
          <w:szCs w:val="24"/>
        </w:rPr>
        <w:t>, or magnetite-rich banded gneisses. These high magnetic signatures are often associated with zones of enhanced mineral potential due to strong magnetic suscep</w:t>
      </w:r>
      <w:r w:rsidR="00721AF0" w:rsidRPr="005A45A4">
        <w:rPr>
          <w:rFonts w:ascii="Times New Roman" w:hAnsi="Times New Roman" w:cs="Times New Roman"/>
          <w:sz w:val="24"/>
          <w:szCs w:val="24"/>
        </w:rPr>
        <w:t>tibility contrasts (</w:t>
      </w:r>
      <w:proofErr w:type="spellStart"/>
      <w:r w:rsidR="00721AF0" w:rsidRPr="005A45A4">
        <w:rPr>
          <w:rFonts w:ascii="Times New Roman" w:hAnsi="Times New Roman" w:cs="Times New Roman"/>
          <w:sz w:val="24"/>
          <w:szCs w:val="24"/>
        </w:rPr>
        <w:t>Nabighian</w:t>
      </w:r>
      <w:proofErr w:type="spellEnd"/>
      <w:r w:rsidR="00721AF0" w:rsidRPr="005A45A4">
        <w:rPr>
          <w:rFonts w:ascii="Times New Roman" w:hAnsi="Times New Roman" w:cs="Times New Roman"/>
          <w:sz w:val="24"/>
          <w:szCs w:val="24"/>
        </w:rPr>
        <w:t xml:space="preserve"> et al., 2005</w:t>
      </w:r>
      <w:r w:rsidRPr="005A45A4">
        <w:rPr>
          <w:rFonts w:ascii="Times New Roman" w:hAnsi="Times New Roman" w:cs="Times New Roman"/>
          <w:sz w:val="24"/>
          <w:szCs w:val="24"/>
        </w:rPr>
        <w:t xml:space="preserve">). Moderate magnetic anomalies dominate the central portions of the study area and are interpreted as granitic and granodioritic rocks with intermediate magnetic properties. In contrast, low magnetic </w:t>
      </w:r>
      <w:r w:rsidRPr="005A45A4">
        <w:rPr>
          <w:rFonts w:ascii="Times New Roman" w:hAnsi="Times New Roman" w:cs="Times New Roman"/>
          <w:sz w:val="24"/>
          <w:szCs w:val="24"/>
        </w:rPr>
        <w:lastRenderedPageBreak/>
        <w:t xml:space="preserve">anomalies (−212 to −40 </w:t>
      </w:r>
      <w:proofErr w:type="spellStart"/>
      <w:r w:rsidRPr="005A45A4">
        <w:rPr>
          <w:rFonts w:ascii="Times New Roman" w:hAnsi="Times New Roman" w:cs="Times New Roman"/>
          <w:sz w:val="24"/>
          <w:szCs w:val="24"/>
        </w:rPr>
        <w:t>nT</w:t>
      </w:r>
      <w:proofErr w:type="spellEnd"/>
      <w:r w:rsidRPr="005A45A4">
        <w:rPr>
          <w:rFonts w:ascii="Times New Roman" w:hAnsi="Times New Roman" w:cs="Times New Roman"/>
          <w:sz w:val="24"/>
          <w:szCs w:val="24"/>
        </w:rPr>
        <w:t>), esp</w:t>
      </w:r>
      <w:r w:rsidR="00C23A3C">
        <w:rPr>
          <w:rFonts w:ascii="Times New Roman" w:hAnsi="Times New Roman" w:cs="Times New Roman"/>
          <w:sz w:val="24"/>
          <w:szCs w:val="24"/>
        </w:rPr>
        <w:t xml:space="preserve">ecially around </w:t>
      </w:r>
      <w:proofErr w:type="spellStart"/>
      <w:r w:rsidR="00C23A3C">
        <w:rPr>
          <w:rFonts w:ascii="Times New Roman" w:hAnsi="Times New Roman" w:cs="Times New Roman"/>
          <w:sz w:val="24"/>
          <w:szCs w:val="24"/>
        </w:rPr>
        <w:t>Odo</w:t>
      </w:r>
      <w:proofErr w:type="spellEnd"/>
      <w:r w:rsidR="00C23A3C">
        <w:rPr>
          <w:rFonts w:ascii="Times New Roman" w:hAnsi="Times New Roman" w:cs="Times New Roman"/>
          <w:sz w:val="24"/>
          <w:szCs w:val="24"/>
        </w:rPr>
        <w:t xml:space="preserve"> Oro and </w:t>
      </w:r>
      <w:proofErr w:type="spellStart"/>
      <w:r w:rsidR="00C23A3C">
        <w:rPr>
          <w:rFonts w:ascii="Times New Roman" w:hAnsi="Times New Roman" w:cs="Times New Roman"/>
          <w:sz w:val="24"/>
          <w:szCs w:val="24"/>
        </w:rPr>
        <w:t>Ikole</w:t>
      </w:r>
      <w:proofErr w:type="spellEnd"/>
      <w:r w:rsidRPr="005A45A4">
        <w:rPr>
          <w:rFonts w:ascii="Times New Roman" w:hAnsi="Times New Roman" w:cs="Times New Roman"/>
          <w:sz w:val="24"/>
          <w:szCs w:val="24"/>
        </w:rPr>
        <w:t>, suggest felsic lithologies such as migmatites and quartz-rich gneisses or zones affected by intense weathering and alteration, which reduce magnetic susceptibility (</w:t>
      </w:r>
      <w:proofErr w:type="spellStart"/>
      <w:r w:rsidRPr="005A45A4">
        <w:rPr>
          <w:rFonts w:ascii="Times New Roman" w:hAnsi="Times New Roman" w:cs="Times New Roman"/>
          <w:sz w:val="24"/>
          <w:szCs w:val="24"/>
        </w:rPr>
        <w:t>Kearey</w:t>
      </w:r>
      <w:proofErr w:type="spellEnd"/>
      <w:r w:rsidRPr="005A45A4">
        <w:rPr>
          <w:rFonts w:ascii="Times New Roman" w:hAnsi="Times New Roman" w:cs="Times New Roman"/>
          <w:sz w:val="24"/>
          <w:szCs w:val="24"/>
        </w:rPr>
        <w:t xml:space="preserve"> et al., 2002).</w:t>
      </w:r>
      <w:r w:rsidR="002470F3" w:rsidRPr="005A45A4">
        <w:rPr>
          <w:rFonts w:ascii="Times New Roman" w:hAnsi="Times New Roman" w:cs="Times New Roman"/>
          <w:sz w:val="24"/>
          <w:szCs w:val="24"/>
        </w:rPr>
        <w:t xml:space="preserve"> </w:t>
      </w:r>
      <w:r w:rsidRPr="005A45A4">
        <w:rPr>
          <w:rFonts w:ascii="Times New Roman" w:hAnsi="Times New Roman" w:cs="Times New Roman"/>
          <w:sz w:val="24"/>
          <w:szCs w:val="24"/>
        </w:rPr>
        <w:t>Structurally, the RTE map delineates prominent linear and curvilinear features trending predominantly NE–SW and NW–SE</w:t>
      </w:r>
      <w:r w:rsidR="00127AB9" w:rsidRPr="005A45A4">
        <w:rPr>
          <w:rFonts w:ascii="Times New Roman" w:hAnsi="Times New Roman" w:cs="Times New Roman"/>
          <w:sz w:val="24"/>
          <w:szCs w:val="24"/>
        </w:rPr>
        <w:t xml:space="preserve"> predominantly</w:t>
      </w:r>
      <w:r w:rsidRPr="005A45A4">
        <w:rPr>
          <w:rFonts w:ascii="Times New Roman" w:hAnsi="Times New Roman" w:cs="Times New Roman"/>
          <w:sz w:val="24"/>
          <w:szCs w:val="24"/>
        </w:rPr>
        <w:t>, consistent with the structural grain of the Nigerian Basement Complex. These features likely represent faults, fractures, and lithological contacts that have influenced magmatic emplacement and fluid migration. The alignment of high magnetic anomalies along these structures suggests tectonic control on mineralization, making such zones important targets for further exploration (</w:t>
      </w:r>
      <w:proofErr w:type="spellStart"/>
      <w:r w:rsidRPr="005A45A4">
        <w:rPr>
          <w:rFonts w:ascii="Times New Roman" w:hAnsi="Times New Roman" w:cs="Times New Roman"/>
          <w:sz w:val="24"/>
          <w:szCs w:val="24"/>
        </w:rPr>
        <w:t>Nabighian</w:t>
      </w:r>
      <w:proofErr w:type="spellEnd"/>
      <w:r w:rsidRPr="005A45A4">
        <w:rPr>
          <w:rFonts w:ascii="Times New Roman" w:hAnsi="Times New Roman" w:cs="Times New Roman"/>
          <w:sz w:val="24"/>
          <w:szCs w:val="24"/>
        </w:rPr>
        <w:t xml:space="preserve"> et al., 2005)</w:t>
      </w:r>
      <w:r w:rsidR="00DC0D50">
        <w:rPr>
          <w:rFonts w:ascii="Times New Roman" w:hAnsi="Times New Roman" w:cs="Times New Roman"/>
          <w:sz w:val="24"/>
          <w:szCs w:val="24"/>
        </w:rPr>
        <w:t xml:space="preserve"> </w:t>
      </w:r>
      <w:r w:rsidR="00DC0D50" w:rsidRPr="00DC0D50">
        <w:rPr>
          <w:rFonts w:ascii="Times New Roman" w:hAnsi="Times New Roman" w:cs="Times New Roman"/>
          <w:b/>
          <w:sz w:val="24"/>
          <w:szCs w:val="24"/>
        </w:rPr>
        <w:t>(Fig. 4)</w:t>
      </w:r>
      <w:r w:rsidRPr="00DC0D50">
        <w:rPr>
          <w:rFonts w:ascii="Times New Roman" w:hAnsi="Times New Roman" w:cs="Times New Roman"/>
          <w:b/>
          <w:sz w:val="24"/>
          <w:szCs w:val="24"/>
        </w:rPr>
        <w:t>.</w:t>
      </w:r>
      <w:r w:rsidRPr="005A45A4">
        <w:rPr>
          <w:rFonts w:ascii="Times New Roman" w:hAnsi="Times New Roman" w:cs="Times New Roman"/>
          <w:sz w:val="24"/>
          <w:szCs w:val="24"/>
        </w:rPr>
        <w:t xml:space="preserve"> </w:t>
      </w:r>
    </w:p>
    <w:p w14:paraId="3DA0C7FF" w14:textId="138386EE" w:rsidR="00B02EC8" w:rsidRDefault="00E97C4D" w:rsidP="009D74C8">
      <w:pPr>
        <w:spacing w:before="100" w:beforeAutospacing="1" w:after="100" w:afterAutospacing="1" w:line="240" w:lineRule="auto"/>
        <w:jc w:val="both"/>
        <w:rPr>
          <w:rFonts w:ascii="Times New Roman" w:hAnsi="Times New Roman" w:cs="Times New Roman"/>
          <w:sz w:val="24"/>
          <w:szCs w:val="24"/>
        </w:rPr>
      </w:pPr>
      <w:r>
        <w:rPr>
          <w:noProof/>
        </w:rPr>
        <w:t xml:space="preserve">                          </w:t>
      </w:r>
      <w:r w:rsidR="00B02EC8">
        <w:rPr>
          <w:noProof/>
        </w:rPr>
        <w:drawing>
          <wp:inline distT="0" distB="0" distL="0" distR="0" wp14:anchorId="4DE912D6" wp14:editId="4394BA9D">
            <wp:extent cx="4457700" cy="458945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68477" cy="4600551"/>
                    </a:xfrm>
                    <a:prstGeom prst="rect">
                      <a:avLst/>
                    </a:prstGeom>
                  </pic:spPr>
                </pic:pic>
              </a:graphicData>
            </a:graphic>
          </wp:inline>
        </w:drawing>
      </w:r>
    </w:p>
    <w:p w14:paraId="5B755037" w14:textId="00F4B8F3" w:rsidR="00B02EC8" w:rsidRDefault="00B02EC8" w:rsidP="009D74C8">
      <w:pPr>
        <w:pStyle w:val="NormalWeb"/>
        <w:jc w:val="both"/>
        <w:rPr>
          <w:noProof/>
        </w:rPr>
      </w:pPr>
      <w:r w:rsidRPr="001B5D3F">
        <w:rPr>
          <w:b/>
          <w:noProof/>
        </w:rPr>
        <w:t>Figure 5</w:t>
      </w:r>
      <w:r w:rsidRPr="00B02EC8">
        <w:rPr>
          <w:noProof/>
        </w:rPr>
        <w:t>: Analytical Signal (AS) Map. The map highlights the edges and geometry of magnetic sources, with amplitude maxima delineating lithological contacts and structural boundaries. High AS values indicate shallow, highly magnetic bodies, while low values correspond to deeper or weakly magnetic sources. Linear AS trends delineate faults and shear zones that control subsurface structures and mineralization pathways.</w:t>
      </w:r>
    </w:p>
    <w:p w14:paraId="1B9D34A4" w14:textId="1DFBAF00" w:rsidR="00597EF9" w:rsidRDefault="00514B1F" w:rsidP="009D74C8">
      <w:pPr>
        <w:pStyle w:val="NormalWeb"/>
        <w:jc w:val="both"/>
      </w:pPr>
      <w:r>
        <w:t>An analytical</w:t>
      </w:r>
      <w:r w:rsidR="00597EF9" w:rsidRPr="00597EF9">
        <w:t xml:space="preserve"> signal map</w:t>
      </w:r>
      <w:r w:rsidR="00597EF9">
        <w:t xml:space="preserve"> is a powerful tool for delineating subsurface magnetic source boundaries because its amplitude is independent of magnetization direction and geomagnetic latitude, making it particularly effective in structurally complex terrains. This property enhances its ability to accurately highlight edges of magnetic bodies and lithological contacts, which is critical in mineral exploration and basement studies (Abraham et al., 2024; </w:t>
      </w:r>
      <w:proofErr w:type="spellStart"/>
      <w:r w:rsidR="00597EF9">
        <w:t>Vallée</w:t>
      </w:r>
      <w:proofErr w:type="spellEnd"/>
      <w:r w:rsidR="00597EF9">
        <w:t xml:space="preserve"> et al., 2026). High analytical signal amplitudes are interpreted as zones underlain by shallow magnetic sources such </w:t>
      </w:r>
      <w:r w:rsidR="00597EF9">
        <w:lastRenderedPageBreak/>
        <w:t>as igneous intrusions, migmatites, and highly deformed basement rocks, often indicating sharp magnetic contrasts and prospective zones for mineralization due to elevated magnetic susceptibility and hydrothermal alteration (</w:t>
      </w:r>
      <w:proofErr w:type="spellStart"/>
      <w:r w:rsidR="00597EF9">
        <w:t>Ogah</w:t>
      </w:r>
      <w:proofErr w:type="spellEnd"/>
      <w:r w:rsidR="00597EF9">
        <w:t xml:space="preserve"> &amp; Abubakar, 2024; </w:t>
      </w:r>
      <w:proofErr w:type="spellStart"/>
      <w:r w:rsidR="00597EF9">
        <w:t>Vallée</w:t>
      </w:r>
      <w:proofErr w:type="spellEnd"/>
      <w:r w:rsidR="00597EF9">
        <w:t xml:space="preserve"> et al., 2026). In contrast, low analytical signal amplitudes are associated with deeper magnetic sources or weakly magnetic lithologies such as sedimentary cover, weathered rocks, or quartz-rich formations, reflecting minimal magnetic contrast and reduced tectonic disturbance (Abraham et al., 2024). Structurally, linear high-amplitude AS trends delineate faults, fractures, and shear zones that act as pathways for hydrothermal fluids and control mineral deposition. These features commonly define tectonic corridors that enhance mineral </w:t>
      </w:r>
      <w:proofErr w:type="spellStart"/>
      <w:r w:rsidR="00597EF9">
        <w:t>prospectivity</w:t>
      </w:r>
      <w:proofErr w:type="spellEnd"/>
      <w:r w:rsidR="00597EF9">
        <w:t xml:space="preserve"> when integrated with other geophysical derivatives (</w:t>
      </w:r>
      <w:proofErr w:type="spellStart"/>
      <w:r w:rsidR="00597EF9">
        <w:t>Ogah</w:t>
      </w:r>
      <w:proofErr w:type="spellEnd"/>
      <w:r w:rsidR="00597EF9">
        <w:t xml:space="preserve"> &amp; Abubakar, 2024; </w:t>
      </w:r>
      <w:proofErr w:type="spellStart"/>
      <w:r w:rsidR="00597EF9">
        <w:t>Vallée</w:t>
      </w:r>
      <w:proofErr w:type="spellEnd"/>
      <w:r w:rsidR="00597EF9">
        <w:t xml:space="preserve"> et al., 2026) </w:t>
      </w:r>
      <w:r w:rsidR="00597EF9" w:rsidRPr="00597EF9">
        <w:rPr>
          <w:b/>
        </w:rPr>
        <w:t>(Fig. 5).</w:t>
      </w:r>
    </w:p>
    <w:p w14:paraId="2912AE22" w14:textId="13A7D8D0" w:rsidR="00A12232" w:rsidRPr="00B02EC8" w:rsidRDefault="0002241B" w:rsidP="009D74C8">
      <w:pPr>
        <w:spacing w:before="100" w:beforeAutospacing="1" w:after="100" w:afterAutospacing="1" w:line="240" w:lineRule="auto"/>
        <w:jc w:val="both"/>
        <w:rPr>
          <w:rFonts w:ascii="Times New Roman" w:hAnsi="Times New Roman" w:cs="Times New Roman"/>
          <w:sz w:val="24"/>
          <w:szCs w:val="24"/>
        </w:rPr>
      </w:pPr>
      <w:r>
        <w:rPr>
          <w:noProof/>
        </w:rPr>
        <w:t xml:space="preserve">                                    </w:t>
      </w:r>
      <w:r w:rsidR="00B02EC8">
        <w:rPr>
          <w:noProof/>
        </w:rPr>
        <w:drawing>
          <wp:inline distT="0" distB="0" distL="0" distR="0" wp14:anchorId="0EF46D8D" wp14:editId="5220E6FF">
            <wp:extent cx="4229100" cy="457433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31914" cy="4577376"/>
                    </a:xfrm>
                    <a:prstGeom prst="rect">
                      <a:avLst/>
                    </a:prstGeom>
                  </pic:spPr>
                </pic:pic>
              </a:graphicData>
            </a:graphic>
          </wp:inline>
        </w:drawing>
      </w:r>
      <w:r w:rsidR="00A12232">
        <w:rPr>
          <w:noProof/>
        </w:rPr>
        <w:t xml:space="preserve">      </w:t>
      </w:r>
    </w:p>
    <w:p w14:paraId="4CAF098B" w14:textId="052A63C9" w:rsidR="00A12232" w:rsidRDefault="00A12232" w:rsidP="009D74C8">
      <w:pPr>
        <w:pStyle w:val="NormalWeb"/>
        <w:jc w:val="both"/>
      </w:pPr>
      <w:r>
        <w:t xml:space="preserve">  </w:t>
      </w:r>
      <w:r w:rsidR="00B02EC8" w:rsidRPr="001B5D3F">
        <w:rPr>
          <w:b/>
        </w:rPr>
        <w:t>Figure 6</w:t>
      </w:r>
      <w:r w:rsidR="00B02EC8" w:rsidRPr="00B02EC8">
        <w:t>: First Vertical Derivative (FVD) map showing enhanced shallow magnetic anomalies within the study area. The map highlights near-surface geological features including faults, contacts, and lineaments. These structures are important for interpreting subsurface geology and potential mineralization zones.</w:t>
      </w:r>
    </w:p>
    <w:p w14:paraId="1F171B11" w14:textId="77777777" w:rsidR="006E1F9F" w:rsidRDefault="00597EF9" w:rsidP="009D74C8">
      <w:pPr>
        <w:pStyle w:val="NormalWeb"/>
        <w:jc w:val="both"/>
        <w:rPr>
          <w:b/>
        </w:rPr>
      </w:pPr>
      <w:r w:rsidRPr="00597EF9">
        <w:t>First vertical derivative map</w:t>
      </w:r>
      <w:r>
        <w:rPr>
          <w:b/>
        </w:rPr>
        <w:t xml:space="preserve"> </w:t>
      </w:r>
      <w:r w:rsidR="006E1F9F">
        <w:t xml:space="preserve">enhances shallow subsurface features by amplifying high-frequency magnetic anomalies and attenuating deeper regional signals, thereby improving the delineation of near-surface structures (Blakely, 1995; </w:t>
      </w:r>
      <w:proofErr w:type="spellStart"/>
      <w:r w:rsidR="006E1F9F">
        <w:t>Nabighian</w:t>
      </w:r>
      <w:proofErr w:type="spellEnd"/>
      <w:r w:rsidR="006E1F9F">
        <w:t xml:space="preserve"> et al., 2005). The map reveals dense, short-wavelength anomalies across the study area, indicating pronounced lithological variability and structural complexity. High-frequency anomalies observed around </w:t>
      </w:r>
      <w:proofErr w:type="spellStart"/>
      <w:r w:rsidR="006E1F9F">
        <w:t>Itapaji</w:t>
      </w:r>
      <w:proofErr w:type="spellEnd"/>
      <w:r w:rsidR="006E1F9F">
        <w:t xml:space="preserve"> and </w:t>
      </w:r>
      <w:proofErr w:type="spellStart"/>
      <w:r w:rsidR="006E1F9F">
        <w:t>Bolorunduro</w:t>
      </w:r>
      <w:proofErr w:type="spellEnd"/>
      <w:r w:rsidR="006E1F9F">
        <w:t xml:space="preserve"> suggest shallow magnetic sources, likely associated with fractured basement rocks, </w:t>
      </w:r>
      <w:r w:rsidR="006E1F9F">
        <w:lastRenderedPageBreak/>
        <w:t xml:space="preserve">mafic intrusions, or magnetite-rich lithologies. These zones are marked by sharp gradients that correspond to lithological contacts and structural discontinuities such as faults and fractures. In contrast, relatively subdued anomalies around </w:t>
      </w:r>
      <w:proofErr w:type="spellStart"/>
      <w:r w:rsidR="006E1F9F">
        <w:t>Odo</w:t>
      </w:r>
      <w:proofErr w:type="spellEnd"/>
      <w:r w:rsidR="006E1F9F">
        <w:t xml:space="preserve"> Oro and IKOLE indicate deeper or weakly magnetic materials, possibly felsic or weathered basement units (</w:t>
      </w:r>
      <w:r w:rsidR="006E1F9F">
        <w:rPr>
          <w:rStyle w:val="Strong"/>
          <w:b w:val="0"/>
        </w:rPr>
        <w:t>Minshull,</w:t>
      </w:r>
      <w:r w:rsidR="006E1F9F" w:rsidRPr="00384AC0">
        <w:rPr>
          <w:rStyle w:val="Strong"/>
          <w:b w:val="0"/>
        </w:rPr>
        <w:t xml:space="preserve"> (2003)</w:t>
      </w:r>
      <w:r w:rsidR="006E1F9F" w:rsidRPr="00384AC0">
        <w:rPr>
          <w:rStyle w:val="Strong"/>
        </w:rPr>
        <w:t>.</w:t>
      </w:r>
      <w:r w:rsidR="006E1F9F">
        <w:t>). The FVD map further delineates dominant NE–SW and NW–SE structural trends, consistent with the regional tectonic framework. These lineaments represent zones of weakness that may have controlled fluid migration and mineralization, making them important targets for further exploration (</w:t>
      </w:r>
      <w:proofErr w:type="spellStart"/>
      <w:r w:rsidR="006E1F9F">
        <w:t>Nabighian</w:t>
      </w:r>
      <w:proofErr w:type="spellEnd"/>
      <w:r w:rsidR="006E1F9F">
        <w:t xml:space="preserve"> et al., 2005)</w:t>
      </w:r>
      <w:r>
        <w:t xml:space="preserve"> </w:t>
      </w:r>
      <w:r w:rsidRPr="00597EF9">
        <w:rPr>
          <w:b/>
        </w:rPr>
        <w:t>(Fig. 6)</w:t>
      </w:r>
      <w:r w:rsidR="006E1F9F" w:rsidRPr="00597EF9">
        <w:rPr>
          <w:b/>
        </w:rPr>
        <w:t>.</w:t>
      </w:r>
    </w:p>
    <w:p w14:paraId="547629A0" w14:textId="77777777" w:rsidR="00A12232" w:rsidRDefault="00A12232" w:rsidP="009D74C8">
      <w:pPr>
        <w:pStyle w:val="NormalWeb"/>
        <w:jc w:val="both"/>
        <w:rPr>
          <w:b/>
        </w:rPr>
      </w:pPr>
    </w:p>
    <w:p w14:paraId="5427BFC8" w14:textId="1D81052C" w:rsidR="00A12232" w:rsidRDefault="00A12232" w:rsidP="009D74C8">
      <w:pPr>
        <w:pStyle w:val="NormalWeb"/>
        <w:jc w:val="both"/>
        <w:rPr>
          <w:noProof/>
        </w:rPr>
      </w:pPr>
      <w:r>
        <w:rPr>
          <w:noProof/>
        </w:rPr>
        <w:t xml:space="preserve">                            </w:t>
      </w:r>
      <w:r w:rsidR="0002241B">
        <w:rPr>
          <w:noProof/>
        </w:rPr>
        <w:t xml:space="preserve">      </w:t>
      </w:r>
      <w:r w:rsidR="009A42A0">
        <w:rPr>
          <w:noProof/>
        </w:rPr>
        <w:drawing>
          <wp:inline distT="0" distB="0" distL="0" distR="0" wp14:anchorId="5DDC4A9E" wp14:editId="25B5F0F3">
            <wp:extent cx="4620085" cy="4089400"/>
            <wp:effectExtent l="0" t="0" r="9525"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31220" cy="4099256"/>
                    </a:xfrm>
                    <a:prstGeom prst="rect">
                      <a:avLst/>
                    </a:prstGeom>
                  </pic:spPr>
                </pic:pic>
              </a:graphicData>
            </a:graphic>
          </wp:inline>
        </w:drawing>
      </w:r>
    </w:p>
    <w:p w14:paraId="13F541A3" w14:textId="77777777" w:rsidR="00A12232" w:rsidRPr="00597EF9" w:rsidRDefault="00A12232" w:rsidP="009D74C8">
      <w:pPr>
        <w:pStyle w:val="NormalWeb"/>
        <w:jc w:val="both"/>
        <w:rPr>
          <w:b/>
        </w:rPr>
      </w:pPr>
      <w:r>
        <w:rPr>
          <w:rStyle w:val="Strong"/>
        </w:rPr>
        <w:t>Figure 7</w:t>
      </w:r>
      <w:r w:rsidRPr="00387F00">
        <w:rPr>
          <w:rStyle w:val="Strong"/>
        </w:rPr>
        <w:t>:</w:t>
      </w:r>
      <w:r w:rsidRPr="00387F00">
        <w:rPr>
          <w:rStyle w:val="Strong"/>
          <w:b w:val="0"/>
        </w:rPr>
        <w:t xml:space="preserve"> Euler Deconvolution map showing estimated depths and locations of magnetic source bodies within the study area.</w:t>
      </w:r>
      <w:r>
        <w:rPr>
          <w:b/>
        </w:rPr>
        <w:t xml:space="preserve"> </w:t>
      </w:r>
      <w:r w:rsidRPr="00387F00">
        <w:rPr>
          <w:rStyle w:val="Strong"/>
          <w:b w:val="0"/>
        </w:rPr>
        <w:t>The solutions indicate structural features such as faults, contacts, and intrusive bodies.</w:t>
      </w:r>
      <w:r>
        <w:rPr>
          <w:b/>
        </w:rPr>
        <w:t xml:space="preserve"> </w:t>
      </w:r>
      <w:r w:rsidRPr="00387F00">
        <w:rPr>
          <w:rStyle w:val="Strong"/>
          <w:b w:val="0"/>
        </w:rPr>
        <w:t xml:space="preserve">These depth estimates provide insight into subsurface geometry and potential mineralization </w:t>
      </w:r>
    </w:p>
    <w:p w14:paraId="492C73B7" w14:textId="017C2459" w:rsidR="001B5D3F" w:rsidRDefault="00403224" w:rsidP="009D74C8">
      <w:pPr>
        <w:pStyle w:val="NormalWeb"/>
        <w:jc w:val="both"/>
        <w:rPr>
          <w:b/>
        </w:rPr>
      </w:pPr>
      <w:r>
        <w:t xml:space="preserve">The Euler Deconvolution map provides estimates of the locations and depths of magnetic source bodies by solving Euler’s homogeneity equation, thereby enhancing subsurface structural interpretation (Reid et al., 1990; </w:t>
      </w:r>
      <w:proofErr w:type="spellStart"/>
      <w:r>
        <w:t>Nabighian</w:t>
      </w:r>
      <w:proofErr w:type="spellEnd"/>
      <w:r>
        <w:t xml:space="preserve"> et al., 2005). The solutions are widely distributed across the study area and form clustered patterns that reflect variations in source depth and geometry.</w:t>
      </w:r>
      <w:r w:rsidR="00C66E16">
        <w:t xml:space="preserve"> </w:t>
      </w:r>
      <w:r>
        <w:t xml:space="preserve">High-density clusters of Euler solutions observed around </w:t>
      </w:r>
      <w:proofErr w:type="spellStart"/>
      <w:r>
        <w:t>Itapaji</w:t>
      </w:r>
      <w:proofErr w:type="spellEnd"/>
      <w:r>
        <w:t xml:space="preserve"> and </w:t>
      </w:r>
      <w:proofErr w:type="spellStart"/>
      <w:r>
        <w:t>Bolorunduro</w:t>
      </w:r>
      <w:proofErr w:type="spellEnd"/>
      <w:r>
        <w:t xml:space="preserve"> indicate zones of shallow magnetic sources, which may correspond to intrusive bodies, fractured basement rocks, or lithological contacts. These clusters are spatially aligned along linear trends, suggesting structural control by faults and fractures. In contrast, more dispersed and deeper solutions around </w:t>
      </w:r>
      <w:proofErr w:type="spellStart"/>
      <w:r>
        <w:t>Odo</w:t>
      </w:r>
      <w:proofErr w:type="spellEnd"/>
      <w:r>
        <w:t xml:space="preserve"> Oro and IKOLE indicate relatively deeper or less magnetic sources, possibly associated with felsic basement rocks or </w:t>
      </w:r>
      <w:r>
        <w:lastRenderedPageBreak/>
        <w:t>weathered zones.</w:t>
      </w:r>
      <w:r w:rsidR="00C66E16">
        <w:t xml:space="preserve"> </w:t>
      </w:r>
      <w:r>
        <w:t xml:space="preserve">The dominant alignment of Euler solutions along NE–SW and NW–SE directions is consistent with the regional tectonic fabric and previously identified lineaments from the FVD and RTE maps. This structural coherence suggests that these trends represent major zones of weakness that may have facilitated magmatic emplacement and hydrothermal fluid migration. The concentration of shallow solutions along these </w:t>
      </w:r>
      <w:proofErr w:type="spellStart"/>
      <w:r>
        <w:rPr>
          <w:rFonts w:ascii="Sylfaen" w:hAnsi="Sylfaen" w:cs="Sylfaen"/>
        </w:rPr>
        <w:t>ხაზ</w:t>
      </w:r>
      <w:r>
        <w:t>aments</w:t>
      </w:r>
      <w:proofErr w:type="spellEnd"/>
      <w:r>
        <w:t xml:space="preserve"> highlights their potential significance as targets for mineral exploration. Overall, the Euler Deconvolution technique effectively constrains source geometry and depth, complementing other magnetic enhancement methods for robust geological </w:t>
      </w:r>
      <w:proofErr w:type="spellStart"/>
      <w:r w:rsidR="001B5D3F">
        <w:t>interpretation</w:t>
      </w:r>
      <w:r>
        <w:t>n</w:t>
      </w:r>
      <w:proofErr w:type="spellEnd"/>
      <w:r w:rsidR="00C66E16">
        <w:t xml:space="preserve"> </w:t>
      </w:r>
      <w:r w:rsidR="00597EF9">
        <w:t>(</w:t>
      </w:r>
      <w:r w:rsidR="00C66E16" w:rsidRPr="00C66E16">
        <w:rPr>
          <w:b/>
        </w:rPr>
        <w:t xml:space="preserve">Fig. </w:t>
      </w:r>
      <w:r w:rsidR="006E1CF3">
        <w:rPr>
          <w:b/>
        </w:rPr>
        <w:t>7</w:t>
      </w:r>
      <w:r w:rsidR="00597EF9">
        <w:rPr>
          <w:b/>
        </w:rPr>
        <w:t>)</w:t>
      </w:r>
      <w:r w:rsidRPr="00C66E16">
        <w:rPr>
          <w:b/>
        </w:rPr>
        <w:t>.</w:t>
      </w:r>
    </w:p>
    <w:p w14:paraId="2D00E7FE" w14:textId="19CB93DB" w:rsidR="001B5D3F" w:rsidRPr="001B5D3F" w:rsidRDefault="001B5D3F" w:rsidP="009D74C8">
      <w:pPr>
        <w:pStyle w:val="NormalWeb"/>
        <w:jc w:val="both"/>
      </w:pPr>
    </w:p>
    <w:p w14:paraId="521FD132" w14:textId="31A238A5" w:rsidR="001B5D3F" w:rsidRDefault="009D74C8" w:rsidP="009D74C8">
      <w:pPr>
        <w:pStyle w:val="NormalWeb"/>
        <w:jc w:val="both"/>
      </w:pPr>
      <w:r>
        <w:rPr>
          <w:noProof/>
        </w:rPr>
        <mc:AlternateContent>
          <mc:Choice Requires="wps">
            <w:drawing>
              <wp:anchor distT="0" distB="0" distL="114300" distR="114300" simplePos="0" relativeHeight="251666432" behindDoc="0" locked="0" layoutInCell="1" allowOverlap="1" wp14:anchorId="1A4C3D27" wp14:editId="1C779623">
                <wp:simplePos x="0" y="0"/>
                <wp:positionH relativeFrom="column">
                  <wp:posOffset>-425450</wp:posOffset>
                </wp:positionH>
                <wp:positionV relativeFrom="paragraph">
                  <wp:posOffset>4204335</wp:posOffset>
                </wp:positionV>
                <wp:extent cx="7512050" cy="660400"/>
                <wp:effectExtent l="0" t="0" r="0" b="6350"/>
                <wp:wrapNone/>
                <wp:docPr id="18" name="Text Box 18"/>
                <wp:cNvGraphicFramePr/>
                <a:graphic xmlns:a="http://schemas.openxmlformats.org/drawingml/2006/main">
                  <a:graphicData uri="http://schemas.microsoft.com/office/word/2010/wordprocessingShape">
                    <wps:wsp>
                      <wps:cNvSpPr txBox="1"/>
                      <wps:spPr>
                        <a:xfrm>
                          <a:off x="0" y="0"/>
                          <a:ext cx="7512050" cy="660400"/>
                        </a:xfrm>
                        <a:prstGeom prst="rect">
                          <a:avLst/>
                        </a:prstGeom>
                        <a:noFill/>
                        <a:ln w="6350">
                          <a:noFill/>
                        </a:ln>
                      </wps:spPr>
                      <wps:txbx>
                        <w:txbxContent>
                          <w:p w14:paraId="303747F5" w14:textId="77777777" w:rsidR="00291608" w:rsidRPr="007F7ED0" w:rsidRDefault="00291608" w:rsidP="007F7ED0">
                            <w:pPr>
                              <w:jc w:val="both"/>
                              <w:rPr>
                                <w:rFonts w:ascii="Times New Roman" w:hAnsi="Times New Roman" w:cs="Times New Roman"/>
                                <w:sz w:val="24"/>
                                <w:szCs w:val="24"/>
                              </w:rPr>
                            </w:pPr>
                            <w:r>
                              <w:rPr>
                                <w:rStyle w:val="Strong"/>
                                <w:rFonts w:ascii="Times New Roman" w:hAnsi="Times New Roman" w:cs="Times New Roman"/>
                                <w:sz w:val="24"/>
                                <w:szCs w:val="24"/>
                              </w:rPr>
                              <w:t>Figure 8:</w:t>
                            </w:r>
                            <w:r w:rsidRPr="007F7ED0">
                              <w:rPr>
                                <w:rStyle w:val="Strong"/>
                                <w:rFonts w:ascii="Times New Roman" w:hAnsi="Times New Roman" w:cs="Times New Roman"/>
                                <w:sz w:val="24"/>
                                <w:szCs w:val="24"/>
                              </w:rPr>
                              <w:t xml:space="preserve"> </w:t>
                            </w:r>
                            <w:r w:rsidRPr="00514B1F">
                              <w:rPr>
                                <w:rStyle w:val="Strong"/>
                                <w:rFonts w:ascii="Times New Roman" w:hAnsi="Times New Roman" w:cs="Times New Roman"/>
                                <w:b w:val="0"/>
                                <w:sz w:val="24"/>
                                <w:szCs w:val="24"/>
                              </w:rPr>
                              <w:t>Lineament Density Map</w:t>
                            </w:r>
                            <w:r w:rsidRPr="007F7ED0">
                              <w:rPr>
                                <w:rStyle w:val="Strong"/>
                                <w:rFonts w:ascii="Times New Roman" w:hAnsi="Times New Roman" w:cs="Times New Roman"/>
                                <w:sz w:val="24"/>
                                <w:szCs w:val="24"/>
                              </w:rPr>
                              <w:t>.</w:t>
                            </w:r>
                            <w:r w:rsidRPr="007F7ED0">
                              <w:rPr>
                                <w:rFonts w:ascii="Times New Roman" w:hAnsi="Times New Roman" w:cs="Times New Roman"/>
                                <w:sz w:val="24"/>
                                <w:szCs w:val="24"/>
                              </w:rPr>
                              <w:t xml:space="preserve"> The map illustrates the spatial distribution and concentration of structural lineaments across the study area, highlighting zones of intense deformation. Areas of high lineament density indicate structurally weak zones with enhanced fracturing and potential fluid flow pathways.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C3D27" id="Text Box 18" o:spid="_x0000_s1028" type="#_x0000_t202" style="position:absolute;left:0;text-align:left;margin-left:-33.5pt;margin-top:331.05pt;width:591.5pt;height:5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" filled="f" stroked="f" strokeweight=".5pt">
                <v:textbox>
                  <w:txbxContent>
                    <w:p w14:paraId="303747F5" w14:textId="77777777" w:rsidR="00291608" w:rsidRPr="007F7ED0" w:rsidRDefault="00291608" w:rsidP="007F7ED0">
                      <w:pPr>
                        <w:jc w:val="both"/>
                        <w:rPr>
                          <w:rFonts w:ascii="Times New Roman" w:hAnsi="Times New Roman" w:cs="Times New Roman"/>
                          <w:sz w:val="24"/>
                          <w:szCs w:val="24"/>
                        </w:rPr>
                      </w:pPr>
                      <w:r>
                        <w:rPr>
                          <w:rStyle w:val="Strong"/>
                          <w:rFonts w:ascii="Times New Roman" w:hAnsi="Times New Roman" w:cs="Times New Roman"/>
                          <w:sz w:val="24"/>
                          <w:szCs w:val="24"/>
                        </w:rPr>
                        <w:t>Figure 8:</w:t>
                      </w:r>
                      <w:r w:rsidRPr="007F7ED0">
                        <w:rPr>
                          <w:rStyle w:val="Strong"/>
                          <w:rFonts w:ascii="Times New Roman" w:hAnsi="Times New Roman" w:cs="Times New Roman"/>
                          <w:sz w:val="24"/>
                          <w:szCs w:val="24"/>
                        </w:rPr>
                        <w:t xml:space="preserve"> </w:t>
                      </w:r>
                      <w:r w:rsidRPr="00514B1F">
                        <w:rPr>
                          <w:rStyle w:val="Strong"/>
                          <w:rFonts w:ascii="Times New Roman" w:hAnsi="Times New Roman" w:cs="Times New Roman"/>
                          <w:b w:val="0"/>
                          <w:sz w:val="24"/>
                          <w:szCs w:val="24"/>
                        </w:rPr>
                        <w:t>Lineament Density Map</w:t>
                      </w:r>
                      <w:r w:rsidRPr="007F7ED0">
                        <w:rPr>
                          <w:rStyle w:val="Strong"/>
                          <w:rFonts w:ascii="Times New Roman" w:hAnsi="Times New Roman" w:cs="Times New Roman"/>
                          <w:sz w:val="24"/>
                          <w:szCs w:val="24"/>
                        </w:rPr>
                        <w:t>.</w:t>
                      </w:r>
                      <w:r w:rsidRPr="007F7ED0">
                        <w:rPr>
                          <w:rFonts w:ascii="Times New Roman" w:hAnsi="Times New Roman" w:cs="Times New Roman"/>
                          <w:sz w:val="24"/>
                          <w:szCs w:val="24"/>
                        </w:rPr>
                        <w:t xml:space="preserve"> The map illustrates the spatial distribution and concentration of structural lineaments across the study area, highlighting zones of intense deformation. Areas of high lineament density indicate structurally weak zones with enhanced fracturing and potential fluid flow pathways. </w:t>
                      </w:r>
                    </w:p>
                  </w:txbxContent>
                </v:textbox>
              </v:shape>
            </w:pict>
          </mc:Fallback>
        </mc:AlternateContent>
      </w:r>
      <w:r w:rsidR="00273EA0">
        <w:rPr>
          <w:noProof/>
        </w:rPr>
        <w:t xml:space="preserve">                           </w:t>
      </w:r>
      <w:r w:rsidR="00A12232">
        <w:rPr>
          <w:noProof/>
        </w:rPr>
        <w:t xml:space="preserve">          </w:t>
      </w:r>
      <w:r w:rsidR="00CF18E7">
        <w:rPr>
          <w:noProof/>
        </w:rPr>
        <w:t xml:space="preserve">                </w:t>
      </w:r>
      <w:r w:rsidR="001B5D3F">
        <w:rPr>
          <w:noProof/>
        </w:rPr>
        <w:drawing>
          <wp:inline distT="0" distB="0" distL="0" distR="0" wp14:anchorId="7980829E" wp14:editId="14885443">
            <wp:extent cx="3147907" cy="4191000"/>
            <wp:effectExtent l="0" t="0" r="0" b="0"/>
            <wp:docPr id="17" name="Picture 17" descr="C:\Users\HP\Desktop\MR ADELEKE PAPER\Adeleke Aeromag result\Aeromag Results\Aeromag Lineament Density Map.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esktop\MR ADELEKE PAPER\Adeleke Aeromag result\Aeromag Results\Aeromag Lineament Density Map.2.g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49114" cy="4192607"/>
                    </a:xfrm>
                    <a:prstGeom prst="rect">
                      <a:avLst/>
                    </a:prstGeom>
                    <a:noFill/>
                    <a:ln>
                      <a:noFill/>
                    </a:ln>
                  </pic:spPr>
                </pic:pic>
              </a:graphicData>
            </a:graphic>
          </wp:inline>
        </w:drawing>
      </w:r>
    </w:p>
    <w:p w14:paraId="372A52E1" w14:textId="094E6349" w:rsidR="00273EA0" w:rsidRDefault="00273EA0" w:rsidP="009D74C8">
      <w:pPr>
        <w:pStyle w:val="NormalWeb"/>
        <w:jc w:val="both"/>
        <w:rPr>
          <w:noProof/>
        </w:rPr>
      </w:pPr>
    </w:p>
    <w:p w14:paraId="6DBA3FED" w14:textId="2E5C3FB1" w:rsidR="00A12232" w:rsidRDefault="00A12232" w:rsidP="009D74C8">
      <w:pPr>
        <w:pStyle w:val="NormalWeb"/>
        <w:jc w:val="both"/>
        <w:rPr>
          <w:b/>
        </w:rPr>
      </w:pPr>
      <w:r>
        <w:rPr>
          <w:noProof/>
        </w:rPr>
        <w:t xml:space="preserve"> </w:t>
      </w:r>
    </w:p>
    <w:p w14:paraId="3C5BEA8B" w14:textId="7330B6A3" w:rsidR="00927F32" w:rsidRDefault="008F3919" w:rsidP="009D74C8">
      <w:pPr>
        <w:pStyle w:val="NormalWeb"/>
        <w:jc w:val="both"/>
        <w:rPr>
          <w:b/>
        </w:rPr>
      </w:pPr>
      <w:r w:rsidRPr="008F3919">
        <w:t>Lineament density map</w:t>
      </w:r>
      <w:r>
        <w:t xml:space="preserve"> is an important structural tool for assessing the intensity of rock fracturing and deformation, which reflects subsurface structural control and mineralization potential. High lineament density zones (in red) indicate areas of intense faulting and shearing, typically associated with enhanced secondary porosity and permeability that facilitate hydrothermal fluid flow and mineral deposition (Abraham et al., 2024; </w:t>
      </w:r>
      <w:proofErr w:type="spellStart"/>
      <w:r>
        <w:t>Ogah</w:t>
      </w:r>
      <w:proofErr w:type="spellEnd"/>
      <w:r>
        <w:t xml:space="preserve"> &amp; Abubakar, 2024). In this study, prominent high-density zones occur around </w:t>
      </w:r>
      <w:proofErr w:type="spellStart"/>
      <w:r>
        <w:t>Itapaji</w:t>
      </w:r>
      <w:proofErr w:type="spellEnd"/>
      <w:r>
        <w:t xml:space="preserve"> and </w:t>
      </w:r>
      <w:proofErr w:type="spellStart"/>
      <w:r>
        <w:t>Bolorunduro</w:t>
      </w:r>
      <w:proofErr w:type="spellEnd"/>
      <w:r>
        <w:t xml:space="preserve"> in the central–northern sector, with another cluster around </w:t>
      </w:r>
      <w:proofErr w:type="spellStart"/>
      <w:r>
        <w:t>Ikole</w:t>
      </w:r>
      <w:proofErr w:type="spellEnd"/>
      <w:r>
        <w:t xml:space="preserve"> in the south, suggesting zones of intense brittle–ductile deformation. Moderate to low-density areas (yellow to green) represent less deformed or more competent basement </w:t>
      </w:r>
      <w:r>
        <w:lastRenderedPageBreak/>
        <w:t>rocks, or regions where thick overburden masks underlying structures. These zones generally exhibit limited fracturing and reduced fluid circulation (</w:t>
      </w:r>
      <w:proofErr w:type="spellStart"/>
      <w:r>
        <w:t>Ogah</w:t>
      </w:r>
      <w:proofErr w:type="spellEnd"/>
      <w:r>
        <w:t xml:space="preserve"> &amp; Abubakar, 2024). Structurally, the observed high-density lineaments display dominant E–W to ENE–WSW trends, consistent with the regional tectonic fabric of the Nigerian Basement Complex, indicating that these structures are products of long-lived stress regimes controlling deformation and fluid migration pathways (Abraham et al., 2024; </w:t>
      </w:r>
      <w:proofErr w:type="spellStart"/>
      <w:r>
        <w:t>Vallée</w:t>
      </w:r>
      <w:proofErr w:type="spellEnd"/>
      <w:r>
        <w:t xml:space="preserve"> et al., 2026) </w:t>
      </w:r>
      <w:r w:rsidRPr="008F3919">
        <w:rPr>
          <w:b/>
        </w:rPr>
        <w:t>(Fig. 8).</w:t>
      </w:r>
    </w:p>
    <w:p w14:paraId="43B7A24E" w14:textId="5560C516" w:rsidR="00D02502" w:rsidRDefault="00D02502" w:rsidP="009D74C8">
      <w:pPr>
        <w:pStyle w:val="NormalWeb"/>
        <w:jc w:val="both"/>
      </w:pPr>
      <w:r>
        <w:rPr>
          <w:noProof/>
        </w:rPr>
        <mc:AlternateContent>
          <mc:Choice Requires="wps">
            <w:drawing>
              <wp:anchor distT="0" distB="0" distL="114300" distR="114300" simplePos="0" relativeHeight="251667456" behindDoc="0" locked="0" layoutInCell="1" allowOverlap="1" wp14:anchorId="22409C56" wp14:editId="07E5BC2C">
                <wp:simplePos x="0" y="0"/>
                <wp:positionH relativeFrom="column">
                  <wp:posOffset>-419100</wp:posOffset>
                </wp:positionH>
                <wp:positionV relativeFrom="paragraph">
                  <wp:posOffset>4974590</wp:posOffset>
                </wp:positionV>
                <wp:extent cx="7442200" cy="88265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7442200" cy="882650"/>
                        </a:xfrm>
                        <a:prstGeom prst="rect">
                          <a:avLst/>
                        </a:prstGeom>
                        <a:noFill/>
                        <a:ln w="6350">
                          <a:noFill/>
                        </a:ln>
                      </wps:spPr>
                      <wps:txbx>
                        <w:txbxContent>
                          <w:p w14:paraId="791019C7" w14:textId="77777777" w:rsidR="00291608" w:rsidRDefault="00291608" w:rsidP="007F7ED0">
                            <w:pPr>
                              <w:pStyle w:val="NormalWeb"/>
                              <w:jc w:val="both"/>
                            </w:pPr>
                            <w:r>
                              <w:rPr>
                                <w:rStyle w:val="Strong"/>
                              </w:rPr>
                              <w:t xml:space="preserve">Figure 9: </w:t>
                            </w:r>
                            <w:r>
                              <w:t>The integration of lineaments with the geological map reveals the relationship between structural features and underlying lithological units. The superimposed lineaments highlight fault systems, fractures, and shear zones controlling rock boundaries and deformation patterns. This combined view enhances the understanding of structural control on geology and mineralization within the study area.</w:t>
                            </w:r>
                          </w:p>
                          <w:p w14:paraId="79B9EBFD" w14:textId="77777777" w:rsidR="00291608" w:rsidRDefault="002916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09C56" id="Text Box 19" o:spid="_x0000_s1029" type="#_x0000_t202" style="position:absolute;left:0;text-align:left;margin-left:-33pt;margin-top:391.7pt;width:586pt;height:6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" filled="f" stroked="f" strokeweight=".5pt">
                <v:textbox>
                  <w:txbxContent>
                    <w:p w14:paraId="791019C7" w14:textId="77777777" w:rsidR="00291608" w:rsidRDefault="00291608" w:rsidP="007F7ED0">
                      <w:pPr>
                        <w:pStyle w:val="NormalWeb"/>
                        <w:jc w:val="both"/>
                      </w:pPr>
                      <w:r>
                        <w:rPr>
                          <w:rStyle w:val="Strong"/>
                        </w:rPr>
                        <w:t xml:space="preserve">Figure 9: </w:t>
                      </w:r>
                      <w:r>
                        <w:t>The integration of lineaments with the geological map reveals the relationship between structural features and underlying lithological units. The superimposed lineaments highlight fault systems, fractures, and shear zones controlling rock boundaries and deformation patterns. This combined view enhances the understanding of structural control on geology and mineralization within the study area.</w:t>
                      </w:r>
                    </w:p>
                    <w:p w14:paraId="79B9EBFD" w14:textId="77777777" w:rsidR="00291608" w:rsidRDefault="00291608"/>
                  </w:txbxContent>
                </v:textbox>
              </v:shape>
            </w:pict>
          </mc:Fallback>
        </mc:AlternateContent>
      </w:r>
      <w:r w:rsidR="00927F32">
        <w:rPr>
          <w:noProof/>
        </w:rPr>
        <w:t xml:space="preserve">                       </w:t>
      </w:r>
      <w:r w:rsidR="008F3919">
        <w:rPr>
          <w:noProof/>
        </w:rPr>
        <w:t xml:space="preserve">    </w:t>
      </w:r>
      <w:r w:rsidR="0002241B">
        <w:rPr>
          <w:noProof/>
        </w:rPr>
        <w:t xml:space="preserve">        </w:t>
      </w:r>
      <w:r>
        <w:rPr>
          <w:noProof/>
        </w:rPr>
        <w:drawing>
          <wp:inline distT="0" distB="0" distL="0" distR="0" wp14:anchorId="2896FEBF" wp14:editId="1ED6D8B2">
            <wp:extent cx="3776663" cy="5035550"/>
            <wp:effectExtent l="0" t="0" r="0" b="0"/>
            <wp:docPr id="29" name="Picture 29" descr="C:\Users\HP\Desktop\MR ADELEKE PAPER\Adeleke Aeromag result\Aeromag Results\Aeromag Lineament Superimposed on Geological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Desktop\MR ADELEKE PAPER\Adeleke Aeromag result\Aeromag Results\Aeromag Lineament Superimposed on Geological Map.g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76981" cy="5035974"/>
                    </a:xfrm>
                    <a:prstGeom prst="rect">
                      <a:avLst/>
                    </a:prstGeom>
                    <a:noFill/>
                    <a:ln>
                      <a:noFill/>
                    </a:ln>
                  </pic:spPr>
                </pic:pic>
              </a:graphicData>
            </a:graphic>
          </wp:inline>
        </w:drawing>
      </w:r>
    </w:p>
    <w:p w14:paraId="2D419942" w14:textId="481B2B81" w:rsidR="00927F32" w:rsidRDefault="00927F32" w:rsidP="009D74C8">
      <w:pPr>
        <w:pStyle w:val="NormalWeb"/>
        <w:jc w:val="both"/>
      </w:pPr>
    </w:p>
    <w:p w14:paraId="0289F877" w14:textId="77777777" w:rsidR="008365D3" w:rsidRDefault="00927F32" w:rsidP="009D74C8">
      <w:pPr>
        <w:pStyle w:val="NormalWeb"/>
        <w:jc w:val="both"/>
        <w:rPr>
          <w:noProof/>
        </w:rPr>
      </w:pPr>
      <w:r>
        <w:rPr>
          <w:noProof/>
        </w:rPr>
        <w:t xml:space="preserve"> </w:t>
      </w:r>
    </w:p>
    <w:p w14:paraId="714A5ED3" w14:textId="64614466" w:rsidR="008F3919" w:rsidRDefault="008F3919" w:rsidP="009D74C8">
      <w:pPr>
        <w:pStyle w:val="NormalWeb"/>
        <w:jc w:val="both"/>
        <w:rPr>
          <w:noProof/>
        </w:rPr>
      </w:pPr>
      <w:r w:rsidRPr="008F3919">
        <w:t>The integration of lineament with the geological map</w:t>
      </w:r>
      <w:r>
        <w:t xml:space="preserve"> reveals a strong spatial relationship between structural features and the underlying lithological units, highlighting the influence of rock competence on deformation patterns. Lineaments are predominantly concentrated within competent crystalline rocks such as granite gneiss and migmatite, which are more susceptible to brittle deformation under tectonic stress. This behavior is consistent with established structural geology principles, where mechanically competent rocks tend to localize fractures and faults (Telford et al., 1990; </w:t>
      </w:r>
      <w:proofErr w:type="spellStart"/>
      <w:r>
        <w:t>Kearey</w:t>
      </w:r>
      <w:proofErr w:type="spellEnd"/>
      <w:r>
        <w:t xml:space="preserve"> et al., 2002). The dominant structural trends observed are </w:t>
      </w:r>
      <w:r w:rsidRPr="00A205E4">
        <w:rPr>
          <w:rStyle w:val="Strong"/>
          <w:b w:val="0"/>
        </w:rPr>
        <w:t>E–W to ENE–WSW</w:t>
      </w:r>
      <w:r>
        <w:t xml:space="preserve">, particularly along the </w:t>
      </w:r>
      <w:proofErr w:type="spellStart"/>
      <w:r>
        <w:t>Itapaji</w:t>
      </w:r>
      <w:proofErr w:type="spellEnd"/>
      <w:r>
        <w:t>–</w:t>
      </w:r>
      <w:proofErr w:type="spellStart"/>
      <w:r>
        <w:t>Bolorunduro</w:t>
      </w:r>
      <w:proofErr w:type="spellEnd"/>
      <w:r>
        <w:t xml:space="preserve"> axis, reflecting the regional tectonic fabric of the Nigerian Basement </w:t>
      </w:r>
      <w:r>
        <w:lastRenderedPageBreak/>
        <w:t>Complex. Such orientations are characteristic of basement terrains influenced by long-lived tectonic stress regimes and reactivation of pre-existing structures (</w:t>
      </w:r>
      <w:proofErr w:type="spellStart"/>
      <w:r>
        <w:t>Kearey</w:t>
      </w:r>
      <w:proofErr w:type="spellEnd"/>
      <w:r>
        <w:t xml:space="preserve"> et al., 2002). In the southern sector near </w:t>
      </w:r>
      <w:proofErr w:type="spellStart"/>
      <w:r>
        <w:t>Ikole</w:t>
      </w:r>
      <w:proofErr w:type="spellEnd"/>
      <w:r>
        <w:t xml:space="preserve">, E–W trending fractures within </w:t>
      </w:r>
      <w:proofErr w:type="spellStart"/>
      <w:r>
        <w:t>migmatitic</w:t>
      </w:r>
      <w:proofErr w:type="spellEnd"/>
      <w:r>
        <w:t xml:space="preserve"> units further emphasize the control of lithology on structural development. From an exploration perspective, the clustering and intersection of lineaments within crystalline basement rocks indicate zones of enhanced permeability. These structural corridors act as pathways for fluid migration and are therefore significant for hydrothermal mineralization and groundwater accumulation in basement terrains (Fitts, 2013) </w:t>
      </w:r>
      <w:r w:rsidRPr="008F3919">
        <w:rPr>
          <w:b/>
        </w:rPr>
        <w:t>(Fig. 9).</w:t>
      </w:r>
    </w:p>
    <w:p w14:paraId="4D24C142" w14:textId="77777777" w:rsidR="00927F32" w:rsidRDefault="00927F32" w:rsidP="009D74C8">
      <w:pPr>
        <w:pStyle w:val="NormalWeb"/>
        <w:jc w:val="both"/>
        <w:rPr>
          <w:b/>
        </w:rPr>
      </w:pPr>
    </w:p>
    <w:p w14:paraId="1A0E498E" w14:textId="52C61060" w:rsidR="00B71C09" w:rsidRDefault="004F41C3" w:rsidP="009D74C8">
      <w:pPr>
        <w:pStyle w:val="NormalWeb"/>
        <w:jc w:val="both"/>
      </w:pPr>
      <w:r>
        <w:rPr>
          <w:noProof/>
        </w:rPr>
        <mc:AlternateContent>
          <mc:Choice Requires="wps">
            <w:drawing>
              <wp:anchor distT="0" distB="0" distL="114300" distR="114300" simplePos="0" relativeHeight="251668480" behindDoc="0" locked="0" layoutInCell="1" allowOverlap="1" wp14:anchorId="7C157506" wp14:editId="5E3772EB">
                <wp:simplePos x="0" y="0"/>
                <wp:positionH relativeFrom="column">
                  <wp:posOffset>-349250</wp:posOffset>
                </wp:positionH>
                <wp:positionV relativeFrom="paragraph">
                  <wp:posOffset>2976880</wp:posOffset>
                </wp:positionV>
                <wp:extent cx="7416800" cy="68580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7416800" cy="685800"/>
                        </a:xfrm>
                        <a:prstGeom prst="rect">
                          <a:avLst/>
                        </a:prstGeom>
                        <a:noFill/>
                        <a:ln w="6350">
                          <a:noFill/>
                        </a:ln>
                      </wps:spPr>
                      <wps:txbx>
                        <w:txbxContent>
                          <w:p w14:paraId="33F8C3FA" w14:textId="77777777" w:rsidR="00291608" w:rsidRPr="00195886" w:rsidRDefault="00291608" w:rsidP="00195886">
                            <w:pPr>
                              <w:jc w:val="both"/>
                              <w:rPr>
                                <w:rFonts w:ascii="Times New Roman" w:hAnsi="Times New Roman" w:cs="Times New Roman"/>
                                <w:sz w:val="24"/>
                                <w:szCs w:val="24"/>
                              </w:rPr>
                            </w:pPr>
                            <w:r w:rsidRPr="008F3919">
                              <w:rPr>
                                <w:rStyle w:val="Strong"/>
                                <w:rFonts w:ascii="Times New Roman" w:hAnsi="Times New Roman" w:cs="Times New Roman"/>
                                <w:sz w:val="24"/>
                                <w:szCs w:val="24"/>
                              </w:rPr>
                              <w:t>Figure 10</w:t>
                            </w:r>
                            <w:r w:rsidRPr="008F3919">
                              <w:rPr>
                                <w:rStyle w:val="Strong"/>
                                <w:rFonts w:ascii="Times New Roman" w:hAnsi="Times New Roman" w:cs="Times New Roman"/>
                                <w:b w:val="0"/>
                                <w:sz w:val="24"/>
                                <w:szCs w:val="24"/>
                              </w:rPr>
                              <w:t>: Aeromagnetic Rose Diagram</w:t>
                            </w:r>
                            <w:r w:rsidRPr="00195886">
                              <w:rPr>
                                <w:rStyle w:val="Strong"/>
                                <w:rFonts w:ascii="Times New Roman" w:hAnsi="Times New Roman" w:cs="Times New Roman"/>
                                <w:sz w:val="24"/>
                                <w:szCs w:val="24"/>
                              </w:rPr>
                              <w:t>.</w:t>
                            </w:r>
                            <w:r w:rsidRPr="00195886">
                              <w:rPr>
                                <w:rFonts w:ascii="Times New Roman" w:hAnsi="Times New Roman" w:cs="Times New Roman"/>
                                <w:sz w:val="24"/>
                                <w:szCs w:val="24"/>
                              </w:rPr>
                              <w:t xml:space="preserve"> The diagram illustrates the dominant orientation and frequency of magnetic lineaments within the study area. It highlights the principal structural trends controlling subsurface deformation and mineralization pathways.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57506" id="Text Box 20" o:spid="_x0000_s1030" type="#_x0000_t202" style="position:absolute;left:0;text-align:left;margin-left:-27.5pt;margin-top:234.4pt;width:584pt;height:5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" filled="f" stroked="f" strokeweight=".5pt">
                <v:textbox>
                  <w:txbxContent>
                    <w:p w14:paraId="33F8C3FA" w14:textId="77777777" w:rsidR="00291608" w:rsidRPr="00195886" w:rsidRDefault="00291608" w:rsidP="00195886">
                      <w:pPr>
                        <w:jc w:val="both"/>
                        <w:rPr>
                          <w:rFonts w:ascii="Times New Roman" w:hAnsi="Times New Roman" w:cs="Times New Roman"/>
                          <w:sz w:val="24"/>
                          <w:szCs w:val="24"/>
                        </w:rPr>
                      </w:pPr>
                      <w:r w:rsidRPr="008F3919">
                        <w:rPr>
                          <w:rStyle w:val="Strong"/>
                          <w:rFonts w:ascii="Times New Roman" w:hAnsi="Times New Roman" w:cs="Times New Roman"/>
                          <w:sz w:val="24"/>
                          <w:szCs w:val="24"/>
                        </w:rPr>
                        <w:t>Figure 10</w:t>
                      </w:r>
                      <w:r w:rsidRPr="008F3919">
                        <w:rPr>
                          <w:rStyle w:val="Strong"/>
                          <w:rFonts w:ascii="Times New Roman" w:hAnsi="Times New Roman" w:cs="Times New Roman"/>
                          <w:b w:val="0"/>
                          <w:sz w:val="24"/>
                          <w:szCs w:val="24"/>
                        </w:rPr>
                        <w:t>: Aeromagnetic Rose Diagram</w:t>
                      </w:r>
                      <w:r w:rsidRPr="00195886">
                        <w:rPr>
                          <w:rStyle w:val="Strong"/>
                          <w:rFonts w:ascii="Times New Roman" w:hAnsi="Times New Roman" w:cs="Times New Roman"/>
                          <w:sz w:val="24"/>
                          <w:szCs w:val="24"/>
                        </w:rPr>
                        <w:t>.</w:t>
                      </w:r>
                      <w:r w:rsidRPr="00195886">
                        <w:rPr>
                          <w:rFonts w:ascii="Times New Roman" w:hAnsi="Times New Roman" w:cs="Times New Roman"/>
                          <w:sz w:val="24"/>
                          <w:szCs w:val="24"/>
                        </w:rPr>
                        <w:t xml:space="preserve"> The diagram illustrates the dominant orientation and frequency of magnetic lineaments within the study area. It highlights the principal structural trends controlling subsurface deformation and mineralization pathways.</w:t>
                      </w:r>
                    </w:p>
                  </w:txbxContent>
                </v:textbox>
              </v:shape>
            </w:pict>
          </mc:Fallback>
        </mc:AlternateContent>
      </w:r>
      <w:r w:rsidR="007F7ED0">
        <w:rPr>
          <w:noProof/>
        </w:rPr>
        <w:t xml:space="preserve">                           </w:t>
      </w:r>
      <w:r w:rsidR="00B71C09">
        <w:rPr>
          <w:noProof/>
        </w:rPr>
        <w:t xml:space="preserve">       </w:t>
      </w:r>
      <w:r w:rsidR="00B71C09">
        <w:rPr>
          <w:noProof/>
        </w:rPr>
        <w:drawing>
          <wp:inline distT="0" distB="0" distL="0" distR="0" wp14:anchorId="125D22D7" wp14:editId="6BE33A8C">
            <wp:extent cx="4677566" cy="2705100"/>
            <wp:effectExtent l="0" t="0" r="8890" b="0"/>
            <wp:docPr id="16" name="Picture 16" descr="C:\Users\HP\Desktop\MR ADELEKE PAPER\Adeleke Aeromag result\Aeromag Results\Aeromag Rose Diagra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esktop\MR ADELEKE PAPER\Adeleke Aeromag result\Aeromag Results\Aeromag Rose Diagram.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98962" cy="2717473"/>
                    </a:xfrm>
                    <a:prstGeom prst="rect">
                      <a:avLst/>
                    </a:prstGeom>
                    <a:noFill/>
                    <a:ln>
                      <a:noFill/>
                    </a:ln>
                  </pic:spPr>
                </pic:pic>
              </a:graphicData>
            </a:graphic>
          </wp:inline>
        </w:drawing>
      </w:r>
    </w:p>
    <w:p w14:paraId="1616DD84" w14:textId="301A4766" w:rsidR="007F7ED0" w:rsidRDefault="007F7ED0" w:rsidP="009D74C8">
      <w:pPr>
        <w:pStyle w:val="NormalWeb"/>
        <w:jc w:val="both"/>
      </w:pPr>
    </w:p>
    <w:p w14:paraId="063CD0F2" w14:textId="77777777" w:rsidR="00C66E16" w:rsidRDefault="00C66E16" w:rsidP="009D74C8">
      <w:pPr>
        <w:pStyle w:val="NormalWeb"/>
        <w:jc w:val="both"/>
      </w:pPr>
    </w:p>
    <w:p w14:paraId="66288C09" w14:textId="77777777" w:rsidR="00403224" w:rsidRDefault="00403224" w:rsidP="009D74C8">
      <w:pPr>
        <w:pStyle w:val="NormalWeb"/>
        <w:jc w:val="both"/>
      </w:pPr>
    </w:p>
    <w:p w14:paraId="12A56D21" w14:textId="060ED271" w:rsidR="00E456A7" w:rsidRDefault="00C577F4" w:rsidP="009D74C8">
      <w:pPr>
        <w:pStyle w:val="NormalWeb"/>
        <w:jc w:val="both"/>
      </w:pPr>
      <w:r w:rsidRPr="00C577F4">
        <w:rPr>
          <w:rStyle w:val="Strong"/>
          <w:b w:val="0"/>
        </w:rPr>
        <w:t>Aeromagnetic rose diagram</w:t>
      </w:r>
      <w:r>
        <w:t xml:space="preserve"> shows that lineaments in the study area are predominantly oriented along the </w:t>
      </w:r>
      <w:r w:rsidRPr="00C577F4">
        <w:rPr>
          <w:rStyle w:val="Strong"/>
          <w:b w:val="0"/>
        </w:rPr>
        <w:t>ENE–WSW to E–W direction</w:t>
      </w:r>
      <w:r>
        <w:t>, indicating a strong preferred structural grain. This dominant orientation reflects the influence of tectonic stresses that controlled fracture development and crustal deformation, as commonly observed in aeromagnetic structural interpretations (</w:t>
      </w:r>
      <w:proofErr w:type="spellStart"/>
      <w:r>
        <w:t>Kearey</w:t>
      </w:r>
      <w:proofErr w:type="spellEnd"/>
      <w:r>
        <w:t xml:space="preserve"> et al., 2009). A </w:t>
      </w:r>
      <w:r w:rsidRPr="00C577F4">
        <w:rPr>
          <w:rStyle w:val="Strong"/>
          <w:b w:val="0"/>
        </w:rPr>
        <w:t>secondary trend</w:t>
      </w:r>
      <w:r>
        <w:t xml:space="preserve"> is observed in the </w:t>
      </w:r>
      <w:r w:rsidRPr="00C577F4">
        <w:rPr>
          <w:rStyle w:val="Strong"/>
          <w:b w:val="0"/>
        </w:rPr>
        <w:t>ESE–WNW direction</w:t>
      </w:r>
      <w:r w:rsidRPr="00C577F4">
        <w:rPr>
          <w:b/>
        </w:rPr>
        <w:t>,</w:t>
      </w:r>
      <w:r>
        <w:t xml:space="preserve"> though less frequent. This suggests </w:t>
      </w:r>
      <w:r w:rsidRPr="00C577F4">
        <w:rPr>
          <w:rStyle w:val="Strong"/>
          <w:b w:val="0"/>
        </w:rPr>
        <w:t>multiple phases of deformation</w:t>
      </w:r>
      <w:r>
        <w:t xml:space="preserve"> and possible reactivation of earlier structures, a typical feature of crystalline basement terrains with complex tectonic histories. These lineaments represent zones of </w:t>
      </w:r>
      <w:r w:rsidRPr="00C577F4">
        <w:rPr>
          <w:rStyle w:val="Strong"/>
          <w:b w:val="0"/>
        </w:rPr>
        <w:t>structural weakness</w:t>
      </w:r>
      <w:r>
        <w:t xml:space="preserve">, which may act as pathways for </w:t>
      </w:r>
      <w:r w:rsidRPr="00C577F4">
        <w:rPr>
          <w:rStyle w:val="Strong"/>
          <w:b w:val="0"/>
        </w:rPr>
        <w:t>fluid migration</w:t>
      </w:r>
      <w:r>
        <w:t xml:space="preserve">, thereby influencing groundwater flow and potential mineralization. Aeromagnetic lineament analysis is therefore a key tool for understanding subsurface structures and their geological implications (Blakely, 1995) </w:t>
      </w:r>
      <w:r w:rsidR="008F3919">
        <w:t>(</w:t>
      </w:r>
      <w:r w:rsidRPr="00C577F4">
        <w:rPr>
          <w:b/>
        </w:rPr>
        <w:t xml:space="preserve">Fig. </w:t>
      </w:r>
      <w:r w:rsidR="0090239F">
        <w:rPr>
          <w:b/>
        </w:rPr>
        <w:t>10</w:t>
      </w:r>
      <w:r w:rsidR="008F3919">
        <w:rPr>
          <w:b/>
        </w:rPr>
        <w:t>)</w:t>
      </w:r>
    </w:p>
    <w:p w14:paraId="6F583C37" w14:textId="77777777" w:rsidR="00C577F4" w:rsidRDefault="00C577F4" w:rsidP="009D74C8">
      <w:pPr>
        <w:pStyle w:val="NormalWeb"/>
        <w:jc w:val="both"/>
      </w:pPr>
    </w:p>
    <w:p w14:paraId="6CF2C18C" w14:textId="658BF51F" w:rsidR="00A00200" w:rsidRDefault="005D1D03" w:rsidP="009D74C8">
      <w:pPr>
        <w:pStyle w:val="NormalWeb"/>
        <w:jc w:val="both"/>
      </w:pPr>
      <w:r>
        <w:rPr>
          <w:noProof/>
        </w:rPr>
        <w:lastRenderedPageBreak/>
        <mc:AlternateContent>
          <mc:Choice Requires="wps">
            <w:drawing>
              <wp:anchor distT="0" distB="0" distL="114300" distR="114300" simplePos="0" relativeHeight="251669504" behindDoc="0" locked="0" layoutInCell="1" allowOverlap="1" wp14:anchorId="0153B9B2" wp14:editId="04771EDB">
                <wp:simplePos x="0" y="0"/>
                <wp:positionH relativeFrom="column">
                  <wp:posOffset>-311150</wp:posOffset>
                </wp:positionH>
                <wp:positionV relativeFrom="paragraph">
                  <wp:posOffset>4041140</wp:posOffset>
                </wp:positionV>
                <wp:extent cx="7473950" cy="908050"/>
                <wp:effectExtent l="0" t="0" r="0" b="6350"/>
                <wp:wrapNone/>
                <wp:docPr id="22" name="Text Box 22"/>
                <wp:cNvGraphicFramePr/>
                <a:graphic xmlns:a="http://schemas.openxmlformats.org/drawingml/2006/main">
                  <a:graphicData uri="http://schemas.microsoft.com/office/word/2010/wordprocessingShape">
                    <wps:wsp>
                      <wps:cNvSpPr txBox="1"/>
                      <wps:spPr>
                        <a:xfrm>
                          <a:off x="0" y="0"/>
                          <a:ext cx="7473950" cy="908050"/>
                        </a:xfrm>
                        <a:prstGeom prst="rect">
                          <a:avLst/>
                        </a:prstGeom>
                        <a:noFill/>
                        <a:ln w="6350">
                          <a:noFill/>
                        </a:ln>
                      </wps:spPr>
                      <wps:txbx>
                        <w:txbxContent>
                          <w:p w14:paraId="63E67A7C" w14:textId="1C32F05A" w:rsidR="00291608" w:rsidRDefault="00291608" w:rsidP="00C577F4">
                            <w:pPr>
                              <w:jc w:val="both"/>
                              <w:rPr>
                                <w:rFonts w:ascii="Times New Roman" w:hAnsi="Times New Roman" w:cs="Times New Roman"/>
                                <w:sz w:val="24"/>
                                <w:szCs w:val="24"/>
                              </w:rPr>
                            </w:pPr>
                            <w:r>
                              <w:rPr>
                                <w:rFonts w:ascii="Times New Roman" w:hAnsi="Times New Roman" w:cs="Times New Roman"/>
                                <w:b/>
                                <w:sz w:val="24"/>
                                <w:szCs w:val="24"/>
                              </w:rPr>
                              <w:t>Figure 11</w:t>
                            </w:r>
                            <w:r w:rsidRPr="00C577F4">
                              <w:rPr>
                                <w:rFonts w:ascii="Times New Roman" w:hAnsi="Times New Roman" w:cs="Times New Roman"/>
                                <w:sz w:val="24"/>
                                <w:szCs w:val="24"/>
                              </w:rPr>
                              <w:t xml:space="preserve">: Integrated lineament and Euler Deconvolution map superimposed on the geological framework of the study area. The map highlights structural trends, fracture zones, and subsurface lineaments derived from geophysical analysis. Euler solutions delineate depth estimates and structural contacts, enhancing </w:t>
                            </w:r>
                            <w:r w:rsidR="00A00200">
                              <w:rPr>
                                <w:rFonts w:ascii="Times New Roman" w:hAnsi="Times New Roman" w:cs="Times New Roman"/>
                                <w:sz w:val="24"/>
                                <w:szCs w:val="24"/>
                              </w:rPr>
                              <w:t xml:space="preserve">the </w:t>
                            </w:r>
                            <w:r w:rsidRPr="00C577F4">
                              <w:rPr>
                                <w:rFonts w:ascii="Times New Roman" w:hAnsi="Times New Roman" w:cs="Times New Roman"/>
                                <w:sz w:val="24"/>
                                <w:szCs w:val="24"/>
                              </w:rPr>
                              <w:t>interpretation of basement features. This integration provides insight into tectonic controls and mineralization potential within the mapped geology.</w:t>
                            </w:r>
                          </w:p>
                          <w:p w14:paraId="1BF5C96E" w14:textId="77777777" w:rsidR="00291608" w:rsidRPr="00C577F4" w:rsidRDefault="00291608" w:rsidP="00C577F4">
                            <w:pPr>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3B9B2" id="Text Box 22" o:spid="_x0000_s1031" type="#_x0000_t202" style="position:absolute;left:0;text-align:left;margin-left:-24.5pt;margin-top:318.2pt;width:588.5pt;height: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" filled="f" stroked="f" strokeweight=".5pt">
                <v:textbox>
                  <w:txbxContent>
                    <w:p w14:paraId="63E67A7C" w14:textId="1C32F05A" w:rsidR="00291608" w:rsidRDefault="00291608" w:rsidP="00C577F4">
                      <w:pPr>
                        <w:jc w:val="both"/>
                        <w:rPr>
                          <w:rFonts w:ascii="Times New Roman" w:hAnsi="Times New Roman" w:cs="Times New Roman"/>
                          <w:sz w:val="24"/>
                          <w:szCs w:val="24"/>
                        </w:rPr>
                      </w:pPr>
                      <w:r>
                        <w:rPr>
                          <w:rFonts w:ascii="Times New Roman" w:hAnsi="Times New Roman" w:cs="Times New Roman"/>
                          <w:b/>
                          <w:sz w:val="24"/>
                          <w:szCs w:val="24"/>
                        </w:rPr>
                        <w:t>Figure 11</w:t>
                      </w:r>
                      <w:r w:rsidRPr="00C577F4">
                        <w:rPr>
                          <w:rFonts w:ascii="Times New Roman" w:hAnsi="Times New Roman" w:cs="Times New Roman"/>
                          <w:sz w:val="24"/>
                          <w:szCs w:val="24"/>
                        </w:rPr>
                        <w:t xml:space="preserve">: Integrated lineament and Euler Deconvolution map superimposed on the geological framework of the study area. The map highlights structural trends, fracture zones, and subsurface lineaments derived from geophysical analysis. Euler solutions delineate depth estimates and structural contacts, enhancing </w:t>
                      </w:r>
                      <w:r w:rsidR="00A00200">
                        <w:rPr>
                          <w:rFonts w:ascii="Times New Roman" w:hAnsi="Times New Roman" w:cs="Times New Roman"/>
                          <w:sz w:val="24"/>
                          <w:szCs w:val="24"/>
                        </w:rPr>
                        <w:t xml:space="preserve">the </w:t>
                      </w:r>
                      <w:r w:rsidRPr="00C577F4">
                        <w:rPr>
                          <w:rFonts w:ascii="Times New Roman" w:hAnsi="Times New Roman" w:cs="Times New Roman"/>
                          <w:sz w:val="24"/>
                          <w:szCs w:val="24"/>
                        </w:rPr>
                        <w:t>interpretation of basement features. This integration provides insight into tectonic controls and mineralization potential within the mapped geology.</w:t>
                      </w:r>
                    </w:p>
                    <w:p w14:paraId="1BF5C96E" w14:textId="77777777" w:rsidR="00291608" w:rsidRPr="00C577F4" w:rsidRDefault="00291608" w:rsidP="00C577F4">
                      <w:pPr>
                        <w:jc w:val="both"/>
                        <w:rPr>
                          <w:rFonts w:ascii="Times New Roman" w:hAnsi="Times New Roman" w:cs="Times New Roman"/>
                          <w:sz w:val="24"/>
                          <w:szCs w:val="24"/>
                        </w:rPr>
                      </w:pPr>
                    </w:p>
                  </w:txbxContent>
                </v:textbox>
              </v:shape>
            </w:pict>
          </mc:Fallback>
        </mc:AlternateContent>
      </w:r>
      <w:r w:rsidR="00C577F4">
        <w:rPr>
          <w:noProof/>
        </w:rPr>
        <w:t xml:space="preserve">                    </w:t>
      </w:r>
      <w:r w:rsidR="00E456A7">
        <w:rPr>
          <w:noProof/>
        </w:rPr>
        <w:t xml:space="preserve">       </w:t>
      </w:r>
      <w:r w:rsidR="0020576E">
        <w:rPr>
          <w:noProof/>
        </w:rPr>
        <w:t xml:space="preserve">      </w:t>
      </w:r>
      <w:r w:rsidR="00573676">
        <w:rPr>
          <w:noProof/>
        </w:rPr>
        <w:t xml:space="preserve">           </w:t>
      </w:r>
      <w:r w:rsidR="00A00200">
        <w:rPr>
          <w:noProof/>
        </w:rPr>
        <w:drawing>
          <wp:inline distT="0" distB="0" distL="0" distR="0" wp14:anchorId="75482CFC" wp14:editId="12259EFB">
            <wp:extent cx="3028950" cy="4038600"/>
            <wp:effectExtent l="0" t="0" r="0" b="0"/>
            <wp:docPr id="27" name="Picture 27" descr="C:\Users\HP\Desktop\MR ADELEKE PAPER\Adeleke Aeromag result\Aeromag Results\lineaments and Euler  Superimposed Geological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Desktop\MR ADELEKE PAPER\Adeleke Aeromag result\Aeromag Results\lineaments and Euler  Superimposed Geological Map.g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29630" cy="4039507"/>
                    </a:xfrm>
                    <a:prstGeom prst="rect">
                      <a:avLst/>
                    </a:prstGeom>
                    <a:noFill/>
                    <a:ln>
                      <a:noFill/>
                    </a:ln>
                  </pic:spPr>
                </pic:pic>
              </a:graphicData>
            </a:graphic>
          </wp:inline>
        </w:drawing>
      </w:r>
    </w:p>
    <w:p w14:paraId="270AF0C9" w14:textId="5CD68BD7" w:rsidR="00C577F4" w:rsidRDefault="00C577F4" w:rsidP="009D74C8">
      <w:pPr>
        <w:pStyle w:val="NormalWeb"/>
        <w:jc w:val="both"/>
        <w:rPr>
          <w:noProof/>
        </w:rPr>
      </w:pPr>
    </w:p>
    <w:p w14:paraId="69C40A96" w14:textId="63ED31E2" w:rsidR="00C577F4" w:rsidRDefault="00C577F4" w:rsidP="009D74C8">
      <w:pPr>
        <w:pStyle w:val="NormalWeb"/>
        <w:jc w:val="both"/>
      </w:pPr>
    </w:p>
    <w:p w14:paraId="4037629F" w14:textId="77777777" w:rsidR="00A00200" w:rsidRDefault="00A00200" w:rsidP="009D74C8">
      <w:pPr>
        <w:pStyle w:val="NormalWeb"/>
        <w:jc w:val="both"/>
      </w:pPr>
    </w:p>
    <w:p w14:paraId="19964D3C" w14:textId="3934F8BE" w:rsidR="00632486" w:rsidRDefault="003E2C3E" w:rsidP="009D74C8">
      <w:pPr>
        <w:pStyle w:val="NormalWeb"/>
        <w:jc w:val="both"/>
      </w:pPr>
      <w:r w:rsidRPr="00C577F4">
        <w:t>Integrated lineament and Euler Deconvolution map superimposed on the geological framework of the study area</w:t>
      </w:r>
      <w:r>
        <w:t xml:space="preserve"> provide</w:t>
      </w:r>
      <w:r w:rsidR="00632486">
        <w:t xml:space="preserve"> insights into both surface and subsurface structural configurations. This integrated approach enhances the delineation of structural lineaments and allows for the estimation of source depths, which is essential in understanding the three-dimensional architecture of basement terrains. Modern studies have shown that Euler deconvolution, when combined with structural mapping, effectively constrains the edges, depths, and geometries of magnetic sources, thereby improving geological interpretation (Cooper, 2024; Pham et al., 2024).</w:t>
      </w:r>
      <w:r w:rsidR="000273D4">
        <w:t xml:space="preserve"> </w:t>
      </w:r>
      <w:r w:rsidR="00632486">
        <w:t xml:space="preserve">The Euler deconvolution solutions, represented as clustered circular points, define the spatial distribution and depth of causative magnetic bodies. The close alignment of these solutions along mapped lineaments—particularly in areas such as </w:t>
      </w:r>
      <w:proofErr w:type="spellStart"/>
      <w:r w:rsidR="00632486">
        <w:t>Itapaji</w:t>
      </w:r>
      <w:proofErr w:type="spellEnd"/>
      <w:r w:rsidR="00632486">
        <w:t xml:space="preserve"> and </w:t>
      </w:r>
      <w:proofErr w:type="spellStart"/>
      <w:r w:rsidR="00632486">
        <w:t>Bolorunduro</w:t>
      </w:r>
      <w:proofErr w:type="spellEnd"/>
      <w:r w:rsidR="00632486">
        <w:t>—indicates that many of these features correspond to deep-seated faults or shear zones that extend from the subsurface to near-surface levels. In contrast, dispersed Euler solutions suggest more complex or moderately dipping structures. According to Pham et al. (2024), such clustering patterns are indicative of structurally controlled magnetic sources and can be used to distinguish between shallow and deeper structural features when appropriately constrained.</w:t>
      </w:r>
      <w:r w:rsidR="00882464">
        <w:t xml:space="preserve"> </w:t>
      </w:r>
      <w:r w:rsidR="00632486">
        <w:t>Lithological variations exert a strong influence on the distribution of structural features ob</w:t>
      </w:r>
      <w:r w:rsidR="00780524">
        <w:t xml:space="preserve">served in </w:t>
      </w:r>
      <w:r w:rsidR="00780524" w:rsidRPr="00780524">
        <w:rPr>
          <w:b/>
        </w:rPr>
        <w:t>Fig</w:t>
      </w:r>
      <w:r w:rsidR="00632486" w:rsidRPr="00780524">
        <w:rPr>
          <w:b/>
        </w:rPr>
        <w:t>.</w:t>
      </w:r>
      <w:r w:rsidR="00780524" w:rsidRPr="00780524">
        <w:rPr>
          <w:b/>
        </w:rPr>
        <w:t xml:space="preserve"> 2.</w:t>
      </w:r>
      <w:r w:rsidR="00632486">
        <w:t xml:space="preserve"> The granite gneiss (GG) and migmatite (Mg) units exhibit a high density of both lineaments and Euler solutions, reflecting their brittle response to tectonic stress and their tendency to fracture rather than fold. Conversely, the </w:t>
      </w:r>
      <w:proofErr w:type="spellStart"/>
      <w:r w:rsidR="00632486">
        <w:t>charnockite</w:t>
      </w:r>
      <w:proofErr w:type="spellEnd"/>
      <w:r w:rsidR="00632486">
        <w:t xml:space="preserve"> (CH) and granodiorite (</w:t>
      </w:r>
      <w:proofErr w:type="spellStart"/>
      <w:r w:rsidR="00632486">
        <w:t>OGd</w:t>
      </w:r>
      <w:proofErr w:type="spellEnd"/>
      <w:r w:rsidR="00632486">
        <w:t xml:space="preserve">) units display fewer surface lineaments; </w:t>
      </w:r>
      <w:r w:rsidR="00632486">
        <w:lastRenderedPageBreak/>
        <w:t>however, the presence of Euler solutions along their boundaries suggests the existence of concealed structural discontinuities at depth. This relationship between lithological contrast and structural localization is consistent with findings by Cooper (2024), who emphasized that structural boundaries often control the distribution of geophysical anomalies in mineral exploration settings.</w:t>
      </w:r>
      <w:r w:rsidR="000273D4">
        <w:t xml:space="preserve"> </w:t>
      </w:r>
      <w:r w:rsidR="00632486">
        <w:t xml:space="preserve">From an exploration perspective, the coincidence of dense lineaments and clustered Euler solutions marks zones of enhanced crustal permeability, which are critical for hydrothermal fluid migration and mineralization. The areas around </w:t>
      </w:r>
      <w:proofErr w:type="spellStart"/>
      <w:r w:rsidR="00632486">
        <w:t>Itapaji</w:t>
      </w:r>
      <w:proofErr w:type="spellEnd"/>
      <w:r w:rsidR="00632486">
        <w:t xml:space="preserve">, </w:t>
      </w:r>
      <w:proofErr w:type="spellStart"/>
      <w:r w:rsidR="00632486">
        <w:t>Bolorunduro</w:t>
      </w:r>
      <w:proofErr w:type="spellEnd"/>
      <w:r w:rsidR="00632486">
        <w:t xml:space="preserve">, and the southern sector near </w:t>
      </w:r>
      <w:proofErr w:type="spellStart"/>
      <w:r w:rsidR="00632486">
        <w:t>Ikole</w:t>
      </w:r>
      <w:proofErr w:type="spellEnd"/>
      <w:r w:rsidR="00632486">
        <w:t xml:space="preserve"> represent such zones, where structural complexity is highest. These regions likely served as conduits for mineralizing fluids, allowing the concentration of economically significant mineral deposits. Furthermore, the intersection of major structural trends with rheological boundaries—such as contacts between granite gneiss and migmatite—creates favorable conditions for ore deposition due to localized strain and dilation (Pham et al., 2024)</w:t>
      </w:r>
      <w:r>
        <w:t xml:space="preserve"> (</w:t>
      </w:r>
      <w:r w:rsidRPr="003E2C3E">
        <w:rPr>
          <w:b/>
        </w:rPr>
        <w:t>Fig. 11</w:t>
      </w:r>
      <w:r>
        <w:t>)</w:t>
      </w:r>
      <w:r w:rsidR="00632486">
        <w:t>.</w:t>
      </w:r>
    </w:p>
    <w:p w14:paraId="361DC28D" w14:textId="77777777" w:rsidR="00297C01" w:rsidRDefault="00297C01" w:rsidP="009D74C8">
      <w:pPr>
        <w:pStyle w:val="NormalWeb"/>
        <w:jc w:val="both"/>
        <w:rPr>
          <w:b/>
        </w:rPr>
      </w:pPr>
      <w:r w:rsidRPr="00297C01">
        <w:rPr>
          <w:b/>
        </w:rPr>
        <w:t>4.2 Radiometric maps</w:t>
      </w:r>
    </w:p>
    <w:p w14:paraId="08F081AB" w14:textId="15969D57" w:rsidR="00EE4545" w:rsidRDefault="003F10B6" w:rsidP="009D74C8">
      <w:pPr>
        <w:pStyle w:val="NormalWeb"/>
        <w:jc w:val="both"/>
      </w:pPr>
      <w:r>
        <w:rPr>
          <w:noProof/>
        </w:rPr>
        <mc:AlternateContent>
          <mc:Choice Requires="wps">
            <w:drawing>
              <wp:anchor distT="0" distB="0" distL="114300" distR="114300" simplePos="0" relativeHeight="251671552" behindDoc="0" locked="0" layoutInCell="1" allowOverlap="1" wp14:anchorId="32E5ACC2" wp14:editId="26D34F8B">
                <wp:simplePos x="0" y="0"/>
                <wp:positionH relativeFrom="column">
                  <wp:posOffset>-361950</wp:posOffset>
                </wp:positionH>
                <wp:positionV relativeFrom="paragraph">
                  <wp:posOffset>4788535</wp:posOffset>
                </wp:positionV>
                <wp:extent cx="7664450" cy="9207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7664450" cy="920750"/>
                        </a:xfrm>
                        <a:prstGeom prst="rect">
                          <a:avLst/>
                        </a:prstGeom>
                        <a:noFill/>
                        <a:ln w="6350">
                          <a:noFill/>
                        </a:ln>
                      </wps:spPr>
                      <wps:txbx>
                        <w:txbxContent>
                          <w:p w14:paraId="2CE8BDA4" w14:textId="77777777" w:rsidR="00291608" w:rsidRPr="00D77233" w:rsidRDefault="00291608" w:rsidP="00D77233">
                            <w:pPr>
                              <w:jc w:val="both"/>
                              <w:rPr>
                                <w:rFonts w:ascii="Times New Roman" w:hAnsi="Times New Roman" w:cs="Times New Roman"/>
                                <w:sz w:val="24"/>
                                <w:szCs w:val="24"/>
                              </w:rPr>
                            </w:pPr>
                            <w:r>
                              <w:rPr>
                                <w:rFonts w:ascii="Times New Roman" w:hAnsi="Times New Roman" w:cs="Times New Roman"/>
                                <w:b/>
                                <w:sz w:val="24"/>
                                <w:szCs w:val="24"/>
                              </w:rPr>
                              <w:t>Figure</w:t>
                            </w:r>
                            <w:r w:rsidRPr="00D77233">
                              <w:rPr>
                                <w:rFonts w:ascii="Times New Roman" w:hAnsi="Times New Roman" w:cs="Times New Roman"/>
                                <w:b/>
                                <w:sz w:val="24"/>
                                <w:szCs w:val="24"/>
                              </w:rPr>
                              <w:t xml:space="preserve"> 12</w:t>
                            </w:r>
                            <w:r>
                              <w:rPr>
                                <w:rFonts w:ascii="Times New Roman" w:hAnsi="Times New Roman" w:cs="Times New Roman"/>
                                <w:sz w:val="24"/>
                                <w:szCs w:val="24"/>
                              </w:rPr>
                              <w:t>:</w:t>
                            </w:r>
                            <w:r w:rsidRPr="00D77233">
                              <w:rPr>
                                <w:rFonts w:ascii="Times New Roman" w:hAnsi="Times New Roman" w:cs="Times New Roman"/>
                                <w:sz w:val="24"/>
                                <w:szCs w:val="24"/>
                              </w:rPr>
                              <w:t xml:space="preserve"> Potassium anomaly map of the study area highlighting the spatial distribution of K-rich radiometric signatures. The map reveals variations in potassium concentration associated with different lithologies and alteration zones. It provides key insights into potential zones of hydrothermal alteration and mineralization.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5ACC2" id="Text Box 30" o:spid="_x0000_s1032" type="#_x0000_t202" style="position:absolute;left:0;text-align:left;margin-left:-28.5pt;margin-top:377.05pt;width:603.5pt;height: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" filled="f" stroked="f" strokeweight=".5pt">
                <v:textbox>
                  <w:txbxContent>
                    <w:p w14:paraId="2CE8BDA4" w14:textId="77777777" w:rsidR="00291608" w:rsidRPr="00D77233" w:rsidRDefault="00291608" w:rsidP="00D77233">
                      <w:pPr>
                        <w:jc w:val="both"/>
                        <w:rPr>
                          <w:rFonts w:ascii="Times New Roman" w:hAnsi="Times New Roman" w:cs="Times New Roman"/>
                          <w:sz w:val="24"/>
                          <w:szCs w:val="24"/>
                        </w:rPr>
                      </w:pPr>
                      <w:r>
                        <w:rPr>
                          <w:rFonts w:ascii="Times New Roman" w:hAnsi="Times New Roman" w:cs="Times New Roman"/>
                          <w:b/>
                          <w:sz w:val="24"/>
                          <w:szCs w:val="24"/>
                        </w:rPr>
                        <w:t>Figure</w:t>
                      </w:r>
                      <w:r w:rsidRPr="00D77233">
                        <w:rPr>
                          <w:rFonts w:ascii="Times New Roman" w:hAnsi="Times New Roman" w:cs="Times New Roman"/>
                          <w:b/>
                          <w:sz w:val="24"/>
                          <w:szCs w:val="24"/>
                        </w:rPr>
                        <w:t xml:space="preserve"> 12</w:t>
                      </w:r>
                      <w:r>
                        <w:rPr>
                          <w:rFonts w:ascii="Times New Roman" w:hAnsi="Times New Roman" w:cs="Times New Roman"/>
                          <w:sz w:val="24"/>
                          <w:szCs w:val="24"/>
                        </w:rPr>
                        <w:t>:</w:t>
                      </w:r>
                      <w:r w:rsidRPr="00D77233">
                        <w:rPr>
                          <w:rFonts w:ascii="Times New Roman" w:hAnsi="Times New Roman" w:cs="Times New Roman"/>
                          <w:sz w:val="24"/>
                          <w:szCs w:val="24"/>
                        </w:rPr>
                        <w:t xml:space="preserve"> Potassium anomaly map of the study area highlighting the spatial distribution of K-rich radiometric signatures. The map reveals variations in potassium concentration associated with different lithologies and alteration zones. It provides key insights into potential zones of hydrothermal alteration and mineralization.</w:t>
                      </w:r>
                    </w:p>
                  </w:txbxContent>
                </v:textbox>
              </v:shape>
            </w:pict>
          </mc:Fallback>
        </mc:AlternateContent>
      </w:r>
      <w:r w:rsidR="003E2C3E">
        <w:rPr>
          <w:noProof/>
        </w:rPr>
        <w:t xml:space="preserve">                                     </w:t>
      </w:r>
      <w:r w:rsidR="00B71C09">
        <w:rPr>
          <w:noProof/>
        </w:rPr>
        <w:t xml:space="preserve">     </w:t>
      </w:r>
      <w:r w:rsidR="00EE4545">
        <w:rPr>
          <w:noProof/>
        </w:rPr>
        <w:drawing>
          <wp:inline distT="0" distB="0" distL="0" distR="0" wp14:anchorId="60E6950A" wp14:editId="06B8AFC7">
            <wp:extent cx="2698750" cy="4674618"/>
            <wp:effectExtent l="0" t="0" r="6350" b="0"/>
            <wp:docPr id="14" name="Picture 14" descr="C:\Users\HP\Desktop\MR ADELEKE PAPER\Adeleke Radiometric Result\Radiometric Result\Kra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MR ADELEKE PAPER\Adeleke Radiometric Result\Radiometric Result\Krad.g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09141" cy="4692617"/>
                    </a:xfrm>
                    <a:prstGeom prst="rect">
                      <a:avLst/>
                    </a:prstGeom>
                    <a:noFill/>
                    <a:ln>
                      <a:noFill/>
                    </a:ln>
                  </pic:spPr>
                </pic:pic>
              </a:graphicData>
            </a:graphic>
          </wp:inline>
        </w:drawing>
      </w:r>
    </w:p>
    <w:p w14:paraId="56FF0E93" w14:textId="0E70B9DA" w:rsidR="003F10B6" w:rsidRDefault="003F10B6" w:rsidP="009D74C8">
      <w:pPr>
        <w:pStyle w:val="NormalWeb"/>
        <w:jc w:val="both"/>
      </w:pPr>
    </w:p>
    <w:p w14:paraId="75E38427" w14:textId="77777777" w:rsidR="003F10B6" w:rsidRDefault="003F10B6" w:rsidP="009D74C8">
      <w:pPr>
        <w:pStyle w:val="NormalWeb"/>
        <w:jc w:val="both"/>
      </w:pPr>
    </w:p>
    <w:p w14:paraId="68F26DE3" w14:textId="77777777" w:rsidR="003F10B6" w:rsidRDefault="003F10B6" w:rsidP="009D74C8">
      <w:pPr>
        <w:pStyle w:val="NormalWeb"/>
        <w:jc w:val="both"/>
      </w:pPr>
    </w:p>
    <w:p w14:paraId="62DEAD7F" w14:textId="685474B8" w:rsidR="003E2C3E" w:rsidRPr="00A00200" w:rsidRDefault="00967795" w:rsidP="009D74C8">
      <w:pPr>
        <w:pStyle w:val="NormalWeb"/>
        <w:jc w:val="both"/>
      </w:pPr>
      <w:r>
        <w:lastRenderedPageBreak/>
        <w:t>The Potassium (K) anomaly map</w:t>
      </w:r>
      <w:r w:rsidR="003E2C3E">
        <w:t xml:space="preserve"> reveals significant spatial variation in potassium concentration across the study area, with values ranging from low (&lt;0.5%) to relatively high (&gt;2.0%). Potassium distribution in crystalline basement terrains is primarily controlled by lithology, mineral composition, and secondary processes such as hydrothermal alteration and weathering. Recent airborne gamma-ray spectrometry studies have demonstrated that potassium anomalies are particularly effective in distinguishing lithological units and identifying zones of potassic alteration associated with mineralization processes (Adeyemi et al., 2025). Higher potassium values observed in the central and northern portions of the study area are associated with felsic lithologies such as granite gneiss and related units.  These rocks are typically enriched in potassium due to the presence of K-bearing minerals like feldspar and mica. According to recent radiometric investigations, such elevated potassium signatures often indicate either primary felsic compositions or secondary enrichment through hydrothermal processes that introduce or redistribute potassium within the rock mass (</w:t>
      </w:r>
      <w:proofErr w:type="spellStart"/>
      <w:r w:rsidR="003E2C3E">
        <w:t>Ohaegbuchu</w:t>
      </w:r>
      <w:proofErr w:type="spellEnd"/>
      <w:r w:rsidR="003E2C3E">
        <w:t xml:space="preserve"> et al., 2025). Conversely, the southern and western parts of the study area exhibit relatively low potassium concentrations, which may be attributed to mafic or intermediate lithologies, or to intense weathering and leaching processes that reduce surface radioelement concentrations. Recent studies have also shown that weathering and regolith development can significantly attenuate gamma-ray signals, thereby lowering the apparent potassium values in radiometric datasets (Adeyemi et al., 2025)</w:t>
      </w:r>
      <w:r>
        <w:t xml:space="preserve"> </w:t>
      </w:r>
      <w:r w:rsidRPr="00967795">
        <w:rPr>
          <w:b/>
        </w:rPr>
        <w:t>(Fig</w:t>
      </w:r>
      <w:r w:rsidR="003E2C3E" w:rsidRPr="00967795">
        <w:rPr>
          <w:b/>
        </w:rPr>
        <w:t>.</w:t>
      </w:r>
      <w:r w:rsidRPr="00967795">
        <w:rPr>
          <w:b/>
        </w:rPr>
        <w:t xml:space="preserve"> 12)</w:t>
      </w:r>
    </w:p>
    <w:p w14:paraId="0C33ECEF" w14:textId="38BA53C8" w:rsidR="008F0D48" w:rsidRDefault="00C80DDC" w:rsidP="009D74C8">
      <w:pPr>
        <w:pStyle w:val="NormalWeb"/>
        <w:jc w:val="both"/>
      </w:pPr>
      <w:r>
        <w:rPr>
          <w:noProof/>
        </w:rPr>
        <mc:AlternateContent>
          <mc:Choice Requires="wps">
            <w:drawing>
              <wp:anchor distT="0" distB="0" distL="114300" distR="114300" simplePos="0" relativeHeight="251684864" behindDoc="0" locked="0" layoutInCell="1" allowOverlap="1" wp14:anchorId="73B3CCA3" wp14:editId="53BE6C92">
                <wp:simplePos x="0" y="0"/>
                <wp:positionH relativeFrom="column">
                  <wp:posOffset>-304800</wp:posOffset>
                </wp:positionH>
                <wp:positionV relativeFrom="paragraph">
                  <wp:posOffset>3967480</wp:posOffset>
                </wp:positionV>
                <wp:extent cx="7327900" cy="869950"/>
                <wp:effectExtent l="0" t="0" r="0" b="6350"/>
                <wp:wrapNone/>
                <wp:docPr id="50" name="Text Box 50"/>
                <wp:cNvGraphicFramePr/>
                <a:graphic xmlns:a="http://schemas.openxmlformats.org/drawingml/2006/main">
                  <a:graphicData uri="http://schemas.microsoft.com/office/word/2010/wordprocessingShape">
                    <wps:wsp>
                      <wps:cNvSpPr txBox="1"/>
                      <wps:spPr>
                        <a:xfrm>
                          <a:off x="0" y="0"/>
                          <a:ext cx="7327900" cy="869950"/>
                        </a:xfrm>
                        <a:prstGeom prst="rect">
                          <a:avLst/>
                        </a:prstGeom>
                        <a:noFill/>
                        <a:ln w="6350">
                          <a:noFill/>
                        </a:ln>
                      </wps:spPr>
                      <wps:txbx>
                        <w:txbxContent>
                          <w:p w14:paraId="1E120517" w14:textId="77777777" w:rsidR="00C80DDC" w:rsidRDefault="00C80DDC" w:rsidP="00C80DDC">
                            <w:pPr>
                              <w:jc w:val="both"/>
                              <w:rPr>
                                <w:rFonts w:ascii="Times New Roman" w:hAnsi="Times New Roman" w:cs="Times New Roman"/>
                                <w:sz w:val="24"/>
                                <w:szCs w:val="24"/>
                              </w:rPr>
                            </w:pPr>
                            <w:r>
                              <w:rPr>
                                <w:rFonts w:ascii="Times New Roman" w:hAnsi="Times New Roman" w:cs="Times New Roman"/>
                                <w:b/>
                                <w:sz w:val="24"/>
                                <w:szCs w:val="24"/>
                              </w:rPr>
                              <w:t>Figure</w:t>
                            </w:r>
                            <w:r w:rsidRPr="00D77233">
                              <w:rPr>
                                <w:rFonts w:ascii="Times New Roman" w:hAnsi="Times New Roman" w:cs="Times New Roman"/>
                                <w:b/>
                                <w:sz w:val="24"/>
                                <w:szCs w:val="24"/>
                              </w:rPr>
                              <w:t xml:space="preserve"> 13</w:t>
                            </w:r>
                            <w:r w:rsidRPr="00D77233">
                              <w:rPr>
                                <w:rFonts w:ascii="Times New Roman" w:hAnsi="Times New Roman" w:cs="Times New Roman"/>
                                <w:sz w:val="24"/>
                                <w:szCs w:val="24"/>
                              </w:rPr>
                              <w:t>: Thorium anomaly map of the study area showing the spatial distribution of thorium radiometric signatures. The map highlights variations in thorium concentration associated with different lithological units and structural controls. It provides useful indicators for delineating felsic rocks and potential zones of crustal enrichment.</w:t>
                            </w:r>
                          </w:p>
                          <w:p w14:paraId="345A0691" w14:textId="77777777" w:rsidR="00B06387" w:rsidRPr="00D77233" w:rsidRDefault="00B06387" w:rsidP="00C80DDC">
                            <w:pPr>
                              <w:jc w:val="both"/>
                              <w:rPr>
                                <w:rFonts w:ascii="Times New Roman" w:hAnsi="Times New Roman" w:cs="Times New Roman"/>
                                <w:sz w:val="24"/>
                                <w:szCs w:val="24"/>
                              </w:rPr>
                            </w:pPr>
                          </w:p>
                          <w:p w14:paraId="7CBABFE4" w14:textId="77777777" w:rsidR="00A12232" w:rsidRDefault="00A122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3CCA3" id="Text Box 50" o:spid="_x0000_s1033" type="#_x0000_t202" style="position:absolute;left:0;text-align:left;margin-left:-24pt;margin-top:312.4pt;width:577pt;height:6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" filled="f" stroked="f" strokeweight=".5pt">
                <v:textbox>
                  <w:txbxContent>
                    <w:p w14:paraId="1E120517" w14:textId="77777777" w:rsidR="00C80DDC" w:rsidRDefault="00C80DDC" w:rsidP="00C80DDC">
                      <w:pPr>
                        <w:jc w:val="both"/>
                        <w:rPr>
                          <w:rFonts w:ascii="Times New Roman" w:hAnsi="Times New Roman" w:cs="Times New Roman"/>
                          <w:sz w:val="24"/>
                          <w:szCs w:val="24"/>
                        </w:rPr>
                      </w:pPr>
                      <w:r>
                        <w:rPr>
                          <w:rFonts w:ascii="Times New Roman" w:hAnsi="Times New Roman" w:cs="Times New Roman"/>
                          <w:b/>
                          <w:sz w:val="24"/>
                          <w:szCs w:val="24"/>
                        </w:rPr>
                        <w:t>Figure</w:t>
                      </w:r>
                      <w:r w:rsidRPr="00D77233">
                        <w:rPr>
                          <w:rFonts w:ascii="Times New Roman" w:hAnsi="Times New Roman" w:cs="Times New Roman"/>
                          <w:b/>
                          <w:sz w:val="24"/>
                          <w:szCs w:val="24"/>
                        </w:rPr>
                        <w:t xml:space="preserve"> 13</w:t>
                      </w:r>
                      <w:r w:rsidRPr="00D77233">
                        <w:rPr>
                          <w:rFonts w:ascii="Times New Roman" w:hAnsi="Times New Roman" w:cs="Times New Roman"/>
                          <w:sz w:val="24"/>
                          <w:szCs w:val="24"/>
                        </w:rPr>
                        <w:t>: Thorium anomaly map of the study area showing the spatial distribution of thorium radiometric signatures. The map highlights variations in thorium concentration associated with different lithological units and structural controls. It provides useful indicators for delineating felsic rocks and potential zones of crustal enrichment.</w:t>
                      </w:r>
                    </w:p>
                    <w:p w14:paraId="345A0691" w14:textId="77777777" w:rsidR="00B06387" w:rsidRPr="00D77233" w:rsidRDefault="00B06387" w:rsidP="00C80DDC">
                      <w:pPr>
                        <w:jc w:val="both"/>
                        <w:rPr>
                          <w:rFonts w:ascii="Times New Roman" w:hAnsi="Times New Roman" w:cs="Times New Roman"/>
                          <w:sz w:val="24"/>
                          <w:szCs w:val="24"/>
                        </w:rPr>
                      </w:pPr>
                    </w:p>
                    <w:p w14:paraId="7CBABFE4" w14:textId="77777777" w:rsidR="00A12232" w:rsidRDefault="00A12232"/>
                  </w:txbxContent>
                </v:textbox>
              </v:shape>
            </w:pict>
          </mc:Fallback>
        </mc:AlternateContent>
      </w:r>
      <w:r w:rsidR="003E2C3E">
        <w:rPr>
          <w:noProof/>
        </w:rPr>
        <w:t xml:space="preserve">                                    </w:t>
      </w:r>
      <w:r w:rsidR="008F0D48">
        <w:rPr>
          <w:noProof/>
        </w:rPr>
        <w:t xml:space="preserve">        </w:t>
      </w:r>
      <w:r w:rsidR="008F0D48">
        <w:rPr>
          <w:noProof/>
        </w:rPr>
        <w:drawing>
          <wp:inline distT="0" distB="0" distL="0" distR="0" wp14:anchorId="1C1FD4D0" wp14:editId="33BADA35">
            <wp:extent cx="2343150" cy="3866198"/>
            <wp:effectExtent l="0" t="0" r="0" b="1270"/>
            <wp:docPr id="13" name="Picture 13" descr="C:\Users\HP\Desktop\MR ADELEKE PAPER\Adeleke Radiometric Result\Radiometric Result\Thra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MR ADELEKE PAPER\Adeleke Radiometric Result\Radiometric Result\Thrad.g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45254" cy="3869670"/>
                    </a:xfrm>
                    <a:prstGeom prst="rect">
                      <a:avLst/>
                    </a:prstGeom>
                    <a:noFill/>
                    <a:ln>
                      <a:noFill/>
                    </a:ln>
                  </pic:spPr>
                </pic:pic>
              </a:graphicData>
            </a:graphic>
          </wp:inline>
        </w:drawing>
      </w:r>
    </w:p>
    <w:p w14:paraId="13B2BB21" w14:textId="2571E515" w:rsidR="003E2C3E" w:rsidRDefault="003E2C3E" w:rsidP="009D74C8">
      <w:pPr>
        <w:pStyle w:val="NormalWeb"/>
        <w:jc w:val="both"/>
        <w:rPr>
          <w:noProof/>
        </w:rPr>
      </w:pPr>
    </w:p>
    <w:p w14:paraId="3D4BB42C" w14:textId="630A29AC" w:rsidR="005B6BE7" w:rsidRDefault="005B6BE7" w:rsidP="009D74C8">
      <w:pPr>
        <w:pStyle w:val="NormalWeb"/>
        <w:jc w:val="both"/>
      </w:pPr>
    </w:p>
    <w:p w14:paraId="3564D2E4" w14:textId="1C71ACA6" w:rsidR="003E2C3E" w:rsidRPr="00967795" w:rsidRDefault="003E2C3E" w:rsidP="009D74C8">
      <w:pPr>
        <w:pStyle w:val="NormalWeb"/>
        <w:jc w:val="both"/>
        <w:rPr>
          <w:b/>
        </w:rPr>
      </w:pPr>
      <w:r>
        <w:t xml:space="preserve">The Thorium (Th) anomaly map shows concentrations ranging from &lt;10 ppm to &gt;40 ppm across the study area. Thorium, being an immobile and incompatible element, is typically enriched in felsic rocks and serves as a reliable indicator for lithological discrimination in radiometric studies (Adeyemi et al., 2025). High thorium values (&gt;30 </w:t>
      </w:r>
      <w:r>
        <w:lastRenderedPageBreak/>
        <w:t xml:space="preserve">ppm) occur mainly in the northern and central parts, particularly around the </w:t>
      </w:r>
      <w:proofErr w:type="spellStart"/>
      <w:r>
        <w:t>Itapaji</w:t>
      </w:r>
      <w:proofErr w:type="spellEnd"/>
      <w:r>
        <w:t xml:space="preserve"> axis, corresponding to the Granite Gneiss (GG) and Granodiorite (</w:t>
      </w:r>
      <w:proofErr w:type="spellStart"/>
      <w:r>
        <w:t>OGd</w:t>
      </w:r>
      <w:proofErr w:type="spellEnd"/>
      <w:r>
        <w:t>) units. This reflects enrichment in accessory minerals such as zircon and monazite, which host thorium in felsic rocks (</w:t>
      </w:r>
      <w:proofErr w:type="spellStart"/>
      <w:r>
        <w:t>Ohaegbuchu</w:t>
      </w:r>
      <w:proofErr w:type="spellEnd"/>
      <w:r>
        <w:t xml:space="preserve"> et al., 2025). In contrast, the southern region (</w:t>
      </w:r>
      <w:proofErr w:type="spellStart"/>
      <w:r>
        <w:t>Odo</w:t>
      </w:r>
      <w:proofErr w:type="spellEnd"/>
      <w:r>
        <w:t xml:space="preserve"> Oro–</w:t>
      </w:r>
      <w:proofErr w:type="spellStart"/>
      <w:r>
        <w:t>Ikole</w:t>
      </w:r>
      <w:proofErr w:type="spellEnd"/>
      <w:r>
        <w:t>) shows lower values (&lt;20 ppm), associated with the Migmatite (Mg) unit, likely reflecting more mafic or metasedimentary components with fewer thorium-bearing minerals (Adeyemi et al., 2025). The strong contrast between high and low thorium zones provides clear lithological boundaries. Due to its immobility, thorium is particularly useful for distinguishing primary rock variations</w:t>
      </w:r>
      <w:r w:rsidR="00EA66D2">
        <w:t xml:space="preserve"> and, when compared with potassium data, </w:t>
      </w:r>
      <w:r>
        <w:t>helps identify true hydrothermal alteration zones (</w:t>
      </w:r>
      <w:proofErr w:type="spellStart"/>
      <w:r>
        <w:t>Ohaegbuchu</w:t>
      </w:r>
      <w:proofErr w:type="spellEnd"/>
      <w:r>
        <w:t xml:space="preserve"> et al., 2025)</w:t>
      </w:r>
      <w:r w:rsidR="00967795">
        <w:t xml:space="preserve"> </w:t>
      </w:r>
      <w:r w:rsidR="00967795" w:rsidRPr="00967795">
        <w:rPr>
          <w:b/>
        </w:rPr>
        <w:t>(Fig. 13)</w:t>
      </w:r>
      <w:r w:rsidRPr="00967795">
        <w:rPr>
          <w:b/>
        </w:rPr>
        <w:t>.</w:t>
      </w:r>
    </w:p>
    <w:p w14:paraId="77FB3989" w14:textId="77777777" w:rsidR="00297C01" w:rsidRPr="00297C01" w:rsidRDefault="00297C01" w:rsidP="009D74C8">
      <w:pPr>
        <w:pStyle w:val="NormalWeb"/>
        <w:jc w:val="both"/>
        <w:rPr>
          <w:b/>
        </w:rPr>
      </w:pPr>
    </w:p>
    <w:p w14:paraId="0016F3C2" w14:textId="47586690" w:rsidR="00EA66D2" w:rsidRDefault="0002241B" w:rsidP="009D74C8">
      <w:pPr>
        <w:pStyle w:val="NormalWeb"/>
        <w:jc w:val="both"/>
      </w:pPr>
      <w:r>
        <w:rPr>
          <w:noProof/>
        </w:rPr>
        <mc:AlternateContent>
          <mc:Choice Requires="wps">
            <w:drawing>
              <wp:anchor distT="0" distB="0" distL="114300" distR="114300" simplePos="0" relativeHeight="251673600" behindDoc="0" locked="0" layoutInCell="1" allowOverlap="1" wp14:anchorId="023AB869" wp14:editId="1AAC7E42">
                <wp:simplePos x="0" y="0"/>
                <wp:positionH relativeFrom="column">
                  <wp:posOffset>-368300</wp:posOffset>
                </wp:positionH>
                <wp:positionV relativeFrom="paragraph">
                  <wp:posOffset>4678680</wp:posOffset>
                </wp:positionV>
                <wp:extent cx="7581900" cy="679450"/>
                <wp:effectExtent l="0" t="0" r="0" b="6350"/>
                <wp:wrapNone/>
                <wp:docPr id="32" name="Text Box 32"/>
                <wp:cNvGraphicFramePr/>
                <a:graphic xmlns:a="http://schemas.openxmlformats.org/drawingml/2006/main">
                  <a:graphicData uri="http://schemas.microsoft.com/office/word/2010/wordprocessingShape">
                    <wps:wsp>
                      <wps:cNvSpPr txBox="1"/>
                      <wps:spPr>
                        <a:xfrm>
                          <a:off x="0" y="0"/>
                          <a:ext cx="7581900" cy="679450"/>
                        </a:xfrm>
                        <a:prstGeom prst="rect">
                          <a:avLst/>
                        </a:prstGeom>
                        <a:noFill/>
                        <a:ln w="6350">
                          <a:noFill/>
                        </a:ln>
                      </wps:spPr>
                      <wps:txbx>
                        <w:txbxContent>
                          <w:p w14:paraId="46EE406B" w14:textId="77777777" w:rsidR="00291608" w:rsidRDefault="00291608" w:rsidP="00924020">
                            <w:pPr>
                              <w:pStyle w:val="NormalWeb"/>
                              <w:jc w:val="both"/>
                            </w:pPr>
                            <w:r w:rsidRPr="00924020">
                              <w:rPr>
                                <w:b/>
                              </w:rPr>
                              <w:t>Fig. 14:</w:t>
                            </w:r>
                            <w:r>
                              <w:t xml:space="preserve"> Uranium anomaly map of the study area depicting the spatial distribution of uranium radiometric signatures.</w:t>
                            </w:r>
                            <w:r>
                              <w:br/>
                              <w:t>The map highlights variations in uranium concentration linked to lithological differences and structural features.</w:t>
                            </w:r>
                            <w:r>
                              <w:br/>
                              <w:t>It serves as an important tool for identifying zones of radiometric enrichment and potential mineralization.</w:t>
                            </w:r>
                          </w:p>
                          <w:p w14:paraId="3D2A10F4" w14:textId="77777777" w:rsidR="00291608" w:rsidRDefault="002916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AB869" id="Text Box 32" o:spid="_x0000_s1034" type="#_x0000_t202" style="position:absolute;left:0;text-align:left;margin-left:-29pt;margin-top:368.4pt;width:597pt;height:5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" filled="f" stroked="f" strokeweight=".5pt">
                <v:textbox>
                  <w:txbxContent>
                    <w:p w14:paraId="46EE406B" w14:textId="77777777" w:rsidR="00291608" w:rsidRDefault="00291608" w:rsidP="00924020">
                      <w:pPr>
                        <w:pStyle w:val="NormalWeb"/>
                        <w:jc w:val="both"/>
                      </w:pPr>
                      <w:r w:rsidRPr="00924020">
                        <w:rPr>
                          <w:b/>
                        </w:rPr>
                        <w:t>Fig. 14:</w:t>
                      </w:r>
                      <w:r>
                        <w:t xml:space="preserve"> Uranium anomaly map of the study area depicting the spatial distribution of uranium radiometric signatures.</w:t>
                      </w:r>
                      <w:r>
                        <w:br/>
                        <w:t>The map highlights variations in uranium concentration linked to lithological differences and structural features.</w:t>
                      </w:r>
                      <w:r>
                        <w:br/>
                        <w:t>It serves as an important tool for identifying zones of radiometric enrichment and potential mineralization.</w:t>
                      </w:r>
                    </w:p>
                    <w:p w14:paraId="3D2A10F4" w14:textId="77777777" w:rsidR="00291608" w:rsidRDefault="00291608"/>
                  </w:txbxContent>
                </v:textbox>
              </v:shape>
            </w:pict>
          </mc:Fallback>
        </mc:AlternateContent>
      </w:r>
      <w:r w:rsidR="00297C01">
        <w:rPr>
          <w:noProof/>
        </w:rPr>
        <w:t xml:space="preserve">             </w:t>
      </w:r>
      <w:r w:rsidR="007A07C6">
        <w:rPr>
          <w:noProof/>
        </w:rPr>
        <w:t xml:space="preserve">                  </w:t>
      </w:r>
      <w:r>
        <w:rPr>
          <w:noProof/>
        </w:rPr>
        <w:t xml:space="preserve">   </w:t>
      </w:r>
      <w:r w:rsidR="00B717AB">
        <w:rPr>
          <w:noProof/>
        </w:rPr>
        <w:t xml:space="preserve">          </w:t>
      </w:r>
      <w:r w:rsidR="00EA66D2">
        <w:rPr>
          <w:noProof/>
        </w:rPr>
        <w:drawing>
          <wp:inline distT="0" distB="0" distL="0" distR="0" wp14:anchorId="0DFB6323" wp14:editId="72ABDFB2">
            <wp:extent cx="2705100" cy="4490471"/>
            <wp:effectExtent l="0" t="0" r="0" b="5715"/>
            <wp:docPr id="25" name="Picture 25" descr="C:\Users\HP\Desktop\MR ADELEKE PAPER\Adeleke Radiometric Result\Radiometric Result\Ura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Desktop\MR ADELEKE PAPER\Adeleke Radiometric Result\Radiometric Result\Urad.g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06086" cy="4492107"/>
                    </a:xfrm>
                    <a:prstGeom prst="rect">
                      <a:avLst/>
                    </a:prstGeom>
                    <a:noFill/>
                    <a:ln>
                      <a:noFill/>
                    </a:ln>
                  </pic:spPr>
                </pic:pic>
              </a:graphicData>
            </a:graphic>
          </wp:inline>
        </w:drawing>
      </w:r>
    </w:p>
    <w:p w14:paraId="7BDB3AA5" w14:textId="3B92E7BB" w:rsidR="00297C01" w:rsidRDefault="00297C01" w:rsidP="009D74C8">
      <w:pPr>
        <w:pStyle w:val="NormalWeb"/>
        <w:jc w:val="both"/>
        <w:rPr>
          <w:noProof/>
        </w:rPr>
      </w:pPr>
      <w:r>
        <w:rPr>
          <w:noProof/>
        </w:rPr>
        <w:t xml:space="preserve">                                </w:t>
      </w:r>
    </w:p>
    <w:p w14:paraId="2465D224" w14:textId="21CC174A" w:rsidR="00297C01" w:rsidRDefault="00297C01" w:rsidP="009D74C8">
      <w:pPr>
        <w:pStyle w:val="NormalWeb"/>
        <w:jc w:val="both"/>
      </w:pPr>
    </w:p>
    <w:p w14:paraId="10181E0D" w14:textId="216745BD" w:rsidR="00EF5B05" w:rsidRDefault="00EF5B05" w:rsidP="009D74C8">
      <w:pPr>
        <w:pStyle w:val="NormalWeb"/>
        <w:jc w:val="both"/>
      </w:pPr>
      <w:r>
        <w:t xml:space="preserve">The Uranium (U) anomaly map shows uranium concentrations ranging from &lt;2 ppm to &gt;9 ppm across the study area. Uranium is </w:t>
      </w:r>
      <w:r w:rsidR="00EA66D2">
        <w:t>highly mobile under</w:t>
      </w:r>
      <w:r>
        <w:t xml:space="preserve"> oxidizing conditions, making it particularly useful for identifying zones of fluid migration and structural control in radiometric surveys (Adeyemi et al., 2025). High uranium concentrations (&gt;6 ppm) are concentrated in the northern and central parts of the study area, especially around </w:t>
      </w:r>
      <w:proofErr w:type="spellStart"/>
      <w:r>
        <w:t>Itapaji</w:t>
      </w:r>
      <w:proofErr w:type="spellEnd"/>
      <w:r>
        <w:t>, where they correspond to the Granite Gneiss (GG) and Granodiorite (</w:t>
      </w:r>
      <w:proofErr w:type="spellStart"/>
      <w:r>
        <w:t>OGd</w:t>
      </w:r>
      <w:proofErr w:type="spellEnd"/>
      <w:r>
        <w:t xml:space="preserve">) units. This enrichment reflects the tendency of </w:t>
      </w:r>
      <w:r>
        <w:lastRenderedPageBreak/>
        <w:t>uranium to concentrate in felsic rocks during late-stage magmatic processes and within accessory minerals such as zircon and apatite (</w:t>
      </w:r>
      <w:proofErr w:type="spellStart"/>
      <w:r>
        <w:t>Ohaegbuchu</w:t>
      </w:r>
      <w:proofErr w:type="spellEnd"/>
      <w:r>
        <w:t xml:space="preserve"> et al., 2025). In contrast, the southern area around </w:t>
      </w:r>
      <w:proofErr w:type="spellStart"/>
      <w:r>
        <w:t>Odo</w:t>
      </w:r>
      <w:proofErr w:type="spellEnd"/>
      <w:r>
        <w:t xml:space="preserve"> Oro and </w:t>
      </w:r>
      <w:proofErr w:type="spellStart"/>
      <w:r>
        <w:t>Ikole</w:t>
      </w:r>
      <w:proofErr w:type="spellEnd"/>
      <w:r>
        <w:t xml:space="preserve"> exhibits low uranium values (&lt;3 ppm), associated with the Migmatite (Mg) unit. These lower values are consistent with mafic or metasedimentary compositions and possible uranium leaching under oxidizing surface conditions (Adeyemi et al., 2025). Structurally, elevated uranium values align with E–W and ENE–WSW trending lineaments, indicating that fault systems likely acted as conduits for uranium-bearing fluids. This behavior highlights uranium’s mobility and its sensitivity to structural pathways. When compared with thorium and potassium maps, uranium data provide valuable insight into distinguishing primary lithological signatures from secondary hydrothermal and structural controls (</w:t>
      </w:r>
      <w:proofErr w:type="spellStart"/>
      <w:r>
        <w:t>Ohaegbuchu</w:t>
      </w:r>
      <w:proofErr w:type="spellEnd"/>
      <w:r>
        <w:t xml:space="preserve"> et al., 2025) (</w:t>
      </w:r>
      <w:r w:rsidRPr="003B3A1D">
        <w:rPr>
          <w:b/>
        </w:rPr>
        <w:t>Fig. 14).</w:t>
      </w:r>
    </w:p>
    <w:p w14:paraId="08459A97" w14:textId="77777777" w:rsidR="00EF5B05" w:rsidRDefault="00EF5B05" w:rsidP="009D74C8">
      <w:pPr>
        <w:pStyle w:val="NormalWeb"/>
        <w:jc w:val="both"/>
      </w:pPr>
      <w:r>
        <w:rPr>
          <w:noProof/>
        </w:rPr>
        <w:t xml:space="preserve">                 </w:t>
      </w:r>
    </w:p>
    <w:p w14:paraId="6B3D87A7" w14:textId="7C5420C5" w:rsidR="00695094" w:rsidRDefault="00EF5B05" w:rsidP="009D74C8">
      <w:pPr>
        <w:pStyle w:val="NormalWeb"/>
        <w:jc w:val="both"/>
      </w:pPr>
      <w:r>
        <w:rPr>
          <w:noProof/>
        </w:rPr>
        <w:t xml:space="preserve">                 </w:t>
      </w:r>
      <w:r w:rsidR="00695094">
        <w:rPr>
          <w:noProof/>
        </w:rPr>
        <w:t xml:space="preserve">                           </w:t>
      </w:r>
      <w:r w:rsidR="00695094">
        <w:rPr>
          <w:noProof/>
        </w:rPr>
        <w:drawing>
          <wp:inline distT="0" distB="0" distL="0" distR="0" wp14:anchorId="7F228B0E" wp14:editId="774AD724">
            <wp:extent cx="2914650" cy="4841283"/>
            <wp:effectExtent l="0" t="0" r="0" b="0"/>
            <wp:docPr id="21" name="Picture 21" descr="C:\Users\HP\Desktop\MR ADELEKE PAPER\Adeleke Radiometric Result\Radiometric Result\K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esktop\MR ADELEKE PAPER\Adeleke Radiometric Result\Radiometric Result\KD.g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18288" cy="4847325"/>
                    </a:xfrm>
                    <a:prstGeom prst="rect">
                      <a:avLst/>
                    </a:prstGeom>
                    <a:noFill/>
                    <a:ln>
                      <a:noFill/>
                    </a:ln>
                  </pic:spPr>
                </pic:pic>
              </a:graphicData>
            </a:graphic>
          </wp:inline>
        </w:drawing>
      </w:r>
    </w:p>
    <w:p w14:paraId="7ACDB2EC" w14:textId="485EF5BA" w:rsidR="00EF5B05" w:rsidRDefault="00EF5B05" w:rsidP="009D74C8">
      <w:pPr>
        <w:jc w:val="both"/>
        <w:rPr>
          <w:rFonts w:ascii="Times New Roman" w:hAnsi="Times New Roman" w:cs="Times New Roman"/>
          <w:sz w:val="24"/>
          <w:szCs w:val="24"/>
        </w:rPr>
      </w:pPr>
      <w:r w:rsidRPr="00731A94">
        <w:rPr>
          <w:rFonts w:ascii="Times New Roman" w:hAnsi="Times New Roman" w:cs="Times New Roman"/>
          <w:b/>
          <w:sz w:val="24"/>
          <w:szCs w:val="24"/>
        </w:rPr>
        <w:t>Fig. 15</w:t>
      </w:r>
      <w:r w:rsidRPr="00924020">
        <w:rPr>
          <w:rFonts w:ascii="Times New Roman" w:hAnsi="Times New Roman" w:cs="Times New Roman"/>
          <w:sz w:val="24"/>
          <w:szCs w:val="24"/>
        </w:rPr>
        <w:t>: Potassium deviation map of the study area showing departures from background potassium radiometric values. The map highlights areas of enrichment and depletion relative to regional potassium levels. It provides insight into alteration zones and structural controls affecting potassium distribution.</w:t>
      </w:r>
    </w:p>
    <w:p w14:paraId="4055F79A" w14:textId="77777777" w:rsidR="00EF5B05" w:rsidRPr="003B3A1D" w:rsidRDefault="003B3A1D" w:rsidP="009D74C8">
      <w:pPr>
        <w:pStyle w:val="NormalWeb"/>
        <w:jc w:val="both"/>
        <w:rPr>
          <w:b/>
        </w:rPr>
      </w:pPr>
      <w:r>
        <w:t xml:space="preserve">The Potassium Deviation map expressed as the </w:t>
      </w:r>
      <w:r>
        <w:rPr>
          <w:rStyle w:val="katex-mathml"/>
        </w:rPr>
        <w:t xml:space="preserve">K%/Th </w:t>
      </w:r>
      <w:r>
        <w:t xml:space="preserve">ratio, highlights zones of potassium enrichment by minimizing lithological background effects. Since thorium is largely immobile during alteration while potassium is </w:t>
      </w:r>
      <w:r>
        <w:lastRenderedPageBreak/>
        <w:t xml:space="preserve">mobile, elevated ratio values indicate areas of potassium addition due to hydrothermal processes (Adeyemi et al., 2025). The map shows ratio values ranging from &lt;0.03 to &gt;0.15, with high anomalies (red–magenta) concentrated in the central and northern parts, particularly around </w:t>
      </w:r>
      <w:proofErr w:type="spellStart"/>
      <w:r>
        <w:t>Itapaji</w:t>
      </w:r>
      <w:proofErr w:type="spellEnd"/>
      <w:r>
        <w:t xml:space="preserve"> extending toward </w:t>
      </w:r>
      <w:proofErr w:type="spellStart"/>
      <w:r>
        <w:t>Bolorunduro</w:t>
      </w:r>
      <w:proofErr w:type="spellEnd"/>
      <w:r>
        <w:t xml:space="preserve">. These anomalies represent zones of true potassium metasomatism, where hydrothermal fluids have altered the host rocks through processes such as </w:t>
      </w:r>
      <w:proofErr w:type="spellStart"/>
      <w:r>
        <w:t>sericitization</w:t>
      </w:r>
      <w:proofErr w:type="spellEnd"/>
      <w:r>
        <w:t xml:space="preserve"> and secondary K-feldspar formation (</w:t>
      </w:r>
      <w:proofErr w:type="spellStart"/>
      <w:r>
        <w:t>Ohaegbuchu</w:t>
      </w:r>
      <w:proofErr w:type="spellEnd"/>
      <w:r>
        <w:t xml:space="preserve"> et al., 2025). In contrast, the southern region around </w:t>
      </w:r>
      <w:proofErr w:type="spellStart"/>
      <w:r>
        <w:t>Odo</w:t>
      </w:r>
      <w:proofErr w:type="spellEnd"/>
      <w:r>
        <w:t xml:space="preserve"> Oro and </w:t>
      </w:r>
      <w:proofErr w:type="spellStart"/>
      <w:r>
        <w:t>Ikole</w:t>
      </w:r>
      <w:proofErr w:type="spellEnd"/>
      <w:r>
        <w:t xml:space="preserve"> displays consistently low ratio values (&lt;0.03), indicating minimal potassium enrichment. These values reflect background lithological characteristics of the Migmatite (Mg) unit and suggest limited influence of hydrothermal fluid activity (Adeyemi et al., 2025). The spatial alignment of high-ratio anomalies along E–W to ENE–WSW trends further indicates structural control, suggesting that fault systems acted as pathways for potassium-rich hydrothermal fluids. Such structurally controlled anomalies, especially where they coincide with other geophysical indicators, represent key targets for mineral exploration in basement terrains (</w:t>
      </w:r>
      <w:proofErr w:type="spellStart"/>
      <w:r>
        <w:t>Ohaegbuchu</w:t>
      </w:r>
      <w:proofErr w:type="spellEnd"/>
      <w:r>
        <w:t xml:space="preserve"> et al., 2025) </w:t>
      </w:r>
      <w:r w:rsidRPr="003B3A1D">
        <w:rPr>
          <w:b/>
        </w:rPr>
        <w:t>(Fig. 15).</w:t>
      </w:r>
    </w:p>
    <w:p w14:paraId="58CE1987" w14:textId="0087E298" w:rsidR="003A572B" w:rsidRDefault="00002F89" w:rsidP="009D74C8">
      <w:pPr>
        <w:pStyle w:val="NormalWeb"/>
        <w:jc w:val="both"/>
      </w:pPr>
      <w:r>
        <w:rPr>
          <w:noProof/>
        </w:rPr>
        <mc:AlternateContent>
          <mc:Choice Requires="wps">
            <w:drawing>
              <wp:anchor distT="0" distB="0" distL="114300" distR="114300" simplePos="0" relativeHeight="251675648" behindDoc="0" locked="0" layoutInCell="1" allowOverlap="1" wp14:anchorId="36476CCF" wp14:editId="556A9B83">
                <wp:simplePos x="0" y="0"/>
                <wp:positionH relativeFrom="column">
                  <wp:posOffset>-311150</wp:posOffset>
                </wp:positionH>
                <wp:positionV relativeFrom="paragraph">
                  <wp:posOffset>4385310</wp:posOffset>
                </wp:positionV>
                <wp:extent cx="7473950" cy="74295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7473950" cy="742950"/>
                        </a:xfrm>
                        <a:prstGeom prst="rect">
                          <a:avLst/>
                        </a:prstGeom>
                        <a:noFill/>
                        <a:ln w="6350">
                          <a:noFill/>
                        </a:ln>
                      </wps:spPr>
                      <wps:txbx>
                        <w:txbxContent>
                          <w:p w14:paraId="542423AF" w14:textId="77777777" w:rsidR="00291608" w:rsidRDefault="00291608" w:rsidP="00924020">
                            <w:pPr>
                              <w:jc w:val="both"/>
                              <w:rPr>
                                <w:rFonts w:ascii="Times New Roman" w:hAnsi="Times New Roman" w:cs="Times New Roman"/>
                                <w:sz w:val="24"/>
                                <w:szCs w:val="24"/>
                              </w:rPr>
                            </w:pPr>
                            <w:r>
                              <w:rPr>
                                <w:rFonts w:ascii="Times New Roman" w:hAnsi="Times New Roman" w:cs="Times New Roman"/>
                                <w:b/>
                                <w:sz w:val="24"/>
                                <w:szCs w:val="24"/>
                              </w:rPr>
                              <w:t>Figure</w:t>
                            </w:r>
                            <w:r w:rsidRPr="00924020">
                              <w:rPr>
                                <w:rFonts w:ascii="Times New Roman" w:hAnsi="Times New Roman" w:cs="Times New Roman"/>
                                <w:b/>
                                <w:sz w:val="24"/>
                                <w:szCs w:val="24"/>
                              </w:rPr>
                              <w:t xml:space="preserve"> 16</w:t>
                            </w:r>
                            <w:r w:rsidRPr="00924020">
                              <w:rPr>
                                <w:rFonts w:ascii="Times New Roman" w:hAnsi="Times New Roman" w:cs="Times New Roman"/>
                                <w:sz w:val="24"/>
                                <w:szCs w:val="24"/>
                              </w:rPr>
                              <w:t>: Ternary radiometric diagram illustrating the relative proportions of potassium, thorium, and uranium in the study area. The diagram aids in lithological discrimination and identification of radiometric anomalies associated with mineralization.</w:t>
                            </w:r>
                          </w:p>
                          <w:p w14:paraId="0979D91A" w14:textId="77777777" w:rsidR="00291608" w:rsidRDefault="00291608" w:rsidP="00924020">
                            <w:pPr>
                              <w:jc w:val="both"/>
                              <w:rPr>
                                <w:rFonts w:ascii="Times New Roman" w:hAnsi="Times New Roman" w:cs="Times New Roman"/>
                                <w:sz w:val="24"/>
                                <w:szCs w:val="24"/>
                              </w:rPr>
                            </w:pPr>
                          </w:p>
                          <w:p w14:paraId="228A7CD5" w14:textId="77777777" w:rsidR="00291608" w:rsidRDefault="00291608" w:rsidP="00924020">
                            <w:pPr>
                              <w:jc w:val="both"/>
                              <w:rPr>
                                <w:rFonts w:ascii="Times New Roman" w:hAnsi="Times New Roman" w:cs="Times New Roman"/>
                                <w:sz w:val="24"/>
                                <w:szCs w:val="24"/>
                              </w:rPr>
                            </w:pPr>
                          </w:p>
                          <w:p w14:paraId="35E3CEAC" w14:textId="77777777" w:rsidR="00291608" w:rsidRDefault="00291608" w:rsidP="00924020">
                            <w:pPr>
                              <w:jc w:val="both"/>
                              <w:rPr>
                                <w:rFonts w:ascii="Times New Roman" w:hAnsi="Times New Roman" w:cs="Times New Roman"/>
                                <w:sz w:val="24"/>
                                <w:szCs w:val="24"/>
                              </w:rPr>
                            </w:pPr>
                          </w:p>
                          <w:p w14:paraId="7F7C6769" w14:textId="77777777" w:rsidR="00291608" w:rsidRDefault="00291608" w:rsidP="00924020">
                            <w:pPr>
                              <w:jc w:val="both"/>
                              <w:rPr>
                                <w:rFonts w:ascii="Times New Roman" w:hAnsi="Times New Roman" w:cs="Times New Roman"/>
                                <w:sz w:val="24"/>
                                <w:szCs w:val="24"/>
                              </w:rPr>
                            </w:pPr>
                          </w:p>
                          <w:p w14:paraId="6298198F" w14:textId="77777777" w:rsidR="00291608" w:rsidRDefault="00291608" w:rsidP="00924020">
                            <w:pPr>
                              <w:jc w:val="both"/>
                              <w:rPr>
                                <w:rFonts w:ascii="Times New Roman" w:hAnsi="Times New Roman" w:cs="Times New Roman"/>
                                <w:sz w:val="24"/>
                                <w:szCs w:val="24"/>
                              </w:rPr>
                            </w:pPr>
                          </w:p>
                          <w:p w14:paraId="00196AE1" w14:textId="77777777" w:rsidR="00291608" w:rsidRDefault="00291608" w:rsidP="00924020">
                            <w:pPr>
                              <w:jc w:val="both"/>
                              <w:rPr>
                                <w:rFonts w:ascii="Times New Roman" w:hAnsi="Times New Roman" w:cs="Times New Roman"/>
                                <w:sz w:val="24"/>
                                <w:szCs w:val="24"/>
                              </w:rPr>
                            </w:pPr>
                          </w:p>
                          <w:p w14:paraId="6A25EABD" w14:textId="77777777" w:rsidR="00291608" w:rsidRDefault="00291608" w:rsidP="00924020">
                            <w:pPr>
                              <w:jc w:val="both"/>
                              <w:rPr>
                                <w:rFonts w:ascii="Times New Roman" w:hAnsi="Times New Roman" w:cs="Times New Roman"/>
                                <w:sz w:val="24"/>
                                <w:szCs w:val="24"/>
                              </w:rPr>
                            </w:pPr>
                          </w:p>
                          <w:p w14:paraId="4BAB4CEC" w14:textId="77777777" w:rsidR="00291608" w:rsidRPr="00924020" w:rsidRDefault="00291608" w:rsidP="00924020">
                            <w:pPr>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76CCF" id="Text Box 34" o:spid="_x0000_s1035" type="#_x0000_t202" style="position:absolute;left:0;text-align:left;margin-left:-24.5pt;margin-top:345.3pt;width:588.5pt;height:5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" filled="f" stroked="f" strokeweight=".5pt">
                <v:textbox>
                  <w:txbxContent>
                    <w:p w14:paraId="542423AF" w14:textId="77777777" w:rsidR="00291608" w:rsidRDefault="00291608" w:rsidP="00924020">
                      <w:pPr>
                        <w:jc w:val="both"/>
                        <w:rPr>
                          <w:rFonts w:ascii="Times New Roman" w:hAnsi="Times New Roman" w:cs="Times New Roman"/>
                          <w:sz w:val="24"/>
                          <w:szCs w:val="24"/>
                        </w:rPr>
                      </w:pPr>
                      <w:r>
                        <w:rPr>
                          <w:rFonts w:ascii="Times New Roman" w:hAnsi="Times New Roman" w:cs="Times New Roman"/>
                          <w:b/>
                          <w:sz w:val="24"/>
                          <w:szCs w:val="24"/>
                        </w:rPr>
                        <w:t>Figure</w:t>
                      </w:r>
                      <w:r w:rsidRPr="00924020">
                        <w:rPr>
                          <w:rFonts w:ascii="Times New Roman" w:hAnsi="Times New Roman" w:cs="Times New Roman"/>
                          <w:b/>
                          <w:sz w:val="24"/>
                          <w:szCs w:val="24"/>
                        </w:rPr>
                        <w:t xml:space="preserve"> 16</w:t>
                      </w:r>
                      <w:r w:rsidRPr="00924020">
                        <w:rPr>
                          <w:rFonts w:ascii="Times New Roman" w:hAnsi="Times New Roman" w:cs="Times New Roman"/>
                          <w:sz w:val="24"/>
                          <w:szCs w:val="24"/>
                        </w:rPr>
                        <w:t>: Ternary radiometric diagram illustrating the relative proportions of potassium, thorium, and uranium in the study area. The diagram aids in lithological discrimination and identification of radiometric anomalies associated with mineralization.</w:t>
                      </w:r>
                    </w:p>
                    <w:p w14:paraId="0979D91A" w14:textId="77777777" w:rsidR="00291608" w:rsidRDefault="00291608" w:rsidP="00924020">
                      <w:pPr>
                        <w:jc w:val="both"/>
                        <w:rPr>
                          <w:rFonts w:ascii="Times New Roman" w:hAnsi="Times New Roman" w:cs="Times New Roman"/>
                          <w:sz w:val="24"/>
                          <w:szCs w:val="24"/>
                        </w:rPr>
                      </w:pPr>
                    </w:p>
                    <w:p w14:paraId="228A7CD5" w14:textId="77777777" w:rsidR="00291608" w:rsidRDefault="00291608" w:rsidP="00924020">
                      <w:pPr>
                        <w:jc w:val="both"/>
                        <w:rPr>
                          <w:rFonts w:ascii="Times New Roman" w:hAnsi="Times New Roman" w:cs="Times New Roman"/>
                          <w:sz w:val="24"/>
                          <w:szCs w:val="24"/>
                        </w:rPr>
                      </w:pPr>
                    </w:p>
                    <w:p w14:paraId="35E3CEAC" w14:textId="77777777" w:rsidR="00291608" w:rsidRDefault="00291608" w:rsidP="00924020">
                      <w:pPr>
                        <w:jc w:val="both"/>
                        <w:rPr>
                          <w:rFonts w:ascii="Times New Roman" w:hAnsi="Times New Roman" w:cs="Times New Roman"/>
                          <w:sz w:val="24"/>
                          <w:szCs w:val="24"/>
                        </w:rPr>
                      </w:pPr>
                    </w:p>
                    <w:p w14:paraId="7F7C6769" w14:textId="77777777" w:rsidR="00291608" w:rsidRDefault="00291608" w:rsidP="00924020">
                      <w:pPr>
                        <w:jc w:val="both"/>
                        <w:rPr>
                          <w:rFonts w:ascii="Times New Roman" w:hAnsi="Times New Roman" w:cs="Times New Roman"/>
                          <w:sz w:val="24"/>
                          <w:szCs w:val="24"/>
                        </w:rPr>
                      </w:pPr>
                    </w:p>
                    <w:p w14:paraId="6298198F" w14:textId="77777777" w:rsidR="00291608" w:rsidRDefault="00291608" w:rsidP="00924020">
                      <w:pPr>
                        <w:jc w:val="both"/>
                        <w:rPr>
                          <w:rFonts w:ascii="Times New Roman" w:hAnsi="Times New Roman" w:cs="Times New Roman"/>
                          <w:sz w:val="24"/>
                          <w:szCs w:val="24"/>
                        </w:rPr>
                      </w:pPr>
                    </w:p>
                    <w:p w14:paraId="00196AE1" w14:textId="77777777" w:rsidR="00291608" w:rsidRDefault="00291608" w:rsidP="00924020">
                      <w:pPr>
                        <w:jc w:val="both"/>
                        <w:rPr>
                          <w:rFonts w:ascii="Times New Roman" w:hAnsi="Times New Roman" w:cs="Times New Roman"/>
                          <w:sz w:val="24"/>
                          <w:szCs w:val="24"/>
                        </w:rPr>
                      </w:pPr>
                    </w:p>
                    <w:p w14:paraId="6A25EABD" w14:textId="77777777" w:rsidR="00291608" w:rsidRDefault="00291608" w:rsidP="00924020">
                      <w:pPr>
                        <w:jc w:val="both"/>
                        <w:rPr>
                          <w:rFonts w:ascii="Times New Roman" w:hAnsi="Times New Roman" w:cs="Times New Roman"/>
                          <w:sz w:val="24"/>
                          <w:szCs w:val="24"/>
                        </w:rPr>
                      </w:pPr>
                    </w:p>
                    <w:p w14:paraId="4BAB4CEC" w14:textId="77777777" w:rsidR="00291608" w:rsidRPr="00924020" w:rsidRDefault="00291608" w:rsidP="00924020">
                      <w:pPr>
                        <w:jc w:val="both"/>
                        <w:rPr>
                          <w:rFonts w:ascii="Times New Roman" w:hAnsi="Times New Roman" w:cs="Times New Roman"/>
                          <w:sz w:val="24"/>
                          <w:szCs w:val="24"/>
                        </w:rPr>
                      </w:pPr>
                    </w:p>
                  </w:txbxContent>
                </v:textbox>
              </v:shape>
            </w:pict>
          </mc:Fallback>
        </mc:AlternateContent>
      </w:r>
      <w:r w:rsidR="00297C01">
        <w:t xml:space="preserve">                        </w:t>
      </w:r>
      <w:r w:rsidR="00924020">
        <w:t xml:space="preserve">                    </w:t>
      </w:r>
      <w:r w:rsidR="003A572B">
        <w:rPr>
          <w:noProof/>
        </w:rPr>
        <w:t xml:space="preserve">  </w:t>
      </w:r>
      <w:r w:rsidR="003A572B" w:rsidRPr="003A572B">
        <w:rPr>
          <w:noProof/>
        </w:rPr>
        <w:drawing>
          <wp:inline distT="0" distB="0" distL="0" distR="0" wp14:anchorId="57E10646" wp14:editId="07E51F89">
            <wp:extent cx="3361045"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70061" cy="4469657"/>
                    </a:xfrm>
                    <a:prstGeom prst="rect">
                      <a:avLst/>
                    </a:prstGeom>
                  </pic:spPr>
                </pic:pic>
              </a:graphicData>
            </a:graphic>
          </wp:inline>
        </w:drawing>
      </w:r>
    </w:p>
    <w:p w14:paraId="3D08B021" w14:textId="62415C89" w:rsidR="00297C01" w:rsidRDefault="00297C01" w:rsidP="009D74C8">
      <w:pPr>
        <w:pStyle w:val="NormalWeb"/>
        <w:jc w:val="both"/>
      </w:pPr>
    </w:p>
    <w:p w14:paraId="614B43B6" w14:textId="77777777" w:rsidR="005F416A" w:rsidRDefault="005F416A" w:rsidP="009D74C8">
      <w:pPr>
        <w:pStyle w:val="NormalWeb"/>
        <w:jc w:val="both"/>
        <w:rPr>
          <w:rFonts w:eastAsiaTheme="minorHAnsi"/>
        </w:rPr>
      </w:pPr>
    </w:p>
    <w:p w14:paraId="40E980AD" w14:textId="6AFF5ACC" w:rsidR="00002F89" w:rsidRDefault="00291608" w:rsidP="009D74C8">
      <w:pPr>
        <w:pStyle w:val="NormalWeb"/>
        <w:jc w:val="both"/>
      </w:pPr>
      <w:r>
        <w:t>The Ternary Radiometric map</w:t>
      </w:r>
      <w:r w:rsidR="00F75A3C">
        <w:t xml:space="preserve"> integrates Potassium (K), Thorium (Th), and Uranium (U) into a composite RGB image, providing a comprehensive visualization of lithological variations and geochemical distribution. In this composite, potassium is represented by red, thorium by green, and uranium by blue, allowing for rapid </w:t>
      </w:r>
      <w:r w:rsidR="00F75A3C">
        <w:lastRenderedPageBreak/>
        <w:t xml:space="preserve">discrimination of radioelement dominance and geological units (Adeyemi et al., 2025). Bright white to pinkish-yellow zones in the northern and central parts of the study area, particularly around </w:t>
      </w:r>
      <w:proofErr w:type="spellStart"/>
      <w:r w:rsidR="00F75A3C">
        <w:t>Itapaji</w:t>
      </w:r>
      <w:proofErr w:type="spellEnd"/>
      <w:r w:rsidR="00F75A3C">
        <w:t>, indicate high concentrations of all three radioelements. These areas correspond to the Granite Gneiss (GG) and Granodiorite (</w:t>
      </w:r>
      <w:proofErr w:type="spellStart"/>
      <w:r w:rsidR="00F75A3C">
        <w:t>OGd</w:t>
      </w:r>
      <w:proofErr w:type="spellEnd"/>
      <w:r w:rsidR="00F75A3C">
        <w:t>) units, reflecting highly evolved felsic compositions enriched in radioactive minerals. Such signatures are consistent with radiometric studies that associate mixed high RGB values with felsic lithologies and potassic alteration zones (</w:t>
      </w:r>
      <w:proofErr w:type="spellStart"/>
      <w:r w:rsidR="00F75A3C">
        <w:t>Ohaegbuchu</w:t>
      </w:r>
      <w:proofErr w:type="spellEnd"/>
      <w:r w:rsidR="00F75A3C">
        <w:t xml:space="preserve"> et al., 2025). In contrast, the southern region around </w:t>
      </w:r>
      <w:proofErr w:type="spellStart"/>
      <w:r w:rsidR="00F75A3C">
        <w:t>Odo</w:t>
      </w:r>
      <w:proofErr w:type="spellEnd"/>
      <w:r w:rsidR="00F75A3C">
        <w:t xml:space="preserve"> Oro and </w:t>
      </w:r>
      <w:proofErr w:type="spellStart"/>
      <w:r w:rsidR="00F75A3C">
        <w:t>Ikole</w:t>
      </w:r>
      <w:proofErr w:type="spellEnd"/>
      <w:r w:rsidR="00F75A3C">
        <w:t xml:space="preserve"> is characterized by darker tones with cyan to blue hues, indicating relatively low potassium and thorium but moderate uranium contributions. This pattern aligns with the Migmatite (Mg) unit and suggests lower overall radiometric intensity, typical of less evolved or more mafic lithologies (Adeyemi et al., 2025).</w:t>
      </w:r>
      <w:r w:rsidR="00E10204">
        <w:t xml:space="preserve"> </w:t>
      </w:r>
      <w:r w:rsidR="00F75A3C">
        <w:t xml:space="preserve">Sharp color transitions and linear contrasts observed across the map, particularly along E–W trends, highlight structural boundaries and potential zones of hydrothermal alteration. These color boundaries often reflect lithological contacts or shear zones that have facilitated fluid movement and geochemical modification. The strong pink to red coloration along the </w:t>
      </w:r>
      <w:proofErr w:type="spellStart"/>
      <w:r w:rsidR="00F75A3C">
        <w:t>Itapaji</w:t>
      </w:r>
      <w:proofErr w:type="spellEnd"/>
      <w:r w:rsidR="00F75A3C">
        <w:t>–</w:t>
      </w:r>
      <w:proofErr w:type="spellStart"/>
      <w:r w:rsidR="00F75A3C">
        <w:t>Bolorunduro</w:t>
      </w:r>
      <w:proofErr w:type="spellEnd"/>
      <w:r w:rsidR="00F75A3C">
        <w:t xml:space="preserve"> axis further indicates potassium enrichment associated with structurally controlled hydrothermal systems, making these zones significant targets for mineral exploration (</w:t>
      </w:r>
      <w:proofErr w:type="spellStart"/>
      <w:r w:rsidR="00F75A3C">
        <w:t>Ohaegbuchu</w:t>
      </w:r>
      <w:proofErr w:type="spellEnd"/>
      <w:r w:rsidR="00F75A3C">
        <w:t xml:space="preserve"> et al., 2025)</w:t>
      </w:r>
      <w:r>
        <w:t xml:space="preserve"> </w:t>
      </w:r>
      <w:r w:rsidRPr="00291608">
        <w:rPr>
          <w:b/>
        </w:rPr>
        <w:t>(Fig. 16)</w:t>
      </w:r>
      <w:r w:rsidR="00F75A3C" w:rsidRPr="00291608">
        <w:rPr>
          <w:b/>
        </w:rPr>
        <w:t>.</w:t>
      </w:r>
    </w:p>
    <w:p w14:paraId="33176FEB" w14:textId="1AD6E3AF" w:rsidR="001D730D" w:rsidRPr="00002F89" w:rsidRDefault="00F75A3C" w:rsidP="009D74C8">
      <w:pPr>
        <w:pStyle w:val="NormalWeb"/>
        <w:jc w:val="both"/>
      </w:pPr>
      <w:r w:rsidRPr="00F75A3C">
        <w:rPr>
          <w:b/>
        </w:rPr>
        <w:t>4.3 Remote sensing data</w:t>
      </w:r>
    </w:p>
    <w:p w14:paraId="7CF1CB4B" w14:textId="4174F565" w:rsidR="00871B54" w:rsidRDefault="00450762" w:rsidP="009D74C8">
      <w:pPr>
        <w:pStyle w:val="NormalWeb"/>
        <w:jc w:val="both"/>
      </w:pPr>
      <w:r>
        <w:rPr>
          <w:noProof/>
        </w:rPr>
        <w:t xml:space="preserve">                             </w:t>
      </w:r>
      <w:r w:rsidR="0002241B">
        <w:rPr>
          <w:noProof/>
        </w:rPr>
        <w:t xml:space="preserve">              </w:t>
      </w:r>
      <w:r w:rsidR="00D84509">
        <w:rPr>
          <w:noProof/>
        </w:rPr>
        <w:t xml:space="preserve">      </w:t>
      </w:r>
      <w:r w:rsidR="00871B54">
        <w:rPr>
          <w:noProof/>
        </w:rPr>
        <w:drawing>
          <wp:inline distT="0" distB="0" distL="0" distR="0" wp14:anchorId="1B5E9439" wp14:editId="5194D89E">
            <wp:extent cx="2940050" cy="3920067"/>
            <wp:effectExtent l="0" t="0" r="0" b="4445"/>
            <wp:docPr id="4" name="Picture 4" descr="C:\Users\HP\Desktop\MR ADELEKE PAPER\Adeleke LANDSAT RESULT\LANDSAT RESULT\LandSat Lineamen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MR ADELEKE PAPER\Adeleke LANDSAT RESULT\LANDSAT RESULT\LandSat Lineaments.g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43838" cy="3925118"/>
                    </a:xfrm>
                    <a:prstGeom prst="rect">
                      <a:avLst/>
                    </a:prstGeom>
                    <a:noFill/>
                    <a:ln>
                      <a:noFill/>
                    </a:ln>
                  </pic:spPr>
                </pic:pic>
              </a:graphicData>
            </a:graphic>
          </wp:inline>
        </w:drawing>
      </w:r>
    </w:p>
    <w:p w14:paraId="5768480A" w14:textId="77777777" w:rsidR="00871B54" w:rsidRDefault="00871B54" w:rsidP="009D74C8">
      <w:pPr>
        <w:pStyle w:val="NormalWeb"/>
        <w:jc w:val="both"/>
      </w:pPr>
      <w:r>
        <w:rPr>
          <w:rStyle w:val="Strong"/>
        </w:rPr>
        <w:t>Figure 17:</w:t>
      </w:r>
      <w:r w:rsidRPr="00F87DBC">
        <w:rPr>
          <w:rStyle w:val="Strong"/>
          <w:b w:val="0"/>
        </w:rPr>
        <w:t xml:space="preserve"> Landsat-derived lineament map of the study area</w:t>
      </w:r>
      <w:r>
        <w:rPr>
          <w:rStyle w:val="Strong"/>
        </w:rPr>
        <w:t>.</w:t>
      </w:r>
      <w:r>
        <w:t xml:space="preserve"> The map shows the spatial distribution and orientation of mapped lineaments from Landsat imagery. It highlights major structural features and tectonic trends controlling the geology of the area.</w:t>
      </w:r>
    </w:p>
    <w:p w14:paraId="4499C5E6" w14:textId="5B3FC96F" w:rsidR="00963B21" w:rsidRPr="00963B21" w:rsidRDefault="00963B21" w:rsidP="009D74C8">
      <w:pPr>
        <w:spacing w:before="100" w:beforeAutospacing="1" w:after="100" w:afterAutospacing="1" w:line="240" w:lineRule="auto"/>
        <w:jc w:val="both"/>
        <w:rPr>
          <w:rFonts w:ascii="Times New Roman" w:eastAsia="Times New Roman" w:hAnsi="Times New Roman" w:cs="Times New Roman"/>
          <w:sz w:val="24"/>
          <w:szCs w:val="24"/>
        </w:rPr>
      </w:pPr>
      <w:r w:rsidRPr="00963B21">
        <w:rPr>
          <w:rFonts w:ascii="Times New Roman" w:eastAsia="Times New Roman" w:hAnsi="Times New Roman" w:cs="Times New Roman"/>
          <w:sz w:val="24"/>
          <w:szCs w:val="24"/>
        </w:rPr>
        <w:t xml:space="preserve">The Landsat-derived lineament map reveals a well-defined structural framework within the study area, characterized by a dominant East–West (E–W) to East-Northeast–West-Southwest (ENE–WSW) trending </w:t>
      </w:r>
      <w:r w:rsidRPr="00963B21">
        <w:rPr>
          <w:rFonts w:ascii="Times New Roman" w:eastAsia="Times New Roman" w:hAnsi="Times New Roman" w:cs="Times New Roman"/>
          <w:sz w:val="24"/>
          <w:szCs w:val="24"/>
        </w:rPr>
        <w:lastRenderedPageBreak/>
        <w:t>structural grain, particularly pronou</w:t>
      </w:r>
      <w:r>
        <w:rPr>
          <w:rFonts w:ascii="Times New Roman" w:eastAsia="Times New Roman" w:hAnsi="Times New Roman" w:cs="Times New Roman"/>
          <w:sz w:val="24"/>
          <w:szCs w:val="24"/>
        </w:rPr>
        <w:t xml:space="preserve">nced across the central sector </w:t>
      </w:r>
      <w:r w:rsidRPr="00E35BC5">
        <w:rPr>
          <w:rFonts w:ascii="Times New Roman" w:eastAsia="Times New Roman" w:hAnsi="Times New Roman" w:cs="Times New Roman"/>
          <w:b/>
          <w:sz w:val="24"/>
          <w:szCs w:val="24"/>
        </w:rPr>
        <w:t>Fig. 17</w:t>
      </w:r>
      <w:r w:rsidRPr="00963B21">
        <w:rPr>
          <w:rFonts w:ascii="Times New Roman" w:eastAsia="Times New Roman" w:hAnsi="Times New Roman" w:cs="Times New Roman"/>
          <w:b/>
          <w:sz w:val="24"/>
          <w:szCs w:val="24"/>
        </w:rPr>
        <w:t>.</w:t>
      </w:r>
      <w:r w:rsidRPr="00963B21">
        <w:rPr>
          <w:rFonts w:ascii="Times New Roman" w:eastAsia="Times New Roman" w:hAnsi="Times New Roman" w:cs="Times New Roman"/>
          <w:sz w:val="24"/>
          <w:szCs w:val="24"/>
        </w:rPr>
        <w:t xml:space="preserve"> These lineaments were extracted from enhanced Landsat imagery using edge-detection and directional filtering techniques, which improve the visibility of linear features associated with geological structures.</w:t>
      </w:r>
    </w:p>
    <w:p w14:paraId="5A49D02F" w14:textId="77777777" w:rsidR="00963B21" w:rsidRPr="00963B21" w:rsidRDefault="00963B21" w:rsidP="009D74C8">
      <w:pPr>
        <w:spacing w:before="100" w:beforeAutospacing="1" w:after="100" w:afterAutospacing="1" w:line="240" w:lineRule="auto"/>
        <w:jc w:val="both"/>
        <w:rPr>
          <w:rFonts w:ascii="Times New Roman" w:eastAsia="Times New Roman" w:hAnsi="Times New Roman" w:cs="Times New Roman"/>
          <w:sz w:val="24"/>
          <w:szCs w:val="24"/>
        </w:rPr>
      </w:pPr>
      <w:r w:rsidRPr="00963B21">
        <w:rPr>
          <w:rFonts w:ascii="Times New Roman" w:eastAsia="Times New Roman" w:hAnsi="Times New Roman" w:cs="Times New Roman"/>
          <w:sz w:val="24"/>
          <w:szCs w:val="24"/>
        </w:rPr>
        <w:t>In addition to the dominant trends, subordinate lineaments oriented North–South (N–S) and Northwest–Southeast (NW–SE) are also observed. The intersection of these structural sets forms a complex network of cross-cutting features, indicative of multiple phases of deformation and structural reactivation typical of Precambrian basement terrains.</w:t>
      </w:r>
    </w:p>
    <w:p w14:paraId="5CC48DCA" w14:textId="32E73D66" w:rsidR="00963B21" w:rsidRPr="00963B21" w:rsidRDefault="00963B21" w:rsidP="009D74C8">
      <w:pPr>
        <w:spacing w:before="100" w:beforeAutospacing="1" w:after="100" w:afterAutospacing="1" w:line="240" w:lineRule="auto"/>
        <w:jc w:val="both"/>
        <w:rPr>
          <w:rFonts w:ascii="Times New Roman" w:eastAsia="Times New Roman" w:hAnsi="Times New Roman" w:cs="Times New Roman"/>
          <w:sz w:val="24"/>
          <w:szCs w:val="24"/>
        </w:rPr>
      </w:pPr>
      <w:r w:rsidRPr="00963B21">
        <w:rPr>
          <w:rFonts w:ascii="Times New Roman" w:eastAsia="Times New Roman" w:hAnsi="Times New Roman" w:cs="Times New Roman"/>
          <w:sz w:val="24"/>
          <w:szCs w:val="24"/>
        </w:rPr>
        <w:t>Geologically, such lineament intersections are of significant importance as they represent zones of enhanced crustal dilation and sec</w:t>
      </w:r>
      <w:r w:rsidR="00E35BC5">
        <w:rPr>
          <w:rFonts w:ascii="Times New Roman" w:eastAsia="Times New Roman" w:hAnsi="Times New Roman" w:cs="Times New Roman"/>
          <w:sz w:val="24"/>
          <w:szCs w:val="24"/>
        </w:rPr>
        <w:t>ondary permeability. These zones</w:t>
      </w:r>
      <w:r w:rsidRPr="00963B21">
        <w:rPr>
          <w:rFonts w:ascii="Times New Roman" w:eastAsia="Times New Roman" w:hAnsi="Times New Roman" w:cs="Times New Roman"/>
          <w:sz w:val="24"/>
          <w:szCs w:val="24"/>
        </w:rPr>
        <w:t xml:space="preserve"> act as preferential pathways for fluid migration, facilitating hydrothermal circulation and potential mineral deposition. The spatial distribution of these intersecting lineaments, particularly within the </w:t>
      </w:r>
      <w:proofErr w:type="spellStart"/>
      <w:r w:rsidRPr="00963B21">
        <w:rPr>
          <w:rFonts w:ascii="Times New Roman" w:eastAsia="Times New Roman" w:hAnsi="Times New Roman" w:cs="Times New Roman"/>
          <w:sz w:val="24"/>
          <w:szCs w:val="24"/>
        </w:rPr>
        <w:t>Itapaji</w:t>
      </w:r>
      <w:proofErr w:type="spellEnd"/>
      <w:r w:rsidRPr="00963B21">
        <w:rPr>
          <w:rFonts w:ascii="Times New Roman" w:eastAsia="Times New Roman" w:hAnsi="Times New Roman" w:cs="Times New Roman"/>
          <w:sz w:val="24"/>
          <w:szCs w:val="24"/>
        </w:rPr>
        <w:t>–</w:t>
      </w:r>
      <w:proofErr w:type="spellStart"/>
      <w:r w:rsidRPr="00963B21">
        <w:rPr>
          <w:rFonts w:ascii="Times New Roman" w:eastAsia="Times New Roman" w:hAnsi="Times New Roman" w:cs="Times New Roman"/>
          <w:sz w:val="24"/>
          <w:szCs w:val="24"/>
        </w:rPr>
        <w:t>Bolorunduro</w:t>
      </w:r>
      <w:proofErr w:type="spellEnd"/>
      <w:r w:rsidRPr="00963B21">
        <w:rPr>
          <w:rFonts w:ascii="Times New Roman" w:eastAsia="Times New Roman" w:hAnsi="Times New Roman" w:cs="Times New Roman"/>
          <w:sz w:val="24"/>
          <w:szCs w:val="24"/>
        </w:rPr>
        <w:t xml:space="preserve"> axis, suggests strong structural control on subsurface processes and highlights these areas as </w:t>
      </w:r>
      <w:proofErr w:type="spellStart"/>
      <w:r w:rsidRPr="00963B21">
        <w:rPr>
          <w:rFonts w:ascii="Times New Roman" w:eastAsia="Times New Roman" w:hAnsi="Times New Roman" w:cs="Times New Roman"/>
          <w:sz w:val="24"/>
          <w:szCs w:val="24"/>
        </w:rPr>
        <w:t>favourable</w:t>
      </w:r>
      <w:proofErr w:type="spellEnd"/>
      <w:r w:rsidRPr="00963B21">
        <w:rPr>
          <w:rFonts w:ascii="Times New Roman" w:eastAsia="Times New Roman" w:hAnsi="Times New Roman" w:cs="Times New Roman"/>
          <w:sz w:val="24"/>
          <w:szCs w:val="24"/>
        </w:rPr>
        <w:t xml:space="preserve"> targets for mineral exploration (</w:t>
      </w:r>
      <w:proofErr w:type="spellStart"/>
      <w:r w:rsidRPr="00963B21">
        <w:rPr>
          <w:rFonts w:ascii="Times New Roman" w:eastAsia="Times New Roman" w:hAnsi="Times New Roman" w:cs="Times New Roman"/>
          <w:sz w:val="24"/>
          <w:szCs w:val="24"/>
        </w:rPr>
        <w:t>Gabrielsen</w:t>
      </w:r>
      <w:proofErr w:type="spellEnd"/>
      <w:r w:rsidRPr="00963B21">
        <w:rPr>
          <w:rFonts w:ascii="Times New Roman" w:eastAsia="Times New Roman" w:hAnsi="Times New Roman" w:cs="Times New Roman"/>
          <w:sz w:val="24"/>
          <w:szCs w:val="24"/>
        </w:rPr>
        <w:t>, 2024).</w:t>
      </w:r>
    </w:p>
    <w:p w14:paraId="72175D68" w14:textId="04EF0F86" w:rsidR="001D730D" w:rsidRDefault="00450762" w:rsidP="009D74C8">
      <w:pPr>
        <w:pStyle w:val="NormalWeb"/>
        <w:jc w:val="both"/>
        <w:rPr>
          <w:noProof/>
        </w:rPr>
      </w:pPr>
      <w:r>
        <w:rPr>
          <w:noProof/>
        </w:rPr>
        <w:t xml:space="preserve">                         </w:t>
      </w:r>
      <w:r w:rsidR="001D730D">
        <w:rPr>
          <w:noProof/>
        </w:rPr>
        <w:t xml:space="preserve">    </w:t>
      </w:r>
    </w:p>
    <w:p w14:paraId="056762E2" w14:textId="66909D1B" w:rsidR="00450762" w:rsidRDefault="001D730D" w:rsidP="009D74C8">
      <w:pPr>
        <w:pStyle w:val="NormalWeb"/>
        <w:jc w:val="both"/>
      </w:pPr>
      <w:r>
        <w:rPr>
          <w:noProof/>
        </w:rPr>
        <w:t xml:space="preserve">         </w:t>
      </w:r>
      <w:r w:rsidR="0002241B">
        <w:rPr>
          <w:noProof/>
        </w:rPr>
        <w:t xml:space="preserve">                           </w:t>
      </w:r>
      <w:r w:rsidR="00D84509">
        <w:rPr>
          <w:noProof/>
        </w:rPr>
        <w:t xml:space="preserve">        </w:t>
      </w:r>
      <w:r w:rsidR="002F389F">
        <w:rPr>
          <w:noProof/>
        </w:rPr>
        <w:drawing>
          <wp:inline distT="0" distB="0" distL="0" distR="0" wp14:anchorId="78A1743C" wp14:editId="00C69189">
            <wp:extent cx="3263900" cy="4343594"/>
            <wp:effectExtent l="0" t="0" r="0" b="0"/>
            <wp:docPr id="6" name="Picture 6" descr="C:\Users\HP\Desktop\MR ADELEKE PAPER\Adeleke LANDSAT RESULT\LANDSAT RESULT\Landsat Lineament Densi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MR ADELEKE PAPER\Adeleke LANDSAT RESULT\LANDSAT RESULT\Landsat Lineament Density.g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67925" cy="4348950"/>
                    </a:xfrm>
                    <a:prstGeom prst="rect">
                      <a:avLst/>
                    </a:prstGeom>
                    <a:noFill/>
                    <a:ln>
                      <a:noFill/>
                    </a:ln>
                  </pic:spPr>
                </pic:pic>
              </a:graphicData>
            </a:graphic>
          </wp:inline>
        </w:drawing>
      </w:r>
    </w:p>
    <w:p w14:paraId="6A493491" w14:textId="77777777" w:rsidR="00450762" w:rsidRDefault="00333A94" w:rsidP="009D74C8">
      <w:pPr>
        <w:jc w:val="both"/>
        <w:rPr>
          <w:rFonts w:ascii="Times New Roman" w:hAnsi="Times New Roman" w:cs="Times New Roman"/>
          <w:sz w:val="24"/>
          <w:szCs w:val="24"/>
        </w:rPr>
      </w:pPr>
      <w:r>
        <w:rPr>
          <w:rStyle w:val="Strong"/>
          <w:rFonts w:ascii="Times New Roman" w:hAnsi="Times New Roman" w:cs="Times New Roman"/>
          <w:sz w:val="24"/>
          <w:szCs w:val="24"/>
        </w:rPr>
        <w:t>Figure</w:t>
      </w:r>
      <w:r w:rsidR="00450762">
        <w:rPr>
          <w:rStyle w:val="Strong"/>
          <w:rFonts w:ascii="Times New Roman" w:hAnsi="Times New Roman" w:cs="Times New Roman"/>
          <w:sz w:val="24"/>
          <w:szCs w:val="24"/>
        </w:rPr>
        <w:t xml:space="preserve"> 18</w:t>
      </w:r>
      <w:r>
        <w:rPr>
          <w:rStyle w:val="Strong"/>
          <w:rFonts w:ascii="Times New Roman" w:hAnsi="Times New Roman" w:cs="Times New Roman"/>
          <w:sz w:val="24"/>
          <w:szCs w:val="24"/>
        </w:rPr>
        <w:t>:</w:t>
      </w:r>
      <w:r w:rsidR="00450762" w:rsidRPr="00F87DBC">
        <w:rPr>
          <w:rStyle w:val="Strong"/>
          <w:rFonts w:ascii="Times New Roman" w:hAnsi="Times New Roman" w:cs="Times New Roman"/>
          <w:b w:val="0"/>
          <w:sz w:val="24"/>
          <w:szCs w:val="24"/>
        </w:rPr>
        <w:t xml:space="preserve"> Landsat-derived lineament density map of the study area.</w:t>
      </w:r>
      <w:r w:rsidR="00450762" w:rsidRPr="00F87DBC">
        <w:rPr>
          <w:rFonts w:ascii="Times New Roman" w:hAnsi="Times New Roman" w:cs="Times New Roman"/>
          <w:sz w:val="24"/>
          <w:szCs w:val="24"/>
        </w:rPr>
        <w:t xml:space="preserve"> The map illustrates the spatial distribution and concentration of lineaments extracted from Landsat imagery. Areas of high density highlight zones of intense fracturing and potential structural control.</w:t>
      </w:r>
    </w:p>
    <w:p w14:paraId="2C52D86E" w14:textId="5744CE4E" w:rsidR="00963B21" w:rsidRPr="00963B21" w:rsidRDefault="00963B21" w:rsidP="009D74C8">
      <w:pPr>
        <w:spacing w:before="100" w:beforeAutospacing="1" w:after="100" w:afterAutospacing="1" w:line="240" w:lineRule="auto"/>
        <w:jc w:val="both"/>
        <w:rPr>
          <w:rFonts w:ascii="Times New Roman" w:eastAsia="Times New Roman" w:hAnsi="Times New Roman" w:cs="Times New Roman"/>
          <w:sz w:val="24"/>
          <w:szCs w:val="24"/>
        </w:rPr>
      </w:pPr>
      <w:r w:rsidRPr="00963B21">
        <w:rPr>
          <w:rFonts w:ascii="Times New Roman" w:eastAsia="Times New Roman" w:hAnsi="Times New Roman" w:cs="Times New Roman"/>
          <w:sz w:val="24"/>
          <w:szCs w:val="24"/>
        </w:rPr>
        <w:lastRenderedPageBreak/>
        <w:t xml:space="preserve">The Landsat-derived lineament density map provides further insight into the spatial distribution and intensity of structural deformation within the study area. The density map, generated through spatial analysis of extracted lineaments, reveals a heterogeneous distribution characterized by pronounced high-density zones concentrated in the central and northern sectors, particularly along the </w:t>
      </w:r>
      <w:proofErr w:type="spellStart"/>
      <w:r w:rsidRPr="00963B21">
        <w:rPr>
          <w:rFonts w:ascii="Times New Roman" w:eastAsia="Times New Roman" w:hAnsi="Times New Roman" w:cs="Times New Roman"/>
          <w:sz w:val="24"/>
          <w:szCs w:val="24"/>
        </w:rPr>
        <w:t>Itapaji</w:t>
      </w:r>
      <w:proofErr w:type="spellEnd"/>
      <w:r w:rsidRPr="00963B21">
        <w:rPr>
          <w:rFonts w:ascii="Times New Roman" w:eastAsia="Times New Roman" w:hAnsi="Times New Roman" w:cs="Times New Roman"/>
          <w:sz w:val="24"/>
          <w:szCs w:val="24"/>
        </w:rPr>
        <w:t>–</w:t>
      </w:r>
      <w:proofErr w:type="spellStart"/>
      <w:r w:rsidRPr="00963B21">
        <w:rPr>
          <w:rFonts w:ascii="Times New Roman" w:eastAsia="Times New Roman" w:hAnsi="Times New Roman" w:cs="Times New Roman"/>
          <w:sz w:val="24"/>
          <w:szCs w:val="24"/>
        </w:rPr>
        <w:t>Bolorunduro</w:t>
      </w:r>
      <w:proofErr w:type="spellEnd"/>
      <w:r w:rsidRPr="00963B21">
        <w:rPr>
          <w:rFonts w:ascii="Times New Roman" w:eastAsia="Times New Roman" w:hAnsi="Times New Roman" w:cs="Times New Roman"/>
          <w:sz w:val="24"/>
          <w:szCs w:val="24"/>
        </w:rPr>
        <w:t xml:space="preserve"> axis, with a secondary</w:t>
      </w:r>
      <w:r w:rsidR="00E35BC5">
        <w:rPr>
          <w:rFonts w:ascii="Times New Roman" w:eastAsia="Times New Roman" w:hAnsi="Times New Roman" w:cs="Times New Roman"/>
          <w:sz w:val="24"/>
          <w:szCs w:val="24"/>
        </w:rPr>
        <w:t xml:space="preserve"> cluster toward the </w:t>
      </w:r>
      <w:proofErr w:type="spellStart"/>
      <w:r w:rsidR="00E35BC5">
        <w:rPr>
          <w:rFonts w:ascii="Times New Roman" w:eastAsia="Times New Roman" w:hAnsi="Times New Roman" w:cs="Times New Roman"/>
          <w:sz w:val="24"/>
          <w:szCs w:val="24"/>
        </w:rPr>
        <w:t>Ikole</w:t>
      </w:r>
      <w:proofErr w:type="spellEnd"/>
      <w:r w:rsidR="00E35BC5">
        <w:rPr>
          <w:rFonts w:ascii="Times New Roman" w:eastAsia="Times New Roman" w:hAnsi="Times New Roman" w:cs="Times New Roman"/>
          <w:sz w:val="24"/>
          <w:szCs w:val="24"/>
        </w:rPr>
        <w:t xml:space="preserve"> area </w:t>
      </w:r>
      <w:r w:rsidR="00E35BC5" w:rsidRPr="00E35BC5">
        <w:rPr>
          <w:rFonts w:ascii="Times New Roman" w:eastAsia="Times New Roman" w:hAnsi="Times New Roman" w:cs="Times New Roman"/>
          <w:b/>
          <w:sz w:val="24"/>
          <w:szCs w:val="24"/>
        </w:rPr>
        <w:t>Fig. 18</w:t>
      </w:r>
      <w:r w:rsidRPr="00963B21">
        <w:rPr>
          <w:rFonts w:ascii="Times New Roman" w:eastAsia="Times New Roman" w:hAnsi="Times New Roman" w:cs="Times New Roman"/>
          <w:b/>
          <w:sz w:val="24"/>
          <w:szCs w:val="24"/>
        </w:rPr>
        <w:t>.</w:t>
      </w:r>
    </w:p>
    <w:p w14:paraId="0145C483" w14:textId="77777777" w:rsidR="00963B21" w:rsidRPr="00963B21" w:rsidRDefault="00963B21" w:rsidP="009D74C8">
      <w:pPr>
        <w:spacing w:before="100" w:beforeAutospacing="1" w:after="100" w:afterAutospacing="1" w:line="240" w:lineRule="auto"/>
        <w:jc w:val="both"/>
        <w:rPr>
          <w:rFonts w:ascii="Times New Roman" w:eastAsia="Times New Roman" w:hAnsi="Times New Roman" w:cs="Times New Roman"/>
          <w:sz w:val="24"/>
          <w:szCs w:val="24"/>
        </w:rPr>
      </w:pPr>
      <w:r w:rsidRPr="00963B21">
        <w:rPr>
          <w:rFonts w:ascii="Times New Roman" w:eastAsia="Times New Roman" w:hAnsi="Times New Roman" w:cs="Times New Roman"/>
          <w:sz w:val="24"/>
          <w:szCs w:val="24"/>
        </w:rPr>
        <w:t>These high-density zones are interpreted as areas of intense brittle deformation, reflecting increased fracture frequency and structural complexity. Such zones are typically associated with enhanced secondary porosity and permeability, which are critical factors controlling fluid migration in crystalline basement terrains. The concentration of lineaments in these zones suggests that they represent structurally weakened regions that have undergone repeated tectonic activity and possible reactivation.</w:t>
      </w:r>
    </w:p>
    <w:p w14:paraId="0E7E62CF" w14:textId="6511174C" w:rsidR="00450762" w:rsidRPr="009D74C8" w:rsidRDefault="00963B21" w:rsidP="009D74C8">
      <w:pPr>
        <w:spacing w:before="100" w:beforeAutospacing="1" w:after="100" w:afterAutospacing="1" w:line="240" w:lineRule="auto"/>
        <w:jc w:val="both"/>
        <w:rPr>
          <w:rFonts w:ascii="Times New Roman" w:eastAsia="Times New Roman" w:hAnsi="Times New Roman" w:cs="Times New Roman"/>
          <w:sz w:val="24"/>
          <w:szCs w:val="24"/>
        </w:rPr>
      </w:pPr>
      <w:r w:rsidRPr="00963B21">
        <w:rPr>
          <w:rFonts w:ascii="Times New Roman" w:eastAsia="Times New Roman" w:hAnsi="Times New Roman" w:cs="Times New Roman"/>
          <w:sz w:val="24"/>
          <w:szCs w:val="24"/>
        </w:rPr>
        <w:t>In contrast, areas of low to moderate lineament density indicate relatively less deformed or more competent rock masses, where fracturing is limited and fluid circulation is comparatively restricted. From an exploration perspective, the high-density zones identified in this study are of particular significance, as they provide favorable conditions for hydrothermal fluid flow and mineral deposition, thereby representing priority targets for further investigation (</w:t>
      </w:r>
      <w:proofErr w:type="spellStart"/>
      <w:r w:rsidRPr="00963B21">
        <w:rPr>
          <w:rFonts w:ascii="Times New Roman" w:eastAsia="Times New Roman" w:hAnsi="Times New Roman" w:cs="Times New Roman"/>
          <w:sz w:val="24"/>
          <w:szCs w:val="24"/>
        </w:rPr>
        <w:t>Sabins</w:t>
      </w:r>
      <w:proofErr w:type="spellEnd"/>
      <w:r w:rsidRPr="00963B21">
        <w:rPr>
          <w:rFonts w:ascii="Times New Roman" w:eastAsia="Times New Roman" w:hAnsi="Times New Roman" w:cs="Times New Roman"/>
          <w:sz w:val="24"/>
          <w:szCs w:val="24"/>
        </w:rPr>
        <w:t>, 1999).</w:t>
      </w:r>
    </w:p>
    <w:p w14:paraId="35D784A3" w14:textId="13DF9F22" w:rsidR="00547B53" w:rsidRDefault="009D74C8" w:rsidP="009D74C8">
      <w:pPr>
        <w:pStyle w:val="NormalWeb"/>
        <w:jc w:val="both"/>
      </w:pPr>
      <w:r>
        <w:rPr>
          <w:noProof/>
        </w:rPr>
        <mc:AlternateContent>
          <mc:Choice Requires="wps">
            <w:drawing>
              <wp:anchor distT="0" distB="0" distL="114300" distR="114300" simplePos="0" relativeHeight="251679744" behindDoc="0" locked="0" layoutInCell="1" allowOverlap="1" wp14:anchorId="39155284" wp14:editId="26E69216">
                <wp:simplePos x="0" y="0"/>
                <wp:positionH relativeFrom="column">
                  <wp:posOffset>-292100</wp:posOffset>
                </wp:positionH>
                <wp:positionV relativeFrom="paragraph">
                  <wp:posOffset>3470275</wp:posOffset>
                </wp:positionV>
                <wp:extent cx="7524750" cy="76200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7524750" cy="762000"/>
                        </a:xfrm>
                        <a:prstGeom prst="rect">
                          <a:avLst/>
                        </a:prstGeom>
                        <a:noFill/>
                        <a:ln w="6350">
                          <a:noFill/>
                        </a:ln>
                      </wps:spPr>
                      <wps:txbx>
                        <w:txbxContent>
                          <w:p w14:paraId="45D6FD78" w14:textId="77777777" w:rsidR="00291608" w:rsidRPr="001D730D" w:rsidRDefault="001D730D" w:rsidP="001D730D">
                            <w:pPr>
                              <w:jc w:val="both"/>
                              <w:rPr>
                                <w:rFonts w:ascii="Times New Roman" w:hAnsi="Times New Roman" w:cs="Times New Roman"/>
                                <w:sz w:val="24"/>
                                <w:szCs w:val="24"/>
                              </w:rPr>
                            </w:pPr>
                            <w:r w:rsidRPr="001D730D">
                              <w:rPr>
                                <w:rStyle w:val="Strong"/>
                                <w:rFonts w:ascii="Times New Roman" w:hAnsi="Times New Roman" w:cs="Times New Roman"/>
                                <w:bCs w:val="0"/>
                                <w:sz w:val="24"/>
                                <w:szCs w:val="24"/>
                              </w:rPr>
                              <w:t>Figure 19</w:t>
                            </w:r>
                            <w:r w:rsidRPr="001D730D">
                              <w:rPr>
                                <w:rStyle w:val="Strong"/>
                                <w:rFonts w:ascii="Times New Roman" w:hAnsi="Times New Roman" w:cs="Times New Roman"/>
                                <w:b w:val="0"/>
                                <w:bCs w:val="0"/>
                                <w:sz w:val="24"/>
                                <w:szCs w:val="24"/>
                              </w:rPr>
                              <w:t>:</w:t>
                            </w:r>
                            <w:r w:rsidR="00291608" w:rsidRPr="001D730D">
                              <w:rPr>
                                <w:rStyle w:val="Strong"/>
                                <w:rFonts w:ascii="Times New Roman" w:hAnsi="Times New Roman" w:cs="Times New Roman"/>
                                <w:b w:val="0"/>
                                <w:bCs w:val="0"/>
                                <w:sz w:val="24"/>
                                <w:szCs w:val="24"/>
                              </w:rPr>
                              <w:t xml:space="preserve"> Landsat-derived lineaments superimposed on the geological map.</w:t>
                            </w:r>
                            <w:r w:rsidR="00291608" w:rsidRPr="001D730D">
                              <w:rPr>
                                <w:rFonts w:ascii="Times New Roman" w:hAnsi="Times New Roman" w:cs="Times New Roman"/>
                                <w:sz w:val="24"/>
                                <w:szCs w:val="24"/>
                              </w:rPr>
                              <w:t xml:space="preserve"> The overlay illustrates the spatial relationship between structural lineaments</w:t>
                            </w:r>
                            <w:r w:rsidRPr="001D730D">
                              <w:rPr>
                                <w:rFonts w:ascii="Times New Roman" w:hAnsi="Times New Roman" w:cs="Times New Roman"/>
                                <w:sz w:val="24"/>
                                <w:szCs w:val="24"/>
                              </w:rPr>
                              <w:t xml:space="preserve"> and mapped lithological units. </w:t>
                            </w:r>
                            <w:r w:rsidR="00291608" w:rsidRPr="001D730D">
                              <w:rPr>
                                <w:rFonts w:ascii="Times New Roman" w:hAnsi="Times New Roman" w:cs="Times New Roman"/>
                                <w:sz w:val="24"/>
                                <w:szCs w:val="24"/>
                              </w:rPr>
                              <w:t>It highlights structural controls on rock distribution and zones of potential tectonic influence.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55284" id="Text Box 45" o:spid="_x0000_s1036" type="#_x0000_t202" style="position:absolute;left:0;text-align:left;margin-left:-23pt;margin-top:273.25pt;width:592.5pt;height:60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" filled="f" stroked="f" strokeweight=".5pt">
                <v:textbox>
                  <w:txbxContent>
                    <w:p w14:paraId="45D6FD78" w14:textId="77777777" w:rsidR="00291608" w:rsidRPr="001D730D" w:rsidRDefault="001D730D" w:rsidP="001D730D">
                      <w:pPr>
                        <w:jc w:val="both"/>
                        <w:rPr>
                          <w:rFonts w:ascii="Times New Roman" w:hAnsi="Times New Roman" w:cs="Times New Roman"/>
                          <w:sz w:val="24"/>
                          <w:szCs w:val="24"/>
                        </w:rPr>
                      </w:pPr>
                      <w:r w:rsidRPr="001D730D">
                        <w:rPr>
                          <w:rStyle w:val="Strong"/>
                          <w:rFonts w:ascii="Times New Roman" w:hAnsi="Times New Roman" w:cs="Times New Roman"/>
                          <w:bCs w:val="0"/>
                          <w:sz w:val="24"/>
                          <w:szCs w:val="24"/>
                        </w:rPr>
                        <w:t>Figure 19</w:t>
                      </w:r>
                      <w:r w:rsidRPr="001D730D">
                        <w:rPr>
                          <w:rStyle w:val="Strong"/>
                          <w:rFonts w:ascii="Times New Roman" w:hAnsi="Times New Roman" w:cs="Times New Roman"/>
                          <w:b w:val="0"/>
                          <w:bCs w:val="0"/>
                          <w:sz w:val="24"/>
                          <w:szCs w:val="24"/>
                        </w:rPr>
                        <w:t>:</w:t>
                      </w:r>
                      <w:r w:rsidR="00291608" w:rsidRPr="001D730D">
                        <w:rPr>
                          <w:rStyle w:val="Strong"/>
                          <w:rFonts w:ascii="Times New Roman" w:hAnsi="Times New Roman" w:cs="Times New Roman"/>
                          <w:b w:val="0"/>
                          <w:bCs w:val="0"/>
                          <w:sz w:val="24"/>
                          <w:szCs w:val="24"/>
                        </w:rPr>
                        <w:t xml:space="preserve"> Landsat-derived lineaments superimposed on the geological map.</w:t>
                      </w:r>
                      <w:r w:rsidR="00291608" w:rsidRPr="001D730D">
                        <w:rPr>
                          <w:rFonts w:ascii="Times New Roman" w:hAnsi="Times New Roman" w:cs="Times New Roman"/>
                          <w:sz w:val="24"/>
                          <w:szCs w:val="24"/>
                        </w:rPr>
                        <w:t xml:space="preserve"> The overlay illustrates the spatial relationship between structural lineaments</w:t>
                      </w:r>
                      <w:r w:rsidRPr="001D730D">
                        <w:rPr>
                          <w:rFonts w:ascii="Times New Roman" w:hAnsi="Times New Roman" w:cs="Times New Roman"/>
                          <w:sz w:val="24"/>
                          <w:szCs w:val="24"/>
                        </w:rPr>
                        <w:t xml:space="preserve"> and mapped lithological units. </w:t>
                      </w:r>
                      <w:r w:rsidR="00291608" w:rsidRPr="001D730D">
                        <w:rPr>
                          <w:rFonts w:ascii="Times New Roman" w:hAnsi="Times New Roman" w:cs="Times New Roman"/>
                          <w:sz w:val="24"/>
                          <w:szCs w:val="24"/>
                        </w:rPr>
                        <w:t>It highlights structural controls on rock distribution and zones of potential tectonic influence.</w:t>
                      </w:r>
                    </w:p>
                  </w:txbxContent>
                </v:textbox>
              </v:shape>
            </w:pict>
          </mc:Fallback>
        </mc:AlternateContent>
      </w:r>
      <w:r w:rsidR="001D730D">
        <w:rPr>
          <w:noProof/>
        </w:rPr>
        <w:t xml:space="preserve">                                         </w:t>
      </w:r>
      <w:r w:rsidR="00547B53">
        <w:rPr>
          <w:noProof/>
        </w:rPr>
        <w:drawing>
          <wp:inline distT="0" distB="0" distL="0" distR="0" wp14:anchorId="48EFA29D" wp14:editId="68A4C613">
            <wp:extent cx="2540000" cy="3383196"/>
            <wp:effectExtent l="0" t="0" r="0" b="8255"/>
            <wp:docPr id="3" name="Picture 3" descr="C:\Users\HP\Desktop\MR ADELEKE PAPER\Adeleke Radiometric Result\Radiometric Result\Land Sat Lineament Superimposed on Geological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MR ADELEKE PAPER\Adeleke Radiometric Result\Radiometric Result\Land Sat Lineament Superimposed on Geological Map.g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44572" cy="3389286"/>
                    </a:xfrm>
                    <a:prstGeom prst="rect">
                      <a:avLst/>
                    </a:prstGeom>
                    <a:noFill/>
                    <a:ln>
                      <a:noFill/>
                    </a:ln>
                  </pic:spPr>
                </pic:pic>
              </a:graphicData>
            </a:graphic>
          </wp:inline>
        </w:drawing>
      </w:r>
    </w:p>
    <w:p w14:paraId="280839DB" w14:textId="3BF728A9" w:rsidR="00547B53" w:rsidRDefault="00547B53" w:rsidP="009D74C8">
      <w:pPr>
        <w:pStyle w:val="NormalWeb"/>
        <w:jc w:val="both"/>
      </w:pPr>
    </w:p>
    <w:p w14:paraId="5EA05BD3" w14:textId="49B56C2E" w:rsidR="00547B53" w:rsidRDefault="00547B53" w:rsidP="009D74C8">
      <w:pPr>
        <w:jc w:val="both"/>
      </w:pPr>
    </w:p>
    <w:p w14:paraId="728011B1" w14:textId="24431248" w:rsidR="00E35BC5" w:rsidRPr="00E35BC5" w:rsidRDefault="00E35BC5" w:rsidP="009D74C8">
      <w:pPr>
        <w:pStyle w:val="NormalWeb"/>
        <w:jc w:val="both"/>
      </w:pPr>
      <w:r w:rsidRPr="00E35BC5">
        <w:t>The superposition of Landsat-derived lineaments on the geological map reveals a clear lithological control on structural dev</w:t>
      </w:r>
      <w:r>
        <w:t xml:space="preserve">elopment within the study area </w:t>
      </w:r>
      <w:r w:rsidRPr="00E35BC5">
        <w:rPr>
          <w:b/>
        </w:rPr>
        <w:t>Fig. 19</w:t>
      </w:r>
      <w:r w:rsidRPr="00E35BC5">
        <w:t>. High lineament densities are predominantly concentrated within the Granite Gneiss (GG) and Migmatite (Mg) units. These lithologies exhibit a pronounced brittle response to tectonic stress, resulting in extensive fracturing and fault development due to their competent crystalline nature.</w:t>
      </w:r>
    </w:p>
    <w:p w14:paraId="3633B59A" w14:textId="77777777" w:rsidR="00E35BC5" w:rsidRPr="00E35BC5" w:rsidRDefault="00E35BC5" w:rsidP="009D74C8">
      <w:pPr>
        <w:spacing w:before="100" w:beforeAutospacing="1" w:after="100" w:afterAutospacing="1" w:line="240" w:lineRule="auto"/>
        <w:jc w:val="both"/>
        <w:rPr>
          <w:rFonts w:ascii="Times New Roman" w:eastAsia="Times New Roman" w:hAnsi="Times New Roman" w:cs="Times New Roman"/>
          <w:sz w:val="24"/>
          <w:szCs w:val="24"/>
        </w:rPr>
      </w:pPr>
      <w:r w:rsidRPr="00E35BC5">
        <w:rPr>
          <w:rFonts w:ascii="Times New Roman" w:eastAsia="Times New Roman" w:hAnsi="Times New Roman" w:cs="Times New Roman"/>
          <w:sz w:val="24"/>
          <w:szCs w:val="24"/>
        </w:rPr>
        <w:lastRenderedPageBreak/>
        <w:t>In contrast, the Granodiorite (</w:t>
      </w:r>
      <w:proofErr w:type="spellStart"/>
      <w:r w:rsidRPr="00E35BC5">
        <w:rPr>
          <w:rFonts w:ascii="Times New Roman" w:eastAsia="Times New Roman" w:hAnsi="Times New Roman" w:cs="Times New Roman"/>
          <w:sz w:val="24"/>
          <w:szCs w:val="24"/>
        </w:rPr>
        <w:t>OGd</w:t>
      </w:r>
      <w:proofErr w:type="spellEnd"/>
      <w:r w:rsidRPr="00E35BC5">
        <w:rPr>
          <w:rFonts w:ascii="Times New Roman" w:eastAsia="Times New Roman" w:hAnsi="Times New Roman" w:cs="Times New Roman"/>
          <w:sz w:val="24"/>
          <w:szCs w:val="24"/>
        </w:rPr>
        <w:t xml:space="preserve">) and </w:t>
      </w:r>
      <w:proofErr w:type="spellStart"/>
      <w:r w:rsidRPr="00E35BC5">
        <w:rPr>
          <w:rFonts w:ascii="Times New Roman" w:eastAsia="Times New Roman" w:hAnsi="Times New Roman" w:cs="Times New Roman"/>
          <w:sz w:val="24"/>
          <w:szCs w:val="24"/>
        </w:rPr>
        <w:t>Charnockite</w:t>
      </w:r>
      <w:proofErr w:type="spellEnd"/>
      <w:r w:rsidRPr="00E35BC5">
        <w:rPr>
          <w:rFonts w:ascii="Times New Roman" w:eastAsia="Times New Roman" w:hAnsi="Times New Roman" w:cs="Times New Roman"/>
          <w:sz w:val="24"/>
          <w:szCs w:val="24"/>
        </w:rPr>
        <w:t xml:space="preserve"> (CH) units display comparatively fewer internal lineaments. This suggests that these rock units behaved as relatively rigid and massive blocks, accommodating tectonic stress by localizing deformation along their boundaries rather than within their interiors.</w:t>
      </w:r>
    </w:p>
    <w:p w14:paraId="16103138" w14:textId="49297A5A" w:rsidR="001D730D" w:rsidRPr="00C2426D" w:rsidRDefault="00E35BC5" w:rsidP="009D74C8">
      <w:pPr>
        <w:spacing w:before="100" w:beforeAutospacing="1" w:after="100" w:afterAutospacing="1" w:line="240" w:lineRule="auto"/>
        <w:jc w:val="both"/>
        <w:rPr>
          <w:rFonts w:ascii="Times New Roman" w:eastAsia="Times New Roman" w:hAnsi="Times New Roman" w:cs="Times New Roman"/>
          <w:sz w:val="24"/>
          <w:szCs w:val="24"/>
        </w:rPr>
      </w:pPr>
      <w:r w:rsidRPr="00E35BC5">
        <w:rPr>
          <w:rFonts w:ascii="Times New Roman" w:eastAsia="Times New Roman" w:hAnsi="Times New Roman" w:cs="Times New Roman"/>
          <w:sz w:val="24"/>
          <w:szCs w:val="24"/>
        </w:rPr>
        <w:t>This spatial relationship is consistent with established structural geology principles, which state that mechanically competent rocks tend to deform through brittle failure under stress, while deformation is preferentially concentrated along zones of lithological contrast and structural weakness (</w:t>
      </w:r>
      <w:proofErr w:type="spellStart"/>
      <w:r w:rsidRPr="00E35BC5">
        <w:rPr>
          <w:rFonts w:ascii="Times New Roman" w:eastAsia="Times New Roman" w:hAnsi="Times New Roman" w:cs="Times New Roman"/>
          <w:sz w:val="24"/>
          <w:szCs w:val="24"/>
        </w:rPr>
        <w:t>Salui</w:t>
      </w:r>
      <w:proofErr w:type="spellEnd"/>
      <w:r w:rsidRPr="00E35BC5">
        <w:rPr>
          <w:rFonts w:ascii="Times New Roman" w:eastAsia="Times New Roman" w:hAnsi="Times New Roman" w:cs="Times New Roman"/>
          <w:sz w:val="24"/>
          <w:szCs w:val="24"/>
        </w:rPr>
        <w:t>, 2018). From an exploration perspective, the concentration of lineaments within specific lithological units highlights zones of enhanced fracture permeability, which are favorable for fluid migration and potential mineralization in basement terrains.</w:t>
      </w:r>
    </w:p>
    <w:p w14:paraId="2C2F283D" w14:textId="0CF91C5D" w:rsidR="009F42BD" w:rsidRDefault="001D730D" w:rsidP="009D74C8">
      <w:pPr>
        <w:pStyle w:val="NormalWeb"/>
        <w:jc w:val="both"/>
      </w:pPr>
      <w:r>
        <w:rPr>
          <w:noProof/>
        </w:rPr>
        <w:t xml:space="preserve">                            </w:t>
      </w:r>
      <w:r w:rsidR="007A4BAB">
        <w:rPr>
          <w:noProof/>
        </w:rPr>
        <w:t xml:space="preserve">     </w:t>
      </w:r>
      <w:r w:rsidR="00B921D7">
        <w:rPr>
          <w:noProof/>
        </w:rPr>
        <w:t xml:space="preserve">     </w:t>
      </w:r>
      <w:r w:rsidR="009F42BD">
        <w:rPr>
          <w:noProof/>
        </w:rPr>
        <w:drawing>
          <wp:inline distT="0" distB="0" distL="0" distR="0" wp14:anchorId="0A503919" wp14:editId="4AC7EBF1">
            <wp:extent cx="3321050" cy="4428068"/>
            <wp:effectExtent l="0" t="0" r="0" b="0"/>
            <wp:docPr id="8" name="Picture 8" descr="C:\Users\HP\Desktop\MR ADELEKE PAPER\Adeleke Radiometric Result\Radiometric Result\lineaments,KD and Euler  Superimposed Geological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MR ADELEKE PAPER\Adeleke Radiometric Result\Radiometric Result\lineaments,KD and Euler  Superimposed Geological Map.g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25045" cy="4433394"/>
                    </a:xfrm>
                    <a:prstGeom prst="rect">
                      <a:avLst/>
                    </a:prstGeom>
                    <a:noFill/>
                    <a:ln>
                      <a:noFill/>
                    </a:ln>
                  </pic:spPr>
                </pic:pic>
              </a:graphicData>
            </a:graphic>
          </wp:inline>
        </w:drawing>
      </w:r>
    </w:p>
    <w:p w14:paraId="699618C9" w14:textId="2868E491" w:rsidR="001D730D" w:rsidRDefault="00333A94" w:rsidP="009D74C8">
      <w:pPr>
        <w:pStyle w:val="NormalWeb"/>
        <w:jc w:val="both"/>
      </w:pPr>
      <w:r>
        <w:rPr>
          <w:rStyle w:val="Strong"/>
        </w:rPr>
        <w:t>Figure 20:</w:t>
      </w:r>
      <w:r w:rsidR="001D730D">
        <w:rPr>
          <w:rStyle w:val="Strong"/>
        </w:rPr>
        <w:t xml:space="preserve"> </w:t>
      </w:r>
      <w:r w:rsidR="001D730D" w:rsidRPr="005A1C76">
        <w:rPr>
          <w:rStyle w:val="Strong"/>
          <w:b w:val="0"/>
        </w:rPr>
        <w:t>Integrated lineament, potassium deviation (KD), and Euler deconvolution superimposed on the geological map.</w:t>
      </w:r>
      <w:r w:rsidR="001D730D">
        <w:rPr>
          <w:b/>
        </w:rPr>
        <w:t xml:space="preserve"> </w:t>
      </w:r>
      <w:r w:rsidR="001D730D">
        <w:t>The map highlights the spatial relationship between structural features, radiometric anomalies, and subsurface source depths. It delineates structurally controlled zones of alteration and potential mineralization within the study area</w:t>
      </w:r>
    </w:p>
    <w:p w14:paraId="3E41CB62" w14:textId="4A1BC4DA" w:rsidR="00E46AF8" w:rsidRDefault="00AB4E24" w:rsidP="009D74C8">
      <w:pPr>
        <w:pStyle w:val="NormalWeb"/>
        <w:jc w:val="both"/>
      </w:pPr>
      <w:r>
        <w:t xml:space="preserve">The integrated interpretation </w:t>
      </w:r>
      <w:r w:rsidR="00E46AF8">
        <w:t>combining lineaments, potassium deviation (KD), and Euler deconvolution</w:t>
      </w:r>
      <w:r w:rsidR="00BD4B46">
        <w:t xml:space="preserve"> on geological map</w:t>
      </w:r>
      <w:r w:rsidR="00E46AF8">
        <w:t xml:space="preserve">, provides a robust exploration model. The potassium deviation highlights zones of hydrothermal alteration, particularly along the </w:t>
      </w:r>
      <w:proofErr w:type="spellStart"/>
      <w:r w:rsidR="00E46AF8">
        <w:t>Itapaji</w:t>
      </w:r>
      <w:proofErr w:type="spellEnd"/>
      <w:r w:rsidR="00E46AF8">
        <w:t>–</w:t>
      </w:r>
      <w:proofErr w:type="spellStart"/>
      <w:r w:rsidR="00E46AF8">
        <w:t>Bolorunduro</w:t>
      </w:r>
      <w:proofErr w:type="spellEnd"/>
      <w:r w:rsidR="00E46AF8">
        <w:t xml:space="preserve"> corridor, where potassium enrichment reflects fluid–rock interaction and metasomatism. Thorium remains relatively immobile, making it a stable reference for identifying potassium enrichment zones (IAEA, 2003).</w:t>
      </w:r>
      <w:r>
        <w:t xml:space="preserve"> </w:t>
      </w:r>
      <w:r w:rsidR="00E46AF8">
        <w:t xml:space="preserve">Euler deconvolution solutions further constrain the depth and geometry </w:t>
      </w:r>
      <w:r w:rsidR="00E46AF8">
        <w:lastRenderedPageBreak/>
        <w:t>of subsurface structures. The clustering of Euler solutions along mapped lineaments confirms that many of the surface fractures are expressions of deep-seated faults. The spatial coincidence of lineaments, potassium deviation anomalies, and Euler solutions strongly suggests structurally controlled hydrothermal systems.</w:t>
      </w:r>
      <w:r>
        <w:t xml:space="preserve"> </w:t>
      </w:r>
      <w:r w:rsidR="00E46AF8">
        <w:t xml:space="preserve">From an exploration perspective, the </w:t>
      </w:r>
      <w:proofErr w:type="spellStart"/>
      <w:r w:rsidR="00E46AF8">
        <w:t>Itapaji</w:t>
      </w:r>
      <w:proofErr w:type="spellEnd"/>
      <w:r w:rsidR="00E46AF8">
        <w:t>–</w:t>
      </w:r>
      <w:proofErr w:type="spellStart"/>
      <w:r w:rsidR="00E46AF8">
        <w:t>Bolorunduro</w:t>
      </w:r>
      <w:proofErr w:type="spellEnd"/>
      <w:r w:rsidR="00E46AF8">
        <w:t xml:space="preserve"> corridor is the most prospective zone due to the convergence of competent </w:t>
      </w:r>
      <w:r w:rsidR="00E46AF8" w:rsidRPr="000B7771">
        <w:t>host rocks, intense fracturing, and evidence of hydrothermal alteration and deep structural control. Such integrated</w:t>
      </w:r>
      <w:r w:rsidR="00E46AF8">
        <w:t xml:space="preserve"> signatures are typical of mineralized systems in Precambrian basement terrains</w:t>
      </w:r>
      <w:r w:rsidR="00BD4B46">
        <w:t xml:space="preserve"> </w:t>
      </w:r>
      <w:r w:rsidR="00BD4B46" w:rsidRPr="008A7B37">
        <w:rPr>
          <w:b/>
        </w:rPr>
        <w:t>(Fig. 20)</w:t>
      </w:r>
      <w:r w:rsidR="00E46AF8" w:rsidRPr="008A7B37">
        <w:rPr>
          <w:b/>
        </w:rPr>
        <w:t>.</w:t>
      </w:r>
    </w:p>
    <w:p w14:paraId="7E0FD0C0" w14:textId="76C09B23" w:rsidR="003E4285" w:rsidRPr="00963B21" w:rsidRDefault="003E4285" w:rsidP="009D74C8">
      <w:pPr>
        <w:pStyle w:val="Heading2"/>
        <w:jc w:val="both"/>
        <w:rPr>
          <w:rFonts w:ascii="Times New Roman" w:hAnsi="Times New Roman" w:cs="Times New Roman"/>
          <w:color w:val="auto"/>
          <w:sz w:val="24"/>
          <w:szCs w:val="24"/>
        </w:rPr>
      </w:pPr>
      <w:r w:rsidRPr="00963B21">
        <w:rPr>
          <w:rStyle w:val="Strong"/>
          <w:rFonts w:ascii="Times New Roman" w:hAnsi="Times New Roman" w:cs="Times New Roman"/>
          <w:bCs w:val="0"/>
          <w:color w:val="auto"/>
          <w:sz w:val="24"/>
          <w:szCs w:val="24"/>
        </w:rPr>
        <w:t>4.4 Integrated Interpretation of Aeromagnetic, Radiometric, and Remote Sensing Data</w:t>
      </w:r>
    </w:p>
    <w:p w14:paraId="3FC85D4C" w14:textId="5B7D52F0" w:rsidR="003E4285" w:rsidRPr="00963B21" w:rsidRDefault="003E4285" w:rsidP="009D74C8">
      <w:pPr>
        <w:pStyle w:val="NormalWeb"/>
        <w:jc w:val="both"/>
      </w:pPr>
      <w:r w:rsidRPr="00963B21">
        <w:t xml:space="preserve">The integration of aeromagnetic, radiometric, and remote sensing datasets provides a comprehensive framework for understanding the structural architecture, lithological variability, and hydrothermal processes within the </w:t>
      </w:r>
      <w:proofErr w:type="spellStart"/>
      <w:r w:rsidRPr="00963B21">
        <w:t>Ikole</w:t>
      </w:r>
      <w:proofErr w:type="spellEnd"/>
      <w:r w:rsidRPr="00963B21">
        <w:t>–</w:t>
      </w:r>
      <w:proofErr w:type="spellStart"/>
      <w:r w:rsidRPr="00963B21">
        <w:t>Itapaji</w:t>
      </w:r>
      <w:proofErr w:type="spellEnd"/>
      <w:r w:rsidRPr="00963B21">
        <w:t xml:space="preserve"> area. Each dataset contributes complementary information: aeromagnetic data </w:t>
      </w:r>
      <w:r w:rsidR="009F42BD">
        <w:t>constrain</w:t>
      </w:r>
      <w:r w:rsidRPr="00963B21">
        <w:t xml:space="preserve"> subsurface structures and depth distribution, radiometric data </w:t>
      </w:r>
      <w:r w:rsidR="009F42BD">
        <w:t>reflect</w:t>
      </w:r>
      <w:r w:rsidRPr="00963B21">
        <w:t xml:space="preserve"> lithological composition and alteration, while remote sensing delineates surface structural features. Their combined interpretation significantly enhances geological understanding beyond individual analyses.</w:t>
      </w:r>
    </w:p>
    <w:p w14:paraId="04AFF6B8" w14:textId="77777777" w:rsidR="003E4285" w:rsidRPr="00963B21" w:rsidRDefault="003E4285" w:rsidP="009D74C8">
      <w:pPr>
        <w:pStyle w:val="NormalWeb"/>
        <w:jc w:val="both"/>
      </w:pPr>
      <w:r w:rsidRPr="00963B21">
        <w:t xml:space="preserve">A key outcome of this integration is the strong spatial correlation between </w:t>
      </w:r>
      <w:r w:rsidRPr="00963B21">
        <w:rPr>
          <w:rStyle w:val="Strong"/>
          <w:b w:val="0"/>
        </w:rPr>
        <w:t>aeromagnetic lineaments</w:t>
      </w:r>
      <w:r w:rsidRPr="00963B21">
        <w:rPr>
          <w:b/>
        </w:rPr>
        <w:t xml:space="preserve">, </w:t>
      </w:r>
      <w:r w:rsidRPr="00963B21">
        <w:rPr>
          <w:rStyle w:val="Strong"/>
          <w:b w:val="0"/>
        </w:rPr>
        <w:t>Landsat-derived surface lineaments</w:t>
      </w:r>
      <w:r w:rsidRPr="00963B21">
        <w:rPr>
          <w:b/>
        </w:rPr>
        <w:t xml:space="preserve">, </w:t>
      </w:r>
      <w:r w:rsidRPr="00963B21">
        <w:t>and</w:t>
      </w:r>
      <w:r w:rsidRPr="00963B21">
        <w:rPr>
          <w:b/>
        </w:rPr>
        <w:t xml:space="preserve"> </w:t>
      </w:r>
      <w:r w:rsidRPr="00963B21">
        <w:rPr>
          <w:rStyle w:val="Strong"/>
          <w:b w:val="0"/>
        </w:rPr>
        <w:t>radiometric anomalies</w:t>
      </w:r>
      <w:r w:rsidRPr="00963B21">
        <w:rPr>
          <w:b/>
        </w:rPr>
        <w:t>,</w:t>
      </w:r>
      <w:r w:rsidRPr="00963B21">
        <w:t xml:space="preserve"> particularly along the </w:t>
      </w:r>
      <w:proofErr w:type="spellStart"/>
      <w:r w:rsidRPr="00963B21">
        <w:t>Itapaji</w:t>
      </w:r>
      <w:proofErr w:type="spellEnd"/>
      <w:r w:rsidRPr="00963B21">
        <w:t>–</w:t>
      </w:r>
      <w:proofErr w:type="spellStart"/>
      <w:r w:rsidRPr="00963B21">
        <w:t>Bolorunduro</w:t>
      </w:r>
      <w:proofErr w:type="spellEnd"/>
      <w:r w:rsidRPr="00963B21">
        <w:t xml:space="preserve"> corridor. Aeromagnetic datasets (RTE, FVD, analytical signal, and Euler deconvolution) reveal dominant NE–SW and NW–SE trending subsurface structures, interpreted as faults, fractures, and lithological contacts. These structures are mirrored at the surface by Landsat-extracted lineaments, which exhibit dominant E–W to ENE–WSW orientations with subordinate NW–SE and N–S trends. The geometric consistency between surface and subsurface lineaments confirms that many of the mapped surface structures are expressions of deep-seated tectonic features.</w:t>
      </w:r>
    </w:p>
    <w:p w14:paraId="6D98969B" w14:textId="77777777" w:rsidR="003E4285" w:rsidRPr="00963B21" w:rsidRDefault="003E4285" w:rsidP="009D74C8">
      <w:pPr>
        <w:pStyle w:val="NormalWeb"/>
        <w:jc w:val="both"/>
      </w:pPr>
      <w:r w:rsidRPr="00963B21">
        <w:t xml:space="preserve">Further integration with Euler deconvolution solutions strengthens this interpretation. The clustering of shallow-depth Euler solutions along both aeromagnetic and Landsat lineaments—especially around </w:t>
      </w:r>
      <w:proofErr w:type="spellStart"/>
      <w:r w:rsidRPr="00963B21">
        <w:t>Itapaji</w:t>
      </w:r>
      <w:proofErr w:type="spellEnd"/>
      <w:r w:rsidRPr="00963B21">
        <w:t xml:space="preserve"> and </w:t>
      </w:r>
      <w:proofErr w:type="spellStart"/>
      <w:r w:rsidRPr="00963B21">
        <w:t>Bolorunduro</w:t>
      </w:r>
      <w:proofErr w:type="spellEnd"/>
      <w:r w:rsidRPr="00963B21">
        <w:t>—indicates that these structures extend vertically through the crust and likely represent major zones of weakness. These zones are interpreted as conduits for fluid migration, linking deep-seated magmatic or tectonic processes to near-surface alteration systems.</w:t>
      </w:r>
    </w:p>
    <w:p w14:paraId="11D6A721" w14:textId="2617A633" w:rsidR="003E4285" w:rsidRPr="00963B21" w:rsidRDefault="003E4285" w:rsidP="009D74C8">
      <w:pPr>
        <w:pStyle w:val="NormalWeb"/>
        <w:jc w:val="both"/>
      </w:pPr>
      <w:r w:rsidRPr="00963B21">
        <w:t>Radiometric data provide critical geochemical support for these structurally controlled processes. Elevated potassium (K), thorium (Th), and uranium (U) concentrations in the central and northern parts of the study area correspond to felsic lithologies such as g</w:t>
      </w:r>
      <w:r w:rsidR="00963B21" w:rsidRPr="00963B21">
        <w:t>ranite gneiss and granodiorite</w:t>
      </w:r>
      <w:r w:rsidRPr="00963B21">
        <w:t>. This spatial coincidence strongly indicates that hydrothermal fluids migrated along these fault-controlled pathways, leading to localized alteration.</w:t>
      </w:r>
    </w:p>
    <w:p w14:paraId="72D66956" w14:textId="77777777" w:rsidR="003E4285" w:rsidRPr="00963B21" w:rsidRDefault="003E4285" w:rsidP="009D74C8">
      <w:pPr>
        <w:pStyle w:val="NormalWeb"/>
        <w:jc w:val="both"/>
      </w:pPr>
      <w:r w:rsidRPr="00963B21">
        <w:t xml:space="preserve">The ternary radiometric composite further reinforces this relationship by delineating sharp lithological and structural boundaries that coincide with mapped lineaments. Bright composite signatures along the </w:t>
      </w:r>
      <w:proofErr w:type="spellStart"/>
      <w:r w:rsidRPr="00963B21">
        <w:t>Itapaji</w:t>
      </w:r>
      <w:proofErr w:type="spellEnd"/>
      <w:r w:rsidRPr="00963B21">
        <w:t>–</w:t>
      </w:r>
      <w:proofErr w:type="spellStart"/>
      <w:r w:rsidRPr="00963B21">
        <w:t>Bolorunduro</w:t>
      </w:r>
      <w:proofErr w:type="spellEnd"/>
      <w:r w:rsidRPr="00963B21">
        <w:t xml:space="preserve"> axis correspond to zones of high radioelement concentration and structural complexity, suggesting areas of enhanced fluid–rock interaction.</w:t>
      </w:r>
    </w:p>
    <w:p w14:paraId="26940BF8" w14:textId="63779C8D" w:rsidR="003E4285" w:rsidRPr="00963B21" w:rsidRDefault="003E4285" w:rsidP="009D74C8">
      <w:pPr>
        <w:pStyle w:val="NormalWeb"/>
        <w:jc w:val="both"/>
      </w:pPr>
      <w:r w:rsidRPr="00963B21">
        <w:t xml:space="preserve">Additionally, lineament density maps derived from both aeromagnetic and Landsat datasets consistently identify high-density zones in the central–northern sector and around </w:t>
      </w:r>
      <w:proofErr w:type="spellStart"/>
      <w:r w:rsidRPr="00963B21">
        <w:t>Ikole</w:t>
      </w:r>
      <w:proofErr w:type="spellEnd"/>
      <w:r w:rsidRPr="00963B21">
        <w:t xml:space="preserve">. These zones represent areas of intense brittle deformation and increased secondary porosity, which are critical for hydrothermal circulation and mineral deposition. The intersection of multiple structural trends (E–W, ENE–WSW, </w:t>
      </w:r>
      <w:r w:rsidR="00EA7298" w:rsidRPr="00963B21">
        <w:t>and NW</w:t>
      </w:r>
      <w:r w:rsidRPr="00963B21">
        <w:t>–SE) further enhanc</w:t>
      </w:r>
      <w:r w:rsidR="001F0578">
        <w:t xml:space="preserve">es permeability, making these zone </w:t>
      </w:r>
      <w:r w:rsidRPr="00963B21">
        <w:t>particularly favorable for mineralization.</w:t>
      </w:r>
    </w:p>
    <w:p w14:paraId="189BE929" w14:textId="77777777" w:rsidR="003E4285" w:rsidRPr="00963B21" w:rsidRDefault="003E4285" w:rsidP="009D74C8">
      <w:pPr>
        <w:pStyle w:val="NormalWeb"/>
        <w:jc w:val="both"/>
      </w:pPr>
      <w:r w:rsidRPr="00963B21">
        <w:lastRenderedPageBreak/>
        <w:t>Overall, the integration reveals that:</w:t>
      </w:r>
    </w:p>
    <w:p w14:paraId="304C88FC" w14:textId="77777777" w:rsidR="003E4285" w:rsidRPr="00963B21" w:rsidRDefault="003E4285" w:rsidP="009D74C8">
      <w:pPr>
        <w:numPr>
          <w:ilvl w:val="0"/>
          <w:numId w:val="4"/>
        </w:numPr>
        <w:spacing w:before="100" w:beforeAutospacing="1" w:after="100" w:afterAutospacing="1" w:line="240" w:lineRule="auto"/>
        <w:jc w:val="both"/>
        <w:rPr>
          <w:rFonts w:ascii="Times New Roman" w:hAnsi="Times New Roman" w:cs="Times New Roman"/>
          <w:sz w:val="24"/>
          <w:szCs w:val="24"/>
        </w:rPr>
      </w:pPr>
      <w:r w:rsidRPr="00963B21">
        <w:rPr>
          <w:rFonts w:ascii="Times New Roman" w:hAnsi="Times New Roman" w:cs="Times New Roman"/>
          <w:sz w:val="24"/>
          <w:szCs w:val="24"/>
        </w:rPr>
        <w:t xml:space="preserve">Subsurface structures (aeromagnetic) are directly expressed at the surface (remote sensing) </w:t>
      </w:r>
    </w:p>
    <w:p w14:paraId="03300324" w14:textId="77777777" w:rsidR="003E4285" w:rsidRPr="00963B21" w:rsidRDefault="003E4285" w:rsidP="009D74C8">
      <w:pPr>
        <w:numPr>
          <w:ilvl w:val="0"/>
          <w:numId w:val="4"/>
        </w:numPr>
        <w:spacing w:before="100" w:beforeAutospacing="1" w:after="100" w:afterAutospacing="1" w:line="240" w:lineRule="auto"/>
        <w:jc w:val="both"/>
        <w:rPr>
          <w:rFonts w:ascii="Times New Roman" w:hAnsi="Times New Roman" w:cs="Times New Roman"/>
          <w:sz w:val="24"/>
          <w:szCs w:val="24"/>
        </w:rPr>
      </w:pPr>
      <w:r w:rsidRPr="00963B21">
        <w:rPr>
          <w:rFonts w:ascii="Times New Roman" w:hAnsi="Times New Roman" w:cs="Times New Roman"/>
          <w:sz w:val="24"/>
          <w:szCs w:val="24"/>
        </w:rPr>
        <w:t xml:space="preserve">Radiometric anomalies are structurally controlled and linked to hydrothermal processes </w:t>
      </w:r>
    </w:p>
    <w:p w14:paraId="63F53C84" w14:textId="77777777" w:rsidR="003E4285" w:rsidRPr="00963B21" w:rsidRDefault="003E4285" w:rsidP="009D74C8">
      <w:pPr>
        <w:numPr>
          <w:ilvl w:val="0"/>
          <w:numId w:val="4"/>
        </w:numPr>
        <w:spacing w:before="100" w:beforeAutospacing="1" w:after="100" w:afterAutospacing="1" w:line="240" w:lineRule="auto"/>
        <w:jc w:val="both"/>
        <w:rPr>
          <w:rFonts w:ascii="Times New Roman" w:hAnsi="Times New Roman" w:cs="Times New Roman"/>
          <w:sz w:val="24"/>
          <w:szCs w:val="24"/>
        </w:rPr>
      </w:pPr>
      <w:r w:rsidRPr="00963B21">
        <w:rPr>
          <w:rFonts w:ascii="Times New Roman" w:hAnsi="Times New Roman" w:cs="Times New Roman"/>
          <w:sz w:val="24"/>
          <w:szCs w:val="24"/>
        </w:rPr>
        <w:t xml:space="preserve">Zones of structural intersection and high lineament density coincide with geochemical alteration </w:t>
      </w:r>
    </w:p>
    <w:p w14:paraId="521F75E3" w14:textId="7A01C932" w:rsidR="003E4285" w:rsidRDefault="003E4285" w:rsidP="009D74C8">
      <w:pPr>
        <w:pStyle w:val="NormalWeb"/>
        <w:jc w:val="both"/>
      </w:pPr>
      <w:r w:rsidRPr="00963B21">
        <w:t xml:space="preserve">These combined signatures define the </w:t>
      </w:r>
      <w:proofErr w:type="spellStart"/>
      <w:r w:rsidRPr="00963B21">
        <w:rPr>
          <w:rStyle w:val="Strong"/>
          <w:b w:val="0"/>
        </w:rPr>
        <w:t>Itapaji</w:t>
      </w:r>
      <w:proofErr w:type="spellEnd"/>
      <w:r w:rsidRPr="00963B21">
        <w:rPr>
          <w:rStyle w:val="Strong"/>
          <w:b w:val="0"/>
        </w:rPr>
        <w:t>–</w:t>
      </w:r>
      <w:proofErr w:type="spellStart"/>
      <w:r w:rsidRPr="00963B21">
        <w:rPr>
          <w:rStyle w:val="Strong"/>
          <w:b w:val="0"/>
        </w:rPr>
        <w:t>Bolorunduro</w:t>
      </w:r>
      <w:proofErr w:type="spellEnd"/>
      <w:r w:rsidRPr="00963B21">
        <w:rPr>
          <w:rStyle w:val="Strong"/>
          <w:b w:val="0"/>
        </w:rPr>
        <w:t xml:space="preserve"> corridor and the southern </w:t>
      </w:r>
      <w:proofErr w:type="spellStart"/>
      <w:r w:rsidRPr="00963B21">
        <w:rPr>
          <w:rStyle w:val="Strong"/>
          <w:b w:val="0"/>
        </w:rPr>
        <w:t>Ikole</w:t>
      </w:r>
      <w:proofErr w:type="spellEnd"/>
      <w:r w:rsidRPr="00963B21">
        <w:rPr>
          <w:rStyle w:val="Strong"/>
          <w:b w:val="0"/>
        </w:rPr>
        <w:t xml:space="preserve"> sector</w:t>
      </w:r>
      <w:r w:rsidRPr="00963B21">
        <w:t xml:space="preserve"> as the most prospective zones for mineral exploration. The study demonstrates that the integration of geophysical and remote sensing datasets provides a robust approach for delineating structurally controlled mineralization in crystalline basement terrains.</w:t>
      </w:r>
    </w:p>
    <w:p w14:paraId="697AF5D2" w14:textId="0210B045" w:rsidR="0036530C" w:rsidRDefault="0036530C" w:rsidP="00D32B07">
      <w:pPr>
        <w:pStyle w:val="Heading2"/>
        <w:jc w:val="both"/>
      </w:pPr>
    </w:p>
    <w:p w14:paraId="1F224D41" w14:textId="3CE99EB9" w:rsidR="003E4285" w:rsidRPr="0036530C" w:rsidRDefault="000B7771" w:rsidP="009D74C8">
      <w:pPr>
        <w:pStyle w:val="NormalWeb"/>
        <w:jc w:val="both"/>
      </w:pPr>
      <w:r w:rsidRPr="000B7771">
        <w:rPr>
          <w:rStyle w:val="Strong"/>
          <w:bCs w:val="0"/>
        </w:rPr>
        <w:t>Conclusion</w:t>
      </w:r>
    </w:p>
    <w:p w14:paraId="747D42E6" w14:textId="77777777" w:rsidR="00D97D94" w:rsidRPr="00D97D94" w:rsidRDefault="00D97D94" w:rsidP="009D74C8">
      <w:pPr>
        <w:spacing w:before="100" w:beforeAutospacing="1" w:after="100" w:afterAutospacing="1" w:line="240" w:lineRule="auto"/>
        <w:jc w:val="both"/>
        <w:rPr>
          <w:rFonts w:ascii="Times New Roman" w:eastAsia="Times New Roman" w:hAnsi="Times New Roman" w:cs="Times New Roman"/>
          <w:sz w:val="24"/>
          <w:szCs w:val="24"/>
        </w:rPr>
      </w:pPr>
      <w:r w:rsidRPr="00D97D94">
        <w:rPr>
          <w:rFonts w:ascii="Times New Roman" w:eastAsia="Times New Roman" w:hAnsi="Times New Roman" w:cs="Times New Roman"/>
          <w:sz w:val="24"/>
          <w:szCs w:val="24"/>
        </w:rPr>
        <w:t xml:space="preserve">The integrated analysis of geological, aeromagnetic, radiometric, and remote sensing datasets demonstrates that the </w:t>
      </w:r>
      <w:proofErr w:type="spellStart"/>
      <w:r w:rsidRPr="00D97D94">
        <w:rPr>
          <w:rFonts w:ascii="Times New Roman" w:eastAsia="Times New Roman" w:hAnsi="Times New Roman" w:cs="Times New Roman"/>
          <w:sz w:val="24"/>
          <w:szCs w:val="24"/>
        </w:rPr>
        <w:t>Ikole</w:t>
      </w:r>
      <w:proofErr w:type="spellEnd"/>
      <w:r w:rsidRPr="00D97D94">
        <w:rPr>
          <w:rFonts w:ascii="Times New Roman" w:eastAsia="Times New Roman" w:hAnsi="Times New Roman" w:cs="Times New Roman"/>
          <w:sz w:val="24"/>
          <w:szCs w:val="24"/>
        </w:rPr>
        <w:t>–</w:t>
      </w:r>
      <w:proofErr w:type="spellStart"/>
      <w:r w:rsidRPr="00D97D94">
        <w:rPr>
          <w:rFonts w:ascii="Times New Roman" w:eastAsia="Times New Roman" w:hAnsi="Times New Roman" w:cs="Times New Roman"/>
          <w:sz w:val="24"/>
          <w:szCs w:val="24"/>
        </w:rPr>
        <w:t>Itapaji</w:t>
      </w:r>
      <w:proofErr w:type="spellEnd"/>
      <w:r w:rsidRPr="00D97D94">
        <w:rPr>
          <w:rFonts w:ascii="Times New Roman" w:eastAsia="Times New Roman" w:hAnsi="Times New Roman" w:cs="Times New Roman"/>
          <w:sz w:val="24"/>
          <w:szCs w:val="24"/>
        </w:rPr>
        <w:t xml:space="preserve"> area within the Precambrian Basement Complex of southwestern Nigeria is structurally complex and highly prospective for mineralization. The dominant lithologies—migmatite, granite gneiss, granodiorite, and minor </w:t>
      </w:r>
      <w:proofErr w:type="spellStart"/>
      <w:r w:rsidRPr="00D97D94">
        <w:rPr>
          <w:rFonts w:ascii="Times New Roman" w:eastAsia="Times New Roman" w:hAnsi="Times New Roman" w:cs="Times New Roman"/>
          <w:sz w:val="24"/>
          <w:szCs w:val="24"/>
        </w:rPr>
        <w:t>charnockite</w:t>
      </w:r>
      <w:proofErr w:type="spellEnd"/>
      <w:r w:rsidRPr="00D97D94">
        <w:rPr>
          <w:rFonts w:ascii="Times New Roman" w:eastAsia="Times New Roman" w:hAnsi="Times New Roman" w:cs="Times New Roman"/>
          <w:sz w:val="24"/>
          <w:szCs w:val="24"/>
        </w:rPr>
        <w:t>—exhibit distinct geophysical and radiometric signatures that reflect variations in composition, structural competence, and tectono-metamorphic evolution.</w:t>
      </w:r>
      <w:r>
        <w:rPr>
          <w:rFonts w:ascii="Times New Roman" w:eastAsia="Times New Roman" w:hAnsi="Times New Roman" w:cs="Times New Roman"/>
          <w:sz w:val="24"/>
          <w:szCs w:val="24"/>
        </w:rPr>
        <w:t xml:space="preserve"> </w:t>
      </w:r>
      <w:r w:rsidRPr="00D97D94">
        <w:rPr>
          <w:rFonts w:ascii="Times New Roman" w:eastAsia="Times New Roman" w:hAnsi="Times New Roman" w:cs="Times New Roman"/>
          <w:sz w:val="24"/>
          <w:szCs w:val="24"/>
        </w:rPr>
        <w:t xml:space="preserve">Remote sensing-derived lineament analysis reveals a well-developed fracture network, with high lineament density concentrated along the </w:t>
      </w:r>
      <w:proofErr w:type="spellStart"/>
      <w:r w:rsidRPr="00D97D94">
        <w:rPr>
          <w:rFonts w:ascii="Times New Roman" w:eastAsia="Times New Roman" w:hAnsi="Times New Roman" w:cs="Times New Roman"/>
          <w:sz w:val="24"/>
          <w:szCs w:val="24"/>
        </w:rPr>
        <w:t>Itapaji</w:t>
      </w:r>
      <w:proofErr w:type="spellEnd"/>
      <w:r w:rsidRPr="00D97D94">
        <w:rPr>
          <w:rFonts w:ascii="Times New Roman" w:eastAsia="Times New Roman" w:hAnsi="Times New Roman" w:cs="Times New Roman"/>
          <w:sz w:val="24"/>
          <w:szCs w:val="24"/>
        </w:rPr>
        <w:t>–</w:t>
      </w:r>
      <w:proofErr w:type="spellStart"/>
      <w:r w:rsidRPr="00D97D94">
        <w:rPr>
          <w:rFonts w:ascii="Times New Roman" w:eastAsia="Times New Roman" w:hAnsi="Times New Roman" w:cs="Times New Roman"/>
          <w:sz w:val="24"/>
          <w:szCs w:val="24"/>
        </w:rPr>
        <w:t>Bolorunduro</w:t>
      </w:r>
      <w:proofErr w:type="spellEnd"/>
      <w:r w:rsidRPr="00D97D94">
        <w:rPr>
          <w:rFonts w:ascii="Times New Roman" w:eastAsia="Times New Roman" w:hAnsi="Times New Roman" w:cs="Times New Roman"/>
          <w:sz w:val="24"/>
          <w:szCs w:val="24"/>
        </w:rPr>
        <w:t xml:space="preserve"> axis and a secondary cluster near </w:t>
      </w:r>
      <w:proofErr w:type="spellStart"/>
      <w:r w:rsidRPr="00D97D94">
        <w:rPr>
          <w:rFonts w:ascii="Times New Roman" w:eastAsia="Times New Roman" w:hAnsi="Times New Roman" w:cs="Times New Roman"/>
          <w:sz w:val="24"/>
          <w:szCs w:val="24"/>
        </w:rPr>
        <w:t>Ikole</w:t>
      </w:r>
      <w:proofErr w:type="spellEnd"/>
      <w:r w:rsidRPr="00D97D94">
        <w:rPr>
          <w:rFonts w:ascii="Times New Roman" w:eastAsia="Times New Roman" w:hAnsi="Times New Roman" w:cs="Times New Roman"/>
          <w:sz w:val="24"/>
          <w:szCs w:val="24"/>
        </w:rPr>
        <w:t>. The dominant structural trends (E–W to ENE–WSW, with subordinate N–S and NW–SE orientations) represent major zones of crustal weakness that have undergone multiple phases of reactivation. The strong spatial correspondence between lineaments and lithological units confirms that deformation is largely controlled by the mechanical properties of the host rocks, particularly the brittle response of granite gneiss and migmatite.</w:t>
      </w:r>
      <w:r w:rsidR="00C37044">
        <w:rPr>
          <w:rFonts w:ascii="Times New Roman" w:eastAsia="Times New Roman" w:hAnsi="Times New Roman" w:cs="Times New Roman"/>
          <w:sz w:val="24"/>
          <w:szCs w:val="24"/>
        </w:rPr>
        <w:t xml:space="preserve"> </w:t>
      </w:r>
      <w:r w:rsidRPr="00D97D94">
        <w:rPr>
          <w:rFonts w:ascii="Times New Roman" w:eastAsia="Times New Roman" w:hAnsi="Times New Roman" w:cs="Times New Roman"/>
          <w:sz w:val="24"/>
          <w:szCs w:val="24"/>
        </w:rPr>
        <w:t xml:space="preserve">The integration of lineament density, potassium deviation, and Euler deconvolution reveals that these structures are deeply rooted and extend into the subsurface. Euler depth solutions indicate that the causative magnetic sources—and by implication, the mineralized zones—occur predominantly at shallow to intermediate depths of approximately </w:t>
      </w:r>
      <w:r w:rsidRPr="00D97D94">
        <w:rPr>
          <w:rFonts w:ascii="Times New Roman" w:eastAsia="Times New Roman" w:hAnsi="Times New Roman" w:cs="Times New Roman"/>
          <w:bCs/>
          <w:sz w:val="24"/>
          <w:szCs w:val="24"/>
        </w:rPr>
        <w:t>0.5 to 2.5 km</w:t>
      </w:r>
      <w:r w:rsidRPr="00D97D94">
        <w:rPr>
          <w:rFonts w:ascii="Times New Roman" w:eastAsia="Times New Roman" w:hAnsi="Times New Roman" w:cs="Times New Roman"/>
          <w:sz w:val="24"/>
          <w:szCs w:val="24"/>
        </w:rPr>
        <w:t>. The clustering of shallow Euler solutions along major lineaments confirms that these faults and fractures act as conduits for hydrothermal fluids.</w:t>
      </w:r>
      <w:r>
        <w:rPr>
          <w:rFonts w:ascii="Times New Roman" w:eastAsia="Times New Roman" w:hAnsi="Times New Roman" w:cs="Times New Roman"/>
          <w:sz w:val="24"/>
          <w:szCs w:val="24"/>
        </w:rPr>
        <w:t xml:space="preserve"> </w:t>
      </w:r>
      <w:r w:rsidRPr="00D97D94">
        <w:rPr>
          <w:rFonts w:ascii="Times New Roman" w:eastAsia="Times New Roman" w:hAnsi="Times New Roman" w:cs="Times New Roman"/>
          <w:sz w:val="24"/>
          <w:szCs w:val="24"/>
        </w:rPr>
        <w:t>Radiometric anomalies, pa</w:t>
      </w:r>
      <w:r>
        <w:rPr>
          <w:rFonts w:ascii="Times New Roman" w:eastAsia="Times New Roman" w:hAnsi="Times New Roman" w:cs="Times New Roman"/>
          <w:sz w:val="24"/>
          <w:szCs w:val="24"/>
        </w:rPr>
        <w:t xml:space="preserve">rticularly potassium enrichment, </w:t>
      </w:r>
      <w:r w:rsidRPr="00D97D9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D97D94">
        <w:rPr>
          <w:rFonts w:ascii="Times New Roman" w:eastAsia="Times New Roman" w:hAnsi="Times New Roman" w:cs="Times New Roman"/>
          <w:sz w:val="24"/>
          <w:szCs w:val="24"/>
        </w:rPr>
        <w:t xml:space="preserve">indicate zones of </w:t>
      </w:r>
      <w:r w:rsidRPr="00D97D94">
        <w:rPr>
          <w:rFonts w:ascii="Times New Roman" w:eastAsia="Times New Roman" w:hAnsi="Times New Roman" w:cs="Times New Roman"/>
          <w:bCs/>
          <w:sz w:val="24"/>
          <w:szCs w:val="24"/>
        </w:rPr>
        <w:t>potassic hydrothermal alteration</w:t>
      </w:r>
      <w:r w:rsidRPr="00D97D94">
        <w:rPr>
          <w:rFonts w:ascii="Times New Roman" w:eastAsia="Times New Roman" w:hAnsi="Times New Roman" w:cs="Times New Roman"/>
          <w:sz w:val="24"/>
          <w:szCs w:val="24"/>
        </w:rPr>
        <w:t xml:space="preserve">. These signatures, when integrated with structural and magnetic data, reveal that the study area is dominated by </w:t>
      </w:r>
      <w:r w:rsidRPr="00D97D94">
        <w:rPr>
          <w:rFonts w:ascii="Times New Roman" w:eastAsia="Times New Roman" w:hAnsi="Times New Roman" w:cs="Times New Roman"/>
          <w:bCs/>
          <w:sz w:val="24"/>
          <w:szCs w:val="24"/>
        </w:rPr>
        <w:t>structurally controlled hydrothermal mineralization</w:t>
      </w:r>
      <w:r w:rsidRPr="00D97D94">
        <w:rPr>
          <w:rFonts w:ascii="Times New Roman" w:eastAsia="Times New Roman" w:hAnsi="Times New Roman" w:cs="Times New Roman"/>
          <w:sz w:val="24"/>
          <w:szCs w:val="24"/>
        </w:rPr>
        <w:t xml:space="preserve">, spatially associated with </w:t>
      </w:r>
      <w:r w:rsidRPr="00D97D94">
        <w:rPr>
          <w:rFonts w:ascii="Times New Roman" w:eastAsia="Times New Roman" w:hAnsi="Times New Roman" w:cs="Times New Roman"/>
          <w:bCs/>
          <w:sz w:val="24"/>
          <w:szCs w:val="24"/>
        </w:rPr>
        <w:t>quartz veins and pegmatitic intrusions</w:t>
      </w:r>
      <w:r w:rsidRPr="00D97D94">
        <w:rPr>
          <w:rFonts w:ascii="Times New Roman" w:eastAsia="Times New Roman" w:hAnsi="Times New Roman" w:cs="Times New Roman"/>
          <w:sz w:val="24"/>
          <w:szCs w:val="24"/>
        </w:rPr>
        <w:t xml:space="preserve">. At the identified depth range, such mineralization is typically associated with </w:t>
      </w:r>
      <w:r w:rsidRPr="00D97D94">
        <w:rPr>
          <w:rFonts w:ascii="Times New Roman" w:eastAsia="Times New Roman" w:hAnsi="Times New Roman" w:cs="Times New Roman"/>
          <w:bCs/>
          <w:sz w:val="24"/>
          <w:szCs w:val="24"/>
        </w:rPr>
        <w:t>gold mineralization within quartz veins</w:t>
      </w:r>
      <w:r w:rsidRPr="00D97D94">
        <w:rPr>
          <w:rFonts w:ascii="Times New Roman" w:eastAsia="Times New Roman" w:hAnsi="Times New Roman" w:cs="Times New Roman"/>
          <w:sz w:val="24"/>
          <w:szCs w:val="24"/>
        </w:rPr>
        <w:t xml:space="preserve">, as well as </w:t>
      </w:r>
      <w:r w:rsidRPr="00D97D94">
        <w:rPr>
          <w:rFonts w:ascii="Times New Roman" w:eastAsia="Times New Roman" w:hAnsi="Times New Roman" w:cs="Times New Roman"/>
          <w:bCs/>
          <w:sz w:val="24"/>
          <w:szCs w:val="24"/>
        </w:rPr>
        <w:t>rare-metal pegmatite minerals</w:t>
      </w:r>
      <w:r w:rsidRPr="00D97D94">
        <w:rPr>
          <w:rFonts w:ascii="Times New Roman" w:eastAsia="Times New Roman" w:hAnsi="Times New Roman" w:cs="Times New Roman"/>
          <w:sz w:val="24"/>
          <w:szCs w:val="24"/>
        </w:rPr>
        <w:t xml:space="preserve"> such as </w:t>
      </w:r>
      <w:r w:rsidRPr="00D97D94">
        <w:rPr>
          <w:rFonts w:ascii="Times New Roman" w:eastAsia="Times New Roman" w:hAnsi="Times New Roman" w:cs="Times New Roman"/>
          <w:bCs/>
          <w:sz w:val="24"/>
          <w:szCs w:val="24"/>
        </w:rPr>
        <w:t>columbite–tantalite, cassiterite, and spodumene</w:t>
      </w:r>
      <w:r w:rsidRPr="00D97D94">
        <w:rPr>
          <w:rFonts w:ascii="Times New Roman" w:eastAsia="Times New Roman" w:hAnsi="Times New Roman" w:cs="Times New Roman"/>
          <w:sz w:val="24"/>
          <w:szCs w:val="24"/>
        </w:rPr>
        <w:t xml:space="preserve">, alongside accessory minerals like </w:t>
      </w:r>
      <w:r w:rsidRPr="00D97D94">
        <w:rPr>
          <w:rFonts w:ascii="Times New Roman" w:eastAsia="Times New Roman" w:hAnsi="Times New Roman" w:cs="Times New Roman"/>
          <w:bCs/>
          <w:sz w:val="24"/>
          <w:szCs w:val="24"/>
        </w:rPr>
        <w:t>feldspar and mica</w:t>
      </w:r>
      <w:r w:rsidRPr="00D97D9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D97D94">
        <w:rPr>
          <w:rFonts w:ascii="Times New Roman" w:eastAsia="Times New Roman" w:hAnsi="Times New Roman" w:cs="Times New Roman"/>
          <w:sz w:val="24"/>
          <w:szCs w:val="24"/>
        </w:rPr>
        <w:t xml:space="preserve">The convergence of high lineament density, shallow magnetic sources, and strong radiometric anomalies along the </w:t>
      </w:r>
      <w:proofErr w:type="spellStart"/>
      <w:r w:rsidRPr="00D97D94">
        <w:rPr>
          <w:rFonts w:ascii="Times New Roman" w:eastAsia="Times New Roman" w:hAnsi="Times New Roman" w:cs="Times New Roman"/>
          <w:sz w:val="24"/>
          <w:szCs w:val="24"/>
        </w:rPr>
        <w:t>Itapaji</w:t>
      </w:r>
      <w:proofErr w:type="spellEnd"/>
      <w:r w:rsidRPr="00D97D94">
        <w:rPr>
          <w:rFonts w:ascii="Times New Roman" w:eastAsia="Times New Roman" w:hAnsi="Times New Roman" w:cs="Times New Roman"/>
          <w:sz w:val="24"/>
          <w:szCs w:val="24"/>
        </w:rPr>
        <w:t>–</w:t>
      </w:r>
      <w:proofErr w:type="spellStart"/>
      <w:r w:rsidRPr="00D97D94">
        <w:rPr>
          <w:rFonts w:ascii="Times New Roman" w:eastAsia="Times New Roman" w:hAnsi="Times New Roman" w:cs="Times New Roman"/>
          <w:sz w:val="24"/>
          <w:szCs w:val="24"/>
        </w:rPr>
        <w:t>Bolorunduro</w:t>
      </w:r>
      <w:proofErr w:type="spellEnd"/>
      <w:r w:rsidRPr="00D97D94">
        <w:rPr>
          <w:rFonts w:ascii="Times New Roman" w:eastAsia="Times New Roman" w:hAnsi="Times New Roman" w:cs="Times New Roman"/>
          <w:sz w:val="24"/>
          <w:szCs w:val="24"/>
        </w:rPr>
        <w:t xml:space="preserve"> corridor identifies this zone as the most prospective target for mineral exploration. Overall, this study demonstrates that the integration of aeromagnetic, radiometric, and remote sensing techniques provides a robust and reliable approach for delineating structurally controlled mineralization in Precambrian basement terrains and significantly enhances predictive exploration targeting.</w:t>
      </w:r>
    </w:p>
    <w:p w14:paraId="047C77C1" w14:textId="42C64EC3" w:rsidR="000B7771" w:rsidRDefault="000B7771" w:rsidP="0019793B">
      <w:pPr>
        <w:pStyle w:val="Heading2"/>
        <w:rPr>
          <w:rStyle w:val="Strong"/>
          <w:rFonts w:ascii="Times New Roman" w:hAnsi="Times New Roman" w:cs="Times New Roman"/>
          <w:bCs w:val="0"/>
          <w:color w:val="auto"/>
          <w:sz w:val="24"/>
          <w:szCs w:val="24"/>
        </w:rPr>
      </w:pPr>
      <w:r w:rsidRPr="000B7771">
        <w:rPr>
          <w:rStyle w:val="Strong"/>
          <w:rFonts w:ascii="Times New Roman" w:hAnsi="Times New Roman" w:cs="Times New Roman"/>
          <w:bCs w:val="0"/>
          <w:color w:val="auto"/>
          <w:sz w:val="24"/>
          <w:szCs w:val="24"/>
        </w:rPr>
        <w:t>Recommendations</w:t>
      </w:r>
    </w:p>
    <w:p w14:paraId="4CC85F3D" w14:textId="78A96D9A" w:rsidR="00D84509" w:rsidRPr="00234743" w:rsidRDefault="00D84509" w:rsidP="0019793B">
      <w:pPr>
        <w:rPr>
          <w:rFonts w:ascii="Times New Roman" w:hAnsi="Times New Roman" w:cs="Times New Roman"/>
          <w:sz w:val="24"/>
          <w:szCs w:val="24"/>
        </w:rPr>
      </w:pPr>
      <w:r w:rsidRPr="00234743">
        <w:rPr>
          <w:rFonts w:ascii="Times New Roman" w:hAnsi="Times New Roman" w:cs="Times New Roman"/>
          <w:sz w:val="24"/>
          <w:szCs w:val="24"/>
        </w:rPr>
        <w:t>The work above is part of an ongoing PhD research work and therefore represent</w:t>
      </w:r>
      <w:r w:rsidR="00907713">
        <w:rPr>
          <w:rFonts w:ascii="Times New Roman" w:hAnsi="Times New Roman" w:cs="Times New Roman"/>
          <w:sz w:val="24"/>
          <w:szCs w:val="24"/>
        </w:rPr>
        <w:t>s</w:t>
      </w:r>
      <w:r w:rsidRPr="00234743">
        <w:rPr>
          <w:rFonts w:ascii="Times New Roman" w:hAnsi="Times New Roman" w:cs="Times New Roman"/>
          <w:sz w:val="24"/>
          <w:szCs w:val="24"/>
        </w:rPr>
        <w:t xml:space="preserve"> an interim report of the initial findings in the study area. However, the following recommendations are noted for follow-up: </w:t>
      </w:r>
    </w:p>
    <w:p w14:paraId="360AE6E1" w14:textId="77777777" w:rsidR="000B7771" w:rsidRPr="000B7771" w:rsidRDefault="000B7771" w:rsidP="0019793B">
      <w:pPr>
        <w:numPr>
          <w:ilvl w:val="0"/>
          <w:numId w:val="2"/>
        </w:numPr>
        <w:spacing w:before="100" w:beforeAutospacing="1" w:after="100" w:afterAutospacing="1" w:line="240" w:lineRule="auto"/>
        <w:rPr>
          <w:rFonts w:ascii="Times New Roman" w:hAnsi="Times New Roman" w:cs="Times New Roman"/>
          <w:sz w:val="24"/>
          <w:szCs w:val="24"/>
        </w:rPr>
      </w:pPr>
      <w:r w:rsidRPr="00B41309">
        <w:rPr>
          <w:rStyle w:val="Strong"/>
          <w:rFonts w:ascii="Times New Roman" w:hAnsi="Times New Roman" w:cs="Times New Roman"/>
          <w:b w:val="0"/>
          <w:sz w:val="24"/>
          <w:szCs w:val="24"/>
        </w:rPr>
        <w:lastRenderedPageBreak/>
        <w:t>Targeted Ground Geophysical Surveys</w:t>
      </w:r>
      <w:r w:rsidRPr="000B7771">
        <w:rPr>
          <w:rFonts w:ascii="Times New Roman" w:hAnsi="Times New Roman" w:cs="Times New Roman"/>
          <w:sz w:val="24"/>
          <w:szCs w:val="24"/>
        </w:rPr>
        <w:br/>
        <w:t xml:space="preserve">The </w:t>
      </w:r>
      <w:proofErr w:type="spellStart"/>
      <w:r w:rsidRPr="000B7771">
        <w:rPr>
          <w:rFonts w:ascii="Times New Roman" w:hAnsi="Times New Roman" w:cs="Times New Roman"/>
          <w:sz w:val="24"/>
          <w:szCs w:val="24"/>
        </w:rPr>
        <w:t>Itapaji</w:t>
      </w:r>
      <w:proofErr w:type="spellEnd"/>
      <w:r w:rsidRPr="000B7771">
        <w:rPr>
          <w:rFonts w:ascii="Times New Roman" w:hAnsi="Times New Roman" w:cs="Times New Roman"/>
          <w:sz w:val="24"/>
          <w:szCs w:val="24"/>
        </w:rPr>
        <w:t>–</w:t>
      </w:r>
      <w:proofErr w:type="spellStart"/>
      <w:r w:rsidRPr="000B7771">
        <w:rPr>
          <w:rFonts w:ascii="Times New Roman" w:hAnsi="Times New Roman" w:cs="Times New Roman"/>
          <w:sz w:val="24"/>
          <w:szCs w:val="24"/>
        </w:rPr>
        <w:t>Bolorunduro</w:t>
      </w:r>
      <w:proofErr w:type="spellEnd"/>
      <w:r w:rsidRPr="000B7771">
        <w:rPr>
          <w:rFonts w:ascii="Times New Roman" w:hAnsi="Times New Roman" w:cs="Times New Roman"/>
          <w:sz w:val="24"/>
          <w:szCs w:val="24"/>
        </w:rPr>
        <w:t xml:space="preserve"> corridor and other high lineament density zones should be further investigated using ground-based geophysical methods such as electrical resistivity, induced polarization (IP), and high-resolution magnetic surveys to refine subsurface structures and confirm mineralization targets. </w:t>
      </w:r>
    </w:p>
    <w:p w14:paraId="5B480F51" w14:textId="77777777" w:rsidR="000B7771" w:rsidRPr="000B7771" w:rsidRDefault="000B7771" w:rsidP="0019793B">
      <w:pPr>
        <w:numPr>
          <w:ilvl w:val="0"/>
          <w:numId w:val="2"/>
        </w:numPr>
        <w:spacing w:before="100" w:beforeAutospacing="1" w:after="100" w:afterAutospacing="1" w:line="240" w:lineRule="auto"/>
        <w:rPr>
          <w:rFonts w:ascii="Times New Roman" w:hAnsi="Times New Roman" w:cs="Times New Roman"/>
          <w:sz w:val="24"/>
          <w:szCs w:val="24"/>
        </w:rPr>
      </w:pPr>
      <w:r w:rsidRPr="00B41309">
        <w:rPr>
          <w:rStyle w:val="Strong"/>
          <w:rFonts w:ascii="Times New Roman" w:hAnsi="Times New Roman" w:cs="Times New Roman"/>
          <w:b w:val="0"/>
          <w:sz w:val="24"/>
          <w:szCs w:val="24"/>
        </w:rPr>
        <w:t>Detailed Structural and Field Mapping</w:t>
      </w:r>
      <w:r w:rsidRPr="000B7771">
        <w:rPr>
          <w:rFonts w:ascii="Times New Roman" w:hAnsi="Times New Roman" w:cs="Times New Roman"/>
          <w:sz w:val="24"/>
          <w:szCs w:val="24"/>
        </w:rPr>
        <w:br/>
        <w:t xml:space="preserve">Field validation of the mapped lineaments should be carried out to confirm fault orientations, fracture systems, and structural intersections, particularly in zones of high Euler solution clustering. </w:t>
      </w:r>
    </w:p>
    <w:p w14:paraId="76807E80" w14:textId="77777777" w:rsidR="000B7771" w:rsidRPr="000B7771" w:rsidRDefault="000B7771" w:rsidP="0019793B">
      <w:pPr>
        <w:numPr>
          <w:ilvl w:val="0"/>
          <w:numId w:val="2"/>
        </w:numPr>
        <w:spacing w:before="100" w:beforeAutospacing="1" w:after="100" w:afterAutospacing="1" w:line="240" w:lineRule="auto"/>
        <w:rPr>
          <w:rFonts w:ascii="Times New Roman" w:hAnsi="Times New Roman" w:cs="Times New Roman"/>
          <w:sz w:val="24"/>
          <w:szCs w:val="24"/>
        </w:rPr>
      </w:pPr>
      <w:r w:rsidRPr="00B41309">
        <w:rPr>
          <w:rStyle w:val="Strong"/>
          <w:rFonts w:ascii="Times New Roman" w:hAnsi="Times New Roman" w:cs="Times New Roman"/>
          <w:b w:val="0"/>
          <w:sz w:val="24"/>
          <w:szCs w:val="24"/>
        </w:rPr>
        <w:t>Geochemical Exploration</w:t>
      </w:r>
      <w:r w:rsidRPr="000B7771">
        <w:rPr>
          <w:rFonts w:ascii="Times New Roman" w:hAnsi="Times New Roman" w:cs="Times New Roman"/>
          <w:sz w:val="24"/>
          <w:szCs w:val="24"/>
        </w:rPr>
        <w:br/>
        <w:t xml:space="preserve">Systematic rock, soil, and stream sediment sampling should be conducted in areas of potassium enrichment and radiometric anomalies to detect geochemical signatures of hydrothermal alteration and possible ore mineralization. </w:t>
      </w:r>
    </w:p>
    <w:p w14:paraId="3A81D9CE" w14:textId="77777777" w:rsidR="000B7771" w:rsidRPr="000B7771" w:rsidRDefault="000B7771" w:rsidP="0019793B">
      <w:pPr>
        <w:numPr>
          <w:ilvl w:val="0"/>
          <w:numId w:val="2"/>
        </w:numPr>
        <w:spacing w:before="100" w:beforeAutospacing="1" w:after="100" w:afterAutospacing="1" w:line="240" w:lineRule="auto"/>
        <w:rPr>
          <w:rFonts w:ascii="Times New Roman" w:hAnsi="Times New Roman" w:cs="Times New Roman"/>
          <w:sz w:val="24"/>
          <w:szCs w:val="24"/>
        </w:rPr>
      </w:pPr>
      <w:r w:rsidRPr="00B41309">
        <w:rPr>
          <w:rStyle w:val="Strong"/>
          <w:rFonts w:ascii="Times New Roman" w:hAnsi="Times New Roman" w:cs="Times New Roman"/>
          <w:b w:val="0"/>
          <w:sz w:val="24"/>
          <w:szCs w:val="24"/>
        </w:rPr>
        <w:t>Exploratory Drilling</w:t>
      </w:r>
      <w:r w:rsidRPr="000B7771">
        <w:rPr>
          <w:rFonts w:ascii="Times New Roman" w:hAnsi="Times New Roman" w:cs="Times New Roman"/>
          <w:sz w:val="24"/>
          <w:szCs w:val="24"/>
        </w:rPr>
        <w:br/>
        <w:t xml:space="preserve">Priority drill targets should be established along the </w:t>
      </w:r>
      <w:proofErr w:type="spellStart"/>
      <w:r w:rsidRPr="000B7771">
        <w:rPr>
          <w:rFonts w:ascii="Times New Roman" w:hAnsi="Times New Roman" w:cs="Times New Roman"/>
          <w:sz w:val="24"/>
          <w:szCs w:val="24"/>
        </w:rPr>
        <w:t>Itapaji</w:t>
      </w:r>
      <w:proofErr w:type="spellEnd"/>
      <w:r w:rsidRPr="000B7771">
        <w:rPr>
          <w:rFonts w:ascii="Times New Roman" w:hAnsi="Times New Roman" w:cs="Times New Roman"/>
          <w:sz w:val="24"/>
          <w:szCs w:val="24"/>
        </w:rPr>
        <w:t>–</w:t>
      </w:r>
      <w:proofErr w:type="spellStart"/>
      <w:r w:rsidRPr="000B7771">
        <w:rPr>
          <w:rFonts w:ascii="Times New Roman" w:hAnsi="Times New Roman" w:cs="Times New Roman"/>
          <w:sz w:val="24"/>
          <w:szCs w:val="24"/>
        </w:rPr>
        <w:t>Bolorunduro</w:t>
      </w:r>
      <w:proofErr w:type="spellEnd"/>
      <w:r w:rsidRPr="000B7771">
        <w:rPr>
          <w:rFonts w:ascii="Times New Roman" w:hAnsi="Times New Roman" w:cs="Times New Roman"/>
          <w:sz w:val="24"/>
          <w:szCs w:val="24"/>
        </w:rPr>
        <w:t xml:space="preserve"> structural corridor where geophysical, radiometric, and structural indicators converge, to determine subsurface mineral potential and ore continuity. </w:t>
      </w:r>
    </w:p>
    <w:p w14:paraId="228D7D7E" w14:textId="77777777" w:rsidR="000B7771" w:rsidRPr="000B7771" w:rsidRDefault="000B7771" w:rsidP="0019793B">
      <w:pPr>
        <w:numPr>
          <w:ilvl w:val="0"/>
          <w:numId w:val="2"/>
        </w:numPr>
        <w:spacing w:before="100" w:beforeAutospacing="1" w:after="100" w:afterAutospacing="1" w:line="240" w:lineRule="auto"/>
        <w:rPr>
          <w:rFonts w:ascii="Times New Roman" w:hAnsi="Times New Roman" w:cs="Times New Roman"/>
          <w:sz w:val="24"/>
          <w:szCs w:val="24"/>
        </w:rPr>
      </w:pPr>
      <w:r w:rsidRPr="00B41309">
        <w:rPr>
          <w:rStyle w:val="Strong"/>
          <w:rFonts w:ascii="Times New Roman" w:hAnsi="Times New Roman" w:cs="Times New Roman"/>
          <w:b w:val="0"/>
          <w:sz w:val="24"/>
          <w:szCs w:val="24"/>
        </w:rPr>
        <w:t>Integrated Exploration Strategy</w:t>
      </w:r>
      <w:r w:rsidRPr="000B7771">
        <w:rPr>
          <w:rFonts w:ascii="Times New Roman" w:hAnsi="Times New Roman" w:cs="Times New Roman"/>
          <w:sz w:val="24"/>
          <w:szCs w:val="24"/>
        </w:rPr>
        <w:br/>
        <w:t xml:space="preserve">Future mineral exploration programs in basement terrains should adopt an integrated approach combining remote sensing, aeromagnetic, and radiometric techniques, as this study has demonstrated their effectiveness in delineating structurally controlled mineralization zones. </w:t>
      </w:r>
    </w:p>
    <w:p w14:paraId="29141375" w14:textId="77777777" w:rsidR="000B7771" w:rsidRDefault="000B7771" w:rsidP="0019793B">
      <w:pPr>
        <w:numPr>
          <w:ilvl w:val="0"/>
          <w:numId w:val="2"/>
        </w:numPr>
        <w:spacing w:before="100" w:beforeAutospacing="1" w:after="100" w:afterAutospacing="1" w:line="240" w:lineRule="auto"/>
        <w:rPr>
          <w:rFonts w:ascii="Times New Roman" w:hAnsi="Times New Roman" w:cs="Times New Roman"/>
          <w:sz w:val="24"/>
          <w:szCs w:val="24"/>
        </w:rPr>
      </w:pPr>
      <w:r w:rsidRPr="00B41309">
        <w:rPr>
          <w:rStyle w:val="Strong"/>
          <w:rFonts w:ascii="Times New Roman" w:hAnsi="Times New Roman" w:cs="Times New Roman"/>
          <w:b w:val="0"/>
          <w:sz w:val="24"/>
          <w:szCs w:val="24"/>
        </w:rPr>
        <w:t>3D Subsurface Modeling</w:t>
      </w:r>
      <w:r w:rsidRPr="000B7771">
        <w:rPr>
          <w:rFonts w:ascii="Times New Roman" w:hAnsi="Times New Roman" w:cs="Times New Roman"/>
          <w:sz w:val="24"/>
          <w:szCs w:val="24"/>
        </w:rPr>
        <w:br/>
        <w:t>Advanced 2D and 3D inversion and modeling of geophysical data should be undertaken to better constrain the geometry, depth, and extent of subsurface structures and potential mineralized bodies.</w:t>
      </w:r>
    </w:p>
    <w:p w14:paraId="5270108D" w14:textId="3134EEAA" w:rsidR="00D32B07" w:rsidRPr="00D32B07" w:rsidRDefault="00D32B07" w:rsidP="00D32B07">
      <w:pPr>
        <w:pStyle w:val="Heading2"/>
        <w:jc w:val="both"/>
        <w:rPr>
          <w:rFonts w:ascii="Times New Roman" w:hAnsi="Times New Roman" w:cs="Times New Roman"/>
          <w:color w:val="auto"/>
          <w:sz w:val="24"/>
          <w:szCs w:val="24"/>
        </w:rPr>
      </w:pPr>
      <w:r w:rsidRPr="00D32B07">
        <w:rPr>
          <w:rFonts w:ascii="Times New Roman" w:hAnsi="Times New Roman" w:cs="Times New Roman"/>
          <w:b/>
          <w:color w:val="auto"/>
          <w:sz w:val="24"/>
          <w:szCs w:val="24"/>
        </w:rPr>
        <w:t>Limitations</w:t>
      </w:r>
    </w:p>
    <w:p w14:paraId="3037CE0F" w14:textId="77777777" w:rsidR="00D32B07" w:rsidRPr="00D32B07" w:rsidRDefault="00D32B07" w:rsidP="00D32B07">
      <w:pPr>
        <w:spacing w:before="100" w:beforeAutospacing="1" w:after="100" w:afterAutospacing="1" w:line="240" w:lineRule="auto"/>
        <w:jc w:val="both"/>
        <w:rPr>
          <w:rFonts w:ascii="Times New Roman" w:eastAsia="Times New Roman" w:hAnsi="Times New Roman" w:cs="Times New Roman"/>
          <w:sz w:val="24"/>
          <w:szCs w:val="24"/>
        </w:rPr>
      </w:pPr>
      <w:r w:rsidRPr="00D32B07">
        <w:rPr>
          <w:rFonts w:ascii="Times New Roman" w:eastAsia="Times New Roman" w:hAnsi="Times New Roman" w:cs="Times New Roman"/>
          <w:sz w:val="24"/>
          <w:szCs w:val="24"/>
        </w:rPr>
        <w:t>Despite the effectiveness of the integrated aeromagnetic, radiometric, and remote sensing approach adopted in this study, certain limitations should be acknowledged. The spatial resolution of the aeromagnetic and Landsat datasets imposes constraints on the detection and characterization of very small-scale or deeply buried structures, particularly in areas with complex basement geology. As a result, some subtle structural features may not be fully resolved.</w:t>
      </w:r>
    </w:p>
    <w:p w14:paraId="67E8F14F" w14:textId="77777777" w:rsidR="00D32B07" w:rsidRPr="00D32B07" w:rsidRDefault="00D32B07" w:rsidP="00D32B07">
      <w:pPr>
        <w:spacing w:before="100" w:beforeAutospacing="1" w:after="100" w:afterAutospacing="1" w:line="240" w:lineRule="auto"/>
        <w:jc w:val="both"/>
        <w:rPr>
          <w:rFonts w:ascii="Times New Roman" w:eastAsia="Times New Roman" w:hAnsi="Times New Roman" w:cs="Times New Roman"/>
          <w:sz w:val="24"/>
          <w:szCs w:val="24"/>
        </w:rPr>
      </w:pPr>
      <w:r w:rsidRPr="00D32B07">
        <w:rPr>
          <w:rFonts w:ascii="Times New Roman" w:eastAsia="Times New Roman" w:hAnsi="Times New Roman" w:cs="Times New Roman"/>
          <w:sz w:val="24"/>
          <w:szCs w:val="24"/>
        </w:rPr>
        <w:t>In addition, the extraction and interpretation of lineaments from remote sensing data involve a degree of subjectivity, even when supported by enhancement and filtering techniques. This may introduce minor variations in lineament mapping and density estimation. The radiometric data are also influenced by surface conditions such as weathering, soil cover, and regolith development, which can partially obscure primary lithological signatures and affect radioelement concentrations.</w:t>
      </w:r>
    </w:p>
    <w:p w14:paraId="6E7E580F" w14:textId="77777777" w:rsidR="00D32B07" w:rsidRPr="00D32B07" w:rsidRDefault="00D32B07" w:rsidP="00D32B07">
      <w:pPr>
        <w:spacing w:before="100" w:beforeAutospacing="1" w:after="100" w:afterAutospacing="1" w:line="240" w:lineRule="auto"/>
        <w:jc w:val="both"/>
        <w:rPr>
          <w:rFonts w:ascii="Times New Roman" w:eastAsia="Times New Roman" w:hAnsi="Times New Roman" w:cs="Times New Roman"/>
          <w:sz w:val="24"/>
          <w:szCs w:val="24"/>
        </w:rPr>
      </w:pPr>
      <w:r w:rsidRPr="00D32B07">
        <w:rPr>
          <w:rFonts w:ascii="Times New Roman" w:eastAsia="Times New Roman" w:hAnsi="Times New Roman" w:cs="Times New Roman"/>
          <w:sz w:val="24"/>
          <w:szCs w:val="24"/>
        </w:rPr>
        <w:t>Furthermore, the absence of ground-truth structural measurements, geochemical sampling, or borehole validation limits the direct confirmation of the interpreted subsurface structures and geophysical anomalies. Finally, the integration of datasets with different spatial resolutions and sensitivities introduces inherent uncertainties, which should be considered when interpreting the combined results.</w:t>
      </w:r>
    </w:p>
    <w:p w14:paraId="53197233" w14:textId="77777777" w:rsidR="00EA7298" w:rsidRDefault="00EA7298" w:rsidP="0019793B">
      <w:pPr>
        <w:pStyle w:val="Heading3"/>
        <w:rPr>
          <w:color w:val="000000" w:themeColor="text1"/>
        </w:rPr>
      </w:pPr>
    </w:p>
    <w:p w14:paraId="0879BF35" w14:textId="77777777" w:rsidR="00EA7298" w:rsidRDefault="00EA7298" w:rsidP="0019793B">
      <w:pPr>
        <w:pStyle w:val="Heading3"/>
        <w:rPr>
          <w:color w:val="000000" w:themeColor="text1"/>
        </w:rPr>
      </w:pPr>
    </w:p>
    <w:p w14:paraId="19936410" w14:textId="77777777" w:rsidR="005F416A" w:rsidRDefault="005F416A" w:rsidP="0019793B">
      <w:pPr>
        <w:pStyle w:val="Heading3"/>
        <w:rPr>
          <w:color w:val="000000" w:themeColor="text1"/>
        </w:rPr>
      </w:pPr>
    </w:p>
    <w:p w14:paraId="0B04B319" w14:textId="77777777" w:rsidR="005F416A" w:rsidRDefault="005F416A" w:rsidP="0019793B">
      <w:pPr>
        <w:pStyle w:val="Heading3"/>
        <w:rPr>
          <w:color w:val="000000" w:themeColor="text1"/>
        </w:rPr>
      </w:pPr>
    </w:p>
    <w:p w14:paraId="49ADE14E" w14:textId="77777777" w:rsidR="005F416A" w:rsidRDefault="005F416A" w:rsidP="0019793B">
      <w:pPr>
        <w:pStyle w:val="Heading3"/>
        <w:rPr>
          <w:color w:val="000000" w:themeColor="text1"/>
        </w:rPr>
      </w:pPr>
    </w:p>
    <w:p w14:paraId="7921E850" w14:textId="77777777" w:rsidR="00153AB1" w:rsidRDefault="00153AB1" w:rsidP="0019793B">
      <w:pPr>
        <w:pStyle w:val="NormalWeb"/>
      </w:pPr>
      <w:r w:rsidRPr="001517BB">
        <w:rPr>
          <w:rStyle w:val="Strong"/>
          <w:rFonts w:eastAsiaTheme="majorEastAsia"/>
        </w:rPr>
        <w:t>Availability of Data and Materials:</w:t>
      </w:r>
      <w:r w:rsidRPr="001517BB">
        <w:br/>
        <w:t>The datasets used and analyzed during this study are available from the corresponding author upon reasonable request.</w:t>
      </w:r>
    </w:p>
    <w:p w14:paraId="012BCB02" w14:textId="5A3D6487" w:rsidR="00E97B50" w:rsidRDefault="00E97B50" w:rsidP="009D74C8">
      <w:pPr>
        <w:pStyle w:val="NormalWeb"/>
        <w:jc w:val="both"/>
      </w:pPr>
    </w:p>
    <w:p w14:paraId="4B7BA5D8" w14:textId="77777777" w:rsidR="00D72F32" w:rsidRDefault="00D72F32" w:rsidP="00D72F32">
      <w:pPr>
        <w:pStyle w:val="NormalWeb"/>
        <w:jc w:val="both"/>
      </w:pPr>
      <w:r>
        <w:t>Disclaimer (Artificial intelligence)</w:t>
      </w:r>
    </w:p>
    <w:p w14:paraId="61963FB6" w14:textId="77777777" w:rsidR="00D72F32" w:rsidRDefault="00D72F32" w:rsidP="00D72F32">
      <w:pPr>
        <w:pStyle w:val="NormalWeb"/>
        <w:jc w:val="both"/>
      </w:pPr>
    </w:p>
    <w:p w14:paraId="00467553" w14:textId="5C1706B4" w:rsidR="00D72F32" w:rsidRDefault="00D72F32" w:rsidP="00D72F32">
      <w:pPr>
        <w:pStyle w:val="NormalWeb"/>
        <w:jc w:val="both"/>
      </w:pPr>
      <w:r>
        <w:t xml:space="preserve">During the preparation of this work, the authors used </w:t>
      </w:r>
      <w:proofErr w:type="spellStart"/>
      <w:r>
        <w:t>ChatGPT</w:t>
      </w:r>
      <w:proofErr w:type="spellEnd"/>
      <w:r>
        <w:t xml:space="preserve"> (GPT-5-mini) to assist with language editing and content organization. After using this tool, the authors reviewed, revised, and verified all content to ensure accuracy, originality, and authenticity, and take full responsibility for the content of the published article.</w:t>
      </w:r>
    </w:p>
    <w:p w14:paraId="0817C726" w14:textId="77777777" w:rsidR="00E97B50" w:rsidRPr="00F3598E" w:rsidRDefault="00E97B50" w:rsidP="009D74C8">
      <w:pPr>
        <w:spacing w:before="100" w:beforeAutospacing="1" w:after="100" w:afterAutospacing="1" w:line="240" w:lineRule="auto"/>
        <w:jc w:val="both"/>
        <w:outlineLvl w:val="2"/>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References</w:t>
      </w:r>
    </w:p>
    <w:p w14:paraId="133FB1DC" w14:textId="77777777" w:rsidR="00E97B50" w:rsidRPr="00E622D4" w:rsidRDefault="00E97B50" w:rsidP="009D74C8">
      <w:pPr>
        <w:pStyle w:val="ListParagraph"/>
        <w:numPr>
          <w:ilvl w:val="0"/>
          <w:numId w:val="3"/>
        </w:numPr>
        <w:spacing w:before="100" w:beforeAutospacing="1" w:after="100" w:afterAutospacing="1" w:line="240" w:lineRule="auto"/>
        <w:jc w:val="both"/>
        <w:rPr>
          <w:rFonts w:ascii="Times New Roman" w:eastAsia="Times New Roman" w:hAnsi="Times New Roman" w:cs="Times New Roman"/>
          <w:sz w:val="24"/>
          <w:szCs w:val="24"/>
        </w:rPr>
      </w:pPr>
      <w:r w:rsidRPr="00E622D4">
        <w:rPr>
          <w:rFonts w:ascii="Times New Roman" w:eastAsia="Times New Roman" w:hAnsi="Times New Roman" w:cs="Times New Roman"/>
          <w:sz w:val="24"/>
          <w:szCs w:val="24"/>
        </w:rPr>
        <w:t xml:space="preserve">Abubakar, F. (2023). Investigation of iron ore potential in north-central Nigeria using a high-resolution aeromagnetic dataset and a remote sensing approach. </w:t>
      </w:r>
      <w:proofErr w:type="spellStart"/>
      <w:r w:rsidRPr="00E622D4">
        <w:rPr>
          <w:rFonts w:ascii="Times New Roman" w:eastAsia="Times New Roman" w:hAnsi="Times New Roman" w:cs="Times New Roman"/>
          <w:i/>
          <w:iCs/>
          <w:sz w:val="24"/>
          <w:szCs w:val="24"/>
        </w:rPr>
        <w:t>Heliyon</w:t>
      </w:r>
      <w:proofErr w:type="spellEnd"/>
      <w:r w:rsidRPr="00E622D4">
        <w:rPr>
          <w:rFonts w:ascii="Times New Roman" w:eastAsia="Times New Roman" w:hAnsi="Times New Roman" w:cs="Times New Roman"/>
          <w:sz w:val="24"/>
          <w:szCs w:val="24"/>
        </w:rPr>
        <w:t>, 10(1), e23618.</w:t>
      </w:r>
      <w:r w:rsidRPr="00E622D4">
        <w:rPr>
          <w:rFonts w:ascii="Times New Roman" w:eastAsia="Times New Roman" w:hAnsi="Times New Roman" w:cs="Times New Roman"/>
          <w:sz w:val="24"/>
          <w:szCs w:val="24"/>
        </w:rPr>
        <w:br/>
      </w:r>
      <w:hyperlink r:id="rId27" w:tgtFrame="_new" w:history="1">
        <w:r w:rsidRPr="00E622D4">
          <w:rPr>
            <w:rFonts w:ascii="Times New Roman" w:eastAsia="Times New Roman" w:hAnsi="Times New Roman" w:cs="Times New Roman"/>
            <w:color w:val="0000FF"/>
            <w:sz w:val="24"/>
            <w:szCs w:val="24"/>
            <w:u w:val="single"/>
          </w:rPr>
          <w:t>https://doi.org/10.1016/j.heliyon.2023.e23618</w:t>
        </w:r>
      </w:hyperlink>
      <w:r w:rsidRPr="00E622D4">
        <w:rPr>
          <w:rFonts w:ascii="Times New Roman" w:eastAsia="Times New Roman" w:hAnsi="Times New Roman" w:cs="Times New Roman"/>
          <w:sz w:val="24"/>
          <w:szCs w:val="24"/>
        </w:rPr>
        <w:t xml:space="preserve"> </w:t>
      </w:r>
    </w:p>
    <w:p w14:paraId="0D96F49E" w14:textId="77777777" w:rsidR="00E97B50" w:rsidRPr="00E622D4" w:rsidRDefault="00E97B50" w:rsidP="009D74C8">
      <w:pPr>
        <w:pStyle w:val="ListParagraph"/>
        <w:numPr>
          <w:ilvl w:val="0"/>
          <w:numId w:val="3"/>
        </w:numPr>
        <w:spacing w:before="100" w:beforeAutospacing="1" w:after="100" w:afterAutospacing="1" w:line="240" w:lineRule="auto"/>
        <w:jc w:val="both"/>
        <w:rPr>
          <w:rFonts w:ascii="Times New Roman" w:eastAsia="Times New Roman" w:hAnsi="Times New Roman" w:cs="Times New Roman"/>
          <w:sz w:val="24"/>
          <w:szCs w:val="24"/>
        </w:rPr>
      </w:pPr>
      <w:proofErr w:type="spellStart"/>
      <w:r w:rsidRPr="00E622D4">
        <w:rPr>
          <w:rFonts w:ascii="Times New Roman" w:eastAsia="Times New Roman" w:hAnsi="Times New Roman" w:cs="Times New Roman"/>
          <w:sz w:val="24"/>
          <w:szCs w:val="24"/>
        </w:rPr>
        <w:t>Salako</w:t>
      </w:r>
      <w:proofErr w:type="spellEnd"/>
      <w:r w:rsidRPr="00E622D4">
        <w:rPr>
          <w:rFonts w:ascii="Times New Roman" w:eastAsia="Times New Roman" w:hAnsi="Times New Roman" w:cs="Times New Roman"/>
          <w:sz w:val="24"/>
          <w:szCs w:val="24"/>
        </w:rPr>
        <w:t xml:space="preserve">, K. A., </w:t>
      </w:r>
      <w:proofErr w:type="spellStart"/>
      <w:r w:rsidRPr="00E622D4">
        <w:rPr>
          <w:rFonts w:ascii="Times New Roman" w:eastAsia="Times New Roman" w:hAnsi="Times New Roman" w:cs="Times New Roman"/>
          <w:sz w:val="24"/>
          <w:szCs w:val="24"/>
        </w:rPr>
        <w:t>Adetona</w:t>
      </w:r>
      <w:proofErr w:type="spellEnd"/>
      <w:r w:rsidRPr="00E622D4">
        <w:rPr>
          <w:rFonts w:ascii="Times New Roman" w:eastAsia="Times New Roman" w:hAnsi="Times New Roman" w:cs="Times New Roman"/>
          <w:sz w:val="24"/>
          <w:szCs w:val="24"/>
        </w:rPr>
        <w:t xml:space="preserve">, A. A., </w:t>
      </w:r>
      <w:proofErr w:type="spellStart"/>
      <w:r w:rsidRPr="00E622D4">
        <w:rPr>
          <w:rFonts w:ascii="Times New Roman" w:eastAsia="Times New Roman" w:hAnsi="Times New Roman" w:cs="Times New Roman"/>
          <w:sz w:val="24"/>
          <w:szCs w:val="24"/>
        </w:rPr>
        <w:t>Rafiu</w:t>
      </w:r>
      <w:proofErr w:type="spellEnd"/>
      <w:r w:rsidRPr="00E622D4">
        <w:rPr>
          <w:rFonts w:ascii="Times New Roman" w:eastAsia="Times New Roman" w:hAnsi="Times New Roman" w:cs="Times New Roman"/>
          <w:sz w:val="24"/>
          <w:szCs w:val="24"/>
        </w:rPr>
        <w:t xml:space="preserve">, A. A., Augie, A. I., </w:t>
      </w:r>
      <w:proofErr w:type="spellStart"/>
      <w:r w:rsidRPr="00E622D4">
        <w:rPr>
          <w:rFonts w:ascii="Times New Roman" w:eastAsia="Times New Roman" w:hAnsi="Times New Roman" w:cs="Times New Roman"/>
          <w:sz w:val="24"/>
          <w:szCs w:val="24"/>
        </w:rPr>
        <w:t>Jimoh</w:t>
      </w:r>
      <w:proofErr w:type="spellEnd"/>
      <w:r w:rsidRPr="00E622D4">
        <w:rPr>
          <w:rFonts w:ascii="Times New Roman" w:eastAsia="Times New Roman" w:hAnsi="Times New Roman" w:cs="Times New Roman"/>
          <w:sz w:val="24"/>
          <w:szCs w:val="24"/>
        </w:rPr>
        <w:t xml:space="preserve">, M. O., Alkali, A., </w:t>
      </w:r>
      <w:proofErr w:type="spellStart"/>
      <w:r w:rsidRPr="00E622D4">
        <w:rPr>
          <w:rFonts w:ascii="Times New Roman" w:eastAsia="Times New Roman" w:hAnsi="Times New Roman" w:cs="Times New Roman"/>
          <w:sz w:val="24"/>
          <w:szCs w:val="24"/>
        </w:rPr>
        <w:t>Muriana</w:t>
      </w:r>
      <w:proofErr w:type="spellEnd"/>
      <w:r w:rsidRPr="00E622D4">
        <w:rPr>
          <w:rFonts w:ascii="Times New Roman" w:eastAsia="Times New Roman" w:hAnsi="Times New Roman" w:cs="Times New Roman"/>
          <w:sz w:val="24"/>
          <w:szCs w:val="24"/>
        </w:rPr>
        <w:t xml:space="preserve">, R. A., &amp; Lawrence, J. O. (2024). Integrated geophysical investigation for gold mineralization potential over the southern parts of Kebbi State, northwestern Nigeria. </w:t>
      </w:r>
      <w:proofErr w:type="spellStart"/>
      <w:r w:rsidRPr="00E622D4">
        <w:rPr>
          <w:rFonts w:ascii="Times New Roman" w:eastAsia="Times New Roman" w:hAnsi="Times New Roman" w:cs="Times New Roman"/>
          <w:i/>
          <w:iCs/>
          <w:sz w:val="24"/>
          <w:szCs w:val="24"/>
        </w:rPr>
        <w:t>Heliyon</w:t>
      </w:r>
      <w:proofErr w:type="spellEnd"/>
      <w:r w:rsidRPr="00E622D4">
        <w:rPr>
          <w:rFonts w:ascii="Times New Roman" w:eastAsia="Times New Roman" w:hAnsi="Times New Roman" w:cs="Times New Roman"/>
          <w:sz w:val="24"/>
          <w:szCs w:val="24"/>
        </w:rPr>
        <w:t>, 10(14), e34093.</w:t>
      </w:r>
      <w:r w:rsidRPr="00E622D4">
        <w:rPr>
          <w:rFonts w:ascii="Times New Roman" w:eastAsia="Times New Roman" w:hAnsi="Times New Roman" w:cs="Times New Roman"/>
          <w:sz w:val="24"/>
          <w:szCs w:val="24"/>
        </w:rPr>
        <w:br/>
        <w:t xml:space="preserve">https://doi.org/10.1016/j.heliyon.2024.e34093 </w:t>
      </w:r>
    </w:p>
    <w:p w14:paraId="73330941" w14:textId="77777777" w:rsidR="00E97B50" w:rsidRPr="00E622D4" w:rsidRDefault="00E97B50" w:rsidP="009D74C8">
      <w:pPr>
        <w:pStyle w:val="ListParagraph"/>
        <w:numPr>
          <w:ilvl w:val="0"/>
          <w:numId w:val="3"/>
        </w:numPr>
        <w:spacing w:before="100" w:beforeAutospacing="1" w:after="100" w:afterAutospacing="1" w:line="240" w:lineRule="auto"/>
        <w:jc w:val="both"/>
        <w:rPr>
          <w:rFonts w:ascii="Times New Roman" w:eastAsia="Times New Roman" w:hAnsi="Times New Roman" w:cs="Times New Roman"/>
          <w:sz w:val="24"/>
          <w:szCs w:val="24"/>
        </w:rPr>
      </w:pPr>
      <w:proofErr w:type="spellStart"/>
      <w:r w:rsidRPr="00E622D4">
        <w:rPr>
          <w:rFonts w:ascii="Times New Roman" w:eastAsia="Times New Roman" w:hAnsi="Times New Roman" w:cs="Times New Roman"/>
          <w:sz w:val="24"/>
          <w:szCs w:val="24"/>
        </w:rPr>
        <w:t>Ogah</w:t>
      </w:r>
      <w:proofErr w:type="spellEnd"/>
      <w:r w:rsidRPr="00E622D4">
        <w:rPr>
          <w:rFonts w:ascii="Times New Roman" w:eastAsia="Times New Roman" w:hAnsi="Times New Roman" w:cs="Times New Roman"/>
          <w:sz w:val="24"/>
          <w:szCs w:val="24"/>
        </w:rPr>
        <w:t xml:space="preserve">, A. J., &amp; Abubakar, F. (2024). Solid mineral potential evaluation using integrated aeromagnetic and </w:t>
      </w:r>
      <w:proofErr w:type="spellStart"/>
      <w:r w:rsidRPr="00E622D4">
        <w:rPr>
          <w:rFonts w:ascii="Times New Roman" w:eastAsia="Times New Roman" w:hAnsi="Times New Roman" w:cs="Times New Roman"/>
          <w:sz w:val="24"/>
          <w:szCs w:val="24"/>
        </w:rPr>
        <w:t>aeroradiometric</w:t>
      </w:r>
      <w:proofErr w:type="spellEnd"/>
      <w:r w:rsidRPr="00E622D4">
        <w:rPr>
          <w:rFonts w:ascii="Times New Roman" w:eastAsia="Times New Roman" w:hAnsi="Times New Roman" w:cs="Times New Roman"/>
          <w:sz w:val="24"/>
          <w:szCs w:val="24"/>
        </w:rPr>
        <w:t xml:space="preserve"> datasets. </w:t>
      </w:r>
      <w:r w:rsidRPr="00E622D4">
        <w:rPr>
          <w:rFonts w:ascii="Times New Roman" w:eastAsia="Times New Roman" w:hAnsi="Times New Roman" w:cs="Times New Roman"/>
          <w:i/>
          <w:iCs/>
          <w:sz w:val="24"/>
          <w:szCs w:val="24"/>
        </w:rPr>
        <w:t>Scientific Reports</w:t>
      </w:r>
      <w:r w:rsidRPr="00E622D4">
        <w:rPr>
          <w:rFonts w:ascii="Times New Roman" w:eastAsia="Times New Roman" w:hAnsi="Times New Roman" w:cs="Times New Roman"/>
          <w:sz w:val="24"/>
          <w:szCs w:val="24"/>
        </w:rPr>
        <w:t>, 14, 1637.</w:t>
      </w:r>
      <w:r w:rsidRPr="00E622D4">
        <w:rPr>
          <w:rFonts w:ascii="Times New Roman" w:eastAsia="Times New Roman" w:hAnsi="Times New Roman" w:cs="Times New Roman"/>
          <w:sz w:val="24"/>
          <w:szCs w:val="24"/>
        </w:rPr>
        <w:br/>
      </w:r>
      <w:hyperlink r:id="rId28" w:tgtFrame="_new" w:history="1">
        <w:r w:rsidRPr="00E622D4">
          <w:rPr>
            <w:rFonts w:ascii="Times New Roman" w:eastAsia="Times New Roman" w:hAnsi="Times New Roman" w:cs="Times New Roman"/>
            <w:color w:val="0000FF"/>
            <w:sz w:val="24"/>
            <w:szCs w:val="24"/>
            <w:u w:val="single"/>
          </w:rPr>
          <w:t>https://doi.org/10.1038/s41598-024-52270-6</w:t>
        </w:r>
      </w:hyperlink>
      <w:r w:rsidRPr="00E622D4">
        <w:rPr>
          <w:rFonts w:ascii="Times New Roman" w:eastAsia="Times New Roman" w:hAnsi="Times New Roman" w:cs="Times New Roman"/>
          <w:sz w:val="24"/>
          <w:szCs w:val="24"/>
        </w:rPr>
        <w:t xml:space="preserve"> </w:t>
      </w:r>
    </w:p>
    <w:p w14:paraId="07F6FF7C" w14:textId="77777777" w:rsidR="00E97B50" w:rsidRPr="00E622D4" w:rsidRDefault="00E97B50" w:rsidP="009D74C8">
      <w:pPr>
        <w:pStyle w:val="ListParagraph"/>
        <w:numPr>
          <w:ilvl w:val="0"/>
          <w:numId w:val="3"/>
        </w:numPr>
        <w:spacing w:before="100" w:beforeAutospacing="1" w:after="100" w:afterAutospacing="1" w:line="240" w:lineRule="auto"/>
        <w:jc w:val="both"/>
        <w:rPr>
          <w:rFonts w:ascii="Times New Roman" w:eastAsia="Times New Roman" w:hAnsi="Times New Roman" w:cs="Times New Roman"/>
          <w:sz w:val="24"/>
          <w:szCs w:val="24"/>
        </w:rPr>
      </w:pPr>
      <w:proofErr w:type="spellStart"/>
      <w:r w:rsidRPr="00E622D4">
        <w:rPr>
          <w:rFonts w:ascii="Times New Roman" w:eastAsia="Times New Roman" w:hAnsi="Times New Roman" w:cs="Times New Roman"/>
          <w:sz w:val="24"/>
          <w:szCs w:val="24"/>
        </w:rPr>
        <w:t>Ayuba</w:t>
      </w:r>
      <w:proofErr w:type="spellEnd"/>
      <w:r w:rsidRPr="00E622D4">
        <w:rPr>
          <w:rFonts w:ascii="Times New Roman" w:eastAsia="Times New Roman" w:hAnsi="Times New Roman" w:cs="Times New Roman"/>
          <w:sz w:val="24"/>
          <w:szCs w:val="24"/>
        </w:rPr>
        <w:t xml:space="preserve">, B. J., Mallam, A., &amp; Osagie, A. (2024). Structural characterization of high-resolution aeromagnetic data for potentially mineralized zones identification within the North-Central Basement Complex of Nigeria. </w:t>
      </w:r>
      <w:r w:rsidRPr="00E622D4">
        <w:rPr>
          <w:rFonts w:ascii="Times New Roman" w:eastAsia="Times New Roman" w:hAnsi="Times New Roman" w:cs="Times New Roman"/>
          <w:i/>
          <w:iCs/>
          <w:sz w:val="24"/>
          <w:szCs w:val="24"/>
        </w:rPr>
        <w:t>International Journal of Latest Technology in Engineering Management &amp; Applied Science</w:t>
      </w:r>
      <w:r w:rsidRPr="00E622D4">
        <w:rPr>
          <w:rFonts w:ascii="Times New Roman" w:eastAsia="Times New Roman" w:hAnsi="Times New Roman" w:cs="Times New Roman"/>
          <w:sz w:val="24"/>
          <w:szCs w:val="24"/>
        </w:rPr>
        <w:t>, 13(7), 13–23.</w:t>
      </w:r>
      <w:r w:rsidRPr="00E622D4">
        <w:rPr>
          <w:rFonts w:ascii="Times New Roman" w:eastAsia="Times New Roman" w:hAnsi="Times New Roman" w:cs="Times New Roman"/>
          <w:sz w:val="24"/>
          <w:szCs w:val="24"/>
        </w:rPr>
        <w:br/>
        <w:t xml:space="preserve">https://doi.org/10.51583/IJLTEMAS.2024.130703 </w:t>
      </w:r>
    </w:p>
    <w:p w14:paraId="29B3F377" w14:textId="77777777" w:rsidR="00E97B50" w:rsidRPr="00E622D4" w:rsidRDefault="00E97B50" w:rsidP="009D74C8">
      <w:pPr>
        <w:pStyle w:val="ListParagraph"/>
        <w:numPr>
          <w:ilvl w:val="0"/>
          <w:numId w:val="3"/>
        </w:numPr>
        <w:spacing w:before="100" w:beforeAutospacing="1" w:after="100" w:afterAutospacing="1" w:line="240" w:lineRule="auto"/>
        <w:jc w:val="both"/>
        <w:rPr>
          <w:rFonts w:ascii="Times New Roman" w:hAnsi="Times New Roman" w:cs="Times New Roman"/>
          <w:sz w:val="24"/>
          <w:szCs w:val="24"/>
        </w:rPr>
      </w:pPr>
      <w:proofErr w:type="spellStart"/>
      <w:r w:rsidRPr="00E622D4">
        <w:rPr>
          <w:rFonts w:ascii="Times New Roman" w:hAnsi="Times New Roman" w:cs="Times New Roman"/>
          <w:sz w:val="24"/>
          <w:szCs w:val="24"/>
        </w:rPr>
        <w:t>Adetunla</w:t>
      </w:r>
      <w:proofErr w:type="spellEnd"/>
      <w:r w:rsidRPr="00E622D4">
        <w:rPr>
          <w:rFonts w:ascii="Times New Roman" w:hAnsi="Times New Roman" w:cs="Times New Roman"/>
          <w:sz w:val="24"/>
          <w:szCs w:val="24"/>
        </w:rPr>
        <w:t xml:space="preserve">, F. R., Ayodele, O. S., </w:t>
      </w:r>
      <w:proofErr w:type="spellStart"/>
      <w:r w:rsidRPr="00E622D4">
        <w:rPr>
          <w:rFonts w:ascii="Times New Roman" w:hAnsi="Times New Roman" w:cs="Times New Roman"/>
          <w:sz w:val="24"/>
          <w:szCs w:val="24"/>
        </w:rPr>
        <w:t>Asowata</w:t>
      </w:r>
      <w:proofErr w:type="spellEnd"/>
      <w:r w:rsidRPr="00E622D4">
        <w:rPr>
          <w:rFonts w:ascii="Times New Roman" w:hAnsi="Times New Roman" w:cs="Times New Roman"/>
          <w:sz w:val="24"/>
          <w:szCs w:val="24"/>
        </w:rPr>
        <w:t xml:space="preserve">, I. T., &amp; </w:t>
      </w:r>
      <w:proofErr w:type="spellStart"/>
      <w:r w:rsidRPr="00E622D4">
        <w:rPr>
          <w:rFonts w:ascii="Times New Roman" w:hAnsi="Times New Roman" w:cs="Times New Roman"/>
          <w:sz w:val="24"/>
          <w:szCs w:val="24"/>
        </w:rPr>
        <w:t>Olususi</w:t>
      </w:r>
      <w:proofErr w:type="spellEnd"/>
      <w:r w:rsidRPr="00E622D4">
        <w:rPr>
          <w:rFonts w:ascii="Times New Roman" w:hAnsi="Times New Roman" w:cs="Times New Roman"/>
          <w:sz w:val="24"/>
          <w:szCs w:val="24"/>
        </w:rPr>
        <w:t>, J. (2025). Integrated geological, aeromagnetic</w:t>
      </w:r>
      <w:r w:rsidR="00E622D4">
        <w:rPr>
          <w:rFonts w:ascii="Times New Roman" w:hAnsi="Times New Roman" w:cs="Times New Roman"/>
          <w:sz w:val="24"/>
          <w:szCs w:val="24"/>
        </w:rPr>
        <w:t>,</w:t>
      </w:r>
      <w:r w:rsidRPr="00E622D4">
        <w:rPr>
          <w:rFonts w:ascii="Times New Roman" w:hAnsi="Times New Roman" w:cs="Times New Roman"/>
          <w:sz w:val="24"/>
          <w:szCs w:val="24"/>
        </w:rPr>
        <w:t xml:space="preserve"> and remote sensing datasets in litho-structural mapping of basement rocks in southwestern Nigeria. </w:t>
      </w:r>
      <w:r w:rsidRPr="00E622D4">
        <w:rPr>
          <w:rStyle w:val="Emphasis"/>
          <w:rFonts w:ascii="Times New Roman" w:hAnsi="Times New Roman" w:cs="Times New Roman"/>
          <w:sz w:val="24"/>
          <w:szCs w:val="24"/>
        </w:rPr>
        <w:t>Asian Journal of Geological Research</w:t>
      </w:r>
      <w:r w:rsidR="00E72998" w:rsidRPr="00E622D4">
        <w:rPr>
          <w:rFonts w:ascii="Times New Roman" w:hAnsi="Times New Roman" w:cs="Times New Roman"/>
          <w:sz w:val="24"/>
          <w:szCs w:val="24"/>
        </w:rPr>
        <w:t xml:space="preserve">, 8(3), 523–553. </w:t>
      </w:r>
      <w:hyperlink r:id="rId29" w:history="1">
        <w:r w:rsidRPr="00E622D4">
          <w:rPr>
            <w:rStyle w:val="Hyperlink"/>
            <w:rFonts w:ascii="Times New Roman" w:hAnsi="Times New Roman" w:cs="Times New Roman"/>
            <w:sz w:val="24"/>
            <w:szCs w:val="24"/>
          </w:rPr>
          <w:t>https://doi.org/10.9734/ajoger/2025/v8i3213</w:t>
        </w:r>
      </w:hyperlink>
    </w:p>
    <w:p w14:paraId="778FF7A4" w14:textId="77777777" w:rsidR="00E97B50" w:rsidRPr="00E622D4" w:rsidRDefault="00E97B50" w:rsidP="009D74C8">
      <w:pPr>
        <w:pStyle w:val="ListParagraph"/>
        <w:numPr>
          <w:ilvl w:val="0"/>
          <w:numId w:val="3"/>
        </w:numPr>
        <w:spacing w:before="100" w:beforeAutospacing="1" w:after="100" w:afterAutospacing="1" w:line="240" w:lineRule="auto"/>
        <w:jc w:val="both"/>
        <w:rPr>
          <w:rFonts w:ascii="Times New Roman" w:hAnsi="Times New Roman" w:cs="Times New Roman"/>
          <w:sz w:val="24"/>
          <w:szCs w:val="24"/>
        </w:rPr>
      </w:pPr>
      <w:proofErr w:type="spellStart"/>
      <w:r w:rsidRPr="00E622D4">
        <w:rPr>
          <w:rFonts w:ascii="Times New Roman" w:hAnsi="Times New Roman" w:cs="Times New Roman"/>
          <w:sz w:val="24"/>
          <w:szCs w:val="24"/>
        </w:rPr>
        <w:t>Ogah</w:t>
      </w:r>
      <w:proofErr w:type="spellEnd"/>
      <w:r w:rsidRPr="00E622D4">
        <w:rPr>
          <w:rFonts w:ascii="Times New Roman" w:hAnsi="Times New Roman" w:cs="Times New Roman"/>
          <w:sz w:val="24"/>
          <w:szCs w:val="24"/>
        </w:rPr>
        <w:t xml:space="preserve">, A. J., &amp; Abubakar, F. (2024). Solid mineral potential evaluation using integrated aeromagnetic and </w:t>
      </w:r>
      <w:proofErr w:type="spellStart"/>
      <w:r w:rsidRPr="00E622D4">
        <w:rPr>
          <w:rFonts w:ascii="Times New Roman" w:hAnsi="Times New Roman" w:cs="Times New Roman"/>
          <w:sz w:val="24"/>
          <w:szCs w:val="24"/>
        </w:rPr>
        <w:t>aeroradiometric</w:t>
      </w:r>
      <w:proofErr w:type="spellEnd"/>
      <w:r w:rsidRPr="00E622D4">
        <w:rPr>
          <w:rFonts w:ascii="Times New Roman" w:hAnsi="Times New Roman" w:cs="Times New Roman"/>
          <w:sz w:val="24"/>
          <w:szCs w:val="24"/>
        </w:rPr>
        <w:t xml:space="preserve"> datasets. </w:t>
      </w:r>
      <w:r w:rsidRPr="00E622D4">
        <w:rPr>
          <w:rStyle w:val="Emphasis"/>
          <w:rFonts w:ascii="Times New Roman" w:hAnsi="Times New Roman" w:cs="Times New Roman"/>
          <w:sz w:val="24"/>
          <w:szCs w:val="24"/>
        </w:rPr>
        <w:t>Scientific Reports</w:t>
      </w:r>
      <w:r w:rsidR="00E72998" w:rsidRPr="00E622D4">
        <w:rPr>
          <w:rFonts w:ascii="Times New Roman" w:hAnsi="Times New Roman" w:cs="Times New Roman"/>
          <w:sz w:val="24"/>
          <w:szCs w:val="24"/>
        </w:rPr>
        <w:t xml:space="preserve">, 14, 1637. </w:t>
      </w:r>
      <w:hyperlink r:id="rId30" w:tgtFrame="_new" w:history="1">
        <w:r w:rsidRPr="00E622D4">
          <w:rPr>
            <w:rStyle w:val="Hyperlink"/>
            <w:rFonts w:ascii="Times New Roman" w:hAnsi="Times New Roman" w:cs="Times New Roman"/>
            <w:sz w:val="24"/>
            <w:szCs w:val="24"/>
          </w:rPr>
          <w:t>https://doi.org/10.1038/s41598-024-52270-6</w:t>
        </w:r>
      </w:hyperlink>
    </w:p>
    <w:p w14:paraId="691C3F7E" w14:textId="77777777" w:rsidR="00E97B50" w:rsidRPr="00E622D4" w:rsidRDefault="00E97B50" w:rsidP="009D74C8">
      <w:pPr>
        <w:pStyle w:val="ListParagraph"/>
        <w:numPr>
          <w:ilvl w:val="0"/>
          <w:numId w:val="3"/>
        </w:numPr>
        <w:spacing w:before="100" w:beforeAutospacing="1" w:after="100" w:afterAutospacing="1" w:line="240" w:lineRule="auto"/>
        <w:jc w:val="both"/>
        <w:rPr>
          <w:rFonts w:ascii="Times New Roman" w:hAnsi="Times New Roman" w:cs="Times New Roman"/>
          <w:sz w:val="24"/>
          <w:szCs w:val="24"/>
        </w:rPr>
      </w:pPr>
      <w:proofErr w:type="spellStart"/>
      <w:r w:rsidRPr="00E622D4">
        <w:rPr>
          <w:rFonts w:ascii="Times New Roman" w:hAnsi="Times New Roman" w:cs="Times New Roman"/>
          <w:sz w:val="24"/>
          <w:szCs w:val="24"/>
        </w:rPr>
        <w:t>Ojo</w:t>
      </w:r>
      <w:proofErr w:type="spellEnd"/>
      <w:r w:rsidRPr="00E622D4">
        <w:rPr>
          <w:rFonts w:ascii="Times New Roman" w:hAnsi="Times New Roman" w:cs="Times New Roman"/>
          <w:sz w:val="24"/>
          <w:szCs w:val="24"/>
        </w:rPr>
        <w:t xml:space="preserve">, O. F., </w:t>
      </w:r>
      <w:proofErr w:type="spellStart"/>
      <w:r w:rsidRPr="00E622D4">
        <w:rPr>
          <w:rFonts w:ascii="Times New Roman" w:hAnsi="Times New Roman" w:cs="Times New Roman"/>
          <w:sz w:val="24"/>
          <w:szCs w:val="24"/>
        </w:rPr>
        <w:t>Osazuwa</w:t>
      </w:r>
      <w:proofErr w:type="spellEnd"/>
      <w:r w:rsidRPr="00E622D4">
        <w:rPr>
          <w:rFonts w:ascii="Times New Roman" w:hAnsi="Times New Roman" w:cs="Times New Roman"/>
          <w:sz w:val="24"/>
          <w:szCs w:val="24"/>
        </w:rPr>
        <w:t xml:space="preserve">, B. I., </w:t>
      </w:r>
      <w:proofErr w:type="spellStart"/>
      <w:r w:rsidRPr="00E622D4">
        <w:rPr>
          <w:rFonts w:ascii="Times New Roman" w:hAnsi="Times New Roman" w:cs="Times New Roman"/>
          <w:sz w:val="24"/>
          <w:szCs w:val="24"/>
        </w:rPr>
        <w:t>Chiemeke</w:t>
      </w:r>
      <w:proofErr w:type="spellEnd"/>
      <w:r w:rsidRPr="00E622D4">
        <w:rPr>
          <w:rFonts w:ascii="Times New Roman" w:hAnsi="Times New Roman" w:cs="Times New Roman"/>
          <w:sz w:val="24"/>
          <w:szCs w:val="24"/>
        </w:rPr>
        <w:t xml:space="preserve">, C. C., </w:t>
      </w:r>
      <w:proofErr w:type="spellStart"/>
      <w:r w:rsidRPr="00E622D4">
        <w:rPr>
          <w:rFonts w:ascii="Times New Roman" w:hAnsi="Times New Roman" w:cs="Times New Roman"/>
          <w:sz w:val="24"/>
          <w:szCs w:val="24"/>
        </w:rPr>
        <w:t>Osumeje</w:t>
      </w:r>
      <w:proofErr w:type="spellEnd"/>
      <w:r w:rsidRPr="00E622D4">
        <w:rPr>
          <w:rFonts w:ascii="Times New Roman" w:hAnsi="Times New Roman" w:cs="Times New Roman"/>
          <w:sz w:val="24"/>
          <w:szCs w:val="24"/>
        </w:rPr>
        <w:t xml:space="preserve">, O. J., </w:t>
      </w:r>
      <w:proofErr w:type="spellStart"/>
      <w:r w:rsidRPr="00E622D4">
        <w:rPr>
          <w:rFonts w:ascii="Times New Roman" w:hAnsi="Times New Roman" w:cs="Times New Roman"/>
          <w:sz w:val="24"/>
          <w:szCs w:val="24"/>
        </w:rPr>
        <w:t>Oyedele</w:t>
      </w:r>
      <w:proofErr w:type="spellEnd"/>
      <w:r w:rsidRPr="00E622D4">
        <w:rPr>
          <w:rFonts w:ascii="Times New Roman" w:hAnsi="Times New Roman" w:cs="Times New Roman"/>
          <w:sz w:val="24"/>
          <w:szCs w:val="24"/>
        </w:rPr>
        <w:t xml:space="preserve">, A. A., </w:t>
      </w:r>
      <w:proofErr w:type="spellStart"/>
      <w:r w:rsidRPr="00E622D4">
        <w:rPr>
          <w:rFonts w:ascii="Times New Roman" w:hAnsi="Times New Roman" w:cs="Times New Roman"/>
          <w:sz w:val="24"/>
          <w:szCs w:val="24"/>
        </w:rPr>
        <w:t>Adagunodo</w:t>
      </w:r>
      <w:proofErr w:type="spellEnd"/>
      <w:r w:rsidRPr="00E622D4">
        <w:rPr>
          <w:rFonts w:ascii="Times New Roman" w:hAnsi="Times New Roman" w:cs="Times New Roman"/>
          <w:sz w:val="24"/>
          <w:szCs w:val="24"/>
        </w:rPr>
        <w:t xml:space="preserve">, T. A., </w:t>
      </w:r>
      <w:proofErr w:type="spellStart"/>
      <w:r w:rsidRPr="00E622D4">
        <w:rPr>
          <w:rFonts w:ascii="Times New Roman" w:hAnsi="Times New Roman" w:cs="Times New Roman"/>
          <w:sz w:val="24"/>
          <w:szCs w:val="24"/>
        </w:rPr>
        <w:t>Oyeyemi</w:t>
      </w:r>
      <w:proofErr w:type="spellEnd"/>
      <w:r w:rsidRPr="00E622D4">
        <w:rPr>
          <w:rFonts w:ascii="Times New Roman" w:hAnsi="Times New Roman" w:cs="Times New Roman"/>
          <w:sz w:val="24"/>
          <w:szCs w:val="24"/>
        </w:rPr>
        <w:t xml:space="preserve">, K. D., &amp; </w:t>
      </w:r>
      <w:proofErr w:type="spellStart"/>
      <w:r w:rsidRPr="00E622D4">
        <w:rPr>
          <w:rFonts w:ascii="Times New Roman" w:hAnsi="Times New Roman" w:cs="Times New Roman"/>
          <w:sz w:val="24"/>
          <w:szCs w:val="24"/>
        </w:rPr>
        <w:t>Ejiga</w:t>
      </w:r>
      <w:proofErr w:type="spellEnd"/>
      <w:r w:rsidRPr="00E622D4">
        <w:rPr>
          <w:rFonts w:ascii="Times New Roman" w:hAnsi="Times New Roman" w:cs="Times New Roman"/>
          <w:sz w:val="24"/>
          <w:szCs w:val="24"/>
        </w:rPr>
        <w:t xml:space="preserve">, E. G. (2024). Classification of the basement complex using aeromagnetic and remote sensing data analyses: Case study of Ekiti State, southwestern Nigeria. </w:t>
      </w:r>
      <w:r w:rsidRPr="00E622D4">
        <w:rPr>
          <w:rStyle w:val="Emphasis"/>
          <w:rFonts w:ascii="Times New Roman" w:hAnsi="Times New Roman" w:cs="Times New Roman"/>
          <w:sz w:val="24"/>
          <w:szCs w:val="24"/>
        </w:rPr>
        <w:t>Earth Sciences Malaysia</w:t>
      </w:r>
      <w:r w:rsidRPr="00E622D4">
        <w:rPr>
          <w:rFonts w:ascii="Times New Roman" w:hAnsi="Times New Roman" w:cs="Times New Roman"/>
          <w:sz w:val="24"/>
          <w:szCs w:val="24"/>
        </w:rPr>
        <w:t>, 8(2), 158–162.</w:t>
      </w:r>
      <w:r w:rsidRPr="00E622D4">
        <w:rPr>
          <w:rFonts w:ascii="Times New Roman" w:hAnsi="Times New Roman" w:cs="Times New Roman"/>
          <w:sz w:val="24"/>
          <w:szCs w:val="24"/>
        </w:rPr>
        <w:br/>
      </w:r>
      <w:hyperlink r:id="rId31" w:history="1">
        <w:r w:rsidRPr="00E622D4">
          <w:rPr>
            <w:rStyle w:val="Hyperlink"/>
            <w:rFonts w:ascii="Times New Roman" w:hAnsi="Times New Roman" w:cs="Times New Roman"/>
            <w:sz w:val="24"/>
            <w:szCs w:val="24"/>
          </w:rPr>
          <w:t>https://doi.org/10.26480/esmy.02.2024.158.162</w:t>
        </w:r>
      </w:hyperlink>
    </w:p>
    <w:p w14:paraId="7BBCBAC8" w14:textId="77777777" w:rsidR="00E97B50" w:rsidRPr="00E622D4" w:rsidRDefault="00E97B50" w:rsidP="009D74C8">
      <w:pPr>
        <w:pStyle w:val="ListParagraph"/>
        <w:numPr>
          <w:ilvl w:val="0"/>
          <w:numId w:val="3"/>
        </w:numPr>
        <w:jc w:val="both"/>
        <w:rPr>
          <w:rFonts w:ascii="Times New Roman" w:hAnsi="Times New Roman" w:cs="Times New Roman"/>
          <w:sz w:val="24"/>
          <w:szCs w:val="24"/>
        </w:rPr>
      </w:pPr>
      <w:proofErr w:type="spellStart"/>
      <w:r w:rsidRPr="00E622D4">
        <w:rPr>
          <w:rFonts w:ascii="Times New Roman" w:hAnsi="Times New Roman" w:cs="Times New Roman"/>
          <w:sz w:val="24"/>
          <w:szCs w:val="24"/>
        </w:rPr>
        <w:lastRenderedPageBreak/>
        <w:t>Vallée</w:t>
      </w:r>
      <w:proofErr w:type="spellEnd"/>
      <w:r w:rsidRPr="00E622D4">
        <w:rPr>
          <w:rFonts w:ascii="Times New Roman" w:hAnsi="Times New Roman" w:cs="Times New Roman"/>
          <w:sz w:val="24"/>
          <w:szCs w:val="24"/>
        </w:rPr>
        <w:t xml:space="preserve">, M. A., Moussaoui, M., &amp; Khan, K. (2026). Advances in magnetic and electromagnetic technique interpretation. </w:t>
      </w:r>
      <w:r w:rsidRPr="00E622D4">
        <w:rPr>
          <w:rStyle w:val="Emphasis"/>
          <w:rFonts w:ascii="Times New Roman" w:hAnsi="Times New Roman" w:cs="Times New Roman"/>
          <w:sz w:val="24"/>
          <w:szCs w:val="24"/>
        </w:rPr>
        <w:t>Minerals, 16(2),</w:t>
      </w:r>
      <w:r w:rsidRPr="00E622D4">
        <w:rPr>
          <w:rFonts w:ascii="Times New Roman" w:hAnsi="Times New Roman" w:cs="Times New Roman"/>
          <w:sz w:val="24"/>
          <w:szCs w:val="24"/>
        </w:rPr>
        <w:t xml:space="preserve"> 159. DOI: 10.3390/min16020159 </w:t>
      </w:r>
    </w:p>
    <w:p w14:paraId="12568E15" w14:textId="77777777" w:rsidR="00E97B50" w:rsidRPr="00E622D4" w:rsidRDefault="00E97B50" w:rsidP="009D74C8">
      <w:pPr>
        <w:pStyle w:val="ListParagraph"/>
        <w:numPr>
          <w:ilvl w:val="0"/>
          <w:numId w:val="3"/>
        </w:numPr>
        <w:spacing w:before="100" w:beforeAutospacing="1" w:after="100" w:afterAutospacing="1" w:line="240" w:lineRule="auto"/>
        <w:jc w:val="both"/>
        <w:rPr>
          <w:rFonts w:ascii="Times New Roman" w:hAnsi="Times New Roman" w:cs="Times New Roman"/>
          <w:sz w:val="24"/>
          <w:szCs w:val="24"/>
        </w:rPr>
      </w:pPr>
      <w:proofErr w:type="spellStart"/>
      <w:r w:rsidRPr="00E622D4">
        <w:rPr>
          <w:rFonts w:ascii="Times New Roman" w:hAnsi="Times New Roman" w:cs="Times New Roman"/>
          <w:sz w:val="24"/>
          <w:szCs w:val="24"/>
        </w:rPr>
        <w:t>Vallée</w:t>
      </w:r>
      <w:proofErr w:type="spellEnd"/>
      <w:r w:rsidRPr="00E622D4">
        <w:rPr>
          <w:rFonts w:ascii="Times New Roman" w:hAnsi="Times New Roman" w:cs="Times New Roman"/>
          <w:sz w:val="24"/>
          <w:szCs w:val="24"/>
        </w:rPr>
        <w:t xml:space="preserve">, M. A., &amp; Mazur, S. (2025). Advances in magnetic and electromagnetic techniques for mineral exploration: Enhancing resource discovery. </w:t>
      </w:r>
      <w:r w:rsidRPr="00E622D4">
        <w:rPr>
          <w:rStyle w:val="Emphasis"/>
          <w:rFonts w:ascii="Times New Roman" w:hAnsi="Times New Roman" w:cs="Times New Roman"/>
          <w:sz w:val="24"/>
          <w:szCs w:val="24"/>
        </w:rPr>
        <w:t>Minerals, 15(6),</w:t>
      </w:r>
      <w:r w:rsidRPr="00E622D4">
        <w:rPr>
          <w:rFonts w:ascii="Times New Roman" w:hAnsi="Times New Roman" w:cs="Times New Roman"/>
          <w:sz w:val="24"/>
          <w:szCs w:val="24"/>
        </w:rPr>
        <w:t xml:space="preserve"> 595. DOI: </w:t>
      </w:r>
      <w:hyperlink r:id="rId32" w:tgtFrame="_new" w:history="1">
        <w:r w:rsidRPr="00E622D4">
          <w:rPr>
            <w:rStyle w:val="Hyperlink"/>
            <w:rFonts w:ascii="Times New Roman" w:hAnsi="Times New Roman" w:cs="Times New Roman"/>
            <w:sz w:val="24"/>
            <w:szCs w:val="24"/>
          </w:rPr>
          <w:t>10.3390/min15060595</w:t>
        </w:r>
      </w:hyperlink>
    </w:p>
    <w:p w14:paraId="1D95862F" w14:textId="77777777" w:rsidR="00E97B50" w:rsidRPr="00E622D4" w:rsidRDefault="00E97B50" w:rsidP="009D74C8">
      <w:pPr>
        <w:pStyle w:val="ListParagraph"/>
        <w:numPr>
          <w:ilvl w:val="0"/>
          <w:numId w:val="3"/>
        </w:numPr>
        <w:spacing w:before="100" w:beforeAutospacing="1" w:after="100" w:afterAutospacing="1" w:line="240" w:lineRule="auto"/>
        <w:jc w:val="both"/>
        <w:rPr>
          <w:rFonts w:ascii="Times New Roman" w:hAnsi="Times New Roman" w:cs="Times New Roman"/>
          <w:sz w:val="24"/>
          <w:szCs w:val="24"/>
        </w:rPr>
      </w:pPr>
      <w:r w:rsidRPr="00E622D4">
        <w:rPr>
          <w:rFonts w:ascii="Times New Roman" w:hAnsi="Times New Roman" w:cs="Times New Roman"/>
          <w:sz w:val="24"/>
          <w:szCs w:val="24"/>
        </w:rPr>
        <w:t xml:space="preserve">Suleiman, U., Mustapha, B. A., </w:t>
      </w:r>
      <w:proofErr w:type="spellStart"/>
      <w:r w:rsidRPr="00E622D4">
        <w:rPr>
          <w:rFonts w:ascii="Times New Roman" w:hAnsi="Times New Roman" w:cs="Times New Roman"/>
          <w:sz w:val="24"/>
          <w:szCs w:val="24"/>
        </w:rPr>
        <w:t>Audu</w:t>
      </w:r>
      <w:proofErr w:type="spellEnd"/>
      <w:r w:rsidRPr="00E622D4">
        <w:rPr>
          <w:rFonts w:ascii="Times New Roman" w:hAnsi="Times New Roman" w:cs="Times New Roman"/>
          <w:sz w:val="24"/>
          <w:szCs w:val="24"/>
        </w:rPr>
        <w:t xml:space="preserve">, O. S., </w:t>
      </w:r>
      <w:proofErr w:type="spellStart"/>
      <w:r w:rsidRPr="00E622D4">
        <w:rPr>
          <w:rFonts w:ascii="Times New Roman" w:hAnsi="Times New Roman" w:cs="Times New Roman"/>
          <w:sz w:val="24"/>
          <w:szCs w:val="24"/>
        </w:rPr>
        <w:t>Godday</w:t>
      </w:r>
      <w:proofErr w:type="spellEnd"/>
      <w:r w:rsidRPr="00E622D4">
        <w:rPr>
          <w:rFonts w:ascii="Times New Roman" w:hAnsi="Times New Roman" w:cs="Times New Roman"/>
          <w:sz w:val="24"/>
          <w:szCs w:val="24"/>
        </w:rPr>
        <w:t xml:space="preserve">, B.-E. S., </w:t>
      </w:r>
      <w:proofErr w:type="spellStart"/>
      <w:r w:rsidRPr="00E622D4">
        <w:rPr>
          <w:rFonts w:ascii="Times New Roman" w:hAnsi="Times New Roman" w:cs="Times New Roman"/>
          <w:sz w:val="24"/>
          <w:szCs w:val="24"/>
        </w:rPr>
        <w:t>Eneojoh</w:t>
      </w:r>
      <w:proofErr w:type="spellEnd"/>
      <w:r w:rsidRPr="00E622D4">
        <w:rPr>
          <w:rFonts w:ascii="Times New Roman" w:hAnsi="Times New Roman" w:cs="Times New Roman"/>
          <w:sz w:val="24"/>
          <w:szCs w:val="24"/>
        </w:rPr>
        <w:t xml:space="preserve">, A. S., </w:t>
      </w:r>
      <w:proofErr w:type="spellStart"/>
      <w:r w:rsidRPr="00E622D4">
        <w:rPr>
          <w:rFonts w:ascii="Times New Roman" w:hAnsi="Times New Roman" w:cs="Times New Roman"/>
          <w:sz w:val="24"/>
          <w:szCs w:val="24"/>
        </w:rPr>
        <w:t>Buba</w:t>
      </w:r>
      <w:proofErr w:type="spellEnd"/>
      <w:r w:rsidRPr="00E622D4">
        <w:rPr>
          <w:rFonts w:ascii="Times New Roman" w:hAnsi="Times New Roman" w:cs="Times New Roman"/>
          <w:sz w:val="24"/>
          <w:szCs w:val="24"/>
        </w:rPr>
        <w:t xml:space="preserve">, M. B., &amp; </w:t>
      </w:r>
      <w:proofErr w:type="spellStart"/>
      <w:r w:rsidRPr="00E622D4">
        <w:rPr>
          <w:rFonts w:ascii="Times New Roman" w:hAnsi="Times New Roman" w:cs="Times New Roman"/>
          <w:sz w:val="24"/>
          <w:szCs w:val="24"/>
        </w:rPr>
        <w:t>Muknaan</w:t>
      </w:r>
      <w:proofErr w:type="spellEnd"/>
      <w:r w:rsidRPr="00E622D4">
        <w:rPr>
          <w:rFonts w:ascii="Times New Roman" w:hAnsi="Times New Roman" w:cs="Times New Roman"/>
          <w:sz w:val="24"/>
          <w:szCs w:val="24"/>
        </w:rPr>
        <w:t xml:space="preserve">, G. J. (2025). </w:t>
      </w:r>
      <w:r w:rsidRPr="00E622D4">
        <w:rPr>
          <w:rStyle w:val="Emphasis"/>
          <w:rFonts w:ascii="Times New Roman" w:hAnsi="Times New Roman" w:cs="Times New Roman"/>
          <w:sz w:val="24"/>
          <w:szCs w:val="24"/>
        </w:rPr>
        <w:t>Structural interpretation of aeromagnetic data for regional controls on gold mineralization in northwestern Nigeria</w:t>
      </w:r>
      <w:r w:rsidRPr="00E622D4">
        <w:rPr>
          <w:rFonts w:ascii="Times New Roman" w:hAnsi="Times New Roman" w:cs="Times New Roman"/>
          <w:sz w:val="24"/>
          <w:szCs w:val="24"/>
        </w:rPr>
        <w:t xml:space="preserve">. </w:t>
      </w:r>
      <w:r w:rsidRPr="00E622D4">
        <w:rPr>
          <w:rStyle w:val="Emphasis"/>
          <w:rFonts w:ascii="Times New Roman" w:hAnsi="Times New Roman" w:cs="Times New Roman"/>
          <w:sz w:val="24"/>
          <w:szCs w:val="24"/>
        </w:rPr>
        <w:t>International Journal for Research in Applied Science &amp; Engineering Technology</w:t>
      </w:r>
      <w:r w:rsidRPr="00E622D4">
        <w:rPr>
          <w:rFonts w:ascii="Times New Roman" w:hAnsi="Times New Roman" w:cs="Times New Roman"/>
          <w:sz w:val="24"/>
          <w:szCs w:val="24"/>
        </w:rPr>
        <w:t xml:space="preserve">, 13(9). DOI: </w:t>
      </w:r>
      <w:r w:rsidRPr="00E622D4">
        <w:rPr>
          <w:rStyle w:val="Strong"/>
          <w:rFonts w:ascii="Times New Roman" w:hAnsi="Times New Roman" w:cs="Times New Roman"/>
          <w:b w:val="0"/>
          <w:sz w:val="24"/>
          <w:szCs w:val="24"/>
        </w:rPr>
        <w:t>10.22214/ijraset.2025.74298</w:t>
      </w:r>
      <w:r w:rsidRPr="00E622D4">
        <w:rPr>
          <w:rFonts w:ascii="Times New Roman" w:hAnsi="Times New Roman" w:cs="Times New Roman"/>
          <w:sz w:val="24"/>
          <w:szCs w:val="24"/>
        </w:rPr>
        <w:t xml:space="preserve"> </w:t>
      </w:r>
    </w:p>
    <w:p w14:paraId="0C4988A7" w14:textId="77777777" w:rsidR="00E97B50" w:rsidRPr="00E622D4" w:rsidRDefault="00E97B50" w:rsidP="009D74C8">
      <w:pPr>
        <w:pStyle w:val="ListParagraph"/>
        <w:numPr>
          <w:ilvl w:val="0"/>
          <w:numId w:val="3"/>
        </w:numPr>
        <w:spacing w:before="100" w:beforeAutospacing="1" w:after="100" w:afterAutospacing="1" w:line="240" w:lineRule="auto"/>
        <w:jc w:val="both"/>
        <w:rPr>
          <w:rStyle w:val="Strong"/>
          <w:rFonts w:ascii="Times New Roman" w:hAnsi="Times New Roman" w:cs="Times New Roman"/>
          <w:b w:val="0"/>
          <w:sz w:val="24"/>
          <w:szCs w:val="24"/>
        </w:rPr>
      </w:pPr>
      <w:r w:rsidRPr="00E622D4">
        <w:rPr>
          <w:rFonts w:ascii="Times New Roman" w:hAnsi="Times New Roman" w:cs="Times New Roman"/>
          <w:sz w:val="24"/>
          <w:szCs w:val="24"/>
        </w:rPr>
        <w:t xml:space="preserve">Hamman, I. K., Joseph, C. A., &amp; </w:t>
      </w:r>
      <w:proofErr w:type="spellStart"/>
      <w:r w:rsidRPr="00E622D4">
        <w:rPr>
          <w:rFonts w:ascii="Times New Roman" w:hAnsi="Times New Roman" w:cs="Times New Roman"/>
          <w:sz w:val="24"/>
          <w:szCs w:val="24"/>
        </w:rPr>
        <w:t>Zakari</w:t>
      </w:r>
      <w:proofErr w:type="spellEnd"/>
      <w:r w:rsidRPr="00E622D4">
        <w:rPr>
          <w:rFonts w:ascii="Times New Roman" w:hAnsi="Times New Roman" w:cs="Times New Roman"/>
          <w:sz w:val="24"/>
          <w:szCs w:val="24"/>
        </w:rPr>
        <w:t xml:space="preserve">, M. (2025). </w:t>
      </w:r>
      <w:r w:rsidRPr="00E622D4">
        <w:rPr>
          <w:rStyle w:val="Emphasis"/>
          <w:rFonts w:ascii="Times New Roman" w:hAnsi="Times New Roman" w:cs="Times New Roman"/>
          <w:sz w:val="24"/>
          <w:szCs w:val="24"/>
        </w:rPr>
        <w:t xml:space="preserve">Integrated geological and aeromagnetic investigation of barite mineralization in </w:t>
      </w:r>
      <w:proofErr w:type="spellStart"/>
      <w:r w:rsidRPr="00E622D4">
        <w:rPr>
          <w:rStyle w:val="Emphasis"/>
          <w:rFonts w:ascii="Times New Roman" w:hAnsi="Times New Roman" w:cs="Times New Roman"/>
          <w:sz w:val="24"/>
          <w:szCs w:val="24"/>
        </w:rPr>
        <w:t>Didango</w:t>
      </w:r>
      <w:proofErr w:type="spellEnd"/>
      <w:r w:rsidRPr="00E622D4">
        <w:rPr>
          <w:rStyle w:val="Emphasis"/>
          <w:rFonts w:ascii="Times New Roman" w:hAnsi="Times New Roman" w:cs="Times New Roman"/>
          <w:sz w:val="24"/>
          <w:szCs w:val="24"/>
        </w:rPr>
        <w:t xml:space="preserve"> Area, Muri</w:t>
      </w:r>
      <w:r w:rsidRPr="00E622D4">
        <w:rPr>
          <w:rStyle w:val="Emphasis"/>
          <w:rFonts w:ascii="Times New Roman" w:hAnsi="Times New Roman" w:cs="Times New Roman"/>
          <w:sz w:val="24"/>
          <w:szCs w:val="24"/>
        </w:rPr>
        <w:noBreakHyphen/>
        <w:t>Lau Sub</w:t>
      </w:r>
      <w:r w:rsidRPr="00E622D4">
        <w:rPr>
          <w:rStyle w:val="Emphasis"/>
          <w:rFonts w:ascii="Times New Roman" w:hAnsi="Times New Roman" w:cs="Times New Roman"/>
          <w:sz w:val="24"/>
          <w:szCs w:val="24"/>
        </w:rPr>
        <w:noBreakHyphen/>
        <w:t>Basin, Upper Benue Trough, NE Nigeria</w:t>
      </w:r>
      <w:r w:rsidRPr="00E622D4">
        <w:rPr>
          <w:rFonts w:ascii="Times New Roman" w:hAnsi="Times New Roman" w:cs="Times New Roman"/>
          <w:sz w:val="24"/>
          <w:szCs w:val="24"/>
        </w:rPr>
        <w:t xml:space="preserve">. </w:t>
      </w:r>
      <w:r w:rsidRPr="00E622D4">
        <w:rPr>
          <w:rStyle w:val="Strong"/>
          <w:rFonts w:ascii="Times New Roman" w:hAnsi="Times New Roman" w:cs="Times New Roman"/>
          <w:b w:val="0"/>
          <w:sz w:val="24"/>
          <w:szCs w:val="24"/>
        </w:rPr>
        <w:t>FUDMA Journal of Sciences, 9(12), 162–170.</w:t>
      </w:r>
      <w:r w:rsidRPr="00E622D4">
        <w:rPr>
          <w:rFonts w:ascii="Times New Roman" w:hAnsi="Times New Roman" w:cs="Times New Roman"/>
          <w:b/>
          <w:sz w:val="24"/>
          <w:szCs w:val="24"/>
        </w:rPr>
        <w:t xml:space="preserve"> </w:t>
      </w:r>
      <w:r w:rsidRPr="00E622D4">
        <w:rPr>
          <w:rFonts w:ascii="Times New Roman" w:hAnsi="Times New Roman" w:cs="Times New Roman"/>
          <w:sz w:val="24"/>
          <w:szCs w:val="24"/>
        </w:rPr>
        <w:t>DOI:</w:t>
      </w:r>
      <w:r w:rsidRPr="00E622D4">
        <w:rPr>
          <w:rFonts w:ascii="Times New Roman" w:hAnsi="Times New Roman" w:cs="Times New Roman"/>
          <w:b/>
          <w:sz w:val="24"/>
          <w:szCs w:val="24"/>
        </w:rPr>
        <w:t xml:space="preserve"> </w:t>
      </w:r>
      <w:r w:rsidRPr="00E622D4">
        <w:rPr>
          <w:rStyle w:val="Strong"/>
          <w:rFonts w:ascii="Times New Roman" w:hAnsi="Times New Roman" w:cs="Times New Roman"/>
          <w:b w:val="0"/>
          <w:sz w:val="24"/>
          <w:szCs w:val="24"/>
        </w:rPr>
        <w:t>10.33003/fjs</w:t>
      </w:r>
      <w:r w:rsidRPr="00E622D4">
        <w:rPr>
          <w:rStyle w:val="Strong"/>
          <w:rFonts w:ascii="Times New Roman" w:hAnsi="Times New Roman" w:cs="Times New Roman"/>
          <w:b w:val="0"/>
          <w:sz w:val="24"/>
          <w:szCs w:val="24"/>
        </w:rPr>
        <w:noBreakHyphen/>
        <w:t>2025</w:t>
      </w:r>
      <w:r w:rsidRPr="00E622D4">
        <w:rPr>
          <w:rStyle w:val="Strong"/>
          <w:rFonts w:ascii="Times New Roman" w:hAnsi="Times New Roman" w:cs="Times New Roman"/>
          <w:b w:val="0"/>
          <w:sz w:val="24"/>
          <w:szCs w:val="24"/>
        </w:rPr>
        <w:noBreakHyphen/>
        <w:t>0912</w:t>
      </w:r>
      <w:r w:rsidRPr="00E622D4">
        <w:rPr>
          <w:rStyle w:val="Strong"/>
          <w:rFonts w:ascii="Times New Roman" w:hAnsi="Times New Roman" w:cs="Times New Roman"/>
          <w:b w:val="0"/>
          <w:sz w:val="24"/>
          <w:szCs w:val="24"/>
        </w:rPr>
        <w:noBreakHyphen/>
        <w:t>4253</w:t>
      </w:r>
    </w:p>
    <w:p w14:paraId="7C0C1E65" w14:textId="77777777" w:rsidR="00E97B50" w:rsidRPr="00E622D4" w:rsidRDefault="00E97B50" w:rsidP="009D74C8">
      <w:pPr>
        <w:pStyle w:val="ListParagraph"/>
        <w:numPr>
          <w:ilvl w:val="0"/>
          <w:numId w:val="3"/>
        </w:numPr>
        <w:spacing w:before="100" w:beforeAutospacing="1" w:after="100" w:afterAutospacing="1" w:line="240" w:lineRule="auto"/>
        <w:jc w:val="both"/>
        <w:rPr>
          <w:rFonts w:ascii="Times New Roman" w:hAnsi="Times New Roman" w:cs="Times New Roman"/>
          <w:sz w:val="24"/>
          <w:szCs w:val="24"/>
        </w:rPr>
      </w:pPr>
      <w:proofErr w:type="spellStart"/>
      <w:r w:rsidRPr="00E622D4">
        <w:rPr>
          <w:rFonts w:ascii="Times New Roman" w:hAnsi="Times New Roman" w:cs="Times New Roman"/>
          <w:sz w:val="24"/>
          <w:szCs w:val="24"/>
        </w:rPr>
        <w:t>Kearey</w:t>
      </w:r>
      <w:proofErr w:type="spellEnd"/>
      <w:r w:rsidRPr="00E622D4">
        <w:rPr>
          <w:rFonts w:ascii="Times New Roman" w:hAnsi="Times New Roman" w:cs="Times New Roman"/>
          <w:sz w:val="24"/>
          <w:szCs w:val="24"/>
        </w:rPr>
        <w:t xml:space="preserve">, P., Brooks, M., &amp; Hill, I. (2002). </w:t>
      </w:r>
      <w:r w:rsidRPr="00E622D4">
        <w:rPr>
          <w:rStyle w:val="Emphasis"/>
          <w:rFonts w:ascii="Times New Roman" w:hAnsi="Times New Roman" w:cs="Times New Roman"/>
          <w:sz w:val="24"/>
          <w:szCs w:val="24"/>
        </w:rPr>
        <w:t>An Introduction to Geophysical Exploration</w:t>
      </w:r>
      <w:r w:rsidRPr="00E622D4">
        <w:rPr>
          <w:rFonts w:ascii="Times New Roman" w:hAnsi="Times New Roman" w:cs="Times New Roman"/>
          <w:sz w:val="24"/>
          <w:szCs w:val="24"/>
        </w:rPr>
        <w:t xml:space="preserve"> (3rd ed.). Oxford: Blackwell Science. </w:t>
      </w:r>
      <w:hyperlink r:id="rId33" w:history="1">
        <w:r w:rsidRPr="00E622D4">
          <w:rPr>
            <w:rStyle w:val="Hyperlink"/>
            <w:rFonts w:ascii="Times New Roman" w:hAnsi="Times New Roman" w:cs="Times New Roman"/>
            <w:sz w:val="24"/>
            <w:szCs w:val="24"/>
          </w:rPr>
          <w:t>https://doi.org/10.1017/S0016756803378021</w:t>
        </w:r>
      </w:hyperlink>
    </w:p>
    <w:p w14:paraId="77F6FD94" w14:textId="77777777" w:rsidR="00E97B50" w:rsidRPr="00E622D4" w:rsidRDefault="00E97B50" w:rsidP="009D74C8">
      <w:pPr>
        <w:pStyle w:val="ListParagraph"/>
        <w:numPr>
          <w:ilvl w:val="0"/>
          <w:numId w:val="3"/>
        </w:numPr>
        <w:jc w:val="both"/>
        <w:rPr>
          <w:rFonts w:ascii="Times New Roman" w:hAnsi="Times New Roman" w:cs="Times New Roman"/>
          <w:sz w:val="24"/>
          <w:szCs w:val="24"/>
        </w:rPr>
      </w:pPr>
      <w:r w:rsidRPr="00E622D4">
        <w:rPr>
          <w:rFonts w:ascii="Times New Roman" w:hAnsi="Times New Roman" w:cs="Times New Roman"/>
          <w:sz w:val="24"/>
          <w:szCs w:val="24"/>
        </w:rPr>
        <w:t xml:space="preserve">Blakely, R. J. (1995). </w:t>
      </w:r>
      <w:r w:rsidRPr="00E622D4">
        <w:rPr>
          <w:rStyle w:val="Emphasis"/>
          <w:rFonts w:ascii="Times New Roman" w:hAnsi="Times New Roman" w:cs="Times New Roman"/>
          <w:sz w:val="24"/>
          <w:szCs w:val="24"/>
        </w:rPr>
        <w:t>Potential Theory in Gravity and Magnetic Applications</w:t>
      </w:r>
      <w:r w:rsidRPr="00E622D4">
        <w:rPr>
          <w:rFonts w:ascii="Times New Roman" w:hAnsi="Times New Roman" w:cs="Times New Roman"/>
          <w:sz w:val="24"/>
          <w:szCs w:val="24"/>
        </w:rPr>
        <w:t>. Cambridge University Press.</w:t>
      </w:r>
      <w:r w:rsidRPr="00E622D4">
        <w:rPr>
          <w:rFonts w:ascii="Times New Roman" w:hAnsi="Times New Roman" w:cs="Times New Roman"/>
          <w:sz w:val="24"/>
          <w:szCs w:val="24"/>
        </w:rPr>
        <w:br/>
      </w:r>
      <w:hyperlink r:id="rId34" w:tgtFrame="_new" w:history="1">
        <w:r w:rsidRPr="00E622D4">
          <w:rPr>
            <w:rStyle w:val="Hyperlink"/>
            <w:rFonts w:ascii="Times New Roman" w:hAnsi="Times New Roman" w:cs="Times New Roman"/>
            <w:sz w:val="24"/>
            <w:szCs w:val="24"/>
          </w:rPr>
          <w:t>https://doi.org/10.1017/CBO9780511549816</w:t>
        </w:r>
      </w:hyperlink>
      <w:r w:rsidRPr="00E622D4">
        <w:rPr>
          <w:rFonts w:ascii="Times New Roman" w:hAnsi="Times New Roman" w:cs="Times New Roman"/>
          <w:sz w:val="24"/>
          <w:szCs w:val="24"/>
        </w:rPr>
        <w:t xml:space="preserve"> </w:t>
      </w:r>
    </w:p>
    <w:p w14:paraId="596AFE64" w14:textId="77777777" w:rsidR="00E97B50" w:rsidRPr="00E622D4" w:rsidRDefault="00E97B50" w:rsidP="009D74C8">
      <w:pPr>
        <w:pStyle w:val="ListParagraph"/>
        <w:numPr>
          <w:ilvl w:val="0"/>
          <w:numId w:val="3"/>
        </w:numPr>
        <w:spacing w:before="100" w:beforeAutospacing="1" w:after="100" w:afterAutospacing="1" w:line="240" w:lineRule="auto"/>
        <w:jc w:val="both"/>
        <w:rPr>
          <w:rStyle w:val="Hyperlink"/>
          <w:rFonts w:ascii="Times New Roman" w:hAnsi="Times New Roman" w:cs="Times New Roman"/>
          <w:sz w:val="24"/>
          <w:szCs w:val="24"/>
        </w:rPr>
      </w:pPr>
      <w:proofErr w:type="spellStart"/>
      <w:r w:rsidRPr="00E622D4">
        <w:rPr>
          <w:rFonts w:ascii="Times New Roman" w:hAnsi="Times New Roman" w:cs="Times New Roman"/>
          <w:sz w:val="24"/>
          <w:szCs w:val="24"/>
        </w:rPr>
        <w:t>Nabighian</w:t>
      </w:r>
      <w:proofErr w:type="spellEnd"/>
      <w:r w:rsidRPr="00E622D4">
        <w:rPr>
          <w:rFonts w:ascii="Times New Roman" w:hAnsi="Times New Roman" w:cs="Times New Roman"/>
          <w:sz w:val="24"/>
          <w:szCs w:val="24"/>
        </w:rPr>
        <w:t xml:space="preserve">, M. N., </w:t>
      </w:r>
      <w:proofErr w:type="spellStart"/>
      <w:r w:rsidRPr="00E622D4">
        <w:rPr>
          <w:rFonts w:ascii="Times New Roman" w:hAnsi="Times New Roman" w:cs="Times New Roman"/>
          <w:sz w:val="24"/>
          <w:szCs w:val="24"/>
        </w:rPr>
        <w:t>Grauch</w:t>
      </w:r>
      <w:proofErr w:type="spellEnd"/>
      <w:r w:rsidRPr="00E622D4">
        <w:rPr>
          <w:rFonts w:ascii="Times New Roman" w:hAnsi="Times New Roman" w:cs="Times New Roman"/>
          <w:sz w:val="24"/>
          <w:szCs w:val="24"/>
        </w:rPr>
        <w:t xml:space="preserve">, V. J. S., Hansen, R. O., et al. (2005). The historical development of the magnetic method in exploration. </w:t>
      </w:r>
      <w:r w:rsidRPr="00E622D4">
        <w:rPr>
          <w:rStyle w:val="Emphasis"/>
          <w:rFonts w:ascii="Times New Roman" w:hAnsi="Times New Roman" w:cs="Times New Roman"/>
          <w:sz w:val="24"/>
          <w:szCs w:val="24"/>
        </w:rPr>
        <w:t>Geophysics</w:t>
      </w:r>
      <w:r w:rsidR="00E72998" w:rsidRPr="00E622D4">
        <w:rPr>
          <w:rFonts w:ascii="Times New Roman" w:hAnsi="Times New Roman" w:cs="Times New Roman"/>
          <w:sz w:val="24"/>
          <w:szCs w:val="24"/>
        </w:rPr>
        <w:t xml:space="preserve">, 70(6), 33ND–61ND. </w:t>
      </w:r>
      <w:hyperlink r:id="rId35" w:history="1">
        <w:r w:rsidRPr="00E622D4">
          <w:rPr>
            <w:rStyle w:val="Hyperlink"/>
            <w:rFonts w:ascii="Times New Roman" w:hAnsi="Times New Roman" w:cs="Times New Roman"/>
            <w:sz w:val="24"/>
            <w:szCs w:val="24"/>
          </w:rPr>
          <w:t>https://doi.org/10.1190/1.2133784</w:t>
        </w:r>
      </w:hyperlink>
    </w:p>
    <w:p w14:paraId="78AE2442" w14:textId="77777777" w:rsidR="00E97B50" w:rsidRPr="00E622D4" w:rsidRDefault="00E97B50" w:rsidP="009D74C8">
      <w:pPr>
        <w:pStyle w:val="ListParagraph"/>
        <w:numPr>
          <w:ilvl w:val="0"/>
          <w:numId w:val="3"/>
        </w:numPr>
        <w:spacing w:before="100" w:beforeAutospacing="1" w:after="100" w:afterAutospacing="1" w:line="240" w:lineRule="auto"/>
        <w:jc w:val="both"/>
        <w:rPr>
          <w:rFonts w:ascii="Times New Roman" w:hAnsi="Times New Roman" w:cs="Times New Roman"/>
          <w:sz w:val="24"/>
          <w:szCs w:val="24"/>
        </w:rPr>
      </w:pPr>
      <w:r w:rsidRPr="00E622D4">
        <w:rPr>
          <w:rStyle w:val="Strong"/>
          <w:rFonts w:ascii="Times New Roman" w:hAnsi="Times New Roman" w:cs="Times New Roman"/>
          <w:b w:val="0"/>
          <w:sz w:val="24"/>
          <w:szCs w:val="24"/>
        </w:rPr>
        <w:t>Minshull, T. A. (2003)</w:t>
      </w:r>
      <w:r w:rsidRPr="00E622D4">
        <w:rPr>
          <w:rStyle w:val="Strong"/>
          <w:rFonts w:ascii="Times New Roman" w:hAnsi="Times New Roman" w:cs="Times New Roman"/>
          <w:sz w:val="24"/>
          <w:szCs w:val="24"/>
        </w:rPr>
        <w:t>.</w:t>
      </w:r>
      <w:r w:rsidRPr="00E622D4">
        <w:rPr>
          <w:rFonts w:ascii="Times New Roman" w:hAnsi="Times New Roman" w:cs="Times New Roman"/>
          <w:sz w:val="24"/>
          <w:szCs w:val="24"/>
        </w:rPr>
        <w:t xml:space="preserve"> Review of </w:t>
      </w:r>
      <w:r w:rsidRPr="00E622D4">
        <w:rPr>
          <w:rStyle w:val="Emphasis"/>
          <w:rFonts w:ascii="Times New Roman" w:hAnsi="Times New Roman" w:cs="Times New Roman"/>
          <w:sz w:val="24"/>
          <w:szCs w:val="24"/>
        </w:rPr>
        <w:t>An Introduction to Geophysical Exploration</w:t>
      </w:r>
      <w:r w:rsidRPr="00E622D4">
        <w:rPr>
          <w:rFonts w:ascii="Times New Roman" w:hAnsi="Times New Roman" w:cs="Times New Roman"/>
          <w:sz w:val="24"/>
          <w:szCs w:val="24"/>
        </w:rPr>
        <w:t xml:space="preserve"> (3rd ed.) by </w:t>
      </w:r>
      <w:proofErr w:type="spellStart"/>
      <w:r w:rsidRPr="00E622D4">
        <w:rPr>
          <w:rFonts w:ascii="Times New Roman" w:hAnsi="Times New Roman" w:cs="Times New Roman"/>
          <w:sz w:val="24"/>
          <w:szCs w:val="24"/>
        </w:rPr>
        <w:t>Kearey</w:t>
      </w:r>
      <w:proofErr w:type="spellEnd"/>
      <w:r w:rsidRPr="00E622D4">
        <w:rPr>
          <w:rFonts w:ascii="Times New Roman" w:hAnsi="Times New Roman" w:cs="Times New Roman"/>
          <w:sz w:val="24"/>
          <w:szCs w:val="24"/>
        </w:rPr>
        <w:t xml:space="preserve">, Brooks &amp; Hill. </w:t>
      </w:r>
      <w:r w:rsidRPr="00E622D4">
        <w:rPr>
          <w:rStyle w:val="Emphasis"/>
          <w:rFonts w:ascii="Times New Roman" w:hAnsi="Times New Roman" w:cs="Times New Roman"/>
          <w:sz w:val="24"/>
          <w:szCs w:val="24"/>
        </w:rPr>
        <w:t>Geological Magazine</w:t>
      </w:r>
      <w:r w:rsidR="00E72998" w:rsidRPr="00E622D4">
        <w:rPr>
          <w:rFonts w:ascii="Times New Roman" w:hAnsi="Times New Roman" w:cs="Times New Roman"/>
          <w:sz w:val="24"/>
          <w:szCs w:val="24"/>
        </w:rPr>
        <w:t xml:space="preserve">, 140(3), 366. </w:t>
      </w:r>
      <w:hyperlink r:id="rId36" w:tgtFrame="_new" w:history="1">
        <w:r w:rsidRPr="00E622D4">
          <w:rPr>
            <w:rStyle w:val="Hyperlink"/>
            <w:rFonts w:ascii="Times New Roman" w:hAnsi="Times New Roman" w:cs="Times New Roman"/>
            <w:sz w:val="24"/>
            <w:szCs w:val="24"/>
          </w:rPr>
          <w:t>https://doi.org/10.1017/S0016756803378021</w:t>
        </w:r>
      </w:hyperlink>
    </w:p>
    <w:p w14:paraId="4BB1E153" w14:textId="77777777" w:rsidR="00E97B50" w:rsidRPr="00E622D4" w:rsidRDefault="00E97B50" w:rsidP="009D74C8">
      <w:pPr>
        <w:pStyle w:val="ListParagraph"/>
        <w:numPr>
          <w:ilvl w:val="0"/>
          <w:numId w:val="3"/>
        </w:numPr>
        <w:spacing w:before="100" w:beforeAutospacing="1" w:after="100" w:afterAutospacing="1" w:line="240" w:lineRule="auto"/>
        <w:jc w:val="both"/>
        <w:rPr>
          <w:rFonts w:ascii="Times New Roman" w:hAnsi="Times New Roman" w:cs="Times New Roman"/>
          <w:sz w:val="24"/>
          <w:szCs w:val="24"/>
        </w:rPr>
      </w:pPr>
      <w:r w:rsidRPr="00E622D4">
        <w:rPr>
          <w:rFonts w:ascii="Times New Roman" w:hAnsi="Times New Roman" w:cs="Times New Roman"/>
          <w:sz w:val="24"/>
          <w:szCs w:val="24"/>
        </w:rPr>
        <w:t xml:space="preserve">Abraham, E. M., </w:t>
      </w:r>
      <w:proofErr w:type="spellStart"/>
      <w:r w:rsidRPr="00E622D4">
        <w:rPr>
          <w:rFonts w:ascii="Times New Roman" w:hAnsi="Times New Roman" w:cs="Times New Roman"/>
          <w:sz w:val="24"/>
          <w:szCs w:val="24"/>
        </w:rPr>
        <w:t>Uwaezuoke</w:t>
      </w:r>
      <w:proofErr w:type="spellEnd"/>
      <w:r w:rsidRPr="00E622D4">
        <w:rPr>
          <w:rFonts w:ascii="Times New Roman" w:hAnsi="Times New Roman" w:cs="Times New Roman"/>
          <w:sz w:val="24"/>
          <w:szCs w:val="24"/>
        </w:rPr>
        <w:t xml:space="preserve">, A. E., &amp; Usman, A. O. (2024). Geophysical investigation of subsurface mineral potentials in North-Central Nigeria. </w:t>
      </w:r>
      <w:r w:rsidRPr="00E622D4">
        <w:rPr>
          <w:rStyle w:val="Emphasis"/>
          <w:rFonts w:ascii="Times New Roman" w:hAnsi="Times New Roman" w:cs="Times New Roman"/>
          <w:sz w:val="24"/>
          <w:szCs w:val="24"/>
        </w:rPr>
        <w:t>Geomechanics and Geophysics for Geo-Energy and Geo-Resources</w:t>
      </w:r>
      <w:r w:rsidRPr="00E622D4">
        <w:rPr>
          <w:rFonts w:ascii="Times New Roman" w:hAnsi="Times New Roman" w:cs="Times New Roman"/>
          <w:sz w:val="24"/>
          <w:szCs w:val="24"/>
        </w:rPr>
        <w:t xml:space="preserve">, 10, 192. </w:t>
      </w:r>
      <w:hyperlink r:id="rId37" w:history="1">
        <w:r w:rsidRPr="00E622D4">
          <w:rPr>
            <w:rStyle w:val="Hyperlink"/>
            <w:rFonts w:ascii="Times New Roman" w:hAnsi="Times New Roman" w:cs="Times New Roman"/>
            <w:sz w:val="24"/>
            <w:szCs w:val="24"/>
          </w:rPr>
          <w:t>https://doi.org/10.1007/s40948-024-00913-3</w:t>
        </w:r>
      </w:hyperlink>
    </w:p>
    <w:p w14:paraId="021E15FB" w14:textId="77777777" w:rsidR="00E97B50" w:rsidRPr="00E622D4" w:rsidRDefault="00E97B50" w:rsidP="009D74C8">
      <w:pPr>
        <w:pStyle w:val="ListParagraph"/>
        <w:numPr>
          <w:ilvl w:val="0"/>
          <w:numId w:val="3"/>
        </w:numPr>
        <w:spacing w:before="100" w:beforeAutospacing="1" w:after="100" w:afterAutospacing="1" w:line="240" w:lineRule="auto"/>
        <w:jc w:val="both"/>
        <w:rPr>
          <w:rFonts w:ascii="Times New Roman" w:eastAsia="Times New Roman" w:hAnsi="Times New Roman" w:cs="Times New Roman"/>
          <w:sz w:val="24"/>
          <w:szCs w:val="24"/>
        </w:rPr>
      </w:pPr>
      <w:r w:rsidRPr="00E622D4">
        <w:rPr>
          <w:rFonts w:ascii="Times New Roman" w:eastAsia="Times New Roman" w:hAnsi="Times New Roman" w:cs="Times New Roman"/>
          <w:sz w:val="24"/>
          <w:szCs w:val="24"/>
        </w:rPr>
        <w:t xml:space="preserve">Telford, W. M., </w:t>
      </w:r>
      <w:proofErr w:type="spellStart"/>
      <w:r w:rsidRPr="00E622D4">
        <w:rPr>
          <w:rFonts w:ascii="Times New Roman" w:eastAsia="Times New Roman" w:hAnsi="Times New Roman" w:cs="Times New Roman"/>
          <w:sz w:val="24"/>
          <w:szCs w:val="24"/>
        </w:rPr>
        <w:t>Geldart</w:t>
      </w:r>
      <w:proofErr w:type="spellEnd"/>
      <w:r w:rsidRPr="00E622D4">
        <w:rPr>
          <w:rFonts w:ascii="Times New Roman" w:eastAsia="Times New Roman" w:hAnsi="Times New Roman" w:cs="Times New Roman"/>
          <w:sz w:val="24"/>
          <w:szCs w:val="24"/>
        </w:rPr>
        <w:t xml:space="preserve">, L. P., &amp; Sheriff, R. E. (1990). </w:t>
      </w:r>
      <w:r w:rsidRPr="00E622D4">
        <w:rPr>
          <w:rFonts w:ascii="Times New Roman" w:eastAsia="Times New Roman" w:hAnsi="Times New Roman" w:cs="Times New Roman"/>
          <w:i/>
          <w:iCs/>
          <w:sz w:val="24"/>
          <w:szCs w:val="24"/>
        </w:rPr>
        <w:t>Applied Geophysics</w:t>
      </w:r>
      <w:r w:rsidRPr="00E622D4">
        <w:rPr>
          <w:rFonts w:ascii="Times New Roman" w:eastAsia="Times New Roman" w:hAnsi="Times New Roman" w:cs="Times New Roman"/>
          <w:sz w:val="24"/>
          <w:szCs w:val="24"/>
        </w:rPr>
        <w:t xml:space="preserve"> (2nd ed.). Ca</w:t>
      </w:r>
      <w:r w:rsidR="00E72998" w:rsidRPr="00E622D4">
        <w:rPr>
          <w:rFonts w:ascii="Times New Roman" w:eastAsia="Times New Roman" w:hAnsi="Times New Roman" w:cs="Times New Roman"/>
          <w:sz w:val="24"/>
          <w:szCs w:val="24"/>
        </w:rPr>
        <w:t xml:space="preserve">mbridge University Press. </w:t>
      </w:r>
      <w:hyperlink r:id="rId38" w:history="1">
        <w:r w:rsidRPr="00E622D4">
          <w:rPr>
            <w:rStyle w:val="Hyperlink"/>
            <w:rFonts w:ascii="Times New Roman" w:eastAsia="Times New Roman" w:hAnsi="Times New Roman" w:cs="Times New Roman"/>
            <w:sz w:val="24"/>
            <w:szCs w:val="24"/>
          </w:rPr>
          <w:t>https://doi.org/10.1017/CBO9781139167932</w:t>
        </w:r>
      </w:hyperlink>
    </w:p>
    <w:p w14:paraId="573DF614" w14:textId="77777777" w:rsidR="00E97B50" w:rsidRPr="00E622D4" w:rsidRDefault="00E97B50" w:rsidP="009D74C8">
      <w:pPr>
        <w:pStyle w:val="ListParagraph"/>
        <w:numPr>
          <w:ilvl w:val="0"/>
          <w:numId w:val="3"/>
        </w:numPr>
        <w:spacing w:before="100" w:beforeAutospacing="1" w:after="100" w:afterAutospacing="1" w:line="240" w:lineRule="auto"/>
        <w:jc w:val="both"/>
        <w:rPr>
          <w:rFonts w:ascii="Times New Roman" w:hAnsi="Times New Roman" w:cs="Times New Roman"/>
          <w:sz w:val="24"/>
          <w:szCs w:val="24"/>
        </w:rPr>
      </w:pPr>
      <w:r w:rsidRPr="00E622D4">
        <w:rPr>
          <w:rFonts w:ascii="Times New Roman" w:hAnsi="Times New Roman" w:cs="Times New Roman"/>
          <w:sz w:val="24"/>
          <w:szCs w:val="24"/>
        </w:rPr>
        <w:t xml:space="preserve">Fitts, C. R. (2022). </w:t>
      </w:r>
      <w:r w:rsidRPr="00E622D4">
        <w:rPr>
          <w:rStyle w:val="Emphasis"/>
          <w:rFonts w:ascii="Times New Roman" w:hAnsi="Times New Roman" w:cs="Times New Roman"/>
          <w:sz w:val="24"/>
          <w:szCs w:val="24"/>
        </w:rPr>
        <w:t>Groundwater Science</w:t>
      </w:r>
      <w:r w:rsidRPr="00E622D4">
        <w:rPr>
          <w:rFonts w:ascii="Times New Roman" w:hAnsi="Times New Roman" w:cs="Times New Roman"/>
          <w:sz w:val="24"/>
          <w:szCs w:val="24"/>
        </w:rPr>
        <w:t xml:space="preserve"> (3rd ed.). Academic Press. </w:t>
      </w:r>
      <w:hyperlink r:id="rId39" w:history="1">
        <w:r w:rsidRPr="00E622D4">
          <w:rPr>
            <w:rStyle w:val="Hyperlink"/>
            <w:rFonts w:ascii="Times New Roman" w:hAnsi="Times New Roman" w:cs="Times New Roman"/>
            <w:sz w:val="24"/>
            <w:szCs w:val="24"/>
          </w:rPr>
          <w:t>https://doi.org/10.1016/C2016-0-00985-3</w:t>
        </w:r>
      </w:hyperlink>
    </w:p>
    <w:p w14:paraId="7F164A6F" w14:textId="77777777" w:rsidR="00E97B50" w:rsidRDefault="00E97B50" w:rsidP="009D74C8">
      <w:pPr>
        <w:pStyle w:val="NormalWeb"/>
        <w:numPr>
          <w:ilvl w:val="0"/>
          <w:numId w:val="3"/>
        </w:numPr>
        <w:jc w:val="both"/>
      </w:pPr>
      <w:r w:rsidRPr="00E47EC9">
        <w:rPr>
          <w:rStyle w:val="Strong"/>
          <w:b w:val="0"/>
        </w:rPr>
        <w:t>Pham, L. T., et al. (2024</w:t>
      </w:r>
      <w:r>
        <w:rPr>
          <w:rStyle w:val="Strong"/>
        </w:rPr>
        <w:t>).</w:t>
      </w:r>
      <w:r>
        <w:t xml:space="preserve"> </w:t>
      </w:r>
      <w:r>
        <w:rPr>
          <w:rStyle w:val="Emphasis"/>
        </w:rPr>
        <w:t>Selection of Euler deconvolution solutions using enhanced horizontal gradient and β-VDR method.</w:t>
      </w:r>
      <w:r w:rsidR="00E72998">
        <w:t xml:space="preserve"> </w:t>
      </w:r>
      <w:hyperlink r:id="rId40" w:history="1">
        <w:r w:rsidRPr="00845513">
          <w:rPr>
            <w:rStyle w:val="Hyperlink"/>
          </w:rPr>
          <w:t>https://www.degruyter.com/document/doi/10.1515/geo-2022-0637/html?srsltid=AfmBOopBhgczL-GlQAVx9CHSq2DT3oJfYNo1z7URXx3M3-HuaTqdZrI2</w:t>
        </w:r>
      </w:hyperlink>
      <w:r>
        <w:t xml:space="preserve"> </w:t>
      </w:r>
    </w:p>
    <w:p w14:paraId="15328E1F" w14:textId="77777777" w:rsidR="00E97B50" w:rsidRDefault="00E97B50" w:rsidP="009D74C8">
      <w:pPr>
        <w:pStyle w:val="NormalWeb"/>
        <w:numPr>
          <w:ilvl w:val="0"/>
          <w:numId w:val="3"/>
        </w:numPr>
        <w:jc w:val="both"/>
      </w:pPr>
      <w:r w:rsidRPr="00E47EC9">
        <w:rPr>
          <w:rStyle w:val="Strong"/>
          <w:b w:val="0"/>
        </w:rPr>
        <w:t>Cooper, G. R. J. (2024).</w:t>
      </w:r>
      <w:r>
        <w:t xml:space="preserve"> </w:t>
      </w:r>
      <w:r>
        <w:rPr>
          <w:rStyle w:val="Emphasis"/>
        </w:rPr>
        <w:t>Using Euler Deconvolution as Part of a Mineral Exploration Project.</w:t>
      </w:r>
      <w:r>
        <w:t xml:space="preserve"> </w:t>
      </w:r>
      <w:r>
        <w:rPr>
          <w:rStyle w:val="Emphasis"/>
        </w:rPr>
        <w:t>Minerals</w:t>
      </w:r>
      <w:r>
        <w:t xml:space="preserve">, 14(4), 393. DOI: </w:t>
      </w:r>
      <w:hyperlink r:id="rId41" w:history="1">
        <w:r w:rsidRPr="00845513">
          <w:rPr>
            <w:rStyle w:val="Hyperlink"/>
          </w:rPr>
          <w:t>https://doi.org/10.3390/min14040393</w:t>
        </w:r>
      </w:hyperlink>
    </w:p>
    <w:p w14:paraId="4F82F03C" w14:textId="77777777" w:rsidR="00E97B50" w:rsidRDefault="00E97B50" w:rsidP="009D74C8">
      <w:pPr>
        <w:pStyle w:val="NormalWeb"/>
        <w:numPr>
          <w:ilvl w:val="0"/>
          <w:numId w:val="3"/>
        </w:numPr>
        <w:jc w:val="both"/>
      </w:pPr>
      <w:proofErr w:type="spellStart"/>
      <w:r w:rsidRPr="00812E98">
        <w:rPr>
          <w:rStyle w:val="Emphasis"/>
          <w:i w:val="0"/>
        </w:rPr>
        <w:t>Rahaman</w:t>
      </w:r>
      <w:proofErr w:type="spellEnd"/>
      <w:r w:rsidRPr="00812E98">
        <w:rPr>
          <w:rStyle w:val="Emphasis"/>
          <w:i w:val="0"/>
        </w:rPr>
        <w:t>, M. A. (1988). Recent Advances in the Study of the Basement Complex of Nigeria.</w:t>
      </w:r>
      <w:r w:rsidRPr="00812E98">
        <w:rPr>
          <w:i/>
        </w:rPr>
        <w:t xml:space="preserve"> In </w:t>
      </w:r>
      <w:r w:rsidRPr="00812E98">
        <w:rPr>
          <w:rStyle w:val="Emphasis"/>
          <w:i w:val="0"/>
        </w:rPr>
        <w:t>Precambrian Geology of Nigeria</w:t>
      </w:r>
      <w:r w:rsidRPr="00812E98">
        <w:rPr>
          <w:i/>
        </w:rPr>
        <w:t xml:space="preserve">, </w:t>
      </w:r>
      <w:r w:rsidRPr="00812E98">
        <w:t>Geological Survey of Nigeria, Kaduna, pp. 11–41</w:t>
      </w:r>
      <w:r w:rsidRPr="00812E98">
        <w:rPr>
          <w:i/>
        </w:rPr>
        <w:t>.</w:t>
      </w:r>
      <w:r w:rsidRPr="00812E98">
        <w:rPr>
          <w:i/>
        </w:rPr>
        <w:br/>
      </w:r>
      <w:r>
        <w:t xml:space="preserve"> </w:t>
      </w:r>
      <w:hyperlink r:id="rId42" w:tgtFrame="_new" w:history="1">
        <w:r>
          <w:rPr>
            <w:rStyle w:val="Hyperlink"/>
          </w:rPr>
          <w:t>https://www.scirp.org/reference/referencespapers?referenceid=1712445</w:t>
        </w:r>
      </w:hyperlink>
    </w:p>
    <w:p w14:paraId="6D4717BE" w14:textId="77777777" w:rsidR="00E97B50" w:rsidRDefault="00E97B50" w:rsidP="009D74C8">
      <w:pPr>
        <w:pStyle w:val="NormalWeb"/>
        <w:numPr>
          <w:ilvl w:val="0"/>
          <w:numId w:val="3"/>
        </w:numPr>
        <w:jc w:val="both"/>
      </w:pPr>
      <w:proofErr w:type="spellStart"/>
      <w:r>
        <w:t>Oyinloye</w:t>
      </w:r>
      <w:proofErr w:type="spellEnd"/>
      <w:r>
        <w:t xml:space="preserve">, A. O. (2011). </w:t>
      </w:r>
      <w:r>
        <w:rPr>
          <w:rStyle w:val="Emphasis"/>
        </w:rPr>
        <w:t>Geology and geotectonic setting of the basement complex rocks in Southwestern Nigeria: Implications on provenance and evolution.</w:t>
      </w:r>
      <w:r w:rsidR="00E72998">
        <w:t xml:space="preserve"> </w:t>
      </w:r>
      <w:r>
        <w:t xml:space="preserve">DOI: </w:t>
      </w:r>
      <w:hyperlink r:id="rId43" w:history="1">
        <w:r w:rsidRPr="00845513">
          <w:rPr>
            <w:rStyle w:val="Hyperlink"/>
          </w:rPr>
          <w:t>https://doi.org/10.5772/26990</w:t>
        </w:r>
      </w:hyperlink>
    </w:p>
    <w:p w14:paraId="5B66CE15" w14:textId="77777777" w:rsidR="00E97B50" w:rsidRDefault="00E97B50" w:rsidP="009D74C8">
      <w:pPr>
        <w:pStyle w:val="NormalWeb"/>
        <w:numPr>
          <w:ilvl w:val="0"/>
          <w:numId w:val="3"/>
        </w:numPr>
        <w:jc w:val="both"/>
        <w:rPr>
          <w:rStyle w:val="Hyperlink"/>
          <w:rFonts w:eastAsiaTheme="majorEastAsia"/>
        </w:rPr>
      </w:pPr>
      <w:r w:rsidRPr="009B58CC">
        <w:rPr>
          <w:rStyle w:val="Strong"/>
          <w:b w:val="0"/>
        </w:rPr>
        <w:t>Nigerian Geological Survey Agency (NGSA), 2006</w:t>
      </w:r>
      <w:r>
        <w:t xml:space="preserve">. </w:t>
      </w:r>
      <w:r w:rsidRPr="001517BB">
        <w:t xml:space="preserve">Geophysical mapping of Nigeria: Airborne radiometric and magnetic survey data, 2006. Available at: </w:t>
      </w:r>
      <w:hyperlink r:id="rId44" w:tgtFrame="_new" w:history="1">
        <w:r w:rsidRPr="001517BB">
          <w:rPr>
            <w:rStyle w:val="Hyperlink"/>
            <w:rFonts w:eastAsiaTheme="majorEastAsia"/>
          </w:rPr>
          <w:t>https://ngsa.gov.ng</w:t>
        </w:r>
      </w:hyperlink>
    </w:p>
    <w:p w14:paraId="11FCD16D" w14:textId="77777777" w:rsidR="00E97B50" w:rsidRDefault="00E97B50" w:rsidP="009D74C8">
      <w:pPr>
        <w:pStyle w:val="NormalWeb"/>
        <w:numPr>
          <w:ilvl w:val="0"/>
          <w:numId w:val="3"/>
        </w:numPr>
        <w:jc w:val="both"/>
      </w:pPr>
      <w:r>
        <w:t xml:space="preserve">Adeyemi, A. A., </w:t>
      </w:r>
      <w:proofErr w:type="spellStart"/>
      <w:r>
        <w:t>Orosun</w:t>
      </w:r>
      <w:proofErr w:type="spellEnd"/>
      <w:r>
        <w:t xml:space="preserve">, M. M., &amp; </w:t>
      </w:r>
      <w:proofErr w:type="spellStart"/>
      <w:r>
        <w:t>Salawu</w:t>
      </w:r>
      <w:proofErr w:type="spellEnd"/>
      <w:r>
        <w:t xml:space="preserve">, N. B. (2025). </w:t>
      </w:r>
      <w:r>
        <w:rPr>
          <w:rStyle w:val="Emphasis"/>
        </w:rPr>
        <w:t xml:space="preserve">Geospatial distributions of natural radioactivity in </w:t>
      </w:r>
      <w:proofErr w:type="spellStart"/>
      <w:r>
        <w:rPr>
          <w:rStyle w:val="Emphasis"/>
        </w:rPr>
        <w:t>Kwara</w:t>
      </w:r>
      <w:proofErr w:type="spellEnd"/>
      <w:r>
        <w:rPr>
          <w:rStyle w:val="Emphasis"/>
        </w:rPr>
        <w:t xml:space="preserve"> State, Nigeria using airborne gamma ray spectrometry data</w:t>
      </w:r>
      <w:r>
        <w:t xml:space="preserve">. Discover Environment, 3, 289. </w:t>
      </w:r>
      <w:hyperlink r:id="rId45" w:tgtFrame="_new" w:history="1">
        <w:r>
          <w:rPr>
            <w:rStyle w:val="Hyperlink"/>
          </w:rPr>
          <w:t>https://link.springer.com/article/10.1007/s44274-025-00346-z</w:t>
        </w:r>
      </w:hyperlink>
      <w:r>
        <w:t xml:space="preserve"> </w:t>
      </w:r>
    </w:p>
    <w:p w14:paraId="2AFAF540" w14:textId="77777777" w:rsidR="00E97B50" w:rsidRDefault="00E97B50" w:rsidP="009D74C8">
      <w:pPr>
        <w:pStyle w:val="NormalWeb"/>
        <w:numPr>
          <w:ilvl w:val="0"/>
          <w:numId w:val="3"/>
        </w:numPr>
        <w:jc w:val="both"/>
      </w:pPr>
      <w:proofErr w:type="spellStart"/>
      <w:r>
        <w:t>Ohaegbuchu</w:t>
      </w:r>
      <w:proofErr w:type="spellEnd"/>
      <w:r>
        <w:t xml:space="preserve">, H. E., </w:t>
      </w:r>
      <w:proofErr w:type="spellStart"/>
      <w:r>
        <w:t>Ndubueze</w:t>
      </w:r>
      <w:proofErr w:type="spellEnd"/>
      <w:r>
        <w:t xml:space="preserve">, D. N., </w:t>
      </w:r>
      <w:proofErr w:type="spellStart"/>
      <w:r>
        <w:t>Obiajulu</w:t>
      </w:r>
      <w:proofErr w:type="spellEnd"/>
      <w:r>
        <w:t xml:space="preserve">, O. O., &amp; </w:t>
      </w:r>
      <w:proofErr w:type="spellStart"/>
      <w:r>
        <w:t>Ahamefule</w:t>
      </w:r>
      <w:proofErr w:type="spellEnd"/>
      <w:r>
        <w:t xml:space="preserve">, Y. C. (2025). </w:t>
      </w:r>
      <w:r>
        <w:rPr>
          <w:rStyle w:val="Emphasis"/>
        </w:rPr>
        <w:t>Geological interpretation of airborne radiometric data for mineral exploration potential</w:t>
      </w:r>
      <w:r>
        <w:t xml:space="preserve">. Nigerian Journal of Physics. </w:t>
      </w:r>
      <w:hyperlink r:id="rId46" w:tgtFrame="_new" w:history="1">
        <w:r>
          <w:rPr>
            <w:rStyle w:val="Hyperlink"/>
          </w:rPr>
          <w:t>https://njp.nipngr.org/index.php/njp/article/view/473</w:t>
        </w:r>
      </w:hyperlink>
    </w:p>
    <w:p w14:paraId="789F69FE" w14:textId="77777777" w:rsidR="00E97B50" w:rsidRDefault="00E97B50" w:rsidP="009D74C8">
      <w:pPr>
        <w:pStyle w:val="NormalWeb"/>
        <w:numPr>
          <w:ilvl w:val="0"/>
          <w:numId w:val="3"/>
        </w:numPr>
        <w:jc w:val="both"/>
      </w:pPr>
      <w:proofErr w:type="spellStart"/>
      <w:r>
        <w:lastRenderedPageBreak/>
        <w:t>Sabins</w:t>
      </w:r>
      <w:proofErr w:type="spellEnd"/>
      <w:r>
        <w:t xml:space="preserve">, F. F. (1999). Remote sensing for mineral exploration. </w:t>
      </w:r>
      <w:r>
        <w:rPr>
          <w:rStyle w:val="Emphasis"/>
        </w:rPr>
        <w:t>Ore Geology Reviews, 14</w:t>
      </w:r>
      <w:r>
        <w:t xml:space="preserve">(3–4), 157–183. </w:t>
      </w:r>
      <w:hyperlink r:id="rId47" w:history="1">
        <w:r w:rsidRPr="00845513">
          <w:rPr>
            <w:rStyle w:val="Hyperlink"/>
          </w:rPr>
          <w:t>https://doi.org/10.1016/S0169-1368(99)00007-4</w:t>
        </w:r>
      </w:hyperlink>
    </w:p>
    <w:p w14:paraId="16B23BFF" w14:textId="77777777" w:rsidR="00E97B50" w:rsidRDefault="00E97B50" w:rsidP="009D74C8">
      <w:pPr>
        <w:pStyle w:val="NormalWeb"/>
        <w:numPr>
          <w:ilvl w:val="0"/>
          <w:numId w:val="3"/>
        </w:numPr>
        <w:jc w:val="both"/>
      </w:pPr>
      <w:r>
        <w:t xml:space="preserve">IAEA (2003). </w:t>
      </w:r>
      <w:r>
        <w:rPr>
          <w:rStyle w:val="Emphasis"/>
        </w:rPr>
        <w:t>Guidelines for Radioelement Mapping Using Gamma Ray Spectrometry Data</w:t>
      </w:r>
      <w:r>
        <w:t>.</w:t>
      </w:r>
      <w:r>
        <w:br/>
      </w:r>
      <w:hyperlink r:id="rId48" w:tgtFrame="_new" w:history="1">
        <w:r>
          <w:rPr>
            <w:rStyle w:val="Hyperlink"/>
          </w:rPr>
          <w:t>https://www-pub.iaea.org/MTCD/Publications/PDF/te_1363_web.pdf</w:t>
        </w:r>
      </w:hyperlink>
    </w:p>
    <w:p w14:paraId="4EB46FE4" w14:textId="77777777" w:rsidR="00E97B50" w:rsidRDefault="00E97B50" w:rsidP="009D74C8">
      <w:pPr>
        <w:pStyle w:val="NormalWeb"/>
        <w:numPr>
          <w:ilvl w:val="0"/>
          <w:numId w:val="3"/>
        </w:numPr>
        <w:jc w:val="both"/>
      </w:pPr>
      <w:proofErr w:type="spellStart"/>
      <w:r>
        <w:t>Gabrielsen</w:t>
      </w:r>
      <w:proofErr w:type="spellEnd"/>
      <w:r>
        <w:t xml:space="preserve">, R. H. (2024). </w:t>
      </w:r>
      <w:r>
        <w:rPr>
          <w:rStyle w:val="Emphasis"/>
        </w:rPr>
        <w:t>The Concept of Lineaments in Geological Structural Analysis</w:t>
      </w:r>
      <w:r>
        <w:t xml:space="preserve">. </w:t>
      </w:r>
      <w:r>
        <w:rPr>
          <w:rStyle w:val="Emphasis"/>
        </w:rPr>
        <w:t>Geosciences</w:t>
      </w:r>
      <w:r>
        <w:t xml:space="preserve">, 4(2), 11. Available at: </w:t>
      </w:r>
      <w:hyperlink r:id="rId49" w:tgtFrame="_new" w:history="1">
        <w:r>
          <w:rPr>
            <w:rStyle w:val="Hyperlink"/>
          </w:rPr>
          <w:t>https://www.mdpi.com/2673-7418/4/2/11</w:t>
        </w:r>
      </w:hyperlink>
    </w:p>
    <w:p w14:paraId="7B3557E3" w14:textId="77777777" w:rsidR="00E97B50" w:rsidRDefault="00E97B50" w:rsidP="009D74C8">
      <w:pPr>
        <w:pStyle w:val="NormalWeb"/>
        <w:numPr>
          <w:ilvl w:val="0"/>
          <w:numId w:val="3"/>
        </w:numPr>
        <w:jc w:val="both"/>
      </w:pPr>
      <w:proofErr w:type="spellStart"/>
      <w:r>
        <w:t>Salui</w:t>
      </w:r>
      <w:proofErr w:type="spellEnd"/>
      <w:r>
        <w:t xml:space="preserve">, C. L. (2018). Automatic extraction and evaluation of geological linear features from digital remote sensing data using Hough Transformation. </w:t>
      </w:r>
      <w:r>
        <w:rPr>
          <w:rStyle w:val="Emphasis"/>
        </w:rPr>
        <w:t>Journal of Indian Society of Remote Sensing</w:t>
      </w:r>
      <w:r>
        <w:t xml:space="preserve">. Available at: </w:t>
      </w:r>
      <w:hyperlink r:id="rId50" w:tgtFrame="_new" w:history="1">
        <w:r>
          <w:rPr>
            <w:rStyle w:val="Hyperlink"/>
          </w:rPr>
          <w:t>https://link.springer.com/article/10.1007/s12594-018-1015-6</w:t>
        </w:r>
      </w:hyperlink>
    </w:p>
    <w:p w14:paraId="4879AC68" w14:textId="77777777" w:rsidR="00E97B50" w:rsidRDefault="00E97B50" w:rsidP="009D74C8">
      <w:pPr>
        <w:pStyle w:val="NormalWeb"/>
        <w:jc w:val="both"/>
      </w:pPr>
    </w:p>
    <w:p w14:paraId="7ED7DEE1" w14:textId="77777777" w:rsidR="00E97B50" w:rsidRPr="001517BB" w:rsidRDefault="00E97B50" w:rsidP="009D74C8">
      <w:pPr>
        <w:pStyle w:val="NormalWeb"/>
        <w:jc w:val="both"/>
      </w:pPr>
    </w:p>
    <w:p w14:paraId="3A8E5A6B" w14:textId="77777777" w:rsidR="00E97B50" w:rsidRDefault="00E97B50" w:rsidP="009D74C8">
      <w:pPr>
        <w:pStyle w:val="NormalWeb"/>
        <w:jc w:val="both"/>
      </w:pPr>
    </w:p>
    <w:p w14:paraId="022F9E4E" w14:textId="77777777" w:rsidR="00F75A3C" w:rsidRPr="00F75A3C" w:rsidRDefault="00C23703" w:rsidP="009D74C8">
      <w:pPr>
        <w:pStyle w:val="NormalWeb"/>
        <w:jc w:val="both"/>
        <w:rPr>
          <w:b/>
        </w:rPr>
      </w:pPr>
      <w:r>
        <w:rPr>
          <w:b/>
        </w:rPr>
        <w:t xml:space="preserve">                                                                                            </w:t>
      </w:r>
    </w:p>
    <w:sectPr w:rsidR="00F75A3C" w:rsidRPr="00F75A3C" w:rsidSect="00965030">
      <w:headerReference w:type="even" r:id="rId51"/>
      <w:headerReference w:type="default" r:id="rId52"/>
      <w:footerReference w:type="even" r:id="rId53"/>
      <w:footerReference w:type="default" r:id="rId54"/>
      <w:headerReference w:type="first" r:id="rId55"/>
      <w:footerReference w:type="first" r:id="rId56"/>
      <w:pgSz w:w="12240" w:h="15840"/>
      <w:pgMar w:top="1440" w:right="540" w:bottom="144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9D3FF6" w14:textId="77777777" w:rsidR="004D0DDE" w:rsidRDefault="004D0DDE" w:rsidP="00234907">
      <w:pPr>
        <w:spacing w:after="0" w:line="240" w:lineRule="auto"/>
      </w:pPr>
      <w:r>
        <w:separator/>
      </w:r>
    </w:p>
  </w:endnote>
  <w:endnote w:type="continuationSeparator" w:id="0">
    <w:p w14:paraId="66DDDC3D" w14:textId="77777777" w:rsidR="004D0DDE" w:rsidRDefault="004D0DDE" w:rsidP="002349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ylfaen">
    <w:panose1 w:val="010A0502050306030303"/>
    <w:charset w:val="00"/>
    <w:family w:val="roman"/>
    <w:pitch w:val="variable"/>
    <w:sig w:usb0="04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93658C" w14:textId="77777777" w:rsidR="00E3320C" w:rsidRDefault="00E3320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54312032"/>
      <w:docPartObj>
        <w:docPartGallery w:val="Page Numbers (Bottom of Page)"/>
        <w:docPartUnique/>
      </w:docPartObj>
    </w:sdtPr>
    <w:sdtEndPr>
      <w:rPr>
        <w:noProof/>
      </w:rPr>
    </w:sdtEndPr>
    <w:sdtContent>
      <w:p w14:paraId="65A6A1B1" w14:textId="03D220F4" w:rsidR="00291608" w:rsidRDefault="00291608">
        <w:pPr>
          <w:pStyle w:val="Footer"/>
          <w:jc w:val="center"/>
        </w:pPr>
        <w:r>
          <w:fldChar w:fldCharType="begin"/>
        </w:r>
        <w:r>
          <w:instrText xml:space="preserve"> PAGE   \* MERGEFORMAT </w:instrText>
        </w:r>
        <w:r>
          <w:fldChar w:fldCharType="separate"/>
        </w:r>
        <w:r w:rsidR="00DD47C7">
          <w:rPr>
            <w:noProof/>
          </w:rPr>
          <w:t>1</w:t>
        </w:r>
        <w:r>
          <w:rPr>
            <w:noProof/>
          </w:rPr>
          <w:fldChar w:fldCharType="end"/>
        </w:r>
      </w:p>
    </w:sdtContent>
  </w:sdt>
  <w:p w14:paraId="4495DFB0" w14:textId="77777777" w:rsidR="00291608" w:rsidRDefault="0029160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DD0ADD" w14:textId="77777777" w:rsidR="00E3320C" w:rsidRDefault="00E3320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581823" w14:textId="77777777" w:rsidR="004D0DDE" w:rsidRDefault="004D0DDE" w:rsidP="00234907">
      <w:pPr>
        <w:spacing w:after="0" w:line="240" w:lineRule="auto"/>
      </w:pPr>
      <w:r>
        <w:separator/>
      </w:r>
    </w:p>
  </w:footnote>
  <w:footnote w:type="continuationSeparator" w:id="0">
    <w:p w14:paraId="4E787CA8" w14:textId="77777777" w:rsidR="004D0DDE" w:rsidRDefault="004D0DDE" w:rsidP="0023490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4F23B5" w14:textId="6E8A2BB8" w:rsidR="00E3320C" w:rsidRDefault="00561C45">
    <w:pPr>
      <w:pStyle w:val="Header"/>
    </w:pPr>
    <w:r>
      <w:rPr>
        <w:noProof/>
      </w:rPr>
      <w:pict w14:anchorId="3DD6A52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8849501" o:spid="_x0000_s2050" type="#_x0000_t136" style="position:absolute;margin-left:0;margin-top:0;width:651.15pt;height:122.8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A30363" w14:textId="4AEB6AD9" w:rsidR="00E3320C" w:rsidRDefault="00561C45">
    <w:pPr>
      <w:pStyle w:val="Header"/>
    </w:pPr>
    <w:r>
      <w:rPr>
        <w:noProof/>
      </w:rPr>
      <w:pict w14:anchorId="4DEE52C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8849502" o:spid="_x0000_s2051" type="#_x0000_t136" style="position:absolute;margin-left:0;margin-top:0;width:651.15pt;height:122.8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B064A1" w14:textId="6CD476DC" w:rsidR="00E3320C" w:rsidRDefault="00561C45">
    <w:pPr>
      <w:pStyle w:val="Header"/>
    </w:pPr>
    <w:r>
      <w:rPr>
        <w:noProof/>
      </w:rPr>
      <w:pict w14:anchorId="0DAACF0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8849500" o:spid="_x0000_s2049" type="#_x0000_t136" style="position:absolute;margin-left:0;margin-top:0;width:651.15pt;height:122.8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8865E2F"/>
    <w:multiLevelType w:val="multilevel"/>
    <w:tmpl w:val="EB0475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44181CDF"/>
    <w:multiLevelType w:val="hybridMultilevel"/>
    <w:tmpl w:val="9A961176"/>
    <w:lvl w:ilvl="0" w:tplc="D1EA8C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92E23DE"/>
    <w:multiLevelType w:val="multilevel"/>
    <w:tmpl w:val="859AF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69659C3"/>
    <w:multiLevelType w:val="hybridMultilevel"/>
    <w:tmpl w:val="F25081FE"/>
    <w:lvl w:ilvl="0" w:tplc="0BCCD9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E922616"/>
    <w:multiLevelType w:val="multilevel"/>
    <w:tmpl w:val="B84838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7EC35ADE"/>
    <w:multiLevelType w:val="hybridMultilevel"/>
    <w:tmpl w:val="9A961176"/>
    <w:lvl w:ilvl="0" w:tplc="D1EA8C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4"/>
  </w:num>
  <w:num w:numId="3">
    <w:abstractNumId w:val="3"/>
  </w:num>
  <w:num w:numId="4">
    <w:abstractNumId w:val="2"/>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4193"/>
    <w:rsid w:val="00002F89"/>
    <w:rsid w:val="0002241B"/>
    <w:rsid w:val="000273D4"/>
    <w:rsid w:val="00080AC8"/>
    <w:rsid w:val="00085EE8"/>
    <w:rsid w:val="000B06E3"/>
    <w:rsid w:val="000B7771"/>
    <w:rsid w:val="000B7C2E"/>
    <w:rsid w:val="000C0F90"/>
    <w:rsid w:val="000D24E7"/>
    <w:rsid w:val="000D38DB"/>
    <w:rsid w:val="000E2818"/>
    <w:rsid w:val="000F382E"/>
    <w:rsid w:val="000F695B"/>
    <w:rsid w:val="00127AB9"/>
    <w:rsid w:val="00130813"/>
    <w:rsid w:val="001538F1"/>
    <w:rsid w:val="00153AB1"/>
    <w:rsid w:val="00167DF6"/>
    <w:rsid w:val="00195886"/>
    <w:rsid w:val="0019680D"/>
    <w:rsid w:val="00196CC2"/>
    <w:rsid w:val="0019793B"/>
    <w:rsid w:val="001A0516"/>
    <w:rsid w:val="001B38B0"/>
    <w:rsid w:val="001B5D3F"/>
    <w:rsid w:val="001D16D1"/>
    <w:rsid w:val="001D730D"/>
    <w:rsid w:val="001E7BAB"/>
    <w:rsid w:val="001F0578"/>
    <w:rsid w:val="002019B4"/>
    <w:rsid w:val="0020576E"/>
    <w:rsid w:val="00205B9F"/>
    <w:rsid w:val="00212288"/>
    <w:rsid w:val="00220490"/>
    <w:rsid w:val="00234743"/>
    <w:rsid w:val="00234907"/>
    <w:rsid w:val="00235354"/>
    <w:rsid w:val="002470F3"/>
    <w:rsid w:val="00261D90"/>
    <w:rsid w:val="002702A6"/>
    <w:rsid w:val="00273EA0"/>
    <w:rsid w:val="00287826"/>
    <w:rsid w:val="00291608"/>
    <w:rsid w:val="00297C01"/>
    <w:rsid w:val="002A3562"/>
    <w:rsid w:val="002B7AA5"/>
    <w:rsid w:val="002C1A66"/>
    <w:rsid w:val="002C5775"/>
    <w:rsid w:val="002C61AB"/>
    <w:rsid w:val="002D646B"/>
    <w:rsid w:val="002E6D26"/>
    <w:rsid w:val="002F389F"/>
    <w:rsid w:val="0031414A"/>
    <w:rsid w:val="00314EF1"/>
    <w:rsid w:val="00316083"/>
    <w:rsid w:val="00333A94"/>
    <w:rsid w:val="003519B0"/>
    <w:rsid w:val="0036530C"/>
    <w:rsid w:val="00373A3C"/>
    <w:rsid w:val="00387F00"/>
    <w:rsid w:val="003A572B"/>
    <w:rsid w:val="003B3A1D"/>
    <w:rsid w:val="003E2C3E"/>
    <w:rsid w:val="003E4285"/>
    <w:rsid w:val="003F10B6"/>
    <w:rsid w:val="003F3F53"/>
    <w:rsid w:val="00403224"/>
    <w:rsid w:val="0042050F"/>
    <w:rsid w:val="004277AE"/>
    <w:rsid w:val="00446E5F"/>
    <w:rsid w:val="00450762"/>
    <w:rsid w:val="00454885"/>
    <w:rsid w:val="00464D3C"/>
    <w:rsid w:val="00473F0B"/>
    <w:rsid w:val="00475AD7"/>
    <w:rsid w:val="0048461A"/>
    <w:rsid w:val="00485BA5"/>
    <w:rsid w:val="004A2AB5"/>
    <w:rsid w:val="004A4A9D"/>
    <w:rsid w:val="004B0954"/>
    <w:rsid w:val="004B6534"/>
    <w:rsid w:val="004C0072"/>
    <w:rsid w:val="004C0C97"/>
    <w:rsid w:val="004C4DCF"/>
    <w:rsid w:val="004D0DDE"/>
    <w:rsid w:val="004F41C3"/>
    <w:rsid w:val="004F6E7A"/>
    <w:rsid w:val="0050248A"/>
    <w:rsid w:val="00514B1F"/>
    <w:rsid w:val="00525A5B"/>
    <w:rsid w:val="00526E39"/>
    <w:rsid w:val="00537F60"/>
    <w:rsid w:val="00547B53"/>
    <w:rsid w:val="00551725"/>
    <w:rsid w:val="00561C45"/>
    <w:rsid w:val="00563DF4"/>
    <w:rsid w:val="00565CF5"/>
    <w:rsid w:val="00573676"/>
    <w:rsid w:val="00582E84"/>
    <w:rsid w:val="0058419D"/>
    <w:rsid w:val="005918A2"/>
    <w:rsid w:val="00595DDF"/>
    <w:rsid w:val="00597EF9"/>
    <w:rsid w:val="005A1C76"/>
    <w:rsid w:val="005A45A4"/>
    <w:rsid w:val="005A734E"/>
    <w:rsid w:val="005B6BE7"/>
    <w:rsid w:val="005D129C"/>
    <w:rsid w:val="005D1D03"/>
    <w:rsid w:val="005E3686"/>
    <w:rsid w:val="005F416A"/>
    <w:rsid w:val="00601748"/>
    <w:rsid w:val="00601FB3"/>
    <w:rsid w:val="00605A35"/>
    <w:rsid w:val="00606E28"/>
    <w:rsid w:val="00613C11"/>
    <w:rsid w:val="00620611"/>
    <w:rsid w:val="0062765A"/>
    <w:rsid w:val="00632486"/>
    <w:rsid w:val="0063345E"/>
    <w:rsid w:val="00654839"/>
    <w:rsid w:val="006621F6"/>
    <w:rsid w:val="006718F0"/>
    <w:rsid w:val="00695094"/>
    <w:rsid w:val="006A4F9C"/>
    <w:rsid w:val="006E1CF3"/>
    <w:rsid w:val="006E1F9F"/>
    <w:rsid w:val="00711F3C"/>
    <w:rsid w:val="00721AF0"/>
    <w:rsid w:val="0073064F"/>
    <w:rsid w:val="00731A94"/>
    <w:rsid w:val="007330B5"/>
    <w:rsid w:val="0075262C"/>
    <w:rsid w:val="00757D61"/>
    <w:rsid w:val="00765320"/>
    <w:rsid w:val="00780524"/>
    <w:rsid w:val="007A07C6"/>
    <w:rsid w:val="007A4BAB"/>
    <w:rsid w:val="007B6D9D"/>
    <w:rsid w:val="007D42C9"/>
    <w:rsid w:val="007F2FB2"/>
    <w:rsid w:val="007F7ED0"/>
    <w:rsid w:val="0080291D"/>
    <w:rsid w:val="00814265"/>
    <w:rsid w:val="00822397"/>
    <w:rsid w:val="00827461"/>
    <w:rsid w:val="00835D2E"/>
    <w:rsid w:val="008365D3"/>
    <w:rsid w:val="00871B54"/>
    <w:rsid w:val="00876A2B"/>
    <w:rsid w:val="00882464"/>
    <w:rsid w:val="008A7B37"/>
    <w:rsid w:val="008C7258"/>
    <w:rsid w:val="008D66E1"/>
    <w:rsid w:val="008F0D48"/>
    <w:rsid w:val="008F3919"/>
    <w:rsid w:val="00900D43"/>
    <w:rsid w:val="009016A8"/>
    <w:rsid w:val="0090239F"/>
    <w:rsid w:val="00907713"/>
    <w:rsid w:val="00924020"/>
    <w:rsid w:val="00924FEA"/>
    <w:rsid w:val="00927F32"/>
    <w:rsid w:val="00934819"/>
    <w:rsid w:val="00943EA3"/>
    <w:rsid w:val="00963B21"/>
    <w:rsid w:val="00965030"/>
    <w:rsid w:val="00967795"/>
    <w:rsid w:val="00972518"/>
    <w:rsid w:val="00972702"/>
    <w:rsid w:val="00984C5D"/>
    <w:rsid w:val="00985027"/>
    <w:rsid w:val="009A173B"/>
    <w:rsid w:val="009A42A0"/>
    <w:rsid w:val="009D1FDD"/>
    <w:rsid w:val="009D2A3D"/>
    <w:rsid w:val="009D74C8"/>
    <w:rsid w:val="009E5139"/>
    <w:rsid w:val="009F245A"/>
    <w:rsid w:val="009F42BD"/>
    <w:rsid w:val="009F5C37"/>
    <w:rsid w:val="00A00200"/>
    <w:rsid w:val="00A12232"/>
    <w:rsid w:val="00A205E4"/>
    <w:rsid w:val="00A22296"/>
    <w:rsid w:val="00A230A6"/>
    <w:rsid w:val="00A23605"/>
    <w:rsid w:val="00A237B8"/>
    <w:rsid w:val="00A36DC7"/>
    <w:rsid w:val="00A602CE"/>
    <w:rsid w:val="00AA5297"/>
    <w:rsid w:val="00AB4E24"/>
    <w:rsid w:val="00AD24B2"/>
    <w:rsid w:val="00AF0AD9"/>
    <w:rsid w:val="00AF5EFD"/>
    <w:rsid w:val="00B02EC8"/>
    <w:rsid w:val="00B06387"/>
    <w:rsid w:val="00B150BA"/>
    <w:rsid w:val="00B21226"/>
    <w:rsid w:val="00B262C2"/>
    <w:rsid w:val="00B40CAD"/>
    <w:rsid w:val="00B41309"/>
    <w:rsid w:val="00B717AB"/>
    <w:rsid w:val="00B71C09"/>
    <w:rsid w:val="00B74EF4"/>
    <w:rsid w:val="00B850B2"/>
    <w:rsid w:val="00B8597C"/>
    <w:rsid w:val="00B921D7"/>
    <w:rsid w:val="00BC5273"/>
    <w:rsid w:val="00BD4B46"/>
    <w:rsid w:val="00BF02FD"/>
    <w:rsid w:val="00BF786F"/>
    <w:rsid w:val="00C07DEF"/>
    <w:rsid w:val="00C20235"/>
    <w:rsid w:val="00C23703"/>
    <w:rsid w:val="00C23A3C"/>
    <w:rsid w:val="00C2426D"/>
    <w:rsid w:val="00C27942"/>
    <w:rsid w:val="00C33FD7"/>
    <w:rsid w:val="00C37044"/>
    <w:rsid w:val="00C41D4A"/>
    <w:rsid w:val="00C41E86"/>
    <w:rsid w:val="00C4733A"/>
    <w:rsid w:val="00C577F4"/>
    <w:rsid w:val="00C6317C"/>
    <w:rsid w:val="00C66E16"/>
    <w:rsid w:val="00C80DDC"/>
    <w:rsid w:val="00C83353"/>
    <w:rsid w:val="00C86934"/>
    <w:rsid w:val="00C94C56"/>
    <w:rsid w:val="00CA2339"/>
    <w:rsid w:val="00CA5223"/>
    <w:rsid w:val="00CE469E"/>
    <w:rsid w:val="00CF18E7"/>
    <w:rsid w:val="00D02502"/>
    <w:rsid w:val="00D32B07"/>
    <w:rsid w:val="00D5496D"/>
    <w:rsid w:val="00D72F32"/>
    <w:rsid w:val="00D77233"/>
    <w:rsid w:val="00D84509"/>
    <w:rsid w:val="00D97D94"/>
    <w:rsid w:val="00DA18FE"/>
    <w:rsid w:val="00DA4193"/>
    <w:rsid w:val="00DC0D50"/>
    <w:rsid w:val="00DC2F26"/>
    <w:rsid w:val="00DD47C7"/>
    <w:rsid w:val="00DE1193"/>
    <w:rsid w:val="00DF408F"/>
    <w:rsid w:val="00DF79BB"/>
    <w:rsid w:val="00E10204"/>
    <w:rsid w:val="00E172F9"/>
    <w:rsid w:val="00E21826"/>
    <w:rsid w:val="00E3320C"/>
    <w:rsid w:val="00E35BC5"/>
    <w:rsid w:val="00E456A7"/>
    <w:rsid w:val="00E46AF8"/>
    <w:rsid w:val="00E622D4"/>
    <w:rsid w:val="00E72998"/>
    <w:rsid w:val="00E75263"/>
    <w:rsid w:val="00E81423"/>
    <w:rsid w:val="00E82909"/>
    <w:rsid w:val="00E97B50"/>
    <w:rsid w:val="00E97BA7"/>
    <w:rsid w:val="00E97C4D"/>
    <w:rsid w:val="00EA66D2"/>
    <w:rsid w:val="00EA7298"/>
    <w:rsid w:val="00EC668B"/>
    <w:rsid w:val="00EC7D88"/>
    <w:rsid w:val="00ED24FD"/>
    <w:rsid w:val="00ED3BAC"/>
    <w:rsid w:val="00ED728D"/>
    <w:rsid w:val="00EE032B"/>
    <w:rsid w:val="00EE0FA6"/>
    <w:rsid w:val="00EE4545"/>
    <w:rsid w:val="00EF5B05"/>
    <w:rsid w:val="00F002D9"/>
    <w:rsid w:val="00F557F4"/>
    <w:rsid w:val="00F75A3C"/>
    <w:rsid w:val="00F81952"/>
    <w:rsid w:val="00F87DBC"/>
    <w:rsid w:val="00F928E7"/>
    <w:rsid w:val="00FE02E0"/>
    <w:rsid w:val="00FE1A83"/>
    <w:rsid w:val="00FE33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A4CA39F"/>
  <w15:chartTrackingRefBased/>
  <w15:docId w15:val="{4BCB63FA-E81A-462F-8A67-A1AC70FC8A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AB4E2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DA4193"/>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DA4193"/>
    <w:rPr>
      <w:rFonts w:ascii="Times New Roman" w:eastAsia="Times New Roman" w:hAnsi="Times New Roman" w:cs="Times New Roman"/>
      <w:b/>
      <w:bCs/>
      <w:sz w:val="27"/>
      <w:szCs w:val="27"/>
    </w:rPr>
  </w:style>
  <w:style w:type="character" w:styleId="Strong">
    <w:name w:val="Strong"/>
    <w:basedOn w:val="DefaultParagraphFont"/>
    <w:uiPriority w:val="22"/>
    <w:qFormat/>
    <w:rsid w:val="00DA4193"/>
    <w:rPr>
      <w:b/>
      <w:bCs/>
    </w:rPr>
  </w:style>
  <w:style w:type="paragraph" w:styleId="NormalWeb">
    <w:name w:val="Normal (Web)"/>
    <w:basedOn w:val="Normal"/>
    <w:uiPriority w:val="99"/>
    <w:unhideWhenUsed/>
    <w:rsid w:val="00DA4193"/>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75262C"/>
    <w:rPr>
      <w:i/>
      <w:iCs/>
    </w:rPr>
  </w:style>
  <w:style w:type="paragraph" w:styleId="Header">
    <w:name w:val="header"/>
    <w:basedOn w:val="Normal"/>
    <w:link w:val="HeaderChar"/>
    <w:uiPriority w:val="99"/>
    <w:unhideWhenUsed/>
    <w:rsid w:val="00234907"/>
    <w:pPr>
      <w:tabs>
        <w:tab w:val="center" w:pos="4680"/>
        <w:tab w:val="right" w:pos="9360"/>
      </w:tabs>
      <w:spacing w:after="0" w:line="240" w:lineRule="auto"/>
    </w:pPr>
  </w:style>
  <w:style w:type="character" w:customStyle="1" w:styleId="HeaderChar">
    <w:name w:val="Header Char"/>
    <w:basedOn w:val="DefaultParagraphFont"/>
    <w:link w:val="Header"/>
    <w:uiPriority w:val="99"/>
    <w:rsid w:val="00234907"/>
  </w:style>
  <w:style w:type="paragraph" w:styleId="Footer">
    <w:name w:val="footer"/>
    <w:basedOn w:val="Normal"/>
    <w:link w:val="FooterChar"/>
    <w:uiPriority w:val="99"/>
    <w:unhideWhenUsed/>
    <w:rsid w:val="00234907"/>
    <w:pPr>
      <w:tabs>
        <w:tab w:val="center" w:pos="4680"/>
        <w:tab w:val="right" w:pos="9360"/>
      </w:tabs>
      <w:spacing w:after="0" w:line="240" w:lineRule="auto"/>
    </w:pPr>
  </w:style>
  <w:style w:type="character" w:customStyle="1" w:styleId="FooterChar">
    <w:name w:val="Footer Char"/>
    <w:basedOn w:val="DefaultParagraphFont"/>
    <w:link w:val="Footer"/>
    <w:uiPriority w:val="99"/>
    <w:rsid w:val="00234907"/>
  </w:style>
  <w:style w:type="character" w:styleId="Hyperlink">
    <w:name w:val="Hyperlink"/>
    <w:basedOn w:val="DefaultParagraphFont"/>
    <w:uiPriority w:val="99"/>
    <w:unhideWhenUsed/>
    <w:rsid w:val="00B850B2"/>
    <w:rPr>
      <w:color w:val="0563C1" w:themeColor="hyperlink"/>
      <w:u w:val="single"/>
    </w:rPr>
  </w:style>
  <w:style w:type="character" w:customStyle="1" w:styleId="katex-mathml">
    <w:name w:val="katex-mathml"/>
    <w:basedOn w:val="DefaultParagraphFont"/>
    <w:rsid w:val="00822397"/>
  </w:style>
  <w:style w:type="character" w:customStyle="1" w:styleId="mord">
    <w:name w:val="mord"/>
    <w:basedOn w:val="DefaultParagraphFont"/>
    <w:rsid w:val="00822397"/>
  </w:style>
  <w:style w:type="character" w:customStyle="1" w:styleId="Heading2Char">
    <w:name w:val="Heading 2 Char"/>
    <w:basedOn w:val="DefaultParagraphFont"/>
    <w:link w:val="Heading2"/>
    <w:uiPriority w:val="9"/>
    <w:rsid w:val="00AB4E24"/>
    <w:rPr>
      <w:rFonts w:asciiTheme="majorHAnsi" w:eastAsiaTheme="majorEastAsia" w:hAnsiTheme="majorHAnsi" w:cstheme="majorBidi"/>
      <w:color w:val="2E74B5" w:themeColor="accent1" w:themeShade="BF"/>
      <w:sz w:val="26"/>
      <w:szCs w:val="26"/>
    </w:rPr>
  </w:style>
  <w:style w:type="character" w:customStyle="1" w:styleId="whitespace-normal">
    <w:name w:val="whitespace-normal"/>
    <w:basedOn w:val="DefaultParagraphFont"/>
    <w:rsid w:val="00153AB1"/>
  </w:style>
  <w:style w:type="paragraph" w:styleId="ListParagraph">
    <w:name w:val="List Paragraph"/>
    <w:basedOn w:val="Normal"/>
    <w:uiPriority w:val="34"/>
    <w:qFormat/>
    <w:rsid w:val="00E622D4"/>
    <w:pPr>
      <w:ind w:left="720"/>
      <w:contextualSpacing/>
    </w:pPr>
  </w:style>
  <w:style w:type="paragraph" w:styleId="NoSpacing">
    <w:name w:val="No Spacing"/>
    <w:uiPriority w:val="1"/>
    <w:qFormat/>
    <w:rsid w:val="001D730D"/>
    <w:pPr>
      <w:spacing w:after="0" w:line="240" w:lineRule="auto"/>
    </w:pPr>
  </w:style>
  <w:style w:type="paragraph" w:styleId="Title">
    <w:name w:val="Title"/>
    <w:basedOn w:val="Normal"/>
    <w:next w:val="Normal"/>
    <w:link w:val="TitleChar"/>
    <w:uiPriority w:val="10"/>
    <w:qFormat/>
    <w:rsid w:val="001D730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D730D"/>
    <w:rPr>
      <w:rFonts w:asciiTheme="majorHAnsi" w:eastAsiaTheme="majorEastAsia" w:hAnsiTheme="majorHAnsi" w:cstheme="majorBidi"/>
      <w:spacing w:val="-10"/>
      <w:kern w:val="28"/>
      <w:sz w:val="56"/>
      <w:szCs w:val="56"/>
    </w:rPr>
  </w:style>
  <w:style w:type="character" w:customStyle="1" w:styleId="UnresolvedMention1">
    <w:name w:val="Unresolved Mention1"/>
    <w:basedOn w:val="DefaultParagraphFont"/>
    <w:uiPriority w:val="99"/>
    <w:semiHidden/>
    <w:unhideWhenUsed/>
    <w:rsid w:val="00473F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899958">
      <w:bodyDiv w:val="1"/>
      <w:marLeft w:val="0"/>
      <w:marRight w:val="0"/>
      <w:marTop w:val="0"/>
      <w:marBottom w:val="0"/>
      <w:divBdr>
        <w:top w:val="none" w:sz="0" w:space="0" w:color="auto"/>
        <w:left w:val="none" w:sz="0" w:space="0" w:color="auto"/>
        <w:bottom w:val="none" w:sz="0" w:space="0" w:color="auto"/>
        <w:right w:val="none" w:sz="0" w:space="0" w:color="auto"/>
      </w:divBdr>
    </w:div>
    <w:div w:id="78061334">
      <w:bodyDiv w:val="1"/>
      <w:marLeft w:val="0"/>
      <w:marRight w:val="0"/>
      <w:marTop w:val="0"/>
      <w:marBottom w:val="0"/>
      <w:divBdr>
        <w:top w:val="none" w:sz="0" w:space="0" w:color="auto"/>
        <w:left w:val="none" w:sz="0" w:space="0" w:color="auto"/>
        <w:bottom w:val="none" w:sz="0" w:space="0" w:color="auto"/>
        <w:right w:val="none" w:sz="0" w:space="0" w:color="auto"/>
      </w:divBdr>
    </w:div>
    <w:div w:id="80808045">
      <w:bodyDiv w:val="1"/>
      <w:marLeft w:val="0"/>
      <w:marRight w:val="0"/>
      <w:marTop w:val="0"/>
      <w:marBottom w:val="0"/>
      <w:divBdr>
        <w:top w:val="none" w:sz="0" w:space="0" w:color="auto"/>
        <w:left w:val="none" w:sz="0" w:space="0" w:color="auto"/>
        <w:bottom w:val="none" w:sz="0" w:space="0" w:color="auto"/>
        <w:right w:val="none" w:sz="0" w:space="0" w:color="auto"/>
      </w:divBdr>
    </w:div>
    <w:div w:id="83386265">
      <w:bodyDiv w:val="1"/>
      <w:marLeft w:val="0"/>
      <w:marRight w:val="0"/>
      <w:marTop w:val="0"/>
      <w:marBottom w:val="0"/>
      <w:divBdr>
        <w:top w:val="none" w:sz="0" w:space="0" w:color="auto"/>
        <w:left w:val="none" w:sz="0" w:space="0" w:color="auto"/>
        <w:bottom w:val="none" w:sz="0" w:space="0" w:color="auto"/>
        <w:right w:val="none" w:sz="0" w:space="0" w:color="auto"/>
      </w:divBdr>
    </w:div>
    <w:div w:id="91822813">
      <w:bodyDiv w:val="1"/>
      <w:marLeft w:val="0"/>
      <w:marRight w:val="0"/>
      <w:marTop w:val="0"/>
      <w:marBottom w:val="0"/>
      <w:divBdr>
        <w:top w:val="none" w:sz="0" w:space="0" w:color="auto"/>
        <w:left w:val="none" w:sz="0" w:space="0" w:color="auto"/>
        <w:bottom w:val="none" w:sz="0" w:space="0" w:color="auto"/>
        <w:right w:val="none" w:sz="0" w:space="0" w:color="auto"/>
      </w:divBdr>
    </w:div>
    <w:div w:id="125438298">
      <w:bodyDiv w:val="1"/>
      <w:marLeft w:val="0"/>
      <w:marRight w:val="0"/>
      <w:marTop w:val="0"/>
      <w:marBottom w:val="0"/>
      <w:divBdr>
        <w:top w:val="none" w:sz="0" w:space="0" w:color="auto"/>
        <w:left w:val="none" w:sz="0" w:space="0" w:color="auto"/>
        <w:bottom w:val="none" w:sz="0" w:space="0" w:color="auto"/>
        <w:right w:val="none" w:sz="0" w:space="0" w:color="auto"/>
      </w:divBdr>
      <w:divsChild>
        <w:div w:id="413094184">
          <w:marLeft w:val="0"/>
          <w:marRight w:val="0"/>
          <w:marTop w:val="0"/>
          <w:marBottom w:val="0"/>
          <w:divBdr>
            <w:top w:val="none" w:sz="0" w:space="0" w:color="auto"/>
            <w:left w:val="none" w:sz="0" w:space="0" w:color="auto"/>
            <w:bottom w:val="none" w:sz="0" w:space="0" w:color="auto"/>
            <w:right w:val="none" w:sz="0" w:space="0" w:color="auto"/>
          </w:divBdr>
          <w:divsChild>
            <w:div w:id="1297875198">
              <w:marLeft w:val="0"/>
              <w:marRight w:val="0"/>
              <w:marTop w:val="0"/>
              <w:marBottom w:val="0"/>
              <w:divBdr>
                <w:top w:val="none" w:sz="0" w:space="0" w:color="auto"/>
                <w:left w:val="none" w:sz="0" w:space="0" w:color="auto"/>
                <w:bottom w:val="none" w:sz="0" w:space="0" w:color="auto"/>
                <w:right w:val="none" w:sz="0" w:space="0" w:color="auto"/>
              </w:divBdr>
              <w:divsChild>
                <w:div w:id="1856115398">
                  <w:marLeft w:val="0"/>
                  <w:marRight w:val="0"/>
                  <w:marTop w:val="0"/>
                  <w:marBottom w:val="0"/>
                  <w:divBdr>
                    <w:top w:val="none" w:sz="0" w:space="0" w:color="auto"/>
                    <w:left w:val="none" w:sz="0" w:space="0" w:color="auto"/>
                    <w:bottom w:val="none" w:sz="0" w:space="0" w:color="auto"/>
                    <w:right w:val="none" w:sz="0" w:space="0" w:color="auto"/>
                  </w:divBdr>
                  <w:divsChild>
                    <w:div w:id="687103355">
                      <w:marLeft w:val="0"/>
                      <w:marRight w:val="0"/>
                      <w:marTop w:val="0"/>
                      <w:marBottom w:val="0"/>
                      <w:divBdr>
                        <w:top w:val="none" w:sz="0" w:space="0" w:color="auto"/>
                        <w:left w:val="none" w:sz="0" w:space="0" w:color="auto"/>
                        <w:bottom w:val="none" w:sz="0" w:space="0" w:color="auto"/>
                        <w:right w:val="none" w:sz="0" w:space="0" w:color="auto"/>
                      </w:divBdr>
                      <w:divsChild>
                        <w:div w:id="1796559058">
                          <w:marLeft w:val="0"/>
                          <w:marRight w:val="0"/>
                          <w:marTop w:val="0"/>
                          <w:marBottom w:val="0"/>
                          <w:divBdr>
                            <w:top w:val="none" w:sz="0" w:space="0" w:color="auto"/>
                            <w:left w:val="none" w:sz="0" w:space="0" w:color="auto"/>
                            <w:bottom w:val="none" w:sz="0" w:space="0" w:color="auto"/>
                            <w:right w:val="none" w:sz="0" w:space="0" w:color="auto"/>
                          </w:divBdr>
                          <w:divsChild>
                            <w:div w:id="557205432">
                              <w:marLeft w:val="0"/>
                              <w:marRight w:val="0"/>
                              <w:marTop w:val="0"/>
                              <w:marBottom w:val="0"/>
                              <w:divBdr>
                                <w:top w:val="none" w:sz="0" w:space="0" w:color="auto"/>
                                <w:left w:val="none" w:sz="0" w:space="0" w:color="auto"/>
                                <w:bottom w:val="none" w:sz="0" w:space="0" w:color="auto"/>
                                <w:right w:val="none" w:sz="0" w:space="0" w:color="auto"/>
                              </w:divBdr>
                              <w:divsChild>
                                <w:div w:id="104749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094474">
      <w:bodyDiv w:val="1"/>
      <w:marLeft w:val="0"/>
      <w:marRight w:val="0"/>
      <w:marTop w:val="0"/>
      <w:marBottom w:val="0"/>
      <w:divBdr>
        <w:top w:val="none" w:sz="0" w:space="0" w:color="auto"/>
        <w:left w:val="none" w:sz="0" w:space="0" w:color="auto"/>
        <w:bottom w:val="none" w:sz="0" w:space="0" w:color="auto"/>
        <w:right w:val="none" w:sz="0" w:space="0" w:color="auto"/>
      </w:divBdr>
    </w:div>
    <w:div w:id="164832107">
      <w:bodyDiv w:val="1"/>
      <w:marLeft w:val="0"/>
      <w:marRight w:val="0"/>
      <w:marTop w:val="0"/>
      <w:marBottom w:val="0"/>
      <w:divBdr>
        <w:top w:val="none" w:sz="0" w:space="0" w:color="auto"/>
        <w:left w:val="none" w:sz="0" w:space="0" w:color="auto"/>
        <w:bottom w:val="none" w:sz="0" w:space="0" w:color="auto"/>
        <w:right w:val="none" w:sz="0" w:space="0" w:color="auto"/>
      </w:divBdr>
    </w:div>
    <w:div w:id="194006165">
      <w:bodyDiv w:val="1"/>
      <w:marLeft w:val="0"/>
      <w:marRight w:val="0"/>
      <w:marTop w:val="0"/>
      <w:marBottom w:val="0"/>
      <w:divBdr>
        <w:top w:val="none" w:sz="0" w:space="0" w:color="auto"/>
        <w:left w:val="none" w:sz="0" w:space="0" w:color="auto"/>
        <w:bottom w:val="none" w:sz="0" w:space="0" w:color="auto"/>
        <w:right w:val="none" w:sz="0" w:space="0" w:color="auto"/>
      </w:divBdr>
    </w:div>
    <w:div w:id="326831105">
      <w:bodyDiv w:val="1"/>
      <w:marLeft w:val="0"/>
      <w:marRight w:val="0"/>
      <w:marTop w:val="0"/>
      <w:marBottom w:val="0"/>
      <w:divBdr>
        <w:top w:val="none" w:sz="0" w:space="0" w:color="auto"/>
        <w:left w:val="none" w:sz="0" w:space="0" w:color="auto"/>
        <w:bottom w:val="none" w:sz="0" w:space="0" w:color="auto"/>
        <w:right w:val="none" w:sz="0" w:space="0" w:color="auto"/>
      </w:divBdr>
    </w:div>
    <w:div w:id="328795312">
      <w:bodyDiv w:val="1"/>
      <w:marLeft w:val="0"/>
      <w:marRight w:val="0"/>
      <w:marTop w:val="0"/>
      <w:marBottom w:val="0"/>
      <w:divBdr>
        <w:top w:val="none" w:sz="0" w:space="0" w:color="auto"/>
        <w:left w:val="none" w:sz="0" w:space="0" w:color="auto"/>
        <w:bottom w:val="none" w:sz="0" w:space="0" w:color="auto"/>
        <w:right w:val="none" w:sz="0" w:space="0" w:color="auto"/>
      </w:divBdr>
    </w:div>
    <w:div w:id="348534309">
      <w:bodyDiv w:val="1"/>
      <w:marLeft w:val="0"/>
      <w:marRight w:val="0"/>
      <w:marTop w:val="0"/>
      <w:marBottom w:val="0"/>
      <w:divBdr>
        <w:top w:val="none" w:sz="0" w:space="0" w:color="auto"/>
        <w:left w:val="none" w:sz="0" w:space="0" w:color="auto"/>
        <w:bottom w:val="none" w:sz="0" w:space="0" w:color="auto"/>
        <w:right w:val="none" w:sz="0" w:space="0" w:color="auto"/>
      </w:divBdr>
    </w:div>
    <w:div w:id="376203076">
      <w:bodyDiv w:val="1"/>
      <w:marLeft w:val="0"/>
      <w:marRight w:val="0"/>
      <w:marTop w:val="0"/>
      <w:marBottom w:val="0"/>
      <w:divBdr>
        <w:top w:val="none" w:sz="0" w:space="0" w:color="auto"/>
        <w:left w:val="none" w:sz="0" w:space="0" w:color="auto"/>
        <w:bottom w:val="none" w:sz="0" w:space="0" w:color="auto"/>
        <w:right w:val="none" w:sz="0" w:space="0" w:color="auto"/>
      </w:divBdr>
    </w:div>
    <w:div w:id="425809632">
      <w:bodyDiv w:val="1"/>
      <w:marLeft w:val="0"/>
      <w:marRight w:val="0"/>
      <w:marTop w:val="0"/>
      <w:marBottom w:val="0"/>
      <w:divBdr>
        <w:top w:val="none" w:sz="0" w:space="0" w:color="auto"/>
        <w:left w:val="none" w:sz="0" w:space="0" w:color="auto"/>
        <w:bottom w:val="none" w:sz="0" w:space="0" w:color="auto"/>
        <w:right w:val="none" w:sz="0" w:space="0" w:color="auto"/>
      </w:divBdr>
    </w:div>
    <w:div w:id="431319633">
      <w:bodyDiv w:val="1"/>
      <w:marLeft w:val="0"/>
      <w:marRight w:val="0"/>
      <w:marTop w:val="0"/>
      <w:marBottom w:val="0"/>
      <w:divBdr>
        <w:top w:val="none" w:sz="0" w:space="0" w:color="auto"/>
        <w:left w:val="none" w:sz="0" w:space="0" w:color="auto"/>
        <w:bottom w:val="none" w:sz="0" w:space="0" w:color="auto"/>
        <w:right w:val="none" w:sz="0" w:space="0" w:color="auto"/>
      </w:divBdr>
    </w:div>
    <w:div w:id="498086607">
      <w:bodyDiv w:val="1"/>
      <w:marLeft w:val="0"/>
      <w:marRight w:val="0"/>
      <w:marTop w:val="0"/>
      <w:marBottom w:val="0"/>
      <w:divBdr>
        <w:top w:val="none" w:sz="0" w:space="0" w:color="auto"/>
        <w:left w:val="none" w:sz="0" w:space="0" w:color="auto"/>
        <w:bottom w:val="none" w:sz="0" w:space="0" w:color="auto"/>
        <w:right w:val="none" w:sz="0" w:space="0" w:color="auto"/>
      </w:divBdr>
    </w:div>
    <w:div w:id="505093465">
      <w:bodyDiv w:val="1"/>
      <w:marLeft w:val="0"/>
      <w:marRight w:val="0"/>
      <w:marTop w:val="0"/>
      <w:marBottom w:val="0"/>
      <w:divBdr>
        <w:top w:val="none" w:sz="0" w:space="0" w:color="auto"/>
        <w:left w:val="none" w:sz="0" w:space="0" w:color="auto"/>
        <w:bottom w:val="none" w:sz="0" w:space="0" w:color="auto"/>
        <w:right w:val="none" w:sz="0" w:space="0" w:color="auto"/>
      </w:divBdr>
    </w:div>
    <w:div w:id="506099329">
      <w:bodyDiv w:val="1"/>
      <w:marLeft w:val="0"/>
      <w:marRight w:val="0"/>
      <w:marTop w:val="0"/>
      <w:marBottom w:val="0"/>
      <w:divBdr>
        <w:top w:val="none" w:sz="0" w:space="0" w:color="auto"/>
        <w:left w:val="none" w:sz="0" w:space="0" w:color="auto"/>
        <w:bottom w:val="none" w:sz="0" w:space="0" w:color="auto"/>
        <w:right w:val="none" w:sz="0" w:space="0" w:color="auto"/>
      </w:divBdr>
    </w:div>
    <w:div w:id="536163143">
      <w:bodyDiv w:val="1"/>
      <w:marLeft w:val="0"/>
      <w:marRight w:val="0"/>
      <w:marTop w:val="0"/>
      <w:marBottom w:val="0"/>
      <w:divBdr>
        <w:top w:val="none" w:sz="0" w:space="0" w:color="auto"/>
        <w:left w:val="none" w:sz="0" w:space="0" w:color="auto"/>
        <w:bottom w:val="none" w:sz="0" w:space="0" w:color="auto"/>
        <w:right w:val="none" w:sz="0" w:space="0" w:color="auto"/>
      </w:divBdr>
    </w:div>
    <w:div w:id="541751027">
      <w:bodyDiv w:val="1"/>
      <w:marLeft w:val="0"/>
      <w:marRight w:val="0"/>
      <w:marTop w:val="0"/>
      <w:marBottom w:val="0"/>
      <w:divBdr>
        <w:top w:val="none" w:sz="0" w:space="0" w:color="auto"/>
        <w:left w:val="none" w:sz="0" w:space="0" w:color="auto"/>
        <w:bottom w:val="none" w:sz="0" w:space="0" w:color="auto"/>
        <w:right w:val="none" w:sz="0" w:space="0" w:color="auto"/>
      </w:divBdr>
      <w:divsChild>
        <w:div w:id="1757241665">
          <w:marLeft w:val="0"/>
          <w:marRight w:val="0"/>
          <w:marTop w:val="0"/>
          <w:marBottom w:val="0"/>
          <w:divBdr>
            <w:top w:val="none" w:sz="0" w:space="0" w:color="auto"/>
            <w:left w:val="none" w:sz="0" w:space="0" w:color="auto"/>
            <w:bottom w:val="none" w:sz="0" w:space="0" w:color="auto"/>
            <w:right w:val="none" w:sz="0" w:space="0" w:color="auto"/>
          </w:divBdr>
          <w:divsChild>
            <w:div w:id="1082600987">
              <w:marLeft w:val="0"/>
              <w:marRight w:val="0"/>
              <w:marTop w:val="0"/>
              <w:marBottom w:val="0"/>
              <w:divBdr>
                <w:top w:val="none" w:sz="0" w:space="0" w:color="auto"/>
                <w:left w:val="none" w:sz="0" w:space="0" w:color="auto"/>
                <w:bottom w:val="none" w:sz="0" w:space="0" w:color="auto"/>
                <w:right w:val="none" w:sz="0" w:space="0" w:color="auto"/>
              </w:divBdr>
              <w:divsChild>
                <w:div w:id="991373333">
                  <w:marLeft w:val="0"/>
                  <w:marRight w:val="0"/>
                  <w:marTop w:val="0"/>
                  <w:marBottom w:val="0"/>
                  <w:divBdr>
                    <w:top w:val="none" w:sz="0" w:space="0" w:color="auto"/>
                    <w:left w:val="none" w:sz="0" w:space="0" w:color="auto"/>
                    <w:bottom w:val="none" w:sz="0" w:space="0" w:color="auto"/>
                    <w:right w:val="none" w:sz="0" w:space="0" w:color="auto"/>
                  </w:divBdr>
                  <w:divsChild>
                    <w:div w:id="812067267">
                      <w:marLeft w:val="0"/>
                      <w:marRight w:val="0"/>
                      <w:marTop w:val="0"/>
                      <w:marBottom w:val="0"/>
                      <w:divBdr>
                        <w:top w:val="none" w:sz="0" w:space="0" w:color="auto"/>
                        <w:left w:val="none" w:sz="0" w:space="0" w:color="auto"/>
                        <w:bottom w:val="none" w:sz="0" w:space="0" w:color="auto"/>
                        <w:right w:val="none" w:sz="0" w:space="0" w:color="auto"/>
                      </w:divBdr>
                      <w:divsChild>
                        <w:div w:id="1221939554">
                          <w:marLeft w:val="0"/>
                          <w:marRight w:val="0"/>
                          <w:marTop w:val="0"/>
                          <w:marBottom w:val="0"/>
                          <w:divBdr>
                            <w:top w:val="none" w:sz="0" w:space="0" w:color="auto"/>
                            <w:left w:val="none" w:sz="0" w:space="0" w:color="auto"/>
                            <w:bottom w:val="none" w:sz="0" w:space="0" w:color="auto"/>
                            <w:right w:val="none" w:sz="0" w:space="0" w:color="auto"/>
                          </w:divBdr>
                          <w:divsChild>
                            <w:div w:id="1430738141">
                              <w:marLeft w:val="0"/>
                              <w:marRight w:val="0"/>
                              <w:marTop w:val="0"/>
                              <w:marBottom w:val="0"/>
                              <w:divBdr>
                                <w:top w:val="none" w:sz="0" w:space="0" w:color="auto"/>
                                <w:left w:val="none" w:sz="0" w:space="0" w:color="auto"/>
                                <w:bottom w:val="none" w:sz="0" w:space="0" w:color="auto"/>
                                <w:right w:val="none" w:sz="0" w:space="0" w:color="auto"/>
                              </w:divBdr>
                              <w:divsChild>
                                <w:div w:id="54298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6645421">
      <w:bodyDiv w:val="1"/>
      <w:marLeft w:val="0"/>
      <w:marRight w:val="0"/>
      <w:marTop w:val="0"/>
      <w:marBottom w:val="0"/>
      <w:divBdr>
        <w:top w:val="none" w:sz="0" w:space="0" w:color="auto"/>
        <w:left w:val="none" w:sz="0" w:space="0" w:color="auto"/>
        <w:bottom w:val="none" w:sz="0" w:space="0" w:color="auto"/>
        <w:right w:val="none" w:sz="0" w:space="0" w:color="auto"/>
      </w:divBdr>
    </w:div>
    <w:div w:id="586500429">
      <w:bodyDiv w:val="1"/>
      <w:marLeft w:val="0"/>
      <w:marRight w:val="0"/>
      <w:marTop w:val="0"/>
      <w:marBottom w:val="0"/>
      <w:divBdr>
        <w:top w:val="none" w:sz="0" w:space="0" w:color="auto"/>
        <w:left w:val="none" w:sz="0" w:space="0" w:color="auto"/>
        <w:bottom w:val="none" w:sz="0" w:space="0" w:color="auto"/>
        <w:right w:val="none" w:sz="0" w:space="0" w:color="auto"/>
      </w:divBdr>
    </w:div>
    <w:div w:id="653725085">
      <w:bodyDiv w:val="1"/>
      <w:marLeft w:val="0"/>
      <w:marRight w:val="0"/>
      <w:marTop w:val="0"/>
      <w:marBottom w:val="0"/>
      <w:divBdr>
        <w:top w:val="none" w:sz="0" w:space="0" w:color="auto"/>
        <w:left w:val="none" w:sz="0" w:space="0" w:color="auto"/>
        <w:bottom w:val="none" w:sz="0" w:space="0" w:color="auto"/>
        <w:right w:val="none" w:sz="0" w:space="0" w:color="auto"/>
      </w:divBdr>
    </w:div>
    <w:div w:id="689068875">
      <w:bodyDiv w:val="1"/>
      <w:marLeft w:val="0"/>
      <w:marRight w:val="0"/>
      <w:marTop w:val="0"/>
      <w:marBottom w:val="0"/>
      <w:divBdr>
        <w:top w:val="none" w:sz="0" w:space="0" w:color="auto"/>
        <w:left w:val="none" w:sz="0" w:space="0" w:color="auto"/>
        <w:bottom w:val="none" w:sz="0" w:space="0" w:color="auto"/>
        <w:right w:val="none" w:sz="0" w:space="0" w:color="auto"/>
      </w:divBdr>
    </w:div>
    <w:div w:id="705328627">
      <w:bodyDiv w:val="1"/>
      <w:marLeft w:val="0"/>
      <w:marRight w:val="0"/>
      <w:marTop w:val="0"/>
      <w:marBottom w:val="0"/>
      <w:divBdr>
        <w:top w:val="none" w:sz="0" w:space="0" w:color="auto"/>
        <w:left w:val="none" w:sz="0" w:space="0" w:color="auto"/>
        <w:bottom w:val="none" w:sz="0" w:space="0" w:color="auto"/>
        <w:right w:val="none" w:sz="0" w:space="0" w:color="auto"/>
      </w:divBdr>
    </w:div>
    <w:div w:id="774641512">
      <w:bodyDiv w:val="1"/>
      <w:marLeft w:val="0"/>
      <w:marRight w:val="0"/>
      <w:marTop w:val="0"/>
      <w:marBottom w:val="0"/>
      <w:divBdr>
        <w:top w:val="none" w:sz="0" w:space="0" w:color="auto"/>
        <w:left w:val="none" w:sz="0" w:space="0" w:color="auto"/>
        <w:bottom w:val="none" w:sz="0" w:space="0" w:color="auto"/>
        <w:right w:val="none" w:sz="0" w:space="0" w:color="auto"/>
      </w:divBdr>
    </w:div>
    <w:div w:id="804205105">
      <w:bodyDiv w:val="1"/>
      <w:marLeft w:val="0"/>
      <w:marRight w:val="0"/>
      <w:marTop w:val="0"/>
      <w:marBottom w:val="0"/>
      <w:divBdr>
        <w:top w:val="none" w:sz="0" w:space="0" w:color="auto"/>
        <w:left w:val="none" w:sz="0" w:space="0" w:color="auto"/>
        <w:bottom w:val="none" w:sz="0" w:space="0" w:color="auto"/>
        <w:right w:val="none" w:sz="0" w:space="0" w:color="auto"/>
      </w:divBdr>
      <w:divsChild>
        <w:div w:id="764615943">
          <w:marLeft w:val="0"/>
          <w:marRight w:val="0"/>
          <w:marTop w:val="0"/>
          <w:marBottom w:val="0"/>
          <w:divBdr>
            <w:top w:val="none" w:sz="0" w:space="0" w:color="auto"/>
            <w:left w:val="none" w:sz="0" w:space="0" w:color="auto"/>
            <w:bottom w:val="none" w:sz="0" w:space="0" w:color="auto"/>
            <w:right w:val="none" w:sz="0" w:space="0" w:color="auto"/>
          </w:divBdr>
          <w:divsChild>
            <w:div w:id="1443039724">
              <w:marLeft w:val="0"/>
              <w:marRight w:val="0"/>
              <w:marTop w:val="0"/>
              <w:marBottom w:val="0"/>
              <w:divBdr>
                <w:top w:val="none" w:sz="0" w:space="0" w:color="auto"/>
                <w:left w:val="none" w:sz="0" w:space="0" w:color="auto"/>
                <w:bottom w:val="none" w:sz="0" w:space="0" w:color="auto"/>
                <w:right w:val="none" w:sz="0" w:space="0" w:color="auto"/>
              </w:divBdr>
              <w:divsChild>
                <w:div w:id="1497918147">
                  <w:marLeft w:val="0"/>
                  <w:marRight w:val="0"/>
                  <w:marTop w:val="0"/>
                  <w:marBottom w:val="0"/>
                  <w:divBdr>
                    <w:top w:val="none" w:sz="0" w:space="0" w:color="auto"/>
                    <w:left w:val="none" w:sz="0" w:space="0" w:color="auto"/>
                    <w:bottom w:val="none" w:sz="0" w:space="0" w:color="auto"/>
                    <w:right w:val="none" w:sz="0" w:space="0" w:color="auto"/>
                  </w:divBdr>
                  <w:divsChild>
                    <w:div w:id="1864049111">
                      <w:marLeft w:val="0"/>
                      <w:marRight w:val="0"/>
                      <w:marTop w:val="0"/>
                      <w:marBottom w:val="0"/>
                      <w:divBdr>
                        <w:top w:val="none" w:sz="0" w:space="0" w:color="auto"/>
                        <w:left w:val="none" w:sz="0" w:space="0" w:color="auto"/>
                        <w:bottom w:val="none" w:sz="0" w:space="0" w:color="auto"/>
                        <w:right w:val="none" w:sz="0" w:space="0" w:color="auto"/>
                      </w:divBdr>
                      <w:divsChild>
                        <w:div w:id="1975983799">
                          <w:marLeft w:val="0"/>
                          <w:marRight w:val="0"/>
                          <w:marTop w:val="0"/>
                          <w:marBottom w:val="0"/>
                          <w:divBdr>
                            <w:top w:val="none" w:sz="0" w:space="0" w:color="auto"/>
                            <w:left w:val="none" w:sz="0" w:space="0" w:color="auto"/>
                            <w:bottom w:val="none" w:sz="0" w:space="0" w:color="auto"/>
                            <w:right w:val="none" w:sz="0" w:space="0" w:color="auto"/>
                          </w:divBdr>
                          <w:divsChild>
                            <w:div w:id="1035350599">
                              <w:marLeft w:val="0"/>
                              <w:marRight w:val="0"/>
                              <w:marTop w:val="0"/>
                              <w:marBottom w:val="0"/>
                              <w:divBdr>
                                <w:top w:val="none" w:sz="0" w:space="0" w:color="auto"/>
                                <w:left w:val="none" w:sz="0" w:space="0" w:color="auto"/>
                                <w:bottom w:val="none" w:sz="0" w:space="0" w:color="auto"/>
                                <w:right w:val="none" w:sz="0" w:space="0" w:color="auto"/>
                              </w:divBdr>
                              <w:divsChild>
                                <w:div w:id="142889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7646943">
      <w:bodyDiv w:val="1"/>
      <w:marLeft w:val="0"/>
      <w:marRight w:val="0"/>
      <w:marTop w:val="0"/>
      <w:marBottom w:val="0"/>
      <w:divBdr>
        <w:top w:val="none" w:sz="0" w:space="0" w:color="auto"/>
        <w:left w:val="none" w:sz="0" w:space="0" w:color="auto"/>
        <w:bottom w:val="none" w:sz="0" w:space="0" w:color="auto"/>
        <w:right w:val="none" w:sz="0" w:space="0" w:color="auto"/>
      </w:divBdr>
    </w:div>
    <w:div w:id="824123608">
      <w:bodyDiv w:val="1"/>
      <w:marLeft w:val="0"/>
      <w:marRight w:val="0"/>
      <w:marTop w:val="0"/>
      <w:marBottom w:val="0"/>
      <w:divBdr>
        <w:top w:val="none" w:sz="0" w:space="0" w:color="auto"/>
        <w:left w:val="none" w:sz="0" w:space="0" w:color="auto"/>
        <w:bottom w:val="none" w:sz="0" w:space="0" w:color="auto"/>
        <w:right w:val="none" w:sz="0" w:space="0" w:color="auto"/>
      </w:divBdr>
    </w:div>
    <w:div w:id="880094855">
      <w:bodyDiv w:val="1"/>
      <w:marLeft w:val="0"/>
      <w:marRight w:val="0"/>
      <w:marTop w:val="0"/>
      <w:marBottom w:val="0"/>
      <w:divBdr>
        <w:top w:val="none" w:sz="0" w:space="0" w:color="auto"/>
        <w:left w:val="none" w:sz="0" w:space="0" w:color="auto"/>
        <w:bottom w:val="none" w:sz="0" w:space="0" w:color="auto"/>
        <w:right w:val="none" w:sz="0" w:space="0" w:color="auto"/>
      </w:divBdr>
    </w:div>
    <w:div w:id="901600285">
      <w:bodyDiv w:val="1"/>
      <w:marLeft w:val="0"/>
      <w:marRight w:val="0"/>
      <w:marTop w:val="0"/>
      <w:marBottom w:val="0"/>
      <w:divBdr>
        <w:top w:val="none" w:sz="0" w:space="0" w:color="auto"/>
        <w:left w:val="none" w:sz="0" w:space="0" w:color="auto"/>
        <w:bottom w:val="none" w:sz="0" w:space="0" w:color="auto"/>
        <w:right w:val="none" w:sz="0" w:space="0" w:color="auto"/>
      </w:divBdr>
    </w:div>
    <w:div w:id="923957582">
      <w:bodyDiv w:val="1"/>
      <w:marLeft w:val="0"/>
      <w:marRight w:val="0"/>
      <w:marTop w:val="0"/>
      <w:marBottom w:val="0"/>
      <w:divBdr>
        <w:top w:val="none" w:sz="0" w:space="0" w:color="auto"/>
        <w:left w:val="none" w:sz="0" w:space="0" w:color="auto"/>
        <w:bottom w:val="none" w:sz="0" w:space="0" w:color="auto"/>
        <w:right w:val="none" w:sz="0" w:space="0" w:color="auto"/>
      </w:divBdr>
    </w:div>
    <w:div w:id="953101852">
      <w:bodyDiv w:val="1"/>
      <w:marLeft w:val="0"/>
      <w:marRight w:val="0"/>
      <w:marTop w:val="0"/>
      <w:marBottom w:val="0"/>
      <w:divBdr>
        <w:top w:val="none" w:sz="0" w:space="0" w:color="auto"/>
        <w:left w:val="none" w:sz="0" w:space="0" w:color="auto"/>
        <w:bottom w:val="none" w:sz="0" w:space="0" w:color="auto"/>
        <w:right w:val="none" w:sz="0" w:space="0" w:color="auto"/>
      </w:divBdr>
    </w:div>
    <w:div w:id="1035693673">
      <w:bodyDiv w:val="1"/>
      <w:marLeft w:val="0"/>
      <w:marRight w:val="0"/>
      <w:marTop w:val="0"/>
      <w:marBottom w:val="0"/>
      <w:divBdr>
        <w:top w:val="none" w:sz="0" w:space="0" w:color="auto"/>
        <w:left w:val="none" w:sz="0" w:space="0" w:color="auto"/>
        <w:bottom w:val="none" w:sz="0" w:space="0" w:color="auto"/>
        <w:right w:val="none" w:sz="0" w:space="0" w:color="auto"/>
      </w:divBdr>
    </w:div>
    <w:div w:id="1050303101">
      <w:bodyDiv w:val="1"/>
      <w:marLeft w:val="0"/>
      <w:marRight w:val="0"/>
      <w:marTop w:val="0"/>
      <w:marBottom w:val="0"/>
      <w:divBdr>
        <w:top w:val="none" w:sz="0" w:space="0" w:color="auto"/>
        <w:left w:val="none" w:sz="0" w:space="0" w:color="auto"/>
        <w:bottom w:val="none" w:sz="0" w:space="0" w:color="auto"/>
        <w:right w:val="none" w:sz="0" w:space="0" w:color="auto"/>
      </w:divBdr>
    </w:div>
    <w:div w:id="1088384973">
      <w:bodyDiv w:val="1"/>
      <w:marLeft w:val="0"/>
      <w:marRight w:val="0"/>
      <w:marTop w:val="0"/>
      <w:marBottom w:val="0"/>
      <w:divBdr>
        <w:top w:val="none" w:sz="0" w:space="0" w:color="auto"/>
        <w:left w:val="none" w:sz="0" w:space="0" w:color="auto"/>
        <w:bottom w:val="none" w:sz="0" w:space="0" w:color="auto"/>
        <w:right w:val="none" w:sz="0" w:space="0" w:color="auto"/>
      </w:divBdr>
    </w:div>
    <w:div w:id="1094939375">
      <w:bodyDiv w:val="1"/>
      <w:marLeft w:val="0"/>
      <w:marRight w:val="0"/>
      <w:marTop w:val="0"/>
      <w:marBottom w:val="0"/>
      <w:divBdr>
        <w:top w:val="none" w:sz="0" w:space="0" w:color="auto"/>
        <w:left w:val="none" w:sz="0" w:space="0" w:color="auto"/>
        <w:bottom w:val="none" w:sz="0" w:space="0" w:color="auto"/>
        <w:right w:val="none" w:sz="0" w:space="0" w:color="auto"/>
      </w:divBdr>
      <w:divsChild>
        <w:div w:id="2062974720">
          <w:marLeft w:val="0"/>
          <w:marRight w:val="0"/>
          <w:marTop w:val="0"/>
          <w:marBottom w:val="0"/>
          <w:divBdr>
            <w:top w:val="none" w:sz="0" w:space="0" w:color="auto"/>
            <w:left w:val="none" w:sz="0" w:space="0" w:color="auto"/>
            <w:bottom w:val="none" w:sz="0" w:space="0" w:color="auto"/>
            <w:right w:val="none" w:sz="0" w:space="0" w:color="auto"/>
          </w:divBdr>
          <w:divsChild>
            <w:div w:id="1706099001">
              <w:marLeft w:val="0"/>
              <w:marRight w:val="0"/>
              <w:marTop w:val="0"/>
              <w:marBottom w:val="0"/>
              <w:divBdr>
                <w:top w:val="none" w:sz="0" w:space="0" w:color="auto"/>
                <w:left w:val="none" w:sz="0" w:space="0" w:color="auto"/>
                <w:bottom w:val="none" w:sz="0" w:space="0" w:color="auto"/>
                <w:right w:val="none" w:sz="0" w:space="0" w:color="auto"/>
              </w:divBdr>
              <w:divsChild>
                <w:div w:id="1236667215">
                  <w:marLeft w:val="0"/>
                  <w:marRight w:val="0"/>
                  <w:marTop w:val="0"/>
                  <w:marBottom w:val="0"/>
                  <w:divBdr>
                    <w:top w:val="none" w:sz="0" w:space="0" w:color="auto"/>
                    <w:left w:val="none" w:sz="0" w:space="0" w:color="auto"/>
                    <w:bottom w:val="none" w:sz="0" w:space="0" w:color="auto"/>
                    <w:right w:val="none" w:sz="0" w:space="0" w:color="auto"/>
                  </w:divBdr>
                  <w:divsChild>
                    <w:div w:id="1160199404">
                      <w:marLeft w:val="0"/>
                      <w:marRight w:val="0"/>
                      <w:marTop w:val="0"/>
                      <w:marBottom w:val="0"/>
                      <w:divBdr>
                        <w:top w:val="none" w:sz="0" w:space="0" w:color="auto"/>
                        <w:left w:val="none" w:sz="0" w:space="0" w:color="auto"/>
                        <w:bottom w:val="none" w:sz="0" w:space="0" w:color="auto"/>
                        <w:right w:val="none" w:sz="0" w:space="0" w:color="auto"/>
                      </w:divBdr>
                      <w:divsChild>
                        <w:div w:id="1066802927">
                          <w:marLeft w:val="0"/>
                          <w:marRight w:val="0"/>
                          <w:marTop w:val="0"/>
                          <w:marBottom w:val="0"/>
                          <w:divBdr>
                            <w:top w:val="none" w:sz="0" w:space="0" w:color="auto"/>
                            <w:left w:val="none" w:sz="0" w:space="0" w:color="auto"/>
                            <w:bottom w:val="none" w:sz="0" w:space="0" w:color="auto"/>
                            <w:right w:val="none" w:sz="0" w:space="0" w:color="auto"/>
                          </w:divBdr>
                          <w:divsChild>
                            <w:div w:id="783157300">
                              <w:marLeft w:val="0"/>
                              <w:marRight w:val="0"/>
                              <w:marTop w:val="0"/>
                              <w:marBottom w:val="0"/>
                              <w:divBdr>
                                <w:top w:val="none" w:sz="0" w:space="0" w:color="auto"/>
                                <w:left w:val="none" w:sz="0" w:space="0" w:color="auto"/>
                                <w:bottom w:val="none" w:sz="0" w:space="0" w:color="auto"/>
                                <w:right w:val="none" w:sz="0" w:space="0" w:color="auto"/>
                              </w:divBdr>
                              <w:divsChild>
                                <w:div w:id="48516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5731116">
      <w:bodyDiv w:val="1"/>
      <w:marLeft w:val="0"/>
      <w:marRight w:val="0"/>
      <w:marTop w:val="0"/>
      <w:marBottom w:val="0"/>
      <w:divBdr>
        <w:top w:val="none" w:sz="0" w:space="0" w:color="auto"/>
        <w:left w:val="none" w:sz="0" w:space="0" w:color="auto"/>
        <w:bottom w:val="none" w:sz="0" w:space="0" w:color="auto"/>
        <w:right w:val="none" w:sz="0" w:space="0" w:color="auto"/>
      </w:divBdr>
    </w:div>
    <w:div w:id="1190021412">
      <w:bodyDiv w:val="1"/>
      <w:marLeft w:val="0"/>
      <w:marRight w:val="0"/>
      <w:marTop w:val="0"/>
      <w:marBottom w:val="0"/>
      <w:divBdr>
        <w:top w:val="none" w:sz="0" w:space="0" w:color="auto"/>
        <w:left w:val="none" w:sz="0" w:space="0" w:color="auto"/>
        <w:bottom w:val="none" w:sz="0" w:space="0" w:color="auto"/>
        <w:right w:val="none" w:sz="0" w:space="0" w:color="auto"/>
      </w:divBdr>
    </w:div>
    <w:div w:id="1218662809">
      <w:bodyDiv w:val="1"/>
      <w:marLeft w:val="0"/>
      <w:marRight w:val="0"/>
      <w:marTop w:val="0"/>
      <w:marBottom w:val="0"/>
      <w:divBdr>
        <w:top w:val="none" w:sz="0" w:space="0" w:color="auto"/>
        <w:left w:val="none" w:sz="0" w:space="0" w:color="auto"/>
        <w:bottom w:val="none" w:sz="0" w:space="0" w:color="auto"/>
        <w:right w:val="none" w:sz="0" w:space="0" w:color="auto"/>
      </w:divBdr>
    </w:div>
    <w:div w:id="1225989211">
      <w:bodyDiv w:val="1"/>
      <w:marLeft w:val="0"/>
      <w:marRight w:val="0"/>
      <w:marTop w:val="0"/>
      <w:marBottom w:val="0"/>
      <w:divBdr>
        <w:top w:val="none" w:sz="0" w:space="0" w:color="auto"/>
        <w:left w:val="none" w:sz="0" w:space="0" w:color="auto"/>
        <w:bottom w:val="none" w:sz="0" w:space="0" w:color="auto"/>
        <w:right w:val="none" w:sz="0" w:space="0" w:color="auto"/>
      </w:divBdr>
    </w:div>
    <w:div w:id="1227571206">
      <w:bodyDiv w:val="1"/>
      <w:marLeft w:val="0"/>
      <w:marRight w:val="0"/>
      <w:marTop w:val="0"/>
      <w:marBottom w:val="0"/>
      <w:divBdr>
        <w:top w:val="none" w:sz="0" w:space="0" w:color="auto"/>
        <w:left w:val="none" w:sz="0" w:space="0" w:color="auto"/>
        <w:bottom w:val="none" w:sz="0" w:space="0" w:color="auto"/>
        <w:right w:val="none" w:sz="0" w:space="0" w:color="auto"/>
      </w:divBdr>
    </w:div>
    <w:div w:id="1280650091">
      <w:bodyDiv w:val="1"/>
      <w:marLeft w:val="0"/>
      <w:marRight w:val="0"/>
      <w:marTop w:val="0"/>
      <w:marBottom w:val="0"/>
      <w:divBdr>
        <w:top w:val="none" w:sz="0" w:space="0" w:color="auto"/>
        <w:left w:val="none" w:sz="0" w:space="0" w:color="auto"/>
        <w:bottom w:val="none" w:sz="0" w:space="0" w:color="auto"/>
        <w:right w:val="none" w:sz="0" w:space="0" w:color="auto"/>
      </w:divBdr>
    </w:div>
    <w:div w:id="1282568062">
      <w:bodyDiv w:val="1"/>
      <w:marLeft w:val="0"/>
      <w:marRight w:val="0"/>
      <w:marTop w:val="0"/>
      <w:marBottom w:val="0"/>
      <w:divBdr>
        <w:top w:val="none" w:sz="0" w:space="0" w:color="auto"/>
        <w:left w:val="none" w:sz="0" w:space="0" w:color="auto"/>
        <w:bottom w:val="none" w:sz="0" w:space="0" w:color="auto"/>
        <w:right w:val="none" w:sz="0" w:space="0" w:color="auto"/>
      </w:divBdr>
    </w:div>
    <w:div w:id="1308896228">
      <w:bodyDiv w:val="1"/>
      <w:marLeft w:val="0"/>
      <w:marRight w:val="0"/>
      <w:marTop w:val="0"/>
      <w:marBottom w:val="0"/>
      <w:divBdr>
        <w:top w:val="none" w:sz="0" w:space="0" w:color="auto"/>
        <w:left w:val="none" w:sz="0" w:space="0" w:color="auto"/>
        <w:bottom w:val="none" w:sz="0" w:space="0" w:color="auto"/>
        <w:right w:val="none" w:sz="0" w:space="0" w:color="auto"/>
      </w:divBdr>
    </w:div>
    <w:div w:id="1310749515">
      <w:bodyDiv w:val="1"/>
      <w:marLeft w:val="0"/>
      <w:marRight w:val="0"/>
      <w:marTop w:val="0"/>
      <w:marBottom w:val="0"/>
      <w:divBdr>
        <w:top w:val="none" w:sz="0" w:space="0" w:color="auto"/>
        <w:left w:val="none" w:sz="0" w:space="0" w:color="auto"/>
        <w:bottom w:val="none" w:sz="0" w:space="0" w:color="auto"/>
        <w:right w:val="none" w:sz="0" w:space="0" w:color="auto"/>
      </w:divBdr>
    </w:div>
    <w:div w:id="1353533424">
      <w:bodyDiv w:val="1"/>
      <w:marLeft w:val="0"/>
      <w:marRight w:val="0"/>
      <w:marTop w:val="0"/>
      <w:marBottom w:val="0"/>
      <w:divBdr>
        <w:top w:val="none" w:sz="0" w:space="0" w:color="auto"/>
        <w:left w:val="none" w:sz="0" w:space="0" w:color="auto"/>
        <w:bottom w:val="none" w:sz="0" w:space="0" w:color="auto"/>
        <w:right w:val="none" w:sz="0" w:space="0" w:color="auto"/>
      </w:divBdr>
    </w:div>
    <w:div w:id="1389764544">
      <w:bodyDiv w:val="1"/>
      <w:marLeft w:val="0"/>
      <w:marRight w:val="0"/>
      <w:marTop w:val="0"/>
      <w:marBottom w:val="0"/>
      <w:divBdr>
        <w:top w:val="none" w:sz="0" w:space="0" w:color="auto"/>
        <w:left w:val="none" w:sz="0" w:space="0" w:color="auto"/>
        <w:bottom w:val="none" w:sz="0" w:space="0" w:color="auto"/>
        <w:right w:val="none" w:sz="0" w:space="0" w:color="auto"/>
      </w:divBdr>
    </w:div>
    <w:div w:id="1419519407">
      <w:bodyDiv w:val="1"/>
      <w:marLeft w:val="0"/>
      <w:marRight w:val="0"/>
      <w:marTop w:val="0"/>
      <w:marBottom w:val="0"/>
      <w:divBdr>
        <w:top w:val="none" w:sz="0" w:space="0" w:color="auto"/>
        <w:left w:val="none" w:sz="0" w:space="0" w:color="auto"/>
        <w:bottom w:val="none" w:sz="0" w:space="0" w:color="auto"/>
        <w:right w:val="none" w:sz="0" w:space="0" w:color="auto"/>
      </w:divBdr>
    </w:div>
    <w:div w:id="1434012350">
      <w:bodyDiv w:val="1"/>
      <w:marLeft w:val="0"/>
      <w:marRight w:val="0"/>
      <w:marTop w:val="0"/>
      <w:marBottom w:val="0"/>
      <w:divBdr>
        <w:top w:val="none" w:sz="0" w:space="0" w:color="auto"/>
        <w:left w:val="none" w:sz="0" w:space="0" w:color="auto"/>
        <w:bottom w:val="none" w:sz="0" w:space="0" w:color="auto"/>
        <w:right w:val="none" w:sz="0" w:space="0" w:color="auto"/>
      </w:divBdr>
    </w:div>
    <w:div w:id="1437553882">
      <w:bodyDiv w:val="1"/>
      <w:marLeft w:val="0"/>
      <w:marRight w:val="0"/>
      <w:marTop w:val="0"/>
      <w:marBottom w:val="0"/>
      <w:divBdr>
        <w:top w:val="none" w:sz="0" w:space="0" w:color="auto"/>
        <w:left w:val="none" w:sz="0" w:space="0" w:color="auto"/>
        <w:bottom w:val="none" w:sz="0" w:space="0" w:color="auto"/>
        <w:right w:val="none" w:sz="0" w:space="0" w:color="auto"/>
      </w:divBdr>
    </w:div>
    <w:div w:id="1543597705">
      <w:bodyDiv w:val="1"/>
      <w:marLeft w:val="0"/>
      <w:marRight w:val="0"/>
      <w:marTop w:val="0"/>
      <w:marBottom w:val="0"/>
      <w:divBdr>
        <w:top w:val="none" w:sz="0" w:space="0" w:color="auto"/>
        <w:left w:val="none" w:sz="0" w:space="0" w:color="auto"/>
        <w:bottom w:val="none" w:sz="0" w:space="0" w:color="auto"/>
        <w:right w:val="none" w:sz="0" w:space="0" w:color="auto"/>
      </w:divBdr>
    </w:div>
    <w:div w:id="1573000832">
      <w:bodyDiv w:val="1"/>
      <w:marLeft w:val="0"/>
      <w:marRight w:val="0"/>
      <w:marTop w:val="0"/>
      <w:marBottom w:val="0"/>
      <w:divBdr>
        <w:top w:val="none" w:sz="0" w:space="0" w:color="auto"/>
        <w:left w:val="none" w:sz="0" w:space="0" w:color="auto"/>
        <w:bottom w:val="none" w:sz="0" w:space="0" w:color="auto"/>
        <w:right w:val="none" w:sz="0" w:space="0" w:color="auto"/>
      </w:divBdr>
    </w:div>
    <w:div w:id="1604609427">
      <w:bodyDiv w:val="1"/>
      <w:marLeft w:val="0"/>
      <w:marRight w:val="0"/>
      <w:marTop w:val="0"/>
      <w:marBottom w:val="0"/>
      <w:divBdr>
        <w:top w:val="none" w:sz="0" w:space="0" w:color="auto"/>
        <w:left w:val="none" w:sz="0" w:space="0" w:color="auto"/>
        <w:bottom w:val="none" w:sz="0" w:space="0" w:color="auto"/>
        <w:right w:val="none" w:sz="0" w:space="0" w:color="auto"/>
      </w:divBdr>
    </w:div>
    <w:div w:id="1656492633">
      <w:bodyDiv w:val="1"/>
      <w:marLeft w:val="0"/>
      <w:marRight w:val="0"/>
      <w:marTop w:val="0"/>
      <w:marBottom w:val="0"/>
      <w:divBdr>
        <w:top w:val="none" w:sz="0" w:space="0" w:color="auto"/>
        <w:left w:val="none" w:sz="0" w:space="0" w:color="auto"/>
        <w:bottom w:val="none" w:sz="0" w:space="0" w:color="auto"/>
        <w:right w:val="none" w:sz="0" w:space="0" w:color="auto"/>
      </w:divBdr>
    </w:div>
    <w:div w:id="1662997827">
      <w:bodyDiv w:val="1"/>
      <w:marLeft w:val="0"/>
      <w:marRight w:val="0"/>
      <w:marTop w:val="0"/>
      <w:marBottom w:val="0"/>
      <w:divBdr>
        <w:top w:val="none" w:sz="0" w:space="0" w:color="auto"/>
        <w:left w:val="none" w:sz="0" w:space="0" w:color="auto"/>
        <w:bottom w:val="none" w:sz="0" w:space="0" w:color="auto"/>
        <w:right w:val="none" w:sz="0" w:space="0" w:color="auto"/>
      </w:divBdr>
    </w:div>
    <w:div w:id="1675497519">
      <w:bodyDiv w:val="1"/>
      <w:marLeft w:val="0"/>
      <w:marRight w:val="0"/>
      <w:marTop w:val="0"/>
      <w:marBottom w:val="0"/>
      <w:divBdr>
        <w:top w:val="none" w:sz="0" w:space="0" w:color="auto"/>
        <w:left w:val="none" w:sz="0" w:space="0" w:color="auto"/>
        <w:bottom w:val="none" w:sz="0" w:space="0" w:color="auto"/>
        <w:right w:val="none" w:sz="0" w:space="0" w:color="auto"/>
      </w:divBdr>
    </w:div>
    <w:div w:id="1695038600">
      <w:bodyDiv w:val="1"/>
      <w:marLeft w:val="0"/>
      <w:marRight w:val="0"/>
      <w:marTop w:val="0"/>
      <w:marBottom w:val="0"/>
      <w:divBdr>
        <w:top w:val="none" w:sz="0" w:space="0" w:color="auto"/>
        <w:left w:val="none" w:sz="0" w:space="0" w:color="auto"/>
        <w:bottom w:val="none" w:sz="0" w:space="0" w:color="auto"/>
        <w:right w:val="none" w:sz="0" w:space="0" w:color="auto"/>
      </w:divBdr>
    </w:div>
    <w:div w:id="1696810828">
      <w:bodyDiv w:val="1"/>
      <w:marLeft w:val="0"/>
      <w:marRight w:val="0"/>
      <w:marTop w:val="0"/>
      <w:marBottom w:val="0"/>
      <w:divBdr>
        <w:top w:val="none" w:sz="0" w:space="0" w:color="auto"/>
        <w:left w:val="none" w:sz="0" w:space="0" w:color="auto"/>
        <w:bottom w:val="none" w:sz="0" w:space="0" w:color="auto"/>
        <w:right w:val="none" w:sz="0" w:space="0" w:color="auto"/>
      </w:divBdr>
    </w:div>
    <w:div w:id="1702316096">
      <w:bodyDiv w:val="1"/>
      <w:marLeft w:val="0"/>
      <w:marRight w:val="0"/>
      <w:marTop w:val="0"/>
      <w:marBottom w:val="0"/>
      <w:divBdr>
        <w:top w:val="none" w:sz="0" w:space="0" w:color="auto"/>
        <w:left w:val="none" w:sz="0" w:space="0" w:color="auto"/>
        <w:bottom w:val="none" w:sz="0" w:space="0" w:color="auto"/>
        <w:right w:val="none" w:sz="0" w:space="0" w:color="auto"/>
      </w:divBdr>
    </w:div>
    <w:div w:id="1732801613">
      <w:bodyDiv w:val="1"/>
      <w:marLeft w:val="0"/>
      <w:marRight w:val="0"/>
      <w:marTop w:val="0"/>
      <w:marBottom w:val="0"/>
      <w:divBdr>
        <w:top w:val="none" w:sz="0" w:space="0" w:color="auto"/>
        <w:left w:val="none" w:sz="0" w:space="0" w:color="auto"/>
        <w:bottom w:val="none" w:sz="0" w:space="0" w:color="auto"/>
        <w:right w:val="none" w:sz="0" w:space="0" w:color="auto"/>
      </w:divBdr>
    </w:div>
    <w:div w:id="1733503107">
      <w:bodyDiv w:val="1"/>
      <w:marLeft w:val="0"/>
      <w:marRight w:val="0"/>
      <w:marTop w:val="0"/>
      <w:marBottom w:val="0"/>
      <w:divBdr>
        <w:top w:val="none" w:sz="0" w:space="0" w:color="auto"/>
        <w:left w:val="none" w:sz="0" w:space="0" w:color="auto"/>
        <w:bottom w:val="none" w:sz="0" w:space="0" w:color="auto"/>
        <w:right w:val="none" w:sz="0" w:space="0" w:color="auto"/>
      </w:divBdr>
    </w:div>
    <w:div w:id="1754163688">
      <w:bodyDiv w:val="1"/>
      <w:marLeft w:val="0"/>
      <w:marRight w:val="0"/>
      <w:marTop w:val="0"/>
      <w:marBottom w:val="0"/>
      <w:divBdr>
        <w:top w:val="none" w:sz="0" w:space="0" w:color="auto"/>
        <w:left w:val="none" w:sz="0" w:space="0" w:color="auto"/>
        <w:bottom w:val="none" w:sz="0" w:space="0" w:color="auto"/>
        <w:right w:val="none" w:sz="0" w:space="0" w:color="auto"/>
      </w:divBdr>
    </w:div>
    <w:div w:id="1785879040">
      <w:bodyDiv w:val="1"/>
      <w:marLeft w:val="0"/>
      <w:marRight w:val="0"/>
      <w:marTop w:val="0"/>
      <w:marBottom w:val="0"/>
      <w:divBdr>
        <w:top w:val="none" w:sz="0" w:space="0" w:color="auto"/>
        <w:left w:val="none" w:sz="0" w:space="0" w:color="auto"/>
        <w:bottom w:val="none" w:sz="0" w:space="0" w:color="auto"/>
        <w:right w:val="none" w:sz="0" w:space="0" w:color="auto"/>
      </w:divBdr>
    </w:div>
    <w:div w:id="1787696497">
      <w:bodyDiv w:val="1"/>
      <w:marLeft w:val="0"/>
      <w:marRight w:val="0"/>
      <w:marTop w:val="0"/>
      <w:marBottom w:val="0"/>
      <w:divBdr>
        <w:top w:val="none" w:sz="0" w:space="0" w:color="auto"/>
        <w:left w:val="none" w:sz="0" w:space="0" w:color="auto"/>
        <w:bottom w:val="none" w:sz="0" w:space="0" w:color="auto"/>
        <w:right w:val="none" w:sz="0" w:space="0" w:color="auto"/>
      </w:divBdr>
    </w:div>
    <w:div w:id="1816409028">
      <w:bodyDiv w:val="1"/>
      <w:marLeft w:val="0"/>
      <w:marRight w:val="0"/>
      <w:marTop w:val="0"/>
      <w:marBottom w:val="0"/>
      <w:divBdr>
        <w:top w:val="none" w:sz="0" w:space="0" w:color="auto"/>
        <w:left w:val="none" w:sz="0" w:space="0" w:color="auto"/>
        <w:bottom w:val="none" w:sz="0" w:space="0" w:color="auto"/>
        <w:right w:val="none" w:sz="0" w:space="0" w:color="auto"/>
      </w:divBdr>
    </w:div>
    <w:div w:id="1850868900">
      <w:bodyDiv w:val="1"/>
      <w:marLeft w:val="0"/>
      <w:marRight w:val="0"/>
      <w:marTop w:val="0"/>
      <w:marBottom w:val="0"/>
      <w:divBdr>
        <w:top w:val="none" w:sz="0" w:space="0" w:color="auto"/>
        <w:left w:val="none" w:sz="0" w:space="0" w:color="auto"/>
        <w:bottom w:val="none" w:sz="0" w:space="0" w:color="auto"/>
        <w:right w:val="none" w:sz="0" w:space="0" w:color="auto"/>
      </w:divBdr>
    </w:div>
    <w:div w:id="1925609790">
      <w:bodyDiv w:val="1"/>
      <w:marLeft w:val="0"/>
      <w:marRight w:val="0"/>
      <w:marTop w:val="0"/>
      <w:marBottom w:val="0"/>
      <w:divBdr>
        <w:top w:val="none" w:sz="0" w:space="0" w:color="auto"/>
        <w:left w:val="none" w:sz="0" w:space="0" w:color="auto"/>
        <w:bottom w:val="none" w:sz="0" w:space="0" w:color="auto"/>
        <w:right w:val="none" w:sz="0" w:space="0" w:color="auto"/>
      </w:divBdr>
    </w:div>
    <w:div w:id="1928493536">
      <w:bodyDiv w:val="1"/>
      <w:marLeft w:val="0"/>
      <w:marRight w:val="0"/>
      <w:marTop w:val="0"/>
      <w:marBottom w:val="0"/>
      <w:divBdr>
        <w:top w:val="none" w:sz="0" w:space="0" w:color="auto"/>
        <w:left w:val="none" w:sz="0" w:space="0" w:color="auto"/>
        <w:bottom w:val="none" w:sz="0" w:space="0" w:color="auto"/>
        <w:right w:val="none" w:sz="0" w:space="0" w:color="auto"/>
      </w:divBdr>
    </w:div>
    <w:div w:id="1934782370">
      <w:bodyDiv w:val="1"/>
      <w:marLeft w:val="0"/>
      <w:marRight w:val="0"/>
      <w:marTop w:val="0"/>
      <w:marBottom w:val="0"/>
      <w:divBdr>
        <w:top w:val="none" w:sz="0" w:space="0" w:color="auto"/>
        <w:left w:val="none" w:sz="0" w:space="0" w:color="auto"/>
        <w:bottom w:val="none" w:sz="0" w:space="0" w:color="auto"/>
        <w:right w:val="none" w:sz="0" w:space="0" w:color="auto"/>
      </w:divBdr>
    </w:div>
    <w:div w:id="1962953851">
      <w:bodyDiv w:val="1"/>
      <w:marLeft w:val="0"/>
      <w:marRight w:val="0"/>
      <w:marTop w:val="0"/>
      <w:marBottom w:val="0"/>
      <w:divBdr>
        <w:top w:val="none" w:sz="0" w:space="0" w:color="auto"/>
        <w:left w:val="none" w:sz="0" w:space="0" w:color="auto"/>
        <w:bottom w:val="none" w:sz="0" w:space="0" w:color="auto"/>
        <w:right w:val="none" w:sz="0" w:space="0" w:color="auto"/>
      </w:divBdr>
    </w:div>
    <w:div w:id="2018193716">
      <w:bodyDiv w:val="1"/>
      <w:marLeft w:val="0"/>
      <w:marRight w:val="0"/>
      <w:marTop w:val="0"/>
      <w:marBottom w:val="0"/>
      <w:divBdr>
        <w:top w:val="none" w:sz="0" w:space="0" w:color="auto"/>
        <w:left w:val="none" w:sz="0" w:space="0" w:color="auto"/>
        <w:bottom w:val="none" w:sz="0" w:space="0" w:color="auto"/>
        <w:right w:val="none" w:sz="0" w:space="0" w:color="auto"/>
      </w:divBdr>
    </w:div>
    <w:div w:id="2032605477">
      <w:bodyDiv w:val="1"/>
      <w:marLeft w:val="0"/>
      <w:marRight w:val="0"/>
      <w:marTop w:val="0"/>
      <w:marBottom w:val="0"/>
      <w:divBdr>
        <w:top w:val="none" w:sz="0" w:space="0" w:color="auto"/>
        <w:left w:val="none" w:sz="0" w:space="0" w:color="auto"/>
        <w:bottom w:val="none" w:sz="0" w:space="0" w:color="auto"/>
        <w:right w:val="none" w:sz="0" w:space="0" w:color="auto"/>
      </w:divBdr>
    </w:div>
    <w:div w:id="2115585556">
      <w:bodyDiv w:val="1"/>
      <w:marLeft w:val="0"/>
      <w:marRight w:val="0"/>
      <w:marTop w:val="0"/>
      <w:marBottom w:val="0"/>
      <w:divBdr>
        <w:top w:val="none" w:sz="0" w:space="0" w:color="auto"/>
        <w:left w:val="none" w:sz="0" w:space="0" w:color="auto"/>
        <w:bottom w:val="none" w:sz="0" w:space="0" w:color="auto"/>
        <w:right w:val="none" w:sz="0" w:space="0" w:color="auto"/>
      </w:divBdr>
    </w:div>
    <w:div w:id="2141651478">
      <w:bodyDiv w:val="1"/>
      <w:marLeft w:val="0"/>
      <w:marRight w:val="0"/>
      <w:marTop w:val="0"/>
      <w:marBottom w:val="0"/>
      <w:divBdr>
        <w:top w:val="none" w:sz="0" w:space="0" w:color="auto"/>
        <w:left w:val="none" w:sz="0" w:space="0" w:color="auto"/>
        <w:bottom w:val="none" w:sz="0" w:space="0" w:color="auto"/>
        <w:right w:val="none" w:sz="0" w:space="0" w:color="auto"/>
      </w:divBdr>
    </w:div>
    <w:div w:id="2144232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gif"/><Relationship Id="rId26" Type="http://schemas.openxmlformats.org/officeDocument/2006/relationships/image" Target="media/image20.gif"/><Relationship Id="rId39" Type="http://schemas.openxmlformats.org/officeDocument/2006/relationships/hyperlink" Target="https://doi.org/10.1016/C2016-0-00985-3" TargetMode="External"/><Relationship Id="rId21" Type="http://schemas.openxmlformats.org/officeDocument/2006/relationships/image" Target="media/image15.gif"/><Relationship Id="rId34" Type="http://schemas.openxmlformats.org/officeDocument/2006/relationships/hyperlink" Target="https://doi.org/10.1017/CBO9780511549816" TargetMode="External"/><Relationship Id="rId42" Type="http://schemas.openxmlformats.org/officeDocument/2006/relationships/hyperlink" Target="https://www.scirp.org/reference/referencespapers?referenceid=1712445" TargetMode="External"/><Relationship Id="rId47" Type="http://schemas.openxmlformats.org/officeDocument/2006/relationships/hyperlink" Target="https://doi.org/10.1016/S0169-1368(99)00007-4" TargetMode="External"/><Relationship Id="rId50" Type="http://schemas.openxmlformats.org/officeDocument/2006/relationships/hyperlink" Target="https://link.springer.com/article/10.1007/s12594-018-1015-6" TargetMode="External"/><Relationship Id="rId55" Type="http://schemas.openxmlformats.org/officeDocument/2006/relationships/header" Target="header3.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gif"/><Relationship Id="rId29" Type="http://schemas.openxmlformats.org/officeDocument/2006/relationships/hyperlink" Target="https://doi.org/10.9734/ajoger/2025/v8i3213" TargetMode="External"/><Relationship Id="rId11" Type="http://schemas.openxmlformats.org/officeDocument/2006/relationships/image" Target="media/image5.png"/><Relationship Id="rId24" Type="http://schemas.openxmlformats.org/officeDocument/2006/relationships/image" Target="media/image18.gif"/><Relationship Id="rId32" Type="http://schemas.openxmlformats.org/officeDocument/2006/relationships/hyperlink" Target="https://doi.org/10.3390/min15060595" TargetMode="External"/><Relationship Id="rId37" Type="http://schemas.openxmlformats.org/officeDocument/2006/relationships/hyperlink" Target="https://doi.org/10.1007/s40948-024-00913-3" TargetMode="External"/><Relationship Id="rId40" Type="http://schemas.openxmlformats.org/officeDocument/2006/relationships/hyperlink" Target="https://www.degruyter.com/document/doi/10.1515/geo-2022-0637/html?srsltid=AfmBOopBhgczL-GlQAVx9CHSq2DT3oJfYNo1z7URXx3M3-HuaTqdZrI2" TargetMode="External"/><Relationship Id="rId45" Type="http://schemas.openxmlformats.org/officeDocument/2006/relationships/hyperlink" Target="https://link.springer.com/article/10.1007/s44274-025-00346-z" TargetMode="External"/><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footnotes" Target="footnotes.xml"/><Relationship Id="rId19" Type="http://schemas.openxmlformats.org/officeDocument/2006/relationships/image" Target="media/image13.gi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gif"/><Relationship Id="rId22" Type="http://schemas.openxmlformats.org/officeDocument/2006/relationships/image" Target="media/image16.png"/><Relationship Id="rId27" Type="http://schemas.openxmlformats.org/officeDocument/2006/relationships/hyperlink" Target="https://doi.org/10.1016/j.heliyon.2023.e23618" TargetMode="External"/><Relationship Id="rId30" Type="http://schemas.openxmlformats.org/officeDocument/2006/relationships/hyperlink" Target="https://doi.org/10.1038/s41598-024-52270-6" TargetMode="External"/><Relationship Id="rId35" Type="http://schemas.openxmlformats.org/officeDocument/2006/relationships/hyperlink" Target="https://doi.org/10.1190/1.2133784" TargetMode="External"/><Relationship Id="rId43" Type="http://schemas.openxmlformats.org/officeDocument/2006/relationships/hyperlink" Target="https://doi.org/10.5772/26990" TargetMode="External"/><Relationship Id="rId48" Type="http://schemas.openxmlformats.org/officeDocument/2006/relationships/hyperlink" Target="https://www-pub.iaea.org/MTCD/Publications/PDF/te_1363_web.pdf" TargetMode="External"/><Relationship Id="rId56" Type="http://schemas.openxmlformats.org/officeDocument/2006/relationships/footer" Target="footer3.xml"/><Relationship Id="rId8" Type="http://schemas.openxmlformats.org/officeDocument/2006/relationships/image" Target="media/image2.gif"/><Relationship Id="rId51"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gif"/><Relationship Id="rId25" Type="http://schemas.openxmlformats.org/officeDocument/2006/relationships/image" Target="media/image19.gif"/><Relationship Id="rId33" Type="http://schemas.openxmlformats.org/officeDocument/2006/relationships/hyperlink" Target="https://doi.org/10.1017/S0016756803378021" TargetMode="External"/><Relationship Id="rId38" Type="http://schemas.openxmlformats.org/officeDocument/2006/relationships/hyperlink" Target="https://doi.org/10.1017/CBO9781139167932" TargetMode="External"/><Relationship Id="rId46" Type="http://schemas.openxmlformats.org/officeDocument/2006/relationships/hyperlink" Target="https://njp.nipngr.org/index.php/njp/article/view/473" TargetMode="External"/><Relationship Id="rId20" Type="http://schemas.openxmlformats.org/officeDocument/2006/relationships/image" Target="media/image14.gif"/><Relationship Id="rId41" Type="http://schemas.openxmlformats.org/officeDocument/2006/relationships/hyperlink" Target="https://doi.org/10.3390/min14040393" TargetMode="External"/><Relationship Id="rId54"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gif"/><Relationship Id="rId23" Type="http://schemas.openxmlformats.org/officeDocument/2006/relationships/image" Target="media/image17.gif"/><Relationship Id="rId28" Type="http://schemas.openxmlformats.org/officeDocument/2006/relationships/hyperlink" Target="https://doi.org/10.1038/s41598-024-52270-6" TargetMode="External"/><Relationship Id="rId36" Type="http://schemas.openxmlformats.org/officeDocument/2006/relationships/hyperlink" Target="https://doi.org/10.1017/S0016756803378021" TargetMode="External"/><Relationship Id="rId49" Type="http://schemas.openxmlformats.org/officeDocument/2006/relationships/hyperlink" Target="https://www.mdpi.com/2673-7418/4/2/11" TargetMode="External"/><Relationship Id="rId57"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hyperlink" Target="https://doi.org/10.26480/esmy.02.2024.158.162" TargetMode="External"/><Relationship Id="rId44" Type="http://schemas.openxmlformats.org/officeDocument/2006/relationships/hyperlink" Target="https://ngsa.gov.ng" TargetMode="External"/><Relationship Id="rId52"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178</TotalTime>
  <Pages>31</Pages>
  <Words>9780</Words>
  <Characters>55747</Characters>
  <Application>Microsoft Office Word</Application>
  <DocSecurity>0</DocSecurity>
  <Lines>464</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SDI PC New 16</cp:lastModifiedBy>
  <cp:revision>97</cp:revision>
  <dcterms:created xsi:type="dcterms:W3CDTF">2026-04-06T20:00:00Z</dcterms:created>
  <dcterms:modified xsi:type="dcterms:W3CDTF">2026-04-22T09:12:00Z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1dc747f2-b8d7-463b-8319-82c5b97647ec</vt:lpwstr>
  </property>
</Properties>
</file>