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A355A" w14:textId="68C26BBB" w:rsidR="00CC00F9" w:rsidRPr="00623C5B" w:rsidRDefault="00CC00F9" w:rsidP="00E77D5E">
      <w:pPr>
        <w:spacing w:line="240" w:lineRule="auto"/>
        <w:ind w:firstLine="0"/>
        <w:jc w:val="center"/>
        <w:rPr>
          <w:rFonts w:ascii="Arial" w:hAnsi="Arial" w:cs="Arial"/>
          <w:b/>
          <w:bCs/>
          <w:color w:val="000000" w:themeColor="text1"/>
          <w:sz w:val="36"/>
          <w:szCs w:val="36"/>
          <w:lang w:val="en-US"/>
        </w:rPr>
      </w:pPr>
      <w:r w:rsidRPr="00623C5B">
        <w:rPr>
          <w:rFonts w:ascii="Arial" w:hAnsi="Arial" w:cs="Arial"/>
          <w:b/>
          <w:bCs/>
          <w:color w:val="000000" w:themeColor="text1"/>
          <w:sz w:val="36"/>
          <w:szCs w:val="36"/>
        </w:rPr>
        <w:t>Assessing organic pollution, microbial indicators and surface water quality in the Can Gio estuary, Vietnam</w:t>
      </w:r>
    </w:p>
    <w:p w14:paraId="2C150CC6" w14:textId="250FB97F" w:rsidR="00A0137A" w:rsidRPr="00623C5B" w:rsidRDefault="00A0137A" w:rsidP="00A0137A">
      <w:pPr>
        <w:spacing w:line="24" w:lineRule="atLeast"/>
        <w:jc w:val="right"/>
        <w:rPr>
          <w:rFonts w:ascii="Arial" w:hAnsi="Arial" w:cs="Arial"/>
          <w:i/>
          <w:iCs/>
          <w:color w:val="000000" w:themeColor="text1"/>
          <w:sz w:val="20"/>
          <w:szCs w:val="20"/>
          <w:lang w:val="en-US"/>
        </w:rPr>
      </w:pPr>
    </w:p>
    <w:p w14:paraId="674BF64E" w14:textId="77777777" w:rsidR="002153B2" w:rsidRPr="00623C5B" w:rsidRDefault="002153B2" w:rsidP="00A0137A">
      <w:pPr>
        <w:spacing w:line="24" w:lineRule="atLeast"/>
        <w:jc w:val="right"/>
        <w:rPr>
          <w:rFonts w:ascii="Arial" w:hAnsi="Arial" w:cs="Arial"/>
          <w:i/>
          <w:iCs/>
          <w:color w:val="000000" w:themeColor="text1"/>
          <w:sz w:val="20"/>
          <w:szCs w:val="20"/>
          <w:lang w:val="en-US"/>
        </w:rPr>
      </w:pPr>
    </w:p>
    <w:p w14:paraId="470E6708" w14:textId="77777777" w:rsidR="00A0137A" w:rsidRPr="00623C5B" w:rsidRDefault="00A0137A" w:rsidP="00830259">
      <w:pPr>
        <w:spacing w:line="24" w:lineRule="atLeast"/>
        <w:jc w:val="right"/>
        <w:rPr>
          <w:rFonts w:ascii="Arial" w:hAnsi="Arial" w:cs="Arial"/>
          <w:i/>
          <w:iCs/>
          <w:color w:val="000000" w:themeColor="text1"/>
          <w:sz w:val="20"/>
          <w:szCs w:val="20"/>
          <w:lang w:val="en-US"/>
        </w:rPr>
      </w:pPr>
    </w:p>
    <w:p w14:paraId="361B2D88" w14:textId="2B3AC8EC" w:rsidR="003D7D44" w:rsidRPr="00623C5B" w:rsidRDefault="003D7D44" w:rsidP="00830259">
      <w:pPr>
        <w:ind w:firstLine="0"/>
        <w:rPr>
          <w:rFonts w:ascii="Arial" w:hAnsi="Arial" w:cs="Arial"/>
          <w:b/>
          <w:bCs/>
          <w:color w:val="000000" w:themeColor="text1"/>
          <w:sz w:val="22"/>
          <w:lang w:val="en-US"/>
        </w:rPr>
      </w:pPr>
      <w:r w:rsidRPr="00623C5B">
        <w:rPr>
          <w:rFonts w:ascii="Arial" w:hAnsi="Arial" w:cs="Arial"/>
          <w:b/>
          <w:bCs/>
          <w:color w:val="000000" w:themeColor="text1"/>
          <w:sz w:val="22"/>
        </w:rPr>
        <w:t>ABSTRACT</w:t>
      </w:r>
    </w:p>
    <w:p w14:paraId="21B7FC6C" w14:textId="134DE84F" w:rsidR="00623C5B" w:rsidRPr="00623C5B" w:rsidRDefault="00623C5B" w:rsidP="00623C5B">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bCs/>
          <w:color w:val="000000" w:themeColor="text1"/>
          <w:sz w:val="20"/>
          <w:szCs w:val="20"/>
          <w:lang w:val="en-US"/>
        </w:rPr>
      </w:pPr>
      <w:r>
        <w:rPr>
          <w:rFonts w:ascii="Arial" w:hAnsi="Arial" w:cs="Arial"/>
          <w:b/>
          <w:bCs/>
          <w:color w:val="000000" w:themeColor="text1"/>
          <w:sz w:val="20"/>
          <w:szCs w:val="20"/>
          <w:lang w:val="en-US"/>
        </w:rPr>
        <w:t xml:space="preserve">Background: </w:t>
      </w:r>
      <w:r w:rsidRPr="00623C5B">
        <w:rPr>
          <w:rFonts w:ascii="Arial" w:hAnsi="Arial" w:cs="Arial"/>
          <w:bCs/>
          <w:color w:val="000000" w:themeColor="text1"/>
          <w:sz w:val="20"/>
          <w:szCs w:val="20"/>
          <w:lang w:val="en-US"/>
        </w:rPr>
        <w:t>Estuarine and mangrove ecosystems are dynamic zones where microbial processes regulate nutrient cycling and water quality but are increasingly impacted by pollution and seasonal changes.</w:t>
      </w:r>
      <w:r>
        <w:rPr>
          <w:rFonts w:ascii="Arial" w:hAnsi="Arial" w:cs="Arial"/>
          <w:bCs/>
          <w:color w:val="000000" w:themeColor="text1"/>
          <w:sz w:val="20"/>
          <w:szCs w:val="20"/>
          <w:lang w:val="en-US"/>
        </w:rPr>
        <w:t xml:space="preserve"> </w:t>
      </w:r>
      <w:r w:rsidRPr="00623C5B">
        <w:rPr>
          <w:rFonts w:ascii="Arial" w:hAnsi="Arial" w:cs="Arial"/>
          <w:bCs/>
          <w:color w:val="000000" w:themeColor="text1"/>
          <w:sz w:val="20"/>
          <w:szCs w:val="20"/>
          <w:lang w:val="en-US"/>
        </w:rPr>
        <w:t xml:space="preserve">An integrated assessment of physicochemical and microbial indicators is essential to understand water quality dynamics, especially in tropical estuaries like Can </w:t>
      </w:r>
      <w:proofErr w:type="spellStart"/>
      <w:r w:rsidRPr="00623C5B">
        <w:rPr>
          <w:rFonts w:ascii="Arial" w:hAnsi="Arial" w:cs="Arial"/>
          <w:bCs/>
          <w:color w:val="000000" w:themeColor="text1"/>
          <w:sz w:val="20"/>
          <w:szCs w:val="20"/>
          <w:lang w:val="en-US"/>
        </w:rPr>
        <w:t>Gio</w:t>
      </w:r>
      <w:proofErr w:type="spellEnd"/>
      <w:r w:rsidRPr="00623C5B">
        <w:rPr>
          <w:rFonts w:ascii="Arial" w:hAnsi="Arial" w:cs="Arial"/>
          <w:bCs/>
          <w:color w:val="000000" w:themeColor="text1"/>
          <w:sz w:val="20"/>
          <w:szCs w:val="20"/>
          <w:lang w:val="en-US"/>
        </w:rPr>
        <w:t>.</w:t>
      </w:r>
    </w:p>
    <w:p w14:paraId="15C65356" w14:textId="77777777" w:rsidR="00623C5B" w:rsidRDefault="00623C5B"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b/>
          <w:bCs/>
          <w:color w:val="000000" w:themeColor="text1"/>
          <w:sz w:val="20"/>
          <w:szCs w:val="20"/>
          <w:lang w:val="en-US"/>
        </w:rPr>
      </w:pPr>
    </w:p>
    <w:p w14:paraId="36CB7BAA" w14:textId="2A5B9094" w:rsidR="00CD5818" w:rsidRPr="00623C5B" w:rsidRDefault="00CD5818"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lang w:val="en-US"/>
        </w:rPr>
        <w:t>Aims:</w:t>
      </w:r>
      <w:r w:rsidRPr="00623C5B">
        <w:rPr>
          <w:rFonts w:ascii="Arial" w:hAnsi="Arial" w:cs="Arial"/>
          <w:color w:val="000000" w:themeColor="text1"/>
          <w:sz w:val="20"/>
          <w:szCs w:val="20"/>
          <w:lang w:val="en-US"/>
        </w:rPr>
        <w:t xml:space="preserve"> To assess organic pollution, microbial indicators, and surface water quality in the Can </w:t>
      </w:r>
      <w:proofErr w:type="spellStart"/>
      <w:r w:rsidRPr="00623C5B">
        <w:rPr>
          <w:rFonts w:ascii="Arial" w:hAnsi="Arial" w:cs="Arial"/>
          <w:color w:val="000000" w:themeColor="text1"/>
          <w:sz w:val="20"/>
          <w:szCs w:val="20"/>
          <w:lang w:val="en-US"/>
        </w:rPr>
        <w:t>Gio</w:t>
      </w:r>
      <w:proofErr w:type="spellEnd"/>
      <w:r w:rsidRPr="00623C5B">
        <w:rPr>
          <w:rFonts w:ascii="Arial" w:hAnsi="Arial" w:cs="Arial"/>
          <w:color w:val="000000" w:themeColor="text1"/>
          <w:sz w:val="20"/>
          <w:szCs w:val="20"/>
          <w:lang w:val="en-US"/>
        </w:rPr>
        <w:t xml:space="preserve"> estuary, Vietnam, and to compare their seasonal and spatial variation using previously published monitoring data.</w:t>
      </w:r>
    </w:p>
    <w:p w14:paraId="37540957" w14:textId="77777777" w:rsidR="00CD5818" w:rsidRPr="00623C5B" w:rsidRDefault="00CD5818"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lang w:val="en-US"/>
        </w:rPr>
        <w:t>Study design:</w:t>
      </w:r>
      <w:r w:rsidRPr="00623C5B">
        <w:rPr>
          <w:rFonts w:ascii="Arial" w:hAnsi="Arial" w:cs="Arial"/>
          <w:color w:val="000000" w:themeColor="text1"/>
          <w:sz w:val="20"/>
          <w:szCs w:val="20"/>
          <w:lang w:val="en-US"/>
        </w:rPr>
        <w:t xml:space="preserve"> Secondary analysis of an existing surface water quality dataset.</w:t>
      </w:r>
    </w:p>
    <w:p w14:paraId="2DF72D9E" w14:textId="77777777" w:rsidR="00CD5818" w:rsidRPr="00623C5B" w:rsidRDefault="00CD5818"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lang w:val="en-US"/>
        </w:rPr>
        <w:t>Place and Duration of Study:</w:t>
      </w:r>
      <w:r w:rsidRPr="00623C5B">
        <w:rPr>
          <w:rFonts w:ascii="Arial" w:hAnsi="Arial" w:cs="Arial"/>
          <w:color w:val="000000" w:themeColor="text1"/>
          <w:sz w:val="20"/>
          <w:szCs w:val="20"/>
          <w:lang w:val="en-US"/>
        </w:rPr>
        <w:t xml:space="preserve"> Can </w:t>
      </w:r>
      <w:proofErr w:type="spellStart"/>
      <w:r w:rsidRPr="00623C5B">
        <w:rPr>
          <w:rFonts w:ascii="Arial" w:hAnsi="Arial" w:cs="Arial"/>
          <w:color w:val="000000" w:themeColor="text1"/>
          <w:sz w:val="20"/>
          <w:szCs w:val="20"/>
          <w:lang w:val="en-US"/>
        </w:rPr>
        <w:t>Gio</w:t>
      </w:r>
      <w:proofErr w:type="spellEnd"/>
      <w:r w:rsidRPr="00623C5B">
        <w:rPr>
          <w:rFonts w:ascii="Arial" w:hAnsi="Arial" w:cs="Arial"/>
          <w:color w:val="000000" w:themeColor="text1"/>
          <w:sz w:val="20"/>
          <w:szCs w:val="20"/>
          <w:lang w:val="en-US"/>
        </w:rPr>
        <w:t xml:space="preserve"> estuary, Ho Chi Minh City, Vietnam, using monitoring data collected at 14 sampling sites during the dry season (March 2023) and rainy season (September 2023).</w:t>
      </w:r>
    </w:p>
    <w:p w14:paraId="7E9DC629" w14:textId="7456DA5A" w:rsidR="00CD5818" w:rsidRPr="00623C5B" w:rsidRDefault="00CD5818"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lang w:val="en-US"/>
        </w:rPr>
        <w:t>Methodology:</w:t>
      </w:r>
      <w:r w:rsidRPr="00623C5B">
        <w:rPr>
          <w:rFonts w:ascii="Arial" w:hAnsi="Arial" w:cs="Arial"/>
          <w:color w:val="000000" w:themeColor="text1"/>
          <w:sz w:val="20"/>
          <w:szCs w:val="20"/>
          <w:lang w:val="en-US"/>
        </w:rPr>
        <w:t xml:space="preserve"> Published numerical data from previous studies were reorganized and interpreted using descriptive statistics, graphical comparison, and a simple regression to examine the </w:t>
      </w:r>
      <w:r w:rsidR="00CA7A99" w:rsidRPr="00623C5B">
        <w:rPr>
          <w:rFonts w:ascii="Arial" w:hAnsi="Arial" w:cs="Arial"/>
          <w:color w:val="000000" w:themeColor="text1"/>
          <w:sz w:val="20"/>
          <w:szCs w:val="20"/>
          <w:lang w:val="en-US"/>
        </w:rPr>
        <w:t>five-day biochemical oxygen demand (</w:t>
      </w:r>
      <w:r w:rsidRPr="00623C5B">
        <w:rPr>
          <w:rFonts w:ascii="Arial" w:hAnsi="Arial" w:cs="Arial"/>
          <w:color w:val="000000" w:themeColor="text1"/>
          <w:sz w:val="20"/>
          <w:szCs w:val="20"/>
          <w:lang w:val="en-US"/>
        </w:rPr>
        <w:t>BOD</w:t>
      </w:r>
      <w:r w:rsidRPr="00623C5B">
        <w:rPr>
          <w:rFonts w:ascii="Cambria Math" w:hAnsi="Cambria Math" w:cs="Cambria Math"/>
          <w:color w:val="000000" w:themeColor="text1"/>
          <w:sz w:val="20"/>
          <w:szCs w:val="20"/>
          <w:vertAlign w:val="subscript"/>
          <w:lang w:val="en-US"/>
        </w:rPr>
        <w:t>5</w:t>
      </w:r>
      <w:r w:rsidR="00CA7A99" w:rsidRPr="00623C5B">
        <w:rPr>
          <w:rFonts w:ascii="Cambria Math" w:hAnsi="Cambria Math" w:cs="Cambria Math"/>
          <w:color w:val="000000" w:themeColor="text1"/>
          <w:sz w:val="20"/>
          <w:szCs w:val="20"/>
          <w:lang w:val="en-US"/>
        </w:rPr>
        <w:t>)</w:t>
      </w:r>
      <w:r w:rsidRPr="00623C5B">
        <w:rPr>
          <w:rFonts w:ascii="Cambria Math" w:hAnsi="Cambria Math" w:cs="Cambria Math"/>
          <w:color w:val="000000" w:themeColor="text1"/>
          <w:sz w:val="20"/>
          <w:szCs w:val="20"/>
          <w:lang w:val="en-US"/>
        </w:rPr>
        <w:t xml:space="preserve"> - </w:t>
      </w:r>
      <w:r w:rsidR="00CA7A99" w:rsidRPr="00623C5B">
        <w:rPr>
          <w:rFonts w:ascii="Arial" w:hAnsi="Arial" w:cs="Arial"/>
          <w:color w:val="000000" w:themeColor="text1"/>
          <w:sz w:val="20"/>
          <w:szCs w:val="20"/>
          <w:lang w:val="en-US"/>
        </w:rPr>
        <w:t>dissolved oxygen (</w:t>
      </w:r>
      <w:r w:rsidRPr="00623C5B">
        <w:rPr>
          <w:rFonts w:ascii="Arial" w:hAnsi="Arial" w:cs="Arial"/>
          <w:color w:val="000000" w:themeColor="text1"/>
          <w:sz w:val="20"/>
          <w:szCs w:val="20"/>
          <w:lang w:val="en-US"/>
        </w:rPr>
        <w:t>DO</w:t>
      </w:r>
      <w:r w:rsidR="00CA7A99" w:rsidRPr="00623C5B">
        <w:rPr>
          <w:rFonts w:ascii="Arial" w:hAnsi="Arial" w:cs="Arial"/>
          <w:color w:val="000000" w:themeColor="text1"/>
          <w:sz w:val="20"/>
          <w:szCs w:val="20"/>
          <w:lang w:val="en-US"/>
        </w:rPr>
        <w:t>)</w:t>
      </w:r>
      <w:r w:rsidRPr="00623C5B">
        <w:rPr>
          <w:rFonts w:ascii="Arial" w:hAnsi="Arial" w:cs="Arial"/>
          <w:color w:val="000000" w:themeColor="text1"/>
          <w:sz w:val="20"/>
          <w:szCs w:val="20"/>
          <w:lang w:val="en-US"/>
        </w:rPr>
        <w:t xml:space="preserve"> pattern. The assessed parameters included DO,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lang w:val="en-US"/>
        </w:rPr>
        <w:t>, chemical oxygen demand (COD), ammonium (NH</w:t>
      </w:r>
      <w:r w:rsidRPr="00623C5B">
        <w:rPr>
          <w:rFonts w:ascii="Arial" w:hAnsi="Arial" w:cs="Arial"/>
          <w:color w:val="000000" w:themeColor="text1"/>
          <w:sz w:val="20"/>
          <w:szCs w:val="20"/>
          <w:vertAlign w:val="subscript"/>
          <w:lang w:val="en-US"/>
        </w:rPr>
        <w:t>4</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lang w:val="en-US"/>
        </w:rPr>
        <w:t>), nitrite (NO</w:t>
      </w:r>
      <w:r w:rsidRPr="00623C5B">
        <w:rPr>
          <w:rFonts w:ascii="Arial" w:hAnsi="Arial" w:cs="Arial"/>
          <w:color w:val="000000" w:themeColor="text1"/>
          <w:sz w:val="20"/>
          <w:szCs w:val="20"/>
          <w:vertAlign w:val="subscript"/>
          <w:lang w:val="en-US"/>
        </w:rPr>
        <w:t>2</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lang w:val="en-US"/>
        </w:rPr>
        <w:t>), phosphate (PO</w:t>
      </w:r>
      <w:r w:rsidRPr="00623C5B">
        <w:rPr>
          <w:rFonts w:ascii="Arial" w:hAnsi="Arial" w:cs="Arial"/>
          <w:color w:val="000000" w:themeColor="text1"/>
          <w:sz w:val="20"/>
          <w:szCs w:val="20"/>
          <w:vertAlign w:val="subscript"/>
          <w:lang w:val="en-US"/>
        </w:rPr>
        <w:t>4</w:t>
      </w:r>
      <w:r w:rsidRPr="00623C5B">
        <w:rPr>
          <w:rFonts w:ascii="Arial" w:hAnsi="Arial" w:cs="Arial"/>
          <w:color w:val="000000" w:themeColor="text1"/>
          <w:sz w:val="20"/>
          <w:szCs w:val="20"/>
          <w:vertAlign w:val="superscript"/>
          <w:lang w:val="en-US"/>
        </w:rPr>
        <w:t>3-</w:t>
      </w:r>
      <w:r w:rsidRPr="00623C5B">
        <w:rPr>
          <w:rFonts w:ascii="Arial" w:hAnsi="Arial" w:cs="Arial"/>
          <w:color w:val="000000" w:themeColor="text1"/>
          <w:sz w:val="20"/>
          <w:szCs w:val="20"/>
          <w:lang w:val="en-US"/>
        </w:rPr>
        <w:t xml:space="preserve">), total coliform, and </w:t>
      </w:r>
      <w:r w:rsidRPr="00623C5B">
        <w:rPr>
          <w:rFonts w:ascii="Arial" w:hAnsi="Arial" w:cs="Arial"/>
          <w:i/>
          <w:iCs/>
          <w:color w:val="000000" w:themeColor="text1"/>
          <w:sz w:val="20"/>
          <w:szCs w:val="20"/>
          <w:lang w:val="en-US"/>
        </w:rPr>
        <w:t>Escherichia coli</w:t>
      </w:r>
      <w:r w:rsidRPr="00623C5B">
        <w:rPr>
          <w:rFonts w:ascii="Arial" w:hAnsi="Arial" w:cs="Arial"/>
          <w:color w:val="000000" w:themeColor="text1"/>
          <w:sz w:val="20"/>
          <w:szCs w:val="20"/>
          <w:lang w:val="en-US"/>
        </w:rPr>
        <w:t>.</w:t>
      </w:r>
    </w:p>
    <w:p w14:paraId="05C802D7" w14:textId="7AC30615" w:rsidR="00CD5818" w:rsidRPr="00623C5B" w:rsidRDefault="00CD5818"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lang w:val="en-US"/>
        </w:rPr>
        <w:t>Results:</w:t>
      </w:r>
      <w:r w:rsidRPr="00623C5B">
        <w:rPr>
          <w:rFonts w:ascii="Arial" w:hAnsi="Arial" w:cs="Arial"/>
          <w:color w:val="000000" w:themeColor="text1"/>
          <w:sz w:val="20"/>
          <w:szCs w:val="20"/>
          <w:lang w:val="en-US"/>
        </w:rPr>
        <w:t xml:space="preserve"> Water quality showed clear seasonal and spatial variation.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lang w:val="en-US"/>
        </w:rPr>
        <w:t xml:space="preserve"> and COD were generally higher in the dry season, whereas DO tended to be slightly higher in the rainy season. Organic pollution was unevenly distributed among sampling sites, with several hotspots likely influenced by aquaculture, domestic wastewater, and other local human activities. Among nutrient variables, NO</w:t>
      </w:r>
      <w:r w:rsidRPr="00623C5B">
        <w:rPr>
          <w:rFonts w:ascii="Arial" w:hAnsi="Arial" w:cs="Arial"/>
          <w:color w:val="000000" w:themeColor="text1"/>
          <w:sz w:val="20"/>
          <w:szCs w:val="20"/>
          <w:vertAlign w:val="subscript"/>
          <w:lang w:val="en-US"/>
        </w:rPr>
        <w:t>2</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lang w:val="en-US"/>
        </w:rPr>
        <w:t xml:space="preserve"> showed the clearest seasonal fluctuation, while NH</w:t>
      </w:r>
      <w:r w:rsidRPr="00623C5B">
        <w:rPr>
          <w:rFonts w:ascii="Arial" w:hAnsi="Arial" w:cs="Arial"/>
          <w:color w:val="000000" w:themeColor="text1"/>
          <w:sz w:val="20"/>
          <w:szCs w:val="20"/>
          <w:vertAlign w:val="subscript"/>
          <w:lang w:val="en-US"/>
        </w:rPr>
        <w:t>4</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lang w:val="en-US"/>
        </w:rPr>
        <w:t xml:space="preserve"> and PO</w:t>
      </w:r>
      <w:r w:rsidRPr="00623C5B">
        <w:rPr>
          <w:rFonts w:ascii="Arial" w:hAnsi="Arial" w:cs="Arial"/>
          <w:color w:val="000000" w:themeColor="text1"/>
          <w:sz w:val="20"/>
          <w:szCs w:val="20"/>
          <w:vertAlign w:val="subscript"/>
          <w:lang w:val="en-US"/>
        </w:rPr>
        <w:t>4</w:t>
      </w:r>
      <w:r w:rsidRPr="00623C5B">
        <w:rPr>
          <w:rFonts w:ascii="Arial" w:hAnsi="Arial" w:cs="Arial"/>
          <w:color w:val="000000" w:themeColor="text1"/>
          <w:sz w:val="20"/>
          <w:szCs w:val="20"/>
          <w:vertAlign w:val="superscript"/>
          <w:lang w:val="en-US"/>
        </w:rPr>
        <w:t>3-</w:t>
      </w:r>
      <w:r w:rsidRPr="00623C5B">
        <w:rPr>
          <w:rFonts w:ascii="Arial" w:hAnsi="Arial" w:cs="Arial"/>
          <w:color w:val="000000" w:themeColor="text1"/>
          <w:sz w:val="20"/>
          <w:szCs w:val="20"/>
          <w:lang w:val="en-US"/>
        </w:rPr>
        <w:t xml:space="preserve"> varied less consistently. Microbial indicators remained high in both seasons, and </w:t>
      </w:r>
      <w:r w:rsidRPr="00623C5B">
        <w:rPr>
          <w:rFonts w:ascii="Arial" w:hAnsi="Arial" w:cs="Arial"/>
          <w:i/>
          <w:iCs/>
          <w:color w:val="000000" w:themeColor="text1"/>
          <w:sz w:val="20"/>
          <w:szCs w:val="20"/>
          <w:lang w:val="en-US"/>
        </w:rPr>
        <w:t>E. coli</w:t>
      </w:r>
      <w:r w:rsidRPr="00623C5B">
        <w:rPr>
          <w:rFonts w:ascii="Arial" w:hAnsi="Arial" w:cs="Arial"/>
          <w:color w:val="000000" w:themeColor="text1"/>
          <w:sz w:val="20"/>
          <w:szCs w:val="20"/>
          <w:lang w:val="en-US"/>
        </w:rPr>
        <w:t xml:space="preserve"> fluctuated more strongly in the rainy season. The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lang w:val="en-US"/>
        </w:rPr>
        <w:t xml:space="preserve"> - DO relationship at site scale was weak, indicating that DO was influenced not only by organic loading but also by hydrodynamic and environmental conditions.</w:t>
      </w:r>
    </w:p>
    <w:p w14:paraId="05AF669B" w14:textId="17708B54" w:rsidR="00CD5818" w:rsidRPr="00623C5B" w:rsidRDefault="00CD5818" w:rsidP="00CA7A99">
      <w:pPr>
        <w:pBdr>
          <w:top w:val="single" w:sz="4" w:space="1" w:color="auto"/>
          <w:left w:val="single" w:sz="4" w:space="4" w:color="auto"/>
          <w:bottom w:val="single" w:sz="4" w:space="1" w:color="auto"/>
          <w:right w:val="single" w:sz="4" w:space="4" w:color="auto"/>
        </w:pBdr>
        <w:spacing w:after="0"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lang w:val="en-US"/>
        </w:rPr>
        <w:t>Conclusion:</w:t>
      </w:r>
      <w:r w:rsidRPr="00623C5B">
        <w:rPr>
          <w:rFonts w:ascii="Arial" w:hAnsi="Arial" w:cs="Arial"/>
          <w:color w:val="000000" w:themeColor="text1"/>
          <w:sz w:val="20"/>
          <w:szCs w:val="20"/>
          <w:lang w:val="en-US"/>
        </w:rPr>
        <w:t xml:space="preserve"> The Can </w:t>
      </w:r>
      <w:proofErr w:type="spellStart"/>
      <w:r w:rsidRPr="00623C5B">
        <w:rPr>
          <w:rFonts w:ascii="Arial" w:hAnsi="Arial" w:cs="Arial"/>
          <w:color w:val="000000" w:themeColor="text1"/>
          <w:sz w:val="20"/>
          <w:szCs w:val="20"/>
          <w:lang w:val="en-US"/>
        </w:rPr>
        <w:t>Gio</w:t>
      </w:r>
      <w:proofErr w:type="spellEnd"/>
      <w:r w:rsidRPr="00623C5B">
        <w:rPr>
          <w:rFonts w:ascii="Arial" w:hAnsi="Arial" w:cs="Arial"/>
          <w:color w:val="000000" w:themeColor="text1"/>
          <w:sz w:val="20"/>
          <w:szCs w:val="20"/>
          <w:lang w:val="en-US"/>
        </w:rPr>
        <w:t xml:space="preserve"> estuary is under pressure from mixed organic and microbial pollution, with the dry season being more sensitive to organic load accumulation. The study provides an integrated basis for water quality monitoring and management in tropical mangrove estuaries.</w:t>
      </w:r>
    </w:p>
    <w:p w14:paraId="5C8DB634" w14:textId="6F37D787" w:rsidR="003B3BCF" w:rsidRPr="00623C5B" w:rsidRDefault="003B3BCF" w:rsidP="005B1663">
      <w:pPr>
        <w:spacing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rPr>
        <w:t xml:space="preserve">Keywords: </w:t>
      </w:r>
      <w:r w:rsidR="00BD0378" w:rsidRPr="00623C5B">
        <w:rPr>
          <w:rFonts w:ascii="Arial" w:hAnsi="Arial" w:cs="Arial"/>
          <w:color w:val="000000" w:themeColor="text1"/>
          <w:sz w:val="20"/>
          <w:szCs w:val="20"/>
        </w:rPr>
        <w:t>Can Gio</w:t>
      </w:r>
      <w:r w:rsidR="008A035A" w:rsidRPr="00623C5B">
        <w:rPr>
          <w:rFonts w:ascii="Arial" w:hAnsi="Arial" w:cs="Arial"/>
          <w:color w:val="000000" w:themeColor="text1"/>
          <w:sz w:val="20"/>
          <w:szCs w:val="20"/>
          <w:lang w:val="en-US"/>
        </w:rPr>
        <w:t xml:space="preserve"> </w:t>
      </w:r>
      <w:r w:rsidR="008A035A" w:rsidRPr="00623C5B">
        <w:rPr>
          <w:rFonts w:ascii="Arial" w:hAnsi="Arial" w:cs="Arial"/>
          <w:color w:val="000000" w:themeColor="text1"/>
          <w:sz w:val="20"/>
          <w:szCs w:val="20"/>
        </w:rPr>
        <w:t>estuary</w:t>
      </w:r>
      <w:r w:rsidR="00BD0378" w:rsidRPr="00623C5B">
        <w:rPr>
          <w:rFonts w:ascii="Arial" w:hAnsi="Arial" w:cs="Arial"/>
          <w:color w:val="000000" w:themeColor="text1"/>
          <w:sz w:val="20"/>
          <w:szCs w:val="20"/>
        </w:rPr>
        <w:t xml:space="preserve">; mangrove estuary; surface water quality; organic pollution; </w:t>
      </w:r>
      <w:r w:rsidR="00AD4A1A" w:rsidRPr="00623C5B">
        <w:rPr>
          <w:rFonts w:ascii="Arial" w:hAnsi="Arial" w:cs="Arial"/>
          <w:color w:val="000000" w:themeColor="text1"/>
          <w:sz w:val="20"/>
          <w:szCs w:val="20"/>
        </w:rPr>
        <w:t>microbial indicators</w:t>
      </w:r>
    </w:p>
    <w:p w14:paraId="5ACE587A" w14:textId="2EEFF09F" w:rsidR="006F5E50" w:rsidRPr="00623C5B" w:rsidRDefault="006F5E50" w:rsidP="00A0137A">
      <w:pPr>
        <w:tabs>
          <w:tab w:val="left" w:pos="2428"/>
        </w:tabs>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1. INTRODUCTION</w:t>
      </w:r>
      <w:r w:rsidR="00A0137A" w:rsidRPr="00623C5B">
        <w:rPr>
          <w:rFonts w:ascii="Arial" w:hAnsi="Arial" w:cs="Arial"/>
          <w:b/>
          <w:bCs/>
          <w:color w:val="000000" w:themeColor="text1"/>
          <w:sz w:val="22"/>
        </w:rPr>
        <w:tab/>
      </w:r>
    </w:p>
    <w:p w14:paraId="1614E8FB" w14:textId="3BFB422F" w:rsidR="004260FF" w:rsidRPr="00623C5B" w:rsidRDefault="004260FF" w:rsidP="001F2C90">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Estuarine ecosystems and mangroves are dynamic transition zones between freshwater and saltwater, where intense biogeochemical processes related to nutrient cycling, organic matter decomposition, microbial respiration, carbon storage, and water quality regulation take place. </w:t>
      </w:r>
      <w:r w:rsidR="008A035A" w:rsidRPr="00623C5B">
        <w:rPr>
          <w:rFonts w:ascii="Arial" w:hAnsi="Arial" w:cs="Arial"/>
          <w:color w:val="000000" w:themeColor="text1"/>
          <w:sz w:val="20"/>
          <w:szCs w:val="20"/>
        </w:rPr>
        <w:t>Within these systems, microbial communities not only reflect environmental conditions but also contribute directly to important ecosystem services, including organic matter transformation, maintenance of biological productivity, and the self-purification capacity of water bodies</w:t>
      </w:r>
      <w:r w:rsidRPr="00623C5B">
        <w:rPr>
          <w:rFonts w:ascii="Arial" w:hAnsi="Arial" w:cs="Arial"/>
          <w:color w:val="000000" w:themeColor="text1"/>
          <w:sz w:val="20"/>
          <w:szCs w:val="20"/>
        </w:rPr>
        <w:t xml:space="preserve"> (</w:t>
      </w:r>
      <w:r w:rsidR="001F2C90" w:rsidRPr="00623C5B">
        <w:rPr>
          <w:rFonts w:ascii="Arial" w:hAnsi="Arial" w:cs="Arial"/>
          <w:color w:val="000000" w:themeColor="text1"/>
          <w:sz w:val="20"/>
          <w:szCs w:val="20"/>
        </w:rPr>
        <w:t>Crump &amp; Bowen, 2024; Holcomb &amp; Stewart, 2020</w:t>
      </w:r>
      <w:r w:rsidRPr="00623C5B">
        <w:rPr>
          <w:rFonts w:ascii="Arial" w:hAnsi="Arial" w:cs="Arial"/>
          <w:color w:val="000000" w:themeColor="text1"/>
          <w:sz w:val="20"/>
          <w:szCs w:val="20"/>
        </w:rPr>
        <w:t xml:space="preserve">). Recent studies </w:t>
      </w:r>
      <w:r w:rsidR="001F2C90" w:rsidRPr="00623C5B">
        <w:rPr>
          <w:rFonts w:ascii="Arial" w:hAnsi="Arial" w:cs="Arial"/>
          <w:color w:val="000000" w:themeColor="text1"/>
          <w:sz w:val="20"/>
          <w:szCs w:val="20"/>
        </w:rPr>
        <w:t>have shown that surface water quality in coastal and estuarine environments is influenced by both seasonal hydrological variation and local pollution sources, especially organic and microbial contamination (Brauns et al., 2024; Goutami &amp; Patil, 2025).</w:t>
      </w:r>
      <w:r w:rsidR="001F2C90"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rPr>
        <w:t xml:space="preserve">However, coastal estuarine systems are currently under increasing pressure from aquaculture, domestic wastewater, water transportation, urban development and land-use activities in the basin. Wastewater from aquaculture often contains high levels of organic matter, nitrogen, phosphorus, suspended solids and biological agents; when discharged into receiving waters, these components can increase oxygen demand, promote eutrophication, cause local oxygen deprivation, and degrade water quality (Liu et al., 2024). In Vietnam, many recent studies have documented strong spatial and temporal fluctuations in surface water quality in rivers, canals and coastal areas; </w:t>
      </w:r>
      <w:r w:rsidR="008A035A" w:rsidRPr="00623C5B">
        <w:rPr>
          <w:rFonts w:ascii="Arial" w:hAnsi="Arial" w:cs="Arial"/>
          <w:color w:val="000000" w:themeColor="text1"/>
          <w:sz w:val="20"/>
          <w:szCs w:val="20"/>
        </w:rPr>
        <w:t xml:space="preserve">and have shown that organic, nutrient, and microbial pollution remain major pressure factors </w:t>
      </w:r>
      <w:r w:rsidRPr="00623C5B">
        <w:rPr>
          <w:rFonts w:ascii="Arial" w:hAnsi="Arial" w:cs="Arial"/>
          <w:color w:val="000000" w:themeColor="text1"/>
          <w:sz w:val="20"/>
          <w:szCs w:val="20"/>
        </w:rPr>
        <w:t>that need to be monitored regularly (Giao et al., 2021; Ha et al., 2021; Ha et al., 2025).</w:t>
      </w:r>
    </w:p>
    <w:p w14:paraId="3B3AA087" w14:textId="4F401E20" w:rsidR="004260FF" w:rsidRPr="00623C5B" w:rsidRDefault="004260FF"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lastRenderedPageBreak/>
        <w:t>In that context, the assessment of water quality should not stop at each individual indicator. Parameters such as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COD, ammonium, nitrite, phosphate, DO, </w:t>
      </w:r>
      <w:r w:rsidR="005B1663" w:rsidRPr="00623C5B">
        <w:rPr>
          <w:rFonts w:ascii="Arial" w:hAnsi="Arial" w:cs="Arial"/>
          <w:color w:val="000000" w:themeColor="text1"/>
          <w:sz w:val="20"/>
          <w:szCs w:val="20"/>
          <w:lang w:val="en-US"/>
        </w:rPr>
        <w:t>c</w:t>
      </w:r>
      <w:r w:rsidRPr="00623C5B">
        <w:rPr>
          <w:rFonts w:ascii="Arial" w:hAnsi="Arial" w:cs="Arial"/>
          <w:color w:val="000000" w:themeColor="text1"/>
          <w:sz w:val="20"/>
          <w:szCs w:val="20"/>
        </w:rPr>
        <w:t xml:space="preserve">oliforms, and </w:t>
      </w:r>
      <w:r w:rsidRPr="00623C5B">
        <w:rPr>
          <w:rFonts w:ascii="Arial" w:hAnsi="Arial" w:cs="Arial"/>
          <w:i/>
          <w:iCs/>
          <w:color w:val="000000" w:themeColor="text1"/>
          <w:sz w:val="20"/>
          <w:szCs w:val="20"/>
        </w:rPr>
        <w:t>E</w:t>
      </w:r>
      <w:r w:rsidR="005B1663" w:rsidRPr="00623C5B">
        <w:rPr>
          <w:rFonts w:ascii="Arial" w:hAnsi="Arial" w:cs="Arial"/>
          <w:i/>
          <w:iCs/>
          <w:color w:val="000000" w:themeColor="text1"/>
          <w:sz w:val="20"/>
          <w:szCs w:val="20"/>
          <w:lang w:val="en-US"/>
        </w:rPr>
        <w:t>.</w:t>
      </w:r>
      <w:r w:rsidRPr="00623C5B">
        <w:rPr>
          <w:rFonts w:ascii="Arial" w:hAnsi="Arial" w:cs="Arial"/>
          <w:i/>
          <w:iCs/>
          <w:color w:val="000000" w:themeColor="text1"/>
          <w:sz w:val="20"/>
          <w:szCs w:val="20"/>
        </w:rPr>
        <w:t xml:space="preserve"> coli</w:t>
      </w:r>
      <w:r w:rsidRPr="00623C5B">
        <w:rPr>
          <w:rFonts w:ascii="Arial" w:hAnsi="Arial" w:cs="Arial"/>
          <w:color w:val="000000" w:themeColor="text1"/>
          <w:sz w:val="20"/>
          <w:szCs w:val="20"/>
        </w:rPr>
        <w:t xml:space="preserve"> have a close functional relationship through microbiological respiration, organic matter decomposition, nitrogen metabolism, and flow transport of matter. High organic loads often lead to increased oxygen consumption and facilitate the growth of microorganisms; conversely, the structure and activity of the microbiome also determine the rate of mineralization and metabolism of pollutants in estuarine systems (Crump &amp; Bowen, 2024; Liu et al., 2024). </w:t>
      </w:r>
      <w:r w:rsidR="001F2C90" w:rsidRPr="00623C5B">
        <w:rPr>
          <w:rFonts w:ascii="Arial" w:hAnsi="Arial" w:cs="Arial"/>
          <w:color w:val="000000" w:themeColor="text1"/>
          <w:sz w:val="20"/>
          <w:szCs w:val="20"/>
        </w:rPr>
        <w:t>In addition, fecal indicator bacteria are widely used to assess microbial pollution in natural surface waters, and their occurrence often reflects mixed contamination sources and transport processes in impacted aquatic environments (Jamieson et al., 2004; de Brauwere et al., 2014; Holcomb &amp; Stewart, 2020).</w:t>
      </w:r>
      <w:r w:rsidRPr="00623C5B">
        <w:rPr>
          <w:rFonts w:ascii="Arial" w:hAnsi="Arial" w:cs="Arial"/>
          <w:color w:val="000000" w:themeColor="text1"/>
          <w:sz w:val="20"/>
          <w:szCs w:val="20"/>
        </w:rPr>
        <w:t xml:space="preserve">Thus, an integrated approach between organic contamination, microbial contamination and oxygen dynamics </w:t>
      </w:r>
      <w:r w:rsidR="008A035A" w:rsidRPr="00623C5B">
        <w:rPr>
          <w:rFonts w:ascii="Arial" w:hAnsi="Arial" w:cs="Arial"/>
          <w:color w:val="000000" w:themeColor="text1"/>
          <w:sz w:val="20"/>
          <w:szCs w:val="20"/>
        </w:rPr>
        <w:t xml:space="preserve">would provide greater explanatory value for understanding underlying mechanisms </w:t>
      </w:r>
      <w:r w:rsidRPr="00623C5B">
        <w:rPr>
          <w:rFonts w:ascii="Arial" w:hAnsi="Arial" w:cs="Arial"/>
          <w:color w:val="000000" w:themeColor="text1"/>
          <w:sz w:val="20"/>
          <w:szCs w:val="20"/>
        </w:rPr>
        <w:t xml:space="preserve">than using mere aggregate indicators or individual evaluation thresholds. </w:t>
      </w:r>
    </w:p>
    <w:p w14:paraId="532D2F7C" w14:textId="75BEE2C7" w:rsidR="004260FF" w:rsidRPr="00623C5B" w:rsidRDefault="000F7BDC"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In tropical mangrove estuaries, seasonal changes make the interactions among water quality parameter groups even more complex. Factors such as rainfall, upstream runoff, tidal exchange, salinity, disturbance in the water column, and exchanges between water and sediment can all drive strong variations across both space and time. Evidence from the Sundarban system shows that water quality in mangrove estuaries can shift markedly from one season to another, and even from year to year, under the combined effects of climate, hydrology, and waste inputs</w:t>
      </w:r>
      <w:r w:rsidR="004260FF" w:rsidRPr="00623C5B">
        <w:rPr>
          <w:rFonts w:ascii="Arial" w:hAnsi="Arial" w:cs="Arial"/>
          <w:color w:val="000000" w:themeColor="text1"/>
          <w:sz w:val="20"/>
          <w:szCs w:val="20"/>
        </w:rPr>
        <w:t xml:space="preserve"> (Mondal et al., 2024). In Vietnam, research in Hung Yen mangrove forest also shows that aquaculture-related waste sources can govern water quality, while the mangrove system itself still exhibits a role in biofiltration and pollution reduction under certain conditions (Nguyen et al.,  2026).</w:t>
      </w:r>
    </w:p>
    <w:p w14:paraId="07839D17" w14:textId="6459CB68" w:rsidR="004260FF" w:rsidRPr="00623C5B" w:rsidRDefault="004260FF"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The Can Gio </w:t>
      </w:r>
      <w:r w:rsidR="008A035A" w:rsidRPr="00623C5B">
        <w:rPr>
          <w:rFonts w:ascii="Arial" w:hAnsi="Arial" w:cs="Arial"/>
          <w:color w:val="000000" w:themeColor="text1"/>
          <w:sz w:val="20"/>
          <w:szCs w:val="20"/>
          <w:lang w:val="en-US"/>
        </w:rPr>
        <w:t>M</w:t>
      </w:r>
      <w:r w:rsidRPr="00623C5B">
        <w:rPr>
          <w:rFonts w:ascii="Arial" w:hAnsi="Arial" w:cs="Arial"/>
          <w:color w:val="000000" w:themeColor="text1"/>
          <w:sz w:val="20"/>
          <w:szCs w:val="20"/>
        </w:rPr>
        <w:t xml:space="preserve">angrove </w:t>
      </w:r>
      <w:r w:rsidR="008A035A" w:rsidRPr="00623C5B">
        <w:rPr>
          <w:rFonts w:ascii="Arial" w:hAnsi="Arial" w:cs="Arial"/>
          <w:color w:val="000000" w:themeColor="text1"/>
          <w:sz w:val="20"/>
          <w:szCs w:val="20"/>
          <w:lang w:val="en-US"/>
        </w:rPr>
        <w:t>B</w:t>
      </w:r>
      <w:r w:rsidRPr="00623C5B">
        <w:rPr>
          <w:rFonts w:ascii="Arial" w:hAnsi="Arial" w:cs="Arial"/>
          <w:color w:val="000000" w:themeColor="text1"/>
          <w:sz w:val="20"/>
          <w:szCs w:val="20"/>
        </w:rPr>
        <w:t xml:space="preserve">iosphere </w:t>
      </w:r>
      <w:r w:rsidR="00833659" w:rsidRPr="00623C5B">
        <w:rPr>
          <w:rFonts w:ascii="Arial" w:hAnsi="Arial" w:cs="Arial"/>
          <w:color w:val="000000" w:themeColor="text1"/>
          <w:sz w:val="20"/>
          <w:szCs w:val="20"/>
          <w:lang w:val="en-US"/>
        </w:rPr>
        <w:t>R</w:t>
      </w:r>
      <w:r w:rsidRPr="00623C5B">
        <w:rPr>
          <w:rFonts w:ascii="Arial" w:hAnsi="Arial" w:cs="Arial"/>
          <w:color w:val="000000" w:themeColor="text1"/>
          <w:sz w:val="20"/>
          <w:szCs w:val="20"/>
        </w:rPr>
        <w:t xml:space="preserve">eserve is a particularly important </w:t>
      </w:r>
      <w:r w:rsidR="00525526" w:rsidRPr="00623C5B">
        <w:rPr>
          <w:rFonts w:ascii="Arial" w:hAnsi="Arial" w:cs="Arial"/>
          <w:color w:val="000000" w:themeColor="text1"/>
          <w:sz w:val="20"/>
          <w:szCs w:val="20"/>
          <w:lang w:val="en-US"/>
        </w:rPr>
        <w:t>study area</w:t>
      </w:r>
      <w:r w:rsidRPr="00623C5B">
        <w:rPr>
          <w:rFonts w:ascii="Arial" w:hAnsi="Arial" w:cs="Arial"/>
          <w:color w:val="000000" w:themeColor="text1"/>
          <w:sz w:val="20"/>
          <w:szCs w:val="20"/>
        </w:rPr>
        <w:t>. In addition to the value of biodiversity and environmental protection for the downstream area of Ho Chi Minh City, this area also maintains many economic activities such as aquaculture, fishing, salt production, trade and tourism</w:t>
      </w:r>
      <w:r w:rsidR="00833659" w:rsidRPr="00623C5B">
        <w:rPr>
          <w:rFonts w:ascii="Arial" w:hAnsi="Arial" w:cs="Arial"/>
          <w:color w:val="000000" w:themeColor="text1"/>
          <w:sz w:val="20"/>
          <w:szCs w:val="20"/>
          <w:lang w:val="en-US"/>
        </w:rPr>
        <w:t>.</w:t>
      </w:r>
      <w:r w:rsidRPr="00623C5B">
        <w:rPr>
          <w:rFonts w:ascii="Arial" w:hAnsi="Arial" w:cs="Arial"/>
          <w:color w:val="000000" w:themeColor="text1"/>
          <w:sz w:val="20"/>
          <w:szCs w:val="20"/>
        </w:rPr>
        <w:t xml:space="preserve"> </w:t>
      </w:r>
      <w:r w:rsidR="00525526" w:rsidRPr="00623C5B">
        <w:rPr>
          <w:rFonts w:ascii="Arial" w:hAnsi="Arial" w:cs="Arial"/>
          <w:color w:val="000000" w:themeColor="text1"/>
          <w:sz w:val="20"/>
          <w:szCs w:val="20"/>
        </w:rPr>
        <w:t>Therefore, environmental pressures in this area are multi-sourced and persistent</w:t>
      </w:r>
      <w:r w:rsidRPr="00623C5B">
        <w:rPr>
          <w:rFonts w:ascii="Arial" w:hAnsi="Arial" w:cs="Arial"/>
          <w:color w:val="000000" w:themeColor="text1"/>
          <w:sz w:val="20"/>
          <w:szCs w:val="20"/>
        </w:rPr>
        <w:t xml:space="preserve">. Previous studies in Can Gio have also shown that the </w:t>
      </w:r>
      <w:r w:rsidR="00525526" w:rsidRPr="00623C5B">
        <w:rPr>
          <w:rFonts w:ascii="Arial" w:hAnsi="Arial" w:cs="Arial"/>
          <w:color w:val="000000" w:themeColor="text1"/>
          <w:sz w:val="20"/>
          <w:szCs w:val="20"/>
        </w:rPr>
        <w:t xml:space="preserve">phytoplankton communities </w:t>
      </w:r>
      <w:r w:rsidRPr="00623C5B">
        <w:rPr>
          <w:rFonts w:ascii="Arial" w:hAnsi="Arial" w:cs="Arial"/>
          <w:color w:val="000000" w:themeColor="text1"/>
          <w:sz w:val="20"/>
          <w:szCs w:val="20"/>
        </w:rPr>
        <w:t>and physicochemical conditions of the water are strongly influenced by salinity, turbidity, nutrients and seasonal fluctuations (Pham, 2017, 2019). At the same time, pore water exchange, carbon transport, and nutrient dynamics processes in Can Gio mangrove waters have also been noted to be closely dependent on tidal cycles, seasonality, and vegetation distribution (Taillardat et al., 2018, 2019).</w:t>
      </w:r>
    </w:p>
    <w:p w14:paraId="3E335C30" w14:textId="122F5726" w:rsidR="00DA3361" w:rsidRPr="00623C5B" w:rsidRDefault="004260FF"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Recent results in the same study area show that surface water quality in the Can Gio estuary has significant seasonal fluctuations. </w:t>
      </w:r>
      <w:proofErr w:type="spellStart"/>
      <w:r w:rsidR="0029465A" w:rsidRPr="00623C5B">
        <w:rPr>
          <w:rFonts w:ascii="Arial" w:hAnsi="Arial" w:cs="Arial"/>
          <w:color w:val="000000" w:themeColor="text1"/>
          <w:sz w:val="20"/>
          <w:szCs w:val="20"/>
          <w:lang w:val="en-US"/>
        </w:rPr>
        <w:t>Trung</w:t>
      </w:r>
      <w:proofErr w:type="spellEnd"/>
      <w:r w:rsidR="0029465A" w:rsidRPr="00623C5B">
        <w:rPr>
          <w:rFonts w:ascii="Arial" w:hAnsi="Arial" w:cs="Arial"/>
          <w:color w:val="000000" w:themeColor="text1"/>
          <w:sz w:val="20"/>
          <w:szCs w:val="20"/>
          <w:lang w:val="en-US"/>
        </w:rPr>
        <w:t xml:space="preserve"> et al. (2025) observed elevated levels of organic pollution indicators, specifically BOD</w:t>
      </w:r>
      <w:r w:rsidR="0029465A" w:rsidRPr="00623C5B">
        <w:rPr>
          <w:rFonts w:ascii="Cambria Math" w:hAnsi="Cambria Math" w:cs="Cambria Math"/>
          <w:color w:val="000000" w:themeColor="text1"/>
          <w:sz w:val="20"/>
          <w:szCs w:val="20"/>
          <w:lang w:val="en-US"/>
        </w:rPr>
        <w:t>₅</w:t>
      </w:r>
      <w:r w:rsidR="0029465A" w:rsidRPr="00623C5B">
        <w:rPr>
          <w:rFonts w:ascii="Arial" w:hAnsi="Arial" w:cs="Arial"/>
          <w:color w:val="000000" w:themeColor="text1"/>
          <w:sz w:val="20"/>
          <w:szCs w:val="20"/>
          <w:lang w:val="en-US"/>
        </w:rPr>
        <w:t xml:space="preserve"> and COD, during the dry season. Furthermore, </w:t>
      </w:r>
      <w:proofErr w:type="spellStart"/>
      <w:r w:rsidR="0029465A" w:rsidRPr="00623C5B">
        <w:rPr>
          <w:rFonts w:ascii="Arial" w:hAnsi="Arial" w:cs="Arial"/>
          <w:color w:val="000000" w:themeColor="text1"/>
          <w:sz w:val="20"/>
          <w:szCs w:val="20"/>
          <w:lang w:val="en-US"/>
        </w:rPr>
        <w:t>Trung</w:t>
      </w:r>
      <w:proofErr w:type="spellEnd"/>
      <w:r w:rsidR="0029465A" w:rsidRPr="00623C5B">
        <w:rPr>
          <w:rFonts w:ascii="Arial" w:hAnsi="Arial" w:cs="Arial"/>
          <w:color w:val="000000" w:themeColor="text1"/>
          <w:sz w:val="20"/>
          <w:szCs w:val="20"/>
          <w:lang w:val="en-US"/>
        </w:rPr>
        <w:t xml:space="preserve"> et al. (2026) established that the overall water quality, as assessed by the WQI, typically resided within the moderate to good classification, notwithstanding the presence of localized pollution hotspots linked to anthropogenic activities.</w:t>
      </w:r>
      <w:r w:rsidR="00DA3361" w:rsidRPr="00623C5B">
        <w:rPr>
          <w:rFonts w:ascii="Arial" w:hAnsi="Arial" w:cs="Arial"/>
          <w:color w:val="000000" w:themeColor="text1"/>
          <w:sz w:val="20"/>
          <w:szCs w:val="20"/>
          <w:lang w:val="en-US"/>
        </w:rPr>
        <w:t xml:space="preserve"> </w:t>
      </w:r>
      <w:r w:rsidR="00DA3361" w:rsidRPr="00623C5B">
        <w:rPr>
          <w:rFonts w:ascii="Arial" w:hAnsi="Arial" w:cs="Arial"/>
          <w:color w:val="000000" w:themeColor="text1"/>
          <w:sz w:val="20"/>
          <w:szCs w:val="20"/>
        </w:rPr>
        <w:t>However, most previous studies in Can Gio mainly focused on physicochemical description or composite indices, whereas fewer studies have emphasized the combined interpretation of organic pollution, microbial indicators, and dissolved oxygen conditions. This remains an important gap because water quality management based only on individual parameters or WQI may not adequately explain possible pollution sources and mechanisms of degradation in estuarine environments.</w:t>
      </w:r>
    </w:p>
    <w:p w14:paraId="453CBA4B" w14:textId="780A448A" w:rsidR="00DA3361" w:rsidRPr="00623C5B" w:rsidRDefault="00DA3361"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Therefore, the present study conducts a secondary analysis of previously published monitoring data from the Can Gio estuary to assess seasonal and spatial variation in selected physicochemical and microbiological parameters, including DO,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COD, NH</w:t>
      </w:r>
      <w:r w:rsidRPr="00623C5B">
        <w:rPr>
          <w:rFonts w:ascii="Cambria Math" w:hAnsi="Cambria Math" w:cs="Cambria Math"/>
          <w:color w:val="000000" w:themeColor="text1"/>
          <w:sz w:val="20"/>
          <w:szCs w:val="20"/>
        </w:rPr>
        <w:t>₄⁺</w:t>
      </w:r>
      <w:r w:rsidRPr="00623C5B">
        <w:rPr>
          <w:rFonts w:ascii="Arial" w:hAnsi="Arial" w:cs="Arial"/>
          <w:color w:val="000000" w:themeColor="text1"/>
          <w:sz w:val="20"/>
          <w:szCs w:val="20"/>
        </w:rPr>
        <w:t>, NO</w:t>
      </w:r>
      <w:r w:rsidRPr="00623C5B">
        <w:rPr>
          <w:rFonts w:ascii="Cambria Math" w:hAnsi="Cambria Math" w:cs="Cambria Math"/>
          <w:color w:val="000000" w:themeColor="text1"/>
          <w:sz w:val="20"/>
          <w:szCs w:val="20"/>
        </w:rPr>
        <w:t>₂⁻</w:t>
      </w:r>
      <w:r w:rsidRPr="00623C5B">
        <w:rPr>
          <w:rFonts w:ascii="Arial" w:hAnsi="Arial" w:cs="Arial"/>
          <w:color w:val="000000" w:themeColor="text1"/>
          <w:sz w:val="20"/>
          <w:szCs w:val="20"/>
        </w:rPr>
        <w:t>, PO</w:t>
      </w:r>
      <w:r w:rsidRPr="00623C5B">
        <w:rPr>
          <w:rFonts w:ascii="Cambria Math" w:hAnsi="Cambria Math" w:cs="Cambria Math"/>
          <w:color w:val="000000" w:themeColor="text1"/>
          <w:sz w:val="20"/>
          <w:szCs w:val="20"/>
        </w:rPr>
        <w:t>₄</w:t>
      </w:r>
      <w:r w:rsidRPr="00623C5B">
        <w:rPr>
          <w:rFonts w:ascii="Arial" w:hAnsi="Arial" w:cs="Arial"/>
          <w:color w:val="000000" w:themeColor="text1"/>
          <w:sz w:val="20"/>
          <w:szCs w:val="20"/>
        </w:rPr>
        <w:t>³</w:t>
      </w:r>
      <w:r w:rsidRPr="00623C5B">
        <w:rPr>
          <w:rFonts w:ascii="Cambria Math" w:hAnsi="Cambria Math" w:cs="Cambria Math"/>
          <w:color w:val="000000" w:themeColor="text1"/>
          <w:sz w:val="20"/>
          <w:szCs w:val="20"/>
        </w:rPr>
        <w:t>⁻</w:t>
      </w:r>
      <w:r w:rsidRPr="00623C5B">
        <w:rPr>
          <w:rFonts w:ascii="Arial" w:hAnsi="Arial" w:cs="Arial"/>
          <w:color w:val="000000" w:themeColor="text1"/>
          <w:sz w:val="20"/>
          <w:szCs w:val="20"/>
        </w:rPr>
        <w:t>, total coliform, and Escherichia coli, and to discuss their implications for surface water quality. Unlike previous studies that mainly described seasonal physicochemical variation or WQI patterns, this study focuses on the integrated assessment of organic pollution, microbial indicators, and dissolved oxygen conditions in the Can Gio estuary. The findings are expected to support water quality monitoring and management in tropical mangrove estuaries affected by both natural processes and human activities.</w:t>
      </w:r>
    </w:p>
    <w:p w14:paraId="27D80B61" w14:textId="14088B39" w:rsidR="00EC26F6" w:rsidRPr="00623C5B" w:rsidRDefault="00EC26F6"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2. METHODOLOGY</w:t>
      </w:r>
    </w:p>
    <w:p w14:paraId="6CF80682" w14:textId="77777777" w:rsidR="00CE2D07" w:rsidRPr="00623C5B" w:rsidRDefault="00CE2D07"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lang w:val="en-US"/>
        </w:rPr>
        <w:t>2.1. Study area and data source</w:t>
      </w:r>
    </w:p>
    <w:p w14:paraId="11E64C40" w14:textId="052F2124" w:rsidR="00512992" w:rsidRPr="00623C5B" w:rsidRDefault="00CE2D07" w:rsidP="00B17F16">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This study was conducted for the Can </w:t>
      </w:r>
      <w:proofErr w:type="spellStart"/>
      <w:r w:rsidRPr="00623C5B">
        <w:rPr>
          <w:rFonts w:ascii="Arial" w:hAnsi="Arial" w:cs="Arial"/>
          <w:color w:val="000000" w:themeColor="text1"/>
          <w:sz w:val="20"/>
          <w:szCs w:val="20"/>
          <w:lang w:val="en-US"/>
        </w:rPr>
        <w:t>Gio</w:t>
      </w:r>
      <w:proofErr w:type="spellEnd"/>
      <w:r w:rsidRPr="00623C5B">
        <w:rPr>
          <w:rFonts w:ascii="Arial" w:hAnsi="Arial" w:cs="Arial"/>
          <w:color w:val="000000" w:themeColor="text1"/>
          <w:sz w:val="20"/>
          <w:szCs w:val="20"/>
          <w:lang w:val="en-US"/>
        </w:rPr>
        <w:t xml:space="preserve"> estuary, Ho Chi Minh City, Vietnam.</w:t>
      </w:r>
      <w:r w:rsidR="00B17F16" w:rsidRPr="00623C5B">
        <w:rPr>
          <w:rFonts w:ascii="Arial" w:hAnsi="Arial" w:cs="Arial"/>
          <w:color w:val="000000" w:themeColor="text1"/>
          <w:sz w:val="20"/>
          <w:szCs w:val="20"/>
          <w:lang w:val="en-US"/>
        </w:rPr>
        <w:t xml:space="preserve"> </w:t>
      </w:r>
      <w:r w:rsidR="00B17F16" w:rsidRPr="00623C5B">
        <w:rPr>
          <w:rFonts w:ascii="Arial" w:hAnsi="Arial" w:cs="Arial"/>
          <w:color w:val="000000" w:themeColor="text1"/>
          <w:sz w:val="20"/>
          <w:szCs w:val="20"/>
        </w:rPr>
        <w:t>It is a secondary analysis of previously published surface water quality monitoring data. The dataset was derived from Thai (2023) and the subsequent analyses reported by Trung et al. (2025, 2026)</w:t>
      </w:r>
      <w:r w:rsidR="00B17F16" w:rsidRPr="00623C5B">
        <w:rPr>
          <w:rFonts w:ascii="Arial" w:hAnsi="Arial" w:cs="Arial"/>
          <w:color w:val="000000" w:themeColor="text1"/>
          <w:sz w:val="20"/>
          <w:szCs w:val="20"/>
          <w:lang w:val="en-US"/>
        </w:rPr>
        <w:t>.</w:t>
      </w:r>
      <w:r w:rsidRPr="00623C5B">
        <w:rPr>
          <w:rFonts w:ascii="Arial" w:hAnsi="Arial" w:cs="Arial"/>
          <w:color w:val="000000" w:themeColor="text1"/>
          <w:sz w:val="20"/>
          <w:szCs w:val="20"/>
          <w:lang w:val="en-US"/>
        </w:rPr>
        <w:t xml:space="preserve"> </w:t>
      </w:r>
      <w:r w:rsidR="00391FBC" w:rsidRPr="00623C5B">
        <w:rPr>
          <w:rFonts w:ascii="Arial" w:hAnsi="Arial" w:cs="Arial"/>
          <w:color w:val="000000" w:themeColor="text1"/>
          <w:sz w:val="20"/>
          <w:szCs w:val="20"/>
          <w:lang w:val="en-US"/>
        </w:rPr>
        <w:t xml:space="preserve">The dataset </w:t>
      </w:r>
      <w:r w:rsidR="00B17F16" w:rsidRPr="00623C5B">
        <w:rPr>
          <w:rFonts w:ascii="Arial" w:hAnsi="Arial" w:cs="Arial"/>
          <w:color w:val="000000" w:themeColor="text1"/>
          <w:sz w:val="20"/>
          <w:szCs w:val="20"/>
        </w:rPr>
        <w:t>included measurements from 14</w:t>
      </w:r>
      <w:r w:rsidR="00B17F16" w:rsidRPr="00623C5B">
        <w:rPr>
          <w:rFonts w:ascii="Arial" w:hAnsi="Arial" w:cs="Arial"/>
          <w:color w:val="000000" w:themeColor="text1"/>
          <w:sz w:val="20"/>
          <w:szCs w:val="20"/>
          <w:lang w:val="en-US"/>
        </w:rPr>
        <w:t xml:space="preserve"> </w:t>
      </w:r>
      <w:r w:rsidR="00391FBC" w:rsidRPr="00623C5B">
        <w:rPr>
          <w:rFonts w:ascii="Arial" w:hAnsi="Arial" w:cs="Arial"/>
          <w:color w:val="000000" w:themeColor="text1"/>
          <w:sz w:val="20"/>
          <w:szCs w:val="20"/>
          <w:lang w:val="en-US"/>
        </w:rPr>
        <w:t>sampling sites (CG1-CG14). These sites were sampled in March 2023, during the dry season, and again in September 2023, during the rainy season</w:t>
      </w:r>
      <w:r w:rsidRPr="00623C5B">
        <w:rPr>
          <w:rFonts w:ascii="Arial" w:hAnsi="Arial" w:cs="Arial"/>
          <w:color w:val="000000" w:themeColor="text1"/>
          <w:sz w:val="20"/>
          <w:szCs w:val="20"/>
          <w:lang w:val="en-US"/>
        </w:rPr>
        <w:t>. These sites represent different environmental settings, including river mouths and aquaculture-affected areas</w:t>
      </w:r>
      <w:r w:rsidR="00525526" w:rsidRPr="00623C5B">
        <w:rPr>
          <w:rFonts w:ascii="Arial" w:hAnsi="Arial" w:cs="Arial"/>
          <w:color w:val="000000" w:themeColor="text1"/>
          <w:sz w:val="20"/>
          <w:szCs w:val="20"/>
        </w:rPr>
        <w:t xml:space="preserve"> </w:t>
      </w:r>
      <w:r w:rsidR="00512992" w:rsidRPr="00623C5B">
        <w:rPr>
          <w:rFonts w:ascii="Arial" w:hAnsi="Arial" w:cs="Arial"/>
          <w:color w:val="000000" w:themeColor="text1"/>
          <w:sz w:val="20"/>
          <w:szCs w:val="20"/>
        </w:rPr>
        <w:t>(Figure 1)</w:t>
      </w:r>
      <w:r w:rsidR="00B17F16" w:rsidRPr="00623C5B">
        <w:rPr>
          <w:rFonts w:ascii="Arial" w:hAnsi="Arial" w:cs="Arial"/>
          <w:color w:val="000000" w:themeColor="text1"/>
          <w:sz w:val="20"/>
          <w:szCs w:val="20"/>
          <w:lang w:val="en-US"/>
        </w:rPr>
        <w:t xml:space="preserve"> </w:t>
      </w:r>
      <w:r w:rsidR="00B17F16" w:rsidRPr="00623C5B">
        <w:rPr>
          <w:rFonts w:ascii="Arial" w:hAnsi="Arial" w:cs="Arial"/>
          <w:color w:val="000000" w:themeColor="text1"/>
          <w:sz w:val="20"/>
          <w:szCs w:val="20"/>
        </w:rPr>
        <w:t>in the Can Gio estuarine system</w:t>
      </w:r>
      <w:r w:rsidR="00512992" w:rsidRPr="00623C5B">
        <w:rPr>
          <w:rFonts w:ascii="Arial" w:hAnsi="Arial" w:cs="Arial"/>
          <w:color w:val="000000" w:themeColor="text1"/>
          <w:sz w:val="20"/>
          <w:szCs w:val="20"/>
        </w:rPr>
        <w:t xml:space="preserve"> (Thai, 2023).</w:t>
      </w:r>
    </w:p>
    <w:p w14:paraId="78A85348" w14:textId="77777777" w:rsidR="00B629FE" w:rsidRPr="00623C5B" w:rsidRDefault="00B629FE" w:rsidP="00B629FE">
      <w:pPr>
        <w:ind w:firstLine="0"/>
        <w:rPr>
          <w:rFonts w:ascii="Arial" w:hAnsi="Arial" w:cs="Arial"/>
          <w:color w:val="000000" w:themeColor="text1"/>
          <w:sz w:val="20"/>
          <w:szCs w:val="20"/>
          <w:lang w:val="en-US"/>
        </w:rPr>
      </w:pPr>
      <w:r w:rsidRPr="00623C5B">
        <w:rPr>
          <w:rFonts w:ascii="Arial" w:hAnsi="Arial" w:cs="Arial"/>
          <w:noProof/>
          <w:color w:val="000000" w:themeColor="text1"/>
          <w:sz w:val="20"/>
          <w:szCs w:val="20"/>
        </w:rPr>
        <w:lastRenderedPageBreak/>
        <w:drawing>
          <wp:inline distT="0" distB="0" distL="0" distR="0" wp14:anchorId="6A1C9D4E" wp14:editId="0460EE2A">
            <wp:extent cx="5711631" cy="3337810"/>
            <wp:effectExtent l="0" t="0" r="3810" b="0"/>
            <wp:docPr id="1274147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65" cy="3362433"/>
                    </a:xfrm>
                    <a:prstGeom prst="rect">
                      <a:avLst/>
                    </a:prstGeom>
                    <a:noFill/>
                    <a:ln>
                      <a:noFill/>
                    </a:ln>
                  </pic:spPr>
                </pic:pic>
              </a:graphicData>
            </a:graphic>
          </wp:inline>
        </w:drawing>
      </w:r>
    </w:p>
    <w:p w14:paraId="6C8FF7A6" w14:textId="1C220AAB" w:rsidR="00B629FE" w:rsidRPr="00623C5B" w:rsidRDefault="00B629FE" w:rsidP="008E7CFA">
      <w:pPr>
        <w:spacing w:line="240" w:lineRule="auto"/>
        <w:jc w:val="center"/>
        <w:rPr>
          <w:rFonts w:ascii="Arial" w:hAnsi="Arial" w:cs="Arial"/>
          <w:color w:val="000000" w:themeColor="text1"/>
          <w:sz w:val="20"/>
          <w:szCs w:val="20"/>
          <w:lang w:val="en-US"/>
        </w:rPr>
      </w:pPr>
      <w:r w:rsidRPr="00623C5B">
        <w:rPr>
          <w:rFonts w:ascii="Arial" w:hAnsi="Arial" w:cs="Arial"/>
          <w:b/>
          <w:bCs/>
          <w:color w:val="000000" w:themeColor="text1"/>
          <w:sz w:val="20"/>
          <w:szCs w:val="20"/>
        </w:rPr>
        <w:t xml:space="preserve">Figure 1. </w:t>
      </w:r>
      <w:r w:rsidR="00512992" w:rsidRPr="00623C5B">
        <w:rPr>
          <w:rFonts w:ascii="Arial" w:hAnsi="Arial" w:cs="Arial"/>
          <w:color w:val="000000" w:themeColor="text1"/>
          <w:sz w:val="20"/>
          <w:szCs w:val="20"/>
        </w:rPr>
        <w:t>Sample collection sites (Thai, 2023)</w:t>
      </w:r>
    </w:p>
    <w:p w14:paraId="1E2257FD" w14:textId="77777777" w:rsidR="00CE2D07" w:rsidRPr="00623C5B" w:rsidRDefault="00CE2D07"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lang w:val="en-US"/>
        </w:rPr>
        <w:t>2.2. Original analytical procedures and data analysis</w:t>
      </w:r>
    </w:p>
    <w:p w14:paraId="41AADE32" w14:textId="77777777" w:rsidR="00735A7B" w:rsidRPr="00623C5B" w:rsidRDefault="0029465A"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The original sampling and analytical methods were described in detail in the source studies (Thai, 2023; </w:t>
      </w:r>
      <w:proofErr w:type="spellStart"/>
      <w:r w:rsidRPr="00623C5B">
        <w:rPr>
          <w:rFonts w:ascii="Arial" w:hAnsi="Arial" w:cs="Arial"/>
          <w:color w:val="000000" w:themeColor="text1"/>
          <w:sz w:val="20"/>
          <w:szCs w:val="20"/>
          <w:lang w:val="en-US"/>
        </w:rPr>
        <w:t>Trung</w:t>
      </w:r>
      <w:proofErr w:type="spellEnd"/>
      <w:r w:rsidRPr="00623C5B">
        <w:rPr>
          <w:rFonts w:ascii="Arial" w:hAnsi="Arial" w:cs="Arial"/>
          <w:color w:val="000000" w:themeColor="text1"/>
          <w:sz w:val="20"/>
          <w:szCs w:val="20"/>
          <w:lang w:val="en-US"/>
        </w:rPr>
        <w:t xml:space="preserve"> et al., 2025, 2026). </w:t>
      </w:r>
      <w:r w:rsidR="00BA3758" w:rsidRPr="00623C5B">
        <w:rPr>
          <w:rFonts w:ascii="Arial" w:hAnsi="Arial" w:cs="Arial"/>
          <w:color w:val="000000" w:themeColor="text1"/>
          <w:sz w:val="20"/>
          <w:szCs w:val="20"/>
        </w:rPr>
        <w:t>Thai (2023) was the original project report from which the sampling framework and primary monitoring data were obtained, while Trung et al. (2025, 2026) reported previous physicochemical and WQI-based analyses using the same monitoring program.</w:t>
      </w:r>
      <w:r w:rsidR="00BA3758"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lang w:val="en-US"/>
        </w:rPr>
        <w:t xml:space="preserve">Water quality assessment followed the guidelines of QCVN 08:2023/BTNMT and QCVN 10:2023/BTNMT (MONRE, 2023a, 2023b). DO and pH levels were measured using a HI98198 meter (Hanna Instrument, Romania), while turbidity and salinity were measured using an Orion instrument (USA). </w:t>
      </w:r>
      <w:r w:rsidR="00391FBC" w:rsidRPr="00623C5B">
        <w:rPr>
          <w:rFonts w:ascii="Arial" w:hAnsi="Arial" w:cs="Arial"/>
          <w:color w:val="000000" w:themeColor="text1"/>
          <w:sz w:val="20"/>
          <w:szCs w:val="20"/>
          <w:lang w:val="en-US"/>
        </w:rPr>
        <w:t>Furthermore, concentrations of COD, BOD</w:t>
      </w:r>
      <w:r w:rsidR="00391FBC" w:rsidRPr="00623C5B">
        <w:rPr>
          <w:rFonts w:ascii="Cambria Math" w:hAnsi="Cambria Math" w:cs="Cambria Math"/>
          <w:color w:val="000000" w:themeColor="text1"/>
          <w:sz w:val="20"/>
          <w:szCs w:val="20"/>
          <w:lang w:val="en-US"/>
        </w:rPr>
        <w:t>₅</w:t>
      </w:r>
      <w:r w:rsidR="00391FBC" w:rsidRPr="00623C5B">
        <w:rPr>
          <w:rFonts w:ascii="Arial" w:hAnsi="Arial" w:cs="Arial"/>
          <w:color w:val="000000" w:themeColor="text1"/>
          <w:sz w:val="20"/>
          <w:szCs w:val="20"/>
          <w:lang w:val="en-US"/>
        </w:rPr>
        <w:t>, TSS, ammonia, nitrite, and phosphate were analyzed according to the Standard Methods for the Examination of Water and Wastewater (APHA, 2005). The results for each parameter were based on three separate measurements.</w:t>
      </w:r>
    </w:p>
    <w:p w14:paraId="4B5337C5" w14:textId="76642FF6" w:rsidR="00735A7B" w:rsidRPr="00623C5B" w:rsidRDefault="00735A7B"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In the present study, the published numerical data were reorganized and interpreted using descriptive statistics and graphical methods to compare the seasonal and spatial variation of DO,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rPr>
        <w:t>, COD, NH</w:t>
      </w:r>
      <w:r w:rsidRPr="00623C5B">
        <w:rPr>
          <w:rFonts w:ascii="Arial" w:hAnsi="Arial" w:cs="Arial"/>
          <w:color w:val="000000" w:themeColor="text1"/>
          <w:sz w:val="20"/>
          <w:szCs w:val="20"/>
          <w:vertAlign w:val="subscript"/>
          <w:lang w:val="en-US"/>
        </w:rPr>
        <w:t>4</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rPr>
        <w:t>, NO</w:t>
      </w:r>
      <w:r w:rsidRPr="00623C5B">
        <w:rPr>
          <w:rFonts w:ascii="Arial" w:hAnsi="Arial" w:cs="Arial"/>
          <w:color w:val="000000" w:themeColor="text1"/>
          <w:sz w:val="20"/>
          <w:szCs w:val="20"/>
          <w:vertAlign w:val="subscript"/>
          <w:lang w:val="en-US"/>
        </w:rPr>
        <w:t>2</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rPr>
        <w:t>, PO</w:t>
      </w:r>
      <w:r w:rsidRPr="00623C5B">
        <w:rPr>
          <w:rFonts w:ascii="Arial" w:hAnsi="Arial" w:cs="Arial"/>
          <w:color w:val="000000" w:themeColor="text1"/>
          <w:sz w:val="20"/>
          <w:szCs w:val="20"/>
          <w:vertAlign w:val="subscript"/>
          <w:lang w:val="en-US"/>
        </w:rPr>
        <w:t>4</w:t>
      </w:r>
      <w:r w:rsidRPr="00623C5B">
        <w:rPr>
          <w:rFonts w:ascii="Arial" w:hAnsi="Arial" w:cs="Arial"/>
          <w:color w:val="000000" w:themeColor="text1"/>
          <w:sz w:val="20"/>
          <w:szCs w:val="20"/>
          <w:vertAlign w:val="superscript"/>
          <w:lang w:val="en-US"/>
        </w:rPr>
        <w:t>3-</w:t>
      </w:r>
      <w:r w:rsidRPr="00623C5B">
        <w:rPr>
          <w:rFonts w:ascii="Arial" w:hAnsi="Arial" w:cs="Arial"/>
          <w:color w:val="000000" w:themeColor="text1"/>
          <w:sz w:val="20"/>
          <w:szCs w:val="20"/>
        </w:rPr>
        <w:t xml:space="preserve">, total coliform, and </w:t>
      </w:r>
      <w:r w:rsidRPr="00623C5B">
        <w:rPr>
          <w:rFonts w:ascii="Arial" w:hAnsi="Arial" w:cs="Arial"/>
          <w:i/>
          <w:iCs/>
          <w:color w:val="000000" w:themeColor="text1"/>
          <w:sz w:val="20"/>
          <w:szCs w:val="20"/>
        </w:rPr>
        <w:t>E. coli.</w:t>
      </w:r>
      <w:r w:rsidRPr="00623C5B">
        <w:rPr>
          <w:rFonts w:ascii="Arial" w:hAnsi="Arial" w:cs="Arial"/>
          <w:color w:val="000000" w:themeColor="text1"/>
          <w:sz w:val="20"/>
          <w:szCs w:val="20"/>
        </w:rPr>
        <w:t xml:space="preserve"> In addition, a simple linear regression was used to examine the pattern between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rPr>
        <w:t xml:space="preserve"> and DO for descriptive interpretation only. No new field sampling or laboratory analysis was conducted in this study</w:t>
      </w:r>
      <w:r w:rsidRPr="00623C5B">
        <w:rPr>
          <w:rFonts w:ascii="Arial" w:hAnsi="Arial" w:cs="Arial"/>
          <w:color w:val="000000" w:themeColor="text1"/>
          <w:sz w:val="20"/>
          <w:szCs w:val="20"/>
          <w:lang w:val="en-US"/>
        </w:rPr>
        <w:t>.</w:t>
      </w:r>
    </w:p>
    <w:p w14:paraId="6537D1E0" w14:textId="16AC3EEE" w:rsidR="00A0492B" w:rsidRPr="00623C5B" w:rsidRDefault="00A0492B"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3. RESULTS AND DISCUSSION</w:t>
      </w:r>
    </w:p>
    <w:p w14:paraId="297B7716" w14:textId="77777777" w:rsidR="00A0492B" w:rsidRPr="00623C5B" w:rsidRDefault="00A0492B"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3.1. Seasonal fluctuations of water quality parameters</w:t>
      </w:r>
    </w:p>
    <w:p w14:paraId="1742233C" w14:textId="615DD0FF" w:rsidR="00501633" w:rsidRPr="00623C5B" w:rsidRDefault="00501633" w:rsidP="00EC046D">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The </w:t>
      </w:r>
      <w:r w:rsidRPr="00623C5B">
        <w:rPr>
          <w:rFonts w:ascii="Arial" w:hAnsi="Arial" w:cs="Arial"/>
          <w:color w:val="000000" w:themeColor="text1"/>
          <w:sz w:val="20"/>
          <w:szCs w:val="20"/>
          <w:lang w:val="en-US"/>
        </w:rPr>
        <w:t>results</w:t>
      </w:r>
      <w:r w:rsidRPr="00623C5B">
        <w:rPr>
          <w:rFonts w:ascii="Arial" w:hAnsi="Arial" w:cs="Arial"/>
          <w:color w:val="000000" w:themeColor="text1"/>
          <w:sz w:val="20"/>
          <w:szCs w:val="20"/>
        </w:rPr>
        <w:t xml:space="preserve"> in Figure 2 show that the surface water quality at the Can Gio estuary </w:t>
      </w:r>
      <w:r w:rsidR="00100FBF" w:rsidRPr="00623C5B">
        <w:rPr>
          <w:rFonts w:ascii="Arial" w:hAnsi="Arial" w:cs="Arial"/>
          <w:color w:val="000000" w:themeColor="text1"/>
          <w:sz w:val="20"/>
          <w:szCs w:val="20"/>
        </w:rPr>
        <w:t>varies clearly between seasons</w:t>
      </w:r>
      <w:r w:rsidRPr="00623C5B">
        <w:rPr>
          <w:rFonts w:ascii="Arial" w:hAnsi="Arial" w:cs="Arial"/>
          <w:color w:val="000000" w:themeColor="text1"/>
          <w:sz w:val="20"/>
          <w:szCs w:val="20"/>
        </w:rPr>
        <w:t>: DO tends to be slightly higher in the rainy season, while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and COD</w:t>
      </w:r>
      <w:r w:rsidR="00EC046D" w:rsidRPr="00623C5B">
        <w:rPr>
          <w:rFonts w:ascii="Arial" w:hAnsi="Arial" w:cs="Arial"/>
          <w:color w:val="000000" w:themeColor="text1"/>
          <w:sz w:val="20"/>
          <w:szCs w:val="20"/>
          <w:lang w:val="en-US"/>
        </w:rPr>
        <w:t xml:space="preserve"> </w:t>
      </w:r>
      <w:r w:rsidR="00EC046D" w:rsidRPr="00623C5B">
        <w:rPr>
          <w:rFonts w:ascii="Arial" w:hAnsi="Arial" w:cs="Arial"/>
          <w:color w:val="000000" w:themeColor="text1"/>
          <w:sz w:val="20"/>
          <w:szCs w:val="20"/>
        </w:rPr>
        <w:t>were generally higher</w:t>
      </w:r>
      <w:r w:rsidR="00EC046D"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rPr>
        <w:t>in the dry season. This pattern is consistent with previous research on the same dataset, in which COD and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were both significantly higher during the dry season, averaging 51.2 and 29.6 mg of O</w:t>
      </w:r>
      <w:r w:rsidRPr="00623C5B">
        <w:rPr>
          <w:rFonts w:ascii="Cambria Math" w:hAnsi="Cambria Math" w:cs="Cambria Math"/>
          <w:color w:val="000000" w:themeColor="text1"/>
          <w:sz w:val="20"/>
          <w:szCs w:val="20"/>
        </w:rPr>
        <w:t>₂</w:t>
      </w:r>
      <w:r w:rsidR="00F43786" w:rsidRPr="00623C5B">
        <w:rPr>
          <w:rFonts w:ascii="Arial" w:hAnsi="Arial" w:cs="Arial"/>
          <w:color w:val="000000" w:themeColor="text1"/>
          <w:sz w:val="20"/>
          <w:szCs w:val="20"/>
        </w:rPr>
        <w:t xml:space="preserve"> L</w:t>
      </w:r>
      <w:r w:rsidR="00F43786" w:rsidRPr="00623C5B">
        <w:rPr>
          <w:rFonts w:ascii="Arial" w:hAnsi="Arial" w:cs="Arial"/>
          <w:color w:val="000000" w:themeColor="text1"/>
          <w:sz w:val="20"/>
          <w:szCs w:val="20"/>
          <w:vertAlign w:val="superscript"/>
        </w:rPr>
        <w:t>-1</w:t>
      </w:r>
      <w:r w:rsidRPr="00623C5B">
        <w:rPr>
          <w:rFonts w:ascii="Arial" w:hAnsi="Arial" w:cs="Arial"/>
          <w:color w:val="000000" w:themeColor="text1"/>
          <w:sz w:val="20"/>
          <w:szCs w:val="20"/>
        </w:rPr>
        <w:t>, respectively, compared to 42.7 and 23.7 mg of O</w:t>
      </w:r>
      <w:r w:rsidRPr="00623C5B">
        <w:rPr>
          <w:rFonts w:ascii="Cambria Math" w:hAnsi="Cambria Math" w:cs="Cambria Math"/>
          <w:color w:val="000000" w:themeColor="text1"/>
          <w:sz w:val="20"/>
          <w:szCs w:val="20"/>
        </w:rPr>
        <w:t>₂</w:t>
      </w:r>
      <w:r w:rsidR="00F43786" w:rsidRPr="00623C5B">
        <w:rPr>
          <w:rFonts w:ascii="Arial" w:hAnsi="Arial" w:cs="Arial"/>
          <w:color w:val="000000" w:themeColor="text1"/>
          <w:sz w:val="20"/>
          <w:szCs w:val="20"/>
          <w:vertAlign w:val="superscript"/>
        </w:rPr>
        <w:t xml:space="preserve"> </w:t>
      </w:r>
      <w:r w:rsidR="00F43786" w:rsidRPr="00623C5B">
        <w:rPr>
          <w:rFonts w:ascii="Arial" w:hAnsi="Arial" w:cs="Arial"/>
          <w:color w:val="000000" w:themeColor="text1"/>
          <w:sz w:val="20"/>
          <w:szCs w:val="20"/>
        </w:rPr>
        <w:t>L</w:t>
      </w:r>
      <w:r w:rsidR="00F43786" w:rsidRPr="00623C5B">
        <w:rPr>
          <w:rFonts w:ascii="Arial" w:hAnsi="Arial" w:cs="Arial"/>
          <w:color w:val="000000" w:themeColor="text1"/>
          <w:sz w:val="20"/>
          <w:szCs w:val="20"/>
          <w:vertAlign w:val="superscript"/>
        </w:rPr>
        <w:t>-1</w:t>
      </w:r>
      <w:r w:rsidRPr="00623C5B">
        <w:rPr>
          <w:rFonts w:ascii="Arial" w:hAnsi="Arial" w:cs="Arial"/>
          <w:color w:val="000000" w:themeColor="text1"/>
          <w:sz w:val="20"/>
          <w:szCs w:val="20"/>
        </w:rPr>
        <w:t xml:space="preserve"> in the rainy season; and most of the parameters had statistically significant seasonal differences</w:t>
      </w:r>
      <w:r w:rsidR="00EC046D" w:rsidRPr="00623C5B">
        <w:rPr>
          <w:rFonts w:ascii="Arial" w:hAnsi="Arial" w:cs="Arial"/>
          <w:color w:val="000000" w:themeColor="text1"/>
          <w:sz w:val="20"/>
          <w:szCs w:val="20"/>
          <w:lang w:val="en-US"/>
        </w:rPr>
        <w:t xml:space="preserve"> (</w:t>
      </w:r>
      <w:proofErr w:type="spellStart"/>
      <w:r w:rsidR="00EC046D" w:rsidRPr="00623C5B">
        <w:rPr>
          <w:rFonts w:ascii="Arial" w:hAnsi="Arial" w:cs="Arial"/>
          <w:color w:val="000000" w:themeColor="text1"/>
          <w:sz w:val="20"/>
          <w:szCs w:val="20"/>
          <w:lang w:val="en-US"/>
        </w:rPr>
        <w:t>Trung</w:t>
      </w:r>
      <w:proofErr w:type="spellEnd"/>
      <w:r w:rsidR="00EC046D" w:rsidRPr="00623C5B">
        <w:rPr>
          <w:rFonts w:ascii="Arial" w:hAnsi="Arial" w:cs="Arial"/>
          <w:color w:val="000000" w:themeColor="text1"/>
          <w:sz w:val="20"/>
          <w:szCs w:val="20"/>
          <w:lang w:val="en-US"/>
        </w:rPr>
        <w:t xml:space="preserve"> et al., 2025)</w:t>
      </w:r>
      <w:r w:rsidRPr="00623C5B">
        <w:rPr>
          <w:rFonts w:ascii="Arial" w:hAnsi="Arial" w:cs="Arial"/>
          <w:color w:val="000000" w:themeColor="text1"/>
          <w:sz w:val="20"/>
          <w:szCs w:val="20"/>
        </w:rPr>
        <w:t xml:space="preserve">. </w:t>
      </w:r>
      <w:r w:rsidR="00EC046D" w:rsidRPr="00623C5B">
        <w:rPr>
          <w:rFonts w:ascii="Arial" w:hAnsi="Arial" w:cs="Arial"/>
          <w:color w:val="000000" w:themeColor="text1"/>
          <w:sz w:val="20"/>
          <w:szCs w:val="20"/>
        </w:rPr>
        <w:t>These results suggest that the dry season may be more favorable for organic load accumulation because of reduced flow, longer water residence time, and lower dilution capacity</w:t>
      </w:r>
      <w:r w:rsidRPr="00623C5B">
        <w:rPr>
          <w:rFonts w:ascii="Arial" w:hAnsi="Arial" w:cs="Arial"/>
          <w:color w:val="000000" w:themeColor="text1"/>
          <w:sz w:val="20"/>
          <w:szCs w:val="20"/>
        </w:rPr>
        <w:t xml:space="preserve">. </w:t>
      </w:r>
      <w:r w:rsidR="00391FBC" w:rsidRPr="00623C5B">
        <w:rPr>
          <w:rFonts w:ascii="Arial" w:hAnsi="Arial" w:cs="Arial"/>
          <w:color w:val="000000" w:themeColor="text1"/>
          <w:sz w:val="20"/>
          <w:szCs w:val="20"/>
        </w:rPr>
        <w:t>Similar patterns have been observed in other mangrove estuarine environments. During the rainy season or monsoon, water quality usually improves because of increased dilution, better mixing, and more water exchange. However, the degree of this improvement depends significantly on the interaction of hydrology, tidal patterns, and water flow from the surrounding area</w:t>
      </w:r>
      <w:r w:rsidRPr="00623C5B">
        <w:rPr>
          <w:rFonts w:ascii="Arial" w:hAnsi="Arial" w:cs="Arial"/>
          <w:color w:val="000000" w:themeColor="text1"/>
          <w:sz w:val="20"/>
          <w:szCs w:val="20"/>
        </w:rPr>
        <w:t xml:space="preserve"> </w:t>
      </w:r>
      <w:r w:rsidR="00C97255" w:rsidRPr="00623C5B">
        <w:rPr>
          <w:rFonts w:ascii="Arial" w:hAnsi="Arial" w:cs="Arial"/>
          <w:color w:val="000000" w:themeColor="text1"/>
          <w:sz w:val="20"/>
          <w:szCs w:val="20"/>
        </w:rPr>
        <w:t>(Mondal et al., 2024).</w:t>
      </w:r>
    </w:p>
    <w:p w14:paraId="24C028A3" w14:textId="2747BF60" w:rsidR="00E429A8" w:rsidRPr="00623C5B" w:rsidRDefault="00E429A8" w:rsidP="008E7CFA">
      <w:pPr>
        <w:spacing w:line="240" w:lineRule="auto"/>
        <w:ind w:firstLine="0"/>
        <w:rPr>
          <w:rFonts w:ascii="Arial" w:hAnsi="Arial" w:cs="Arial"/>
          <w:color w:val="000000" w:themeColor="text1"/>
          <w:sz w:val="20"/>
          <w:szCs w:val="20"/>
          <w:lang w:val="en-US"/>
        </w:rPr>
      </w:pPr>
    </w:p>
    <w:p w14:paraId="1A05BB06" w14:textId="77777777" w:rsidR="00560B98" w:rsidRPr="00623C5B" w:rsidRDefault="00560B98" w:rsidP="007F5B9E">
      <w:pPr>
        <w:spacing w:line="240" w:lineRule="auto"/>
        <w:ind w:firstLine="0"/>
        <w:rPr>
          <w:rFonts w:ascii="Arial" w:hAnsi="Arial" w:cs="Arial"/>
          <w:b/>
          <w:bCs/>
          <w:color w:val="000000" w:themeColor="text1"/>
          <w:sz w:val="20"/>
          <w:szCs w:val="20"/>
          <w:lang w:val="en-US"/>
        </w:rPr>
      </w:pPr>
    </w:p>
    <w:p w14:paraId="21FF6AD8" w14:textId="77777777" w:rsidR="00560B98" w:rsidRPr="00623C5B" w:rsidRDefault="00560B98" w:rsidP="007F5B9E">
      <w:pPr>
        <w:spacing w:line="240" w:lineRule="auto"/>
        <w:ind w:firstLine="0"/>
        <w:rPr>
          <w:rFonts w:ascii="Arial" w:hAnsi="Arial" w:cs="Arial"/>
          <w:b/>
          <w:bCs/>
          <w:color w:val="000000" w:themeColor="text1"/>
          <w:sz w:val="20"/>
          <w:szCs w:val="20"/>
          <w:lang w:val="en-US"/>
        </w:rPr>
      </w:pPr>
    </w:p>
    <w:p w14:paraId="06552066" w14:textId="7874148D" w:rsidR="00560B98" w:rsidRPr="00623C5B" w:rsidRDefault="00560B98" w:rsidP="007F5B9E">
      <w:pPr>
        <w:spacing w:line="240" w:lineRule="auto"/>
        <w:ind w:firstLine="0"/>
        <w:rPr>
          <w:rFonts w:ascii="Arial" w:hAnsi="Arial" w:cs="Arial"/>
          <w:b/>
          <w:bCs/>
          <w:color w:val="000000" w:themeColor="text1"/>
          <w:sz w:val="20"/>
          <w:szCs w:val="20"/>
          <w:lang w:val="en-US"/>
        </w:rPr>
      </w:pPr>
      <w:r w:rsidRPr="00623C5B">
        <w:rPr>
          <w:noProof/>
          <w:color w:val="000000" w:themeColor="text1"/>
        </w:rPr>
        <w:lastRenderedPageBreak/>
        <mc:AlternateContent>
          <mc:Choice Requires="cx1">
            <w:drawing>
              <wp:inline distT="0" distB="0" distL="0" distR="0" wp14:anchorId="1845523F" wp14:editId="1E9A7A04">
                <wp:extent cx="5760720" cy="3632835"/>
                <wp:effectExtent l="0" t="0" r="11430" b="5715"/>
                <wp:docPr id="1719237106" name="Chart 1">
                  <a:extLst xmlns:a="http://schemas.openxmlformats.org/drawingml/2006/main">
                    <a:ext uri="{FF2B5EF4-FFF2-40B4-BE49-F238E27FC236}">
                      <a16:creationId xmlns:a16="http://schemas.microsoft.com/office/drawing/2014/main" id="{2913E706-A196-144E-1D13-39940604003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845523F" wp14:editId="1E9A7A04">
                <wp:extent cx="5760720" cy="3632835"/>
                <wp:effectExtent l="0" t="0" r="11430" b="5715"/>
                <wp:docPr id="1719237106" name="Chart 1">
                  <a:extLst xmlns:a="http://schemas.openxmlformats.org/drawingml/2006/main">
                    <a:ext uri="{FF2B5EF4-FFF2-40B4-BE49-F238E27FC236}">
                      <a16:creationId xmlns:a16="http://schemas.microsoft.com/office/drawing/2014/main" id="{2913E706-A196-144E-1D13-39940604003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19237106" name="Chart 1">
                          <a:extLst>
                            <a:ext uri="{FF2B5EF4-FFF2-40B4-BE49-F238E27FC236}">
                              <a16:creationId xmlns:a16="http://schemas.microsoft.com/office/drawing/2014/main" id="{2913E706-A196-144E-1D13-399406040038}"/>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5760720" cy="3632835"/>
                        </a:xfrm>
                        <a:prstGeom prst="rect">
                          <a:avLst/>
                        </a:prstGeom>
                      </pic:spPr>
                    </pic:pic>
                  </a:graphicData>
                </a:graphic>
              </wp:inline>
            </w:drawing>
          </mc:Fallback>
        </mc:AlternateContent>
      </w:r>
    </w:p>
    <w:p w14:paraId="4C94AF2E" w14:textId="5EB2A447" w:rsidR="00900203" w:rsidRPr="00623C5B" w:rsidRDefault="00900203" w:rsidP="007F5B9E">
      <w:pPr>
        <w:spacing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rPr>
        <w:t>Figure 2.</w:t>
      </w:r>
      <w:r w:rsidRPr="00623C5B">
        <w:rPr>
          <w:rFonts w:ascii="Arial" w:hAnsi="Arial" w:cs="Arial"/>
          <w:color w:val="000000" w:themeColor="text1"/>
          <w:sz w:val="20"/>
          <w:szCs w:val="20"/>
        </w:rPr>
        <w:t xml:space="preserve"> Seasonal variation of DO,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COD in surface water of the Can Gio estuary, Vietnam. Boxplots show the median, interquartile range, and full data range for dry and rainy seasons, highlighting higher organic pollution and lower dissolved oxygen levels during the dry season.</w:t>
      </w:r>
    </w:p>
    <w:p w14:paraId="11AC6D18" w14:textId="3F17751C" w:rsidR="00552CE4" w:rsidRPr="00623C5B" w:rsidRDefault="00135BF2" w:rsidP="00135BF2">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The seasonal pattern observed in Can Gio is broadly consistent with other surface-water studies in Vietnam, where domestic wastewater, aquaculture, and human activities have been associated with elevated organic and nutrient pollution indicators</w:t>
      </w:r>
      <w:r w:rsidR="009B58D2" w:rsidRPr="00623C5B">
        <w:rPr>
          <w:rFonts w:ascii="Arial" w:hAnsi="Arial" w:cs="Arial"/>
          <w:color w:val="000000" w:themeColor="text1"/>
          <w:sz w:val="20"/>
          <w:szCs w:val="20"/>
        </w:rPr>
        <w:t>. For instance, research undertaken in Dong Thap has identified BOD</w:t>
      </w:r>
      <w:r w:rsidR="00333E94" w:rsidRPr="00623C5B">
        <w:rPr>
          <w:rFonts w:ascii="Cambria Math" w:hAnsi="Cambria Math" w:cs="Cambria Math"/>
          <w:color w:val="000000" w:themeColor="text1"/>
          <w:sz w:val="20"/>
          <w:szCs w:val="20"/>
        </w:rPr>
        <w:t>₅</w:t>
      </w:r>
      <w:r w:rsidR="009B58D2" w:rsidRPr="00623C5B">
        <w:rPr>
          <w:rFonts w:ascii="Arial" w:hAnsi="Arial" w:cs="Arial"/>
          <w:color w:val="000000" w:themeColor="text1"/>
          <w:sz w:val="20"/>
          <w:szCs w:val="20"/>
        </w:rPr>
        <w:t>, COD, NH</w:t>
      </w:r>
      <w:r w:rsidR="009B58D2" w:rsidRPr="00623C5B">
        <w:rPr>
          <w:rFonts w:ascii="Cambria Math" w:hAnsi="Cambria Math" w:cs="Cambria Math"/>
          <w:color w:val="000000" w:themeColor="text1"/>
          <w:sz w:val="20"/>
          <w:szCs w:val="20"/>
        </w:rPr>
        <w:t>₄⁺</w:t>
      </w:r>
      <w:r w:rsidR="009B58D2" w:rsidRPr="00623C5B">
        <w:rPr>
          <w:rFonts w:ascii="Arial" w:hAnsi="Arial" w:cs="Arial"/>
          <w:color w:val="000000" w:themeColor="text1"/>
          <w:sz w:val="20"/>
          <w:szCs w:val="20"/>
        </w:rPr>
        <w:t>, PO</w:t>
      </w:r>
      <w:r w:rsidR="009B58D2" w:rsidRPr="00623C5B">
        <w:rPr>
          <w:rFonts w:ascii="Cambria Math" w:hAnsi="Cambria Math" w:cs="Cambria Math"/>
          <w:color w:val="000000" w:themeColor="text1"/>
          <w:sz w:val="20"/>
          <w:szCs w:val="20"/>
        </w:rPr>
        <w:t>₄</w:t>
      </w:r>
      <w:r w:rsidR="009B58D2" w:rsidRPr="00623C5B">
        <w:rPr>
          <w:rFonts w:ascii="Arial" w:hAnsi="Arial" w:cs="Arial"/>
          <w:color w:val="000000" w:themeColor="text1"/>
          <w:sz w:val="20"/>
          <w:szCs w:val="20"/>
        </w:rPr>
        <w:t>³</w:t>
      </w:r>
      <w:r w:rsidR="009B58D2" w:rsidRPr="00623C5B">
        <w:rPr>
          <w:rFonts w:ascii="Cambria Math" w:hAnsi="Cambria Math" w:cs="Cambria Math"/>
          <w:color w:val="000000" w:themeColor="text1"/>
          <w:sz w:val="20"/>
          <w:szCs w:val="20"/>
        </w:rPr>
        <w:t>⁻</w:t>
      </w:r>
      <w:r w:rsidR="009B58D2" w:rsidRPr="00623C5B">
        <w:rPr>
          <w:rFonts w:ascii="Arial" w:hAnsi="Arial" w:cs="Arial"/>
          <w:color w:val="000000" w:themeColor="text1"/>
          <w:sz w:val="20"/>
          <w:szCs w:val="20"/>
        </w:rPr>
        <w:t xml:space="preserve">, </w:t>
      </w:r>
      <w:r w:rsidR="009B58D2" w:rsidRPr="00623C5B">
        <w:rPr>
          <w:rFonts w:ascii="Arial" w:hAnsi="Arial" w:cs="Arial"/>
          <w:color w:val="000000" w:themeColor="text1"/>
          <w:sz w:val="20"/>
          <w:szCs w:val="20"/>
          <w:lang w:val="en-US"/>
        </w:rPr>
        <w:t xml:space="preserve">total </w:t>
      </w:r>
      <w:r w:rsidR="005B1663" w:rsidRPr="00623C5B">
        <w:rPr>
          <w:rFonts w:ascii="Arial" w:hAnsi="Arial" w:cs="Arial"/>
          <w:color w:val="000000" w:themeColor="text1"/>
          <w:sz w:val="20"/>
          <w:szCs w:val="20"/>
          <w:lang w:val="en-US"/>
        </w:rPr>
        <w:t>c</w:t>
      </w:r>
      <w:r w:rsidR="009B58D2" w:rsidRPr="00623C5B">
        <w:rPr>
          <w:rFonts w:ascii="Arial" w:hAnsi="Arial" w:cs="Arial"/>
          <w:color w:val="000000" w:themeColor="text1"/>
          <w:sz w:val="20"/>
          <w:szCs w:val="20"/>
        </w:rPr>
        <w:t xml:space="preserve">oliforms, and </w:t>
      </w:r>
      <w:r w:rsidR="009B58D2" w:rsidRPr="00623C5B">
        <w:rPr>
          <w:rFonts w:ascii="Arial" w:hAnsi="Arial" w:cs="Arial"/>
          <w:i/>
          <w:iCs/>
          <w:color w:val="000000" w:themeColor="text1"/>
          <w:sz w:val="20"/>
          <w:szCs w:val="20"/>
        </w:rPr>
        <w:t>E. coli</w:t>
      </w:r>
      <w:r w:rsidR="009B58D2" w:rsidRPr="00623C5B">
        <w:rPr>
          <w:rFonts w:ascii="Arial" w:hAnsi="Arial" w:cs="Arial"/>
          <w:color w:val="000000" w:themeColor="text1"/>
          <w:sz w:val="20"/>
          <w:szCs w:val="20"/>
        </w:rPr>
        <w:t xml:space="preserve"> as significant markers of water quality deterioration </w:t>
      </w:r>
      <w:r w:rsidR="00501633" w:rsidRPr="00623C5B">
        <w:rPr>
          <w:rFonts w:ascii="Arial" w:hAnsi="Arial" w:cs="Arial"/>
          <w:color w:val="000000" w:themeColor="text1"/>
          <w:sz w:val="20"/>
          <w:szCs w:val="20"/>
        </w:rPr>
        <w:t>(</w:t>
      </w:r>
      <w:r w:rsidR="004739DD" w:rsidRPr="00623C5B">
        <w:rPr>
          <w:rFonts w:ascii="Arial" w:hAnsi="Arial" w:cs="Arial"/>
          <w:color w:val="000000" w:themeColor="text1"/>
          <w:sz w:val="20"/>
          <w:szCs w:val="20"/>
        </w:rPr>
        <w:t xml:space="preserve">Giao et al., 2021). </w:t>
      </w:r>
      <w:r w:rsidR="00471BB3" w:rsidRPr="00623C5B">
        <w:rPr>
          <w:rFonts w:ascii="Arial" w:hAnsi="Arial" w:cs="Arial"/>
          <w:color w:val="000000" w:themeColor="text1"/>
          <w:sz w:val="20"/>
          <w:szCs w:val="20"/>
        </w:rPr>
        <w:t>The longitudinal investigation spanning from 2013 to 2023 within the same province revealed instances where all collected samples surpassed the established limits for BOD</w:t>
      </w:r>
      <w:r w:rsidR="00471BB3" w:rsidRPr="00623C5B">
        <w:rPr>
          <w:rFonts w:ascii="Cambria Math" w:hAnsi="Cambria Math" w:cs="Cambria Math"/>
          <w:color w:val="000000" w:themeColor="text1"/>
          <w:sz w:val="20"/>
          <w:szCs w:val="20"/>
        </w:rPr>
        <w:t>₅</w:t>
      </w:r>
      <w:r w:rsidR="00471BB3" w:rsidRPr="00623C5B">
        <w:rPr>
          <w:rFonts w:ascii="Arial" w:hAnsi="Arial" w:cs="Arial"/>
          <w:color w:val="000000" w:themeColor="text1"/>
          <w:sz w:val="20"/>
          <w:szCs w:val="20"/>
        </w:rPr>
        <w:t>, NH</w:t>
      </w:r>
      <w:r w:rsidR="00471BB3" w:rsidRPr="00623C5B">
        <w:rPr>
          <w:rFonts w:ascii="Cambria Math" w:hAnsi="Cambria Math" w:cs="Cambria Math"/>
          <w:color w:val="000000" w:themeColor="text1"/>
          <w:sz w:val="20"/>
          <w:szCs w:val="20"/>
        </w:rPr>
        <w:t>₄⁺</w:t>
      </w:r>
      <w:r w:rsidR="00471BB3" w:rsidRPr="00623C5B">
        <w:rPr>
          <w:rFonts w:ascii="Arial" w:hAnsi="Arial" w:cs="Arial"/>
          <w:color w:val="000000" w:themeColor="text1"/>
          <w:sz w:val="20"/>
          <w:szCs w:val="20"/>
        </w:rPr>
        <w:t xml:space="preserve">, and E. coli. </w:t>
      </w:r>
      <w:r w:rsidR="00541052" w:rsidRPr="00623C5B">
        <w:rPr>
          <w:rFonts w:ascii="Arial" w:hAnsi="Arial" w:cs="Arial"/>
          <w:color w:val="000000" w:themeColor="text1"/>
          <w:sz w:val="20"/>
          <w:szCs w:val="20"/>
        </w:rPr>
        <w:t xml:space="preserve">This observation suggests that the seasonal changes seen in Can Gio are not unique. Instead, they reflect a broader pattern seen in tropical surface water systems in Vietnam, which are affected by human activities </w:t>
      </w:r>
      <w:r w:rsidR="004739DD" w:rsidRPr="00623C5B">
        <w:rPr>
          <w:rFonts w:ascii="Arial" w:hAnsi="Arial" w:cs="Arial"/>
          <w:color w:val="000000" w:themeColor="text1"/>
          <w:sz w:val="20"/>
          <w:szCs w:val="20"/>
        </w:rPr>
        <w:t>(Ha et al.,  2025).</w:t>
      </w:r>
      <w:r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rPr>
        <w:t>Therefore, the seasonal changes observed in Can Gio likely reflect a broader pattern of hydrological and anthropogenic influence in tropical surface-water systems</w:t>
      </w:r>
      <w:r w:rsidRPr="00623C5B">
        <w:rPr>
          <w:rFonts w:ascii="Arial" w:hAnsi="Arial" w:cs="Arial"/>
          <w:color w:val="000000" w:themeColor="text1"/>
          <w:sz w:val="20"/>
          <w:szCs w:val="20"/>
          <w:lang w:val="en-US"/>
        </w:rPr>
        <w:t>.</w:t>
      </w:r>
    </w:p>
    <w:p w14:paraId="13C01C18" w14:textId="0C124F2D" w:rsidR="00A0492B" w:rsidRPr="00623C5B" w:rsidRDefault="00A0492B"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 xml:space="preserve">3.2. </w:t>
      </w:r>
      <w:r w:rsidR="00AB46D6" w:rsidRPr="00623C5B">
        <w:rPr>
          <w:rFonts w:ascii="Arial" w:hAnsi="Arial" w:cs="Arial"/>
          <w:b/>
          <w:bCs/>
          <w:color w:val="000000" w:themeColor="text1"/>
          <w:sz w:val="22"/>
        </w:rPr>
        <w:t>Spatial characteristics of organic pollution</w:t>
      </w:r>
    </w:p>
    <w:p w14:paraId="0EF6617C" w14:textId="26C99571" w:rsidR="009D409C" w:rsidRPr="00623C5B" w:rsidRDefault="00690FDE"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lang w:val="en-US"/>
        </w:rPr>
        <w:t>Figure</w:t>
      </w:r>
      <w:r w:rsidRPr="00623C5B">
        <w:rPr>
          <w:rFonts w:ascii="Arial" w:hAnsi="Arial" w:cs="Arial"/>
          <w:color w:val="000000" w:themeColor="text1"/>
          <w:sz w:val="20"/>
          <w:szCs w:val="20"/>
        </w:rPr>
        <w:t xml:space="preserve"> 3 shows that organic pollution is not evenly distributed </w:t>
      </w:r>
      <w:r w:rsidR="00AB46D6" w:rsidRPr="00623C5B">
        <w:rPr>
          <w:rFonts w:ascii="Arial" w:hAnsi="Arial" w:cs="Arial"/>
          <w:color w:val="000000" w:themeColor="text1"/>
          <w:sz w:val="20"/>
          <w:szCs w:val="20"/>
        </w:rPr>
        <w:t>among sampling sites</w:t>
      </w:r>
      <w:r w:rsidRPr="00623C5B">
        <w:rPr>
          <w:rFonts w:ascii="Arial" w:hAnsi="Arial" w:cs="Arial"/>
          <w:color w:val="000000" w:themeColor="text1"/>
          <w:sz w:val="20"/>
          <w:szCs w:val="20"/>
        </w:rPr>
        <w:t>.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and COD were both higher in the dry season at most points, but the sharp increases were more concentrated in some locations such as CG9-CG12. This finding is consistent with the WQI paper on the same area, in which the parameters causing water quality degradation are mainly organic and microbiological groups, while points near aquaculture and human activities such as CG5, CG8, CG9, CG10, CG11 and CG12 have lower WQI </w:t>
      </w:r>
      <w:r w:rsidR="00135BF2" w:rsidRPr="00623C5B">
        <w:rPr>
          <w:rFonts w:ascii="Arial" w:hAnsi="Arial" w:cs="Arial"/>
          <w:color w:val="000000" w:themeColor="text1"/>
          <w:sz w:val="20"/>
          <w:szCs w:val="20"/>
          <w:lang w:val="en-US"/>
        </w:rPr>
        <w:t xml:space="preserve">values </w:t>
      </w:r>
      <w:r w:rsidRPr="00623C5B">
        <w:rPr>
          <w:rFonts w:ascii="Arial" w:hAnsi="Arial" w:cs="Arial"/>
          <w:color w:val="000000" w:themeColor="text1"/>
          <w:sz w:val="20"/>
          <w:szCs w:val="20"/>
        </w:rPr>
        <w:t>than the</w:t>
      </w:r>
      <w:r w:rsidR="00135BF2" w:rsidRPr="00623C5B">
        <w:rPr>
          <w:rFonts w:ascii="Arial" w:hAnsi="Arial" w:cs="Arial"/>
          <w:color w:val="000000" w:themeColor="text1"/>
          <w:sz w:val="20"/>
          <w:szCs w:val="20"/>
          <w:lang w:val="en-US"/>
        </w:rPr>
        <w:t xml:space="preserve"> remaining </w:t>
      </w:r>
      <w:r w:rsidRPr="00623C5B">
        <w:rPr>
          <w:rFonts w:ascii="Arial" w:hAnsi="Arial" w:cs="Arial"/>
          <w:color w:val="000000" w:themeColor="text1"/>
          <w:sz w:val="20"/>
          <w:szCs w:val="20"/>
        </w:rPr>
        <w:t>sites</w:t>
      </w:r>
      <w:r w:rsidR="009D409C" w:rsidRPr="00623C5B">
        <w:rPr>
          <w:rFonts w:ascii="Arial" w:hAnsi="Arial" w:cs="Arial"/>
          <w:color w:val="000000" w:themeColor="text1"/>
          <w:sz w:val="20"/>
          <w:szCs w:val="20"/>
          <w:lang w:val="en-US"/>
        </w:rPr>
        <w:t xml:space="preserve"> (</w:t>
      </w:r>
      <w:proofErr w:type="spellStart"/>
      <w:r w:rsidR="009D409C" w:rsidRPr="00623C5B">
        <w:rPr>
          <w:rFonts w:ascii="Arial" w:hAnsi="Arial" w:cs="Arial"/>
          <w:color w:val="000000" w:themeColor="text1"/>
          <w:sz w:val="20"/>
          <w:szCs w:val="20"/>
          <w:lang w:val="en-US"/>
        </w:rPr>
        <w:t>Trung</w:t>
      </w:r>
      <w:proofErr w:type="spellEnd"/>
      <w:r w:rsidR="009D409C" w:rsidRPr="00623C5B">
        <w:rPr>
          <w:rFonts w:ascii="Arial" w:hAnsi="Arial" w:cs="Arial"/>
          <w:color w:val="000000" w:themeColor="text1"/>
          <w:sz w:val="20"/>
          <w:szCs w:val="20"/>
          <w:lang w:val="en-US"/>
        </w:rPr>
        <w:t xml:space="preserve"> et al., 2026)</w:t>
      </w:r>
      <w:r w:rsidRPr="00623C5B">
        <w:rPr>
          <w:rFonts w:ascii="Arial" w:hAnsi="Arial" w:cs="Arial"/>
          <w:color w:val="000000" w:themeColor="text1"/>
          <w:sz w:val="20"/>
          <w:szCs w:val="20"/>
        </w:rPr>
        <w:t xml:space="preserve">. </w:t>
      </w:r>
      <w:r w:rsidR="009D409C" w:rsidRPr="00623C5B">
        <w:rPr>
          <w:rFonts w:ascii="Arial" w:hAnsi="Arial" w:cs="Arial"/>
          <w:color w:val="000000" w:themeColor="text1"/>
          <w:sz w:val="20"/>
          <w:szCs w:val="20"/>
          <w:lang w:val="en-US"/>
        </w:rPr>
        <w:t>T</w:t>
      </w:r>
      <w:r w:rsidR="009D409C" w:rsidRPr="00623C5B">
        <w:rPr>
          <w:rFonts w:ascii="Arial" w:hAnsi="Arial" w:cs="Arial"/>
          <w:color w:val="000000" w:themeColor="text1"/>
          <w:sz w:val="20"/>
          <w:szCs w:val="20"/>
        </w:rPr>
        <w:t>hese results indicate that organic pollution in Can Gio shows both seasonal variation and a clear spatial pattern, with several probable hotspots linked to local human activities.</w:t>
      </w:r>
    </w:p>
    <w:p w14:paraId="216FBDC1" w14:textId="3EC639BB" w:rsidR="00832FA7" w:rsidRPr="00623C5B" w:rsidRDefault="00832FA7" w:rsidP="008E7CFA">
      <w:pPr>
        <w:spacing w:line="240" w:lineRule="auto"/>
        <w:ind w:firstLine="0"/>
        <w:rPr>
          <w:rFonts w:ascii="Arial" w:hAnsi="Arial" w:cs="Arial"/>
          <w:color w:val="000000" w:themeColor="text1"/>
          <w:sz w:val="20"/>
          <w:szCs w:val="20"/>
          <w:lang w:val="en-US"/>
        </w:rPr>
      </w:pPr>
    </w:p>
    <w:p w14:paraId="1A417F0F" w14:textId="77777777" w:rsidR="00401315" w:rsidRPr="00623C5B" w:rsidRDefault="00401315" w:rsidP="008E7CFA">
      <w:pPr>
        <w:spacing w:line="240" w:lineRule="auto"/>
        <w:ind w:firstLine="0"/>
        <w:rPr>
          <w:rFonts w:ascii="Arial" w:hAnsi="Arial" w:cs="Arial"/>
          <w:color w:val="000000" w:themeColor="text1"/>
          <w:sz w:val="20"/>
          <w:szCs w:val="20"/>
          <w:lang w:val="en-US"/>
        </w:rPr>
      </w:pPr>
    </w:p>
    <w:p w14:paraId="4D2DF11C" w14:textId="77777777" w:rsidR="00401315" w:rsidRPr="00623C5B" w:rsidRDefault="00401315" w:rsidP="008E7CFA">
      <w:pPr>
        <w:spacing w:line="240" w:lineRule="auto"/>
        <w:ind w:firstLine="0"/>
        <w:rPr>
          <w:rFonts w:ascii="Arial" w:hAnsi="Arial" w:cs="Arial"/>
          <w:color w:val="000000" w:themeColor="text1"/>
          <w:sz w:val="20"/>
          <w:szCs w:val="20"/>
          <w:lang w:val="en-US"/>
        </w:rPr>
      </w:pPr>
    </w:p>
    <w:p w14:paraId="4C47CB47" w14:textId="77777777" w:rsidR="00401315" w:rsidRPr="00623C5B" w:rsidRDefault="00401315" w:rsidP="008E7CFA">
      <w:pPr>
        <w:spacing w:line="240" w:lineRule="auto"/>
        <w:ind w:firstLine="0"/>
        <w:rPr>
          <w:rFonts w:ascii="Arial" w:hAnsi="Arial" w:cs="Arial"/>
          <w:color w:val="000000" w:themeColor="text1"/>
          <w:sz w:val="20"/>
          <w:szCs w:val="20"/>
          <w:lang w:val="en-US"/>
        </w:rPr>
      </w:pPr>
    </w:p>
    <w:p w14:paraId="493F671C" w14:textId="23B6E1B2" w:rsidR="00401315" w:rsidRPr="00623C5B" w:rsidRDefault="00401315" w:rsidP="008E7CFA">
      <w:pPr>
        <w:spacing w:line="240" w:lineRule="auto"/>
        <w:ind w:firstLine="0"/>
        <w:rPr>
          <w:rFonts w:ascii="Arial" w:hAnsi="Arial" w:cs="Arial"/>
          <w:color w:val="000000" w:themeColor="text1"/>
          <w:sz w:val="20"/>
          <w:szCs w:val="20"/>
          <w:lang w:val="en-US"/>
        </w:rPr>
      </w:pPr>
      <w:r w:rsidRPr="00623C5B">
        <w:rPr>
          <w:noProof/>
          <w:color w:val="000000" w:themeColor="text1"/>
        </w:rPr>
        <w:lastRenderedPageBreak/>
        <w:drawing>
          <wp:inline distT="0" distB="0" distL="0" distR="0" wp14:anchorId="39FD30FF" wp14:editId="55A1A16F">
            <wp:extent cx="5760720" cy="2719070"/>
            <wp:effectExtent l="0" t="0" r="11430" b="5080"/>
            <wp:docPr id="421318807" name="Chart 1">
              <a:extLst xmlns:a="http://schemas.openxmlformats.org/drawingml/2006/main">
                <a:ext uri="{FF2B5EF4-FFF2-40B4-BE49-F238E27FC236}">
                  <a16:creationId xmlns:a16="http://schemas.microsoft.com/office/drawing/2014/main" id="{4F416A64-989D-1C6F-C83E-3109957FAD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C0B182" w14:textId="00B2C137" w:rsidR="00F24D56" w:rsidRPr="00623C5B" w:rsidRDefault="00F24D56" w:rsidP="007F5B9E">
      <w:pPr>
        <w:spacing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rPr>
        <w:t>Figure 3</w:t>
      </w:r>
      <w:r w:rsidRPr="00623C5B">
        <w:rPr>
          <w:rFonts w:ascii="Arial" w:hAnsi="Arial" w:cs="Arial"/>
          <w:color w:val="000000" w:themeColor="text1"/>
          <w:sz w:val="20"/>
          <w:szCs w:val="20"/>
        </w:rPr>
        <w:t>. Spatial variation of biochemical oxygen demand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and chemical oxygen demand (COD) across 14 sampling sites (CG1 - CG14) in the Can Gio estuary, Vietnam. Bars represent concentrations in the dry and rainy seasons.</w:t>
      </w:r>
    </w:p>
    <w:p w14:paraId="1E0C34B5" w14:textId="49260AE0" w:rsidR="00D6257F" w:rsidRPr="00623C5B" w:rsidRDefault="00690FDE"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Comparison with studies in Vietnam shows that this pattern is quite typical. </w:t>
      </w:r>
      <w:r w:rsidR="004A4A8B" w:rsidRPr="00623C5B">
        <w:rPr>
          <w:rFonts w:ascii="Arial" w:hAnsi="Arial" w:cs="Arial"/>
          <w:color w:val="000000" w:themeColor="text1"/>
          <w:sz w:val="20"/>
          <w:szCs w:val="20"/>
        </w:rPr>
        <w:t xml:space="preserve">In Dong Thap, areas with concentrated socio-economic activities often have poor water quality (Giao et al., 2021). Long-term studies have shown that human activities, along with water conditions, are the main causes of pollution (Ha et al., 2025). Also, in the Hung Yen mangrove forest, </w:t>
      </w:r>
      <w:r w:rsidR="004A4A8B" w:rsidRPr="00623C5B">
        <w:rPr>
          <w:rFonts w:ascii="Arial" w:hAnsi="Arial" w:cs="Arial"/>
          <w:color w:val="000000" w:themeColor="text1"/>
          <w:sz w:val="20"/>
          <w:szCs w:val="20"/>
          <w:lang w:val="en-US"/>
        </w:rPr>
        <w:t>PCA (</w:t>
      </w:r>
      <w:r w:rsidR="004A4A8B" w:rsidRPr="00623C5B">
        <w:rPr>
          <w:rFonts w:ascii="Arial" w:hAnsi="Arial" w:cs="Arial"/>
          <w:color w:val="000000" w:themeColor="text1"/>
          <w:sz w:val="20"/>
          <w:szCs w:val="20"/>
        </w:rPr>
        <w:t>Principal Component Analysis</w:t>
      </w:r>
      <w:r w:rsidR="004A4A8B" w:rsidRPr="00623C5B">
        <w:rPr>
          <w:rFonts w:ascii="Arial" w:hAnsi="Arial" w:cs="Arial"/>
          <w:color w:val="000000" w:themeColor="text1"/>
          <w:sz w:val="20"/>
          <w:szCs w:val="20"/>
          <w:lang w:val="en-US"/>
        </w:rPr>
        <w:t>)</w:t>
      </w:r>
      <w:r w:rsidR="004A4A8B" w:rsidRPr="00623C5B">
        <w:rPr>
          <w:rFonts w:ascii="Arial" w:hAnsi="Arial" w:cs="Arial"/>
          <w:color w:val="000000" w:themeColor="text1"/>
          <w:sz w:val="20"/>
          <w:szCs w:val="20"/>
        </w:rPr>
        <w:t xml:space="preserve"> showed that aquaculture significantly contributes to pollution, while also highlighting the mangrove ecosystem's role in natural </w:t>
      </w:r>
      <w:r w:rsidR="004A4A8B" w:rsidRPr="00623C5B">
        <w:rPr>
          <w:rFonts w:ascii="Arial" w:hAnsi="Arial" w:cs="Arial"/>
          <w:color w:val="000000" w:themeColor="text1"/>
          <w:sz w:val="20"/>
          <w:szCs w:val="20"/>
          <w:lang w:val="en-US"/>
        </w:rPr>
        <w:t xml:space="preserve">biofiltration </w:t>
      </w:r>
      <w:r w:rsidR="004739DD" w:rsidRPr="00623C5B">
        <w:rPr>
          <w:rFonts w:ascii="Arial" w:hAnsi="Arial" w:cs="Arial"/>
          <w:color w:val="000000" w:themeColor="text1"/>
          <w:sz w:val="20"/>
          <w:szCs w:val="20"/>
        </w:rPr>
        <w:t xml:space="preserve">(Nguyen et al., 2026). </w:t>
      </w:r>
      <w:r w:rsidR="00D6257F" w:rsidRPr="00623C5B">
        <w:rPr>
          <w:rFonts w:ascii="Arial" w:hAnsi="Arial" w:cs="Arial"/>
          <w:color w:val="000000" w:themeColor="text1"/>
          <w:sz w:val="20"/>
          <w:szCs w:val="20"/>
        </w:rPr>
        <w:t>Accordingly, the higher BOD</w:t>
      </w:r>
      <w:r w:rsidR="00D6257F" w:rsidRPr="00623C5B">
        <w:rPr>
          <w:rFonts w:ascii="Cambria Math" w:hAnsi="Cambria Math" w:cs="Cambria Math"/>
          <w:color w:val="000000" w:themeColor="text1"/>
          <w:sz w:val="20"/>
          <w:szCs w:val="20"/>
        </w:rPr>
        <w:t>₅</w:t>
      </w:r>
      <w:r w:rsidR="00D6257F" w:rsidRPr="00623C5B">
        <w:rPr>
          <w:rFonts w:ascii="Arial" w:hAnsi="Arial" w:cs="Arial"/>
          <w:color w:val="000000" w:themeColor="text1"/>
          <w:sz w:val="20"/>
          <w:szCs w:val="20"/>
        </w:rPr>
        <w:t xml:space="preserve"> and COD values recorded at some Can Gio sites may reflect the combined effects of local waste inputs and differences in water exchange and dilution among estuarine branches</w:t>
      </w:r>
      <w:r w:rsidR="00D6257F" w:rsidRPr="00623C5B">
        <w:rPr>
          <w:rFonts w:ascii="Arial" w:hAnsi="Arial" w:cs="Arial"/>
          <w:color w:val="000000" w:themeColor="text1"/>
          <w:sz w:val="20"/>
          <w:szCs w:val="20"/>
          <w:lang w:val="en-US"/>
        </w:rPr>
        <w:t>.</w:t>
      </w:r>
    </w:p>
    <w:p w14:paraId="1CDB5195" w14:textId="4DF63741" w:rsidR="00026DD0" w:rsidRPr="00623C5B" w:rsidRDefault="00026DD0"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3.3. Characteristics of nutrient compounds</w:t>
      </w:r>
    </w:p>
    <w:p w14:paraId="476986B4" w14:textId="64D27D9E" w:rsidR="00690FDE" w:rsidRPr="00623C5B" w:rsidRDefault="00690FDE"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Figure 4 shows that NO</w:t>
      </w:r>
      <w:r w:rsidRPr="00623C5B">
        <w:rPr>
          <w:rFonts w:ascii="Cambria Math" w:hAnsi="Cambria Math" w:cs="Cambria Math"/>
          <w:color w:val="000000" w:themeColor="text1"/>
          <w:sz w:val="20"/>
          <w:szCs w:val="20"/>
        </w:rPr>
        <w:t>₂⁻</w:t>
      </w:r>
      <w:r w:rsidRPr="00623C5B">
        <w:rPr>
          <w:rFonts w:ascii="Arial" w:hAnsi="Arial" w:cs="Arial"/>
          <w:color w:val="000000" w:themeColor="text1"/>
          <w:sz w:val="20"/>
          <w:szCs w:val="20"/>
        </w:rPr>
        <w:t xml:space="preserve"> is the </w:t>
      </w:r>
      <w:r w:rsidR="00AB46D6" w:rsidRPr="00623C5B">
        <w:rPr>
          <w:rFonts w:ascii="Arial" w:hAnsi="Arial" w:cs="Arial"/>
          <w:color w:val="000000" w:themeColor="text1"/>
          <w:sz w:val="20"/>
          <w:szCs w:val="20"/>
        </w:rPr>
        <w:t>parameter showing the strongest seasonal response</w:t>
      </w:r>
      <w:r w:rsidRPr="00623C5B">
        <w:rPr>
          <w:rFonts w:ascii="Arial" w:hAnsi="Arial" w:cs="Arial"/>
          <w:color w:val="000000" w:themeColor="text1"/>
          <w:sz w:val="20"/>
          <w:szCs w:val="20"/>
        </w:rPr>
        <w:t xml:space="preserve">, with higher </w:t>
      </w:r>
      <w:r w:rsidRPr="00623C5B">
        <w:rPr>
          <w:rFonts w:ascii="Arial" w:hAnsi="Arial" w:cs="Arial"/>
          <w:color w:val="000000" w:themeColor="text1"/>
          <w:sz w:val="20"/>
          <w:szCs w:val="20"/>
          <w:lang w:val="en-US"/>
        </w:rPr>
        <w:t>concentrations</w:t>
      </w:r>
      <w:r w:rsidRPr="00623C5B">
        <w:rPr>
          <w:rFonts w:ascii="Arial" w:hAnsi="Arial" w:cs="Arial"/>
          <w:color w:val="000000" w:themeColor="text1"/>
          <w:sz w:val="20"/>
          <w:szCs w:val="20"/>
        </w:rPr>
        <w:t xml:space="preserve"> during the dry season and</w:t>
      </w:r>
      <w:r w:rsidR="00D6257F" w:rsidRPr="00623C5B">
        <w:rPr>
          <w:rFonts w:ascii="Arial" w:hAnsi="Arial" w:cs="Arial"/>
          <w:color w:val="000000" w:themeColor="text1"/>
          <w:sz w:val="20"/>
          <w:szCs w:val="20"/>
          <w:lang w:val="en-US"/>
        </w:rPr>
        <w:t xml:space="preserve"> </w:t>
      </w:r>
      <w:r w:rsidR="00D6257F" w:rsidRPr="00623C5B">
        <w:rPr>
          <w:rFonts w:ascii="Arial" w:hAnsi="Arial" w:cs="Arial"/>
          <w:color w:val="000000" w:themeColor="text1"/>
          <w:sz w:val="20"/>
          <w:szCs w:val="20"/>
        </w:rPr>
        <w:t>lower concentrations</w:t>
      </w:r>
      <w:r w:rsidRPr="00623C5B">
        <w:rPr>
          <w:rFonts w:ascii="Arial" w:hAnsi="Arial" w:cs="Arial"/>
          <w:color w:val="000000" w:themeColor="text1"/>
          <w:sz w:val="20"/>
          <w:szCs w:val="20"/>
        </w:rPr>
        <w:t xml:space="preserve"> in the rainy season, while NH</w:t>
      </w:r>
      <w:r w:rsidRPr="00623C5B">
        <w:rPr>
          <w:rFonts w:ascii="Cambria Math" w:hAnsi="Cambria Math" w:cs="Cambria Math"/>
          <w:color w:val="000000" w:themeColor="text1"/>
          <w:sz w:val="20"/>
          <w:szCs w:val="20"/>
        </w:rPr>
        <w:t>₄⁺</w:t>
      </w:r>
      <w:r w:rsidRPr="00623C5B">
        <w:rPr>
          <w:rFonts w:ascii="Arial" w:hAnsi="Arial" w:cs="Arial"/>
          <w:color w:val="000000" w:themeColor="text1"/>
          <w:sz w:val="20"/>
          <w:szCs w:val="20"/>
        </w:rPr>
        <w:t xml:space="preserve"> and PO</w:t>
      </w:r>
      <w:r w:rsidRPr="00623C5B">
        <w:rPr>
          <w:rFonts w:ascii="Cambria Math" w:hAnsi="Cambria Math" w:cs="Cambria Math"/>
          <w:color w:val="000000" w:themeColor="text1"/>
          <w:sz w:val="20"/>
          <w:szCs w:val="20"/>
        </w:rPr>
        <w:t>₄</w:t>
      </w:r>
      <w:r w:rsidRPr="00623C5B">
        <w:rPr>
          <w:rFonts w:ascii="Arial" w:hAnsi="Arial" w:cs="Arial"/>
          <w:color w:val="000000" w:themeColor="text1"/>
          <w:sz w:val="20"/>
          <w:szCs w:val="20"/>
        </w:rPr>
        <w:t>³</w:t>
      </w:r>
      <w:r w:rsidRPr="00623C5B">
        <w:rPr>
          <w:rFonts w:ascii="Cambria Math" w:hAnsi="Cambria Math" w:cs="Cambria Math"/>
          <w:color w:val="000000" w:themeColor="text1"/>
          <w:sz w:val="20"/>
          <w:szCs w:val="20"/>
        </w:rPr>
        <w:t>⁻</w:t>
      </w:r>
      <w:r w:rsidRPr="00623C5B">
        <w:rPr>
          <w:rFonts w:ascii="Arial" w:hAnsi="Arial" w:cs="Arial"/>
          <w:color w:val="000000" w:themeColor="text1"/>
          <w:sz w:val="20"/>
          <w:szCs w:val="20"/>
        </w:rPr>
        <w:t xml:space="preserve"> fluctuate more narrowly. This result is consistent with </w:t>
      </w:r>
      <w:r w:rsidR="00AB46D6" w:rsidRPr="00623C5B">
        <w:rPr>
          <w:rFonts w:ascii="Arial" w:hAnsi="Arial" w:cs="Arial"/>
          <w:color w:val="000000" w:themeColor="text1"/>
          <w:sz w:val="20"/>
          <w:szCs w:val="20"/>
        </w:rPr>
        <w:t>previous physicochemical studies</w:t>
      </w:r>
      <w:r w:rsidRPr="00623C5B">
        <w:rPr>
          <w:rFonts w:ascii="Arial" w:hAnsi="Arial" w:cs="Arial"/>
          <w:color w:val="000000" w:themeColor="text1"/>
          <w:sz w:val="20"/>
          <w:szCs w:val="20"/>
        </w:rPr>
        <w:t xml:space="preserve"> in Can Gio, where nitrites exceeded the standard at 71% of locations in the dry season, while ammonium and phosphate were generally within the allowable threshold and </w:t>
      </w:r>
      <w:r w:rsidR="00AB46D6" w:rsidRPr="00623C5B">
        <w:rPr>
          <w:rFonts w:ascii="Arial" w:hAnsi="Arial" w:cs="Arial"/>
          <w:color w:val="000000" w:themeColor="text1"/>
          <w:sz w:val="20"/>
          <w:szCs w:val="20"/>
        </w:rPr>
        <w:t>more stable across seasons</w:t>
      </w:r>
      <w:r w:rsidRPr="00623C5B">
        <w:rPr>
          <w:rFonts w:ascii="Arial" w:hAnsi="Arial" w:cs="Arial"/>
          <w:color w:val="000000" w:themeColor="text1"/>
          <w:sz w:val="20"/>
          <w:szCs w:val="20"/>
        </w:rPr>
        <w:t xml:space="preserve">. </w:t>
      </w:r>
      <w:r w:rsidR="00D6257F" w:rsidRPr="00623C5B">
        <w:rPr>
          <w:rFonts w:ascii="Arial" w:hAnsi="Arial" w:cs="Arial"/>
          <w:color w:val="000000" w:themeColor="text1"/>
          <w:sz w:val="20"/>
          <w:szCs w:val="20"/>
        </w:rPr>
        <w:t>The clearer seasonal behavior of NO</w:t>
      </w:r>
      <w:r w:rsidR="00D6257F" w:rsidRPr="00623C5B">
        <w:rPr>
          <w:rFonts w:ascii="Cambria Math" w:hAnsi="Cambria Math" w:cs="Cambria Math"/>
          <w:color w:val="000000" w:themeColor="text1"/>
          <w:sz w:val="20"/>
          <w:szCs w:val="20"/>
        </w:rPr>
        <w:t>₂⁻</w:t>
      </w:r>
      <w:r w:rsidR="00D6257F" w:rsidRPr="00623C5B">
        <w:rPr>
          <w:rFonts w:ascii="Arial" w:hAnsi="Arial" w:cs="Arial"/>
          <w:color w:val="000000" w:themeColor="text1"/>
          <w:sz w:val="20"/>
          <w:szCs w:val="20"/>
        </w:rPr>
        <w:t xml:space="preserve"> suggests that this parameter may be more sensitive to changes in oxidation-reduction conditions and water residence time in the estuarine environment</w:t>
      </w:r>
      <w:r w:rsidR="004A4A8B" w:rsidRPr="00623C5B">
        <w:rPr>
          <w:rFonts w:ascii="Arial" w:hAnsi="Arial" w:cs="Arial"/>
          <w:color w:val="000000" w:themeColor="text1"/>
          <w:sz w:val="20"/>
          <w:szCs w:val="20"/>
        </w:rPr>
        <w:t xml:space="preserve">. </w:t>
      </w:r>
      <w:r w:rsidR="009B58D2" w:rsidRPr="00623C5B">
        <w:rPr>
          <w:rFonts w:ascii="Arial" w:hAnsi="Arial" w:cs="Arial"/>
          <w:color w:val="000000" w:themeColor="text1"/>
          <w:sz w:val="20"/>
          <w:szCs w:val="20"/>
        </w:rPr>
        <w:t>In contrast, Trung et al. (2025) showed that the concentrations of NH</w:t>
      </w:r>
      <w:r w:rsidR="009B58D2" w:rsidRPr="00623C5B">
        <w:rPr>
          <w:rFonts w:ascii="Cambria Math" w:hAnsi="Cambria Math" w:cs="Cambria Math"/>
          <w:color w:val="000000" w:themeColor="text1"/>
          <w:sz w:val="20"/>
          <w:szCs w:val="20"/>
        </w:rPr>
        <w:t>₄⁺</w:t>
      </w:r>
      <w:r w:rsidR="009B58D2" w:rsidRPr="00623C5B">
        <w:rPr>
          <w:rFonts w:ascii="Arial" w:hAnsi="Arial" w:cs="Arial"/>
          <w:color w:val="000000" w:themeColor="text1"/>
          <w:sz w:val="20"/>
          <w:szCs w:val="20"/>
        </w:rPr>
        <w:t xml:space="preserve"> and PO</w:t>
      </w:r>
      <w:r w:rsidR="009B58D2" w:rsidRPr="00623C5B">
        <w:rPr>
          <w:rFonts w:ascii="Cambria Math" w:hAnsi="Cambria Math" w:cs="Cambria Math"/>
          <w:color w:val="000000" w:themeColor="text1"/>
          <w:sz w:val="20"/>
          <w:szCs w:val="20"/>
        </w:rPr>
        <w:t>₄</w:t>
      </w:r>
      <w:r w:rsidR="009B58D2" w:rsidRPr="00623C5B">
        <w:rPr>
          <w:rFonts w:ascii="Arial" w:hAnsi="Arial" w:cs="Arial"/>
          <w:color w:val="000000" w:themeColor="text1"/>
          <w:sz w:val="20"/>
          <w:szCs w:val="20"/>
        </w:rPr>
        <w:t>³</w:t>
      </w:r>
      <w:r w:rsidR="009B58D2" w:rsidRPr="00623C5B">
        <w:rPr>
          <w:rFonts w:ascii="Cambria Math" w:hAnsi="Cambria Math" w:cs="Cambria Math"/>
          <w:color w:val="000000" w:themeColor="text1"/>
          <w:sz w:val="20"/>
          <w:szCs w:val="20"/>
        </w:rPr>
        <w:t>⁻</w:t>
      </w:r>
      <w:r w:rsidR="009B58D2" w:rsidRPr="00623C5B">
        <w:rPr>
          <w:rFonts w:ascii="Arial" w:hAnsi="Arial" w:cs="Arial"/>
          <w:color w:val="000000" w:themeColor="text1"/>
          <w:sz w:val="20"/>
          <w:szCs w:val="20"/>
        </w:rPr>
        <w:t xml:space="preserve"> </w:t>
      </w:r>
      <w:r w:rsidR="009B58D2" w:rsidRPr="00623C5B">
        <w:rPr>
          <w:rFonts w:ascii="Arial" w:hAnsi="Arial" w:cs="Arial"/>
          <w:color w:val="000000" w:themeColor="text1"/>
          <w:sz w:val="20"/>
          <w:szCs w:val="20"/>
          <w:lang w:val="en-US"/>
        </w:rPr>
        <w:t xml:space="preserve"> </w:t>
      </w:r>
      <w:r w:rsidR="009B58D2" w:rsidRPr="00623C5B">
        <w:rPr>
          <w:rFonts w:ascii="Arial" w:hAnsi="Arial" w:cs="Arial"/>
          <w:color w:val="000000" w:themeColor="text1"/>
          <w:sz w:val="20"/>
          <w:szCs w:val="20"/>
        </w:rPr>
        <w:t>are affected by leaching, sediment adsorption, and dilution, all at the same time</w:t>
      </w:r>
      <w:r w:rsidR="006F72EB" w:rsidRPr="00623C5B">
        <w:rPr>
          <w:rFonts w:ascii="Arial" w:hAnsi="Arial" w:cs="Arial"/>
          <w:color w:val="000000" w:themeColor="text1"/>
          <w:sz w:val="20"/>
          <w:szCs w:val="20"/>
        </w:rPr>
        <w:t>.</w:t>
      </w:r>
    </w:p>
    <w:p w14:paraId="378BAEDD" w14:textId="2F201AD4" w:rsidR="00401315" w:rsidRPr="00623C5B" w:rsidRDefault="00401315" w:rsidP="008E7CFA">
      <w:pPr>
        <w:spacing w:line="240" w:lineRule="auto"/>
        <w:ind w:firstLine="0"/>
        <w:rPr>
          <w:rFonts w:ascii="Arial" w:hAnsi="Arial" w:cs="Arial"/>
          <w:color w:val="000000" w:themeColor="text1"/>
          <w:sz w:val="20"/>
          <w:szCs w:val="20"/>
          <w:lang w:val="en-US"/>
        </w:rPr>
      </w:pPr>
      <w:r w:rsidRPr="00623C5B">
        <w:rPr>
          <w:noProof/>
          <w:color w:val="000000" w:themeColor="text1"/>
        </w:rPr>
        <w:drawing>
          <wp:inline distT="0" distB="0" distL="0" distR="0" wp14:anchorId="7DB209A8" wp14:editId="24315FA3">
            <wp:extent cx="5760720" cy="2428875"/>
            <wp:effectExtent l="0" t="0" r="11430" b="9525"/>
            <wp:docPr id="1233353982" name="Chart 1">
              <a:extLst xmlns:a="http://schemas.openxmlformats.org/drawingml/2006/main">
                <a:ext uri="{FF2B5EF4-FFF2-40B4-BE49-F238E27FC236}">
                  <a16:creationId xmlns:a16="http://schemas.microsoft.com/office/drawing/2014/main" id="{078E0BC0-81C0-2C59-BAC2-0D1FFC7F8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F481AD" w14:textId="46B44595" w:rsidR="005A40AD" w:rsidRPr="00623C5B" w:rsidRDefault="005A40AD" w:rsidP="007F5B9E">
      <w:pPr>
        <w:spacing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rPr>
        <w:t xml:space="preserve">Figure 4. </w:t>
      </w:r>
      <w:r w:rsidR="00623C5B" w:rsidRPr="00623C5B">
        <w:rPr>
          <w:rFonts w:ascii="Arial" w:hAnsi="Arial" w:cs="Arial"/>
          <w:bCs/>
          <w:color w:val="000000" w:themeColor="text1"/>
          <w:sz w:val="20"/>
          <w:szCs w:val="20"/>
          <w:lang w:val="en-GB"/>
        </w:rPr>
        <w:t xml:space="preserve">Graph </w:t>
      </w:r>
      <w:r w:rsidR="004A4A8B" w:rsidRPr="00623C5B">
        <w:rPr>
          <w:rFonts w:ascii="Arial" w:hAnsi="Arial" w:cs="Arial"/>
          <w:color w:val="000000" w:themeColor="text1"/>
          <w:sz w:val="20"/>
          <w:szCs w:val="20"/>
          <w:lang w:val="en-US"/>
        </w:rPr>
        <w:t>S</w:t>
      </w:r>
      <w:r w:rsidR="004A4A8B" w:rsidRPr="00623C5B">
        <w:rPr>
          <w:rFonts w:ascii="Arial" w:hAnsi="Arial" w:cs="Arial"/>
          <w:color w:val="000000" w:themeColor="text1"/>
          <w:sz w:val="20"/>
          <w:szCs w:val="20"/>
        </w:rPr>
        <w:t>hows how the concentrations of nutrients (NH</w:t>
      </w:r>
      <w:r w:rsidR="004A4A8B" w:rsidRPr="00623C5B">
        <w:rPr>
          <w:rFonts w:ascii="Cambria Math" w:hAnsi="Cambria Math" w:cs="Cambria Math"/>
          <w:color w:val="000000" w:themeColor="text1"/>
          <w:sz w:val="20"/>
          <w:szCs w:val="20"/>
        </w:rPr>
        <w:t>₄⁺</w:t>
      </w:r>
      <w:r w:rsidR="004A4A8B" w:rsidRPr="00623C5B">
        <w:rPr>
          <w:rFonts w:ascii="Arial" w:hAnsi="Arial" w:cs="Arial"/>
          <w:color w:val="000000" w:themeColor="text1"/>
          <w:sz w:val="20"/>
          <w:szCs w:val="20"/>
        </w:rPr>
        <w:t>, NO</w:t>
      </w:r>
      <w:r w:rsidR="004A4A8B" w:rsidRPr="00623C5B">
        <w:rPr>
          <w:rFonts w:ascii="Cambria Math" w:hAnsi="Cambria Math" w:cs="Cambria Math"/>
          <w:color w:val="000000" w:themeColor="text1"/>
          <w:sz w:val="20"/>
          <w:szCs w:val="20"/>
        </w:rPr>
        <w:t>₂⁻</w:t>
      </w:r>
      <w:r w:rsidR="004A4A8B" w:rsidRPr="00623C5B">
        <w:rPr>
          <w:rFonts w:ascii="Arial" w:hAnsi="Arial" w:cs="Arial"/>
          <w:color w:val="000000" w:themeColor="text1"/>
          <w:sz w:val="20"/>
          <w:szCs w:val="20"/>
        </w:rPr>
        <w:t>, and PO</w:t>
      </w:r>
      <w:r w:rsidR="004A4A8B" w:rsidRPr="00623C5B">
        <w:rPr>
          <w:rFonts w:ascii="Cambria Math" w:hAnsi="Cambria Math" w:cs="Cambria Math"/>
          <w:color w:val="000000" w:themeColor="text1"/>
          <w:sz w:val="20"/>
          <w:szCs w:val="20"/>
        </w:rPr>
        <w:t>₄</w:t>
      </w:r>
      <w:r w:rsidR="004A4A8B" w:rsidRPr="00623C5B">
        <w:rPr>
          <w:rFonts w:ascii="Arial" w:hAnsi="Arial" w:cs="Arial"/>
          <w:color w:val="000000" w:themeColor="text1"/>
          <w:sz w:val="20"/>
          <w:szCs w:val="20"/>
        </w:rPr>
        <w:t>³</w:t>
      </w:r>
      <w:r w:rsidR="004A4A8B" w:rsidRPr="00623C5B">
        <w:rPr>
          <w:rFonts w:ascii="Cambria Math" w:hAnsi="Cambria Math" w:cs="Cambria Math"/>
          <w:color w:val="000000" w:themeColor="text1"/>
          <w:sz w:val="20"/>
          <w:szCs w:val="20"/>
        </w:rPr>
        <w:t>⁻</w:t>
      </w:r>
      <w:r w:rsidR="004A4A8B" w:rsidRPr="00623C5B">
        <w:rPr>
          <w:rFonts w:ascii="Arial" w:hAnsi="Arial" w:cs="Arial"/>
          <w:color w:val="000000" w:themeColor="text1"/>
          <w:sz w:val="20"/>
          <w:szCs w:val="20"/>
        </w:rPr>
        <w:t>) in the surface water of the Can Gio estuary, Vietnam, changed with the seasons</w:t>
      </w:r>
      <w:r w:rsidR="00EA4F1E" w:rsidRPr="00623C5B">
        <w:rPr>
          <w:rFonts w:ascii="Arial" w:hAnsi="Arial" w:cs="Arial"/>
          <w:color w:val="000000" w:themeColor="text1"/>
          <w:sz w:val="20"/>
          <w:szCs w:val="20"/>
        </w:rPr>
        <w:t xml:space="preserve">. </w:t>
      </w:r>
      <w:r w:rsidR="004A4A8B" w:rsidRPr="00623C5B">
        <w:rPr>
          <w:rFonts w:ascii="Arial" w:hAnsi="Arial" w:cs="Arial"/>
          <w:color w:val="000000" w:themeColor="text1"/>
          <w:sz w:val="20"/>
          <w:szCs w:val="20"/>
        </w:rPr>
        <w:t xml:space="preserve">Boxplots show the median and </w:t>
      </w:r>
      <w:r w:rsidR="004A4A8B" w:rsidRPr="00623C5B">
        <w:rPr>
          <w:rFonts w:ascii="Arial" w:hAnsi="Arial" w:cs="Arial"/>
          <w:color w:val="000000" w:themeColor="text1"/>
          <w:sz w:val="20"/>
          <w:szCs w:val="20"/>
        </w:rPr>
        <w:lastRenderedPageBreak/>
        <w:t>spread of data for both dry and rainy seasons. The higher levels of NO</w:t>
      </w:r>
      <w:r w:rsidR="004A4A8B" w:rsidRPr="00623C5B">
        <w:rPr>
          <w:rFonts w:ascii="Cambria Math" w:hAnsi="Cambria Math" w:cs="Cambria Math"/>
          <w:color w:val="000000" w:themeColor="text1"/>
          <w:sz w:val="20"/>
          <w:szCs w:val="20"/>
        </w:rPr>
        <w:t>₂⁻</w:t>
      </w:r>
      <w:r w:rsidR="004A4A8B" w:rsidRPr="00623C5B">
        <w:rPr>
          <w:rFonts w:ascii="Arial" w:hAnsi="Arial" w:cs="Arial"/>
          <w:color w:val="000000" w:themeColor="text1"/>
          <w:sz w:val="20"/>
          <w:szCs w:val="20"/>
        </w:rPr>
        <w:t xml:space="preserve"> seen in the dry season suggest that nitrification might be limited by low levels of dissolved oxygen.</w:t>
      </w:r>
    </w:p>
    <w:p w14:paraId="3B3EE8CA" w14:textId="3F7B61B6" w:rsidR="00D6257F" w:rsidRPr="00623C5B" w:rsidRDefault="00D6257F"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Recent studies of water quality in coastal wetlands have shown that nutrient dynamics in estuarine systems are often controlled by multiple stressors, including land use, runoff, urban development, and hydrological variation (Goutami &amp; Patil, 2025). This interpretation is also consistent with broader evidence that organic pollution and changing hydrological conditions can influence surface-water quality indicators simultaneously rather than independently (Biedunkova et al., 2025; Brauns et al., 2024). At the same time, aquaculture wastewater is known to contain organic matter, nitrogen, phosphorus, and biological components, which can exacerbate eutrophication and oxygen depletion in receiving waters (Liu et al., 2024). Therefore, the lower NO</w:t>
      </w:r>
      <w:r w:rsidR="009C6DB9" w:rsidRPr="00623C5B">
        <w:rPr>
          <w:rFonts w:ascii="Arial" w:hAnsi="Arial" w:cs="Arial"/>
          <w:color w:val="000000" w:themeColor="text1"/>
          <w:sz w:val="20"/>
          <w:szCs w:val="20"/>
          <w:vertAlign w:val="subscript"/>
          <w:lang w:val="en-US"/>
        </w:rPr>
        <w:t>2</w:t>
      </w:r>
      <w:r w:rsidR="009C6DB9"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rPr>
        <w:t xml:space="preserve"> values observed in the rainy season in Can Gio may reflect improved dilution and water exchange, whereas the less distinct variation in NH</w:t>
      </w:r>
      <w:r w:rsidR="009C6DB9" w:rsidRPr="00623C5B">
        <w:rPr>
          <w:rFonts w:ascii="Arial" w:hAnsi="Arial" w:cs="Arial"/>
          <w:color w:val="000000" w:themeColor="text1"/>
          <w:sz w:val="20"/>
          <w:szCs w:val="20"/>
          <w:vertAlign w:val="subscript"/>
          <w:lang w:val="en-US"/>
        </w:rPr>
        <w:t>4</w:t>
      </w:r>
      <w:r w:rsidR="009C6DB9"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rPr>
        <w:t xml:space="preserve"> and PO</w:t>
      </w:r>
      <w:r w:rsidR="009C6DB9" w:rsidRPr="00623C5B">
        <w:rPr>
          <w:rFonts w:ascii="Arial" w:hAnsi="Arial" w:cs="Arial"/>
          <w:color w:val="000000" w:themeColor="text1"/>
          <w:sz w:val="20"/>
          <w:szCs w:val="20"/>
          <w:vertAlign w:val="subscript"/>
          <w:lang w:val="en-US"/>
        </w:rPr>
        <w:t>4</w:t>
      </w:r>
      <w:r w:rsidR="009C6DB9" w:rsidRPr="00623C5B">
        <w:rPr>
          <w:rFonts w:ascii="Arial" w:hAnsi="Arial" w:cs="Arial"/>
          <w:color w:val="000000" w:themeColor="text1"/>
          <w:sz w:val="20"/>
          <w:szCs w:val="20"/>
          <w:vertAlign w:val="superscript"/>
          <w:lang w:val="en-US"/>
        </w:rPr>
        <w:t>3-</w:t>
      </w:r>
      <w:r w:rsidRPr="00623C5B">
        <w:rPr>
          <w:rFonts w:ascii="Arial" w:hAnsi="Arial" w:cs="Arial"/>
          <w:color w:val="000000" w:themeColor="text1"/>
          <w:sz w:val="20"/>
          <w:szCs w:val="20"/>
        </w:rPr>
        <w:t xml:space="preserve"> suggests the influence of multiple overlapping biogeochemical processes</w:t>
      </w:r>
      <w:r w:rsidR="009C6DB9" w:rsidRPr="00623C5B">
        <w:rPr>
          <w:rFonts w:ascii="Arial" w:hAnsi="Arial" w:cs="Arial"/>
          <w:color w:val="000000" w:themeColor="text1"/>
          <w:sz w:val="20"/>
          <w:szCs w:val="20"/>
          <w:lang w:val="en-US"/>
        </w:rPr>
        <w:t>.</w:t>
      </w:r>
    </w:p>
    <w:p w14:paraId="16CD332E" w14:textId="3D01F1C4" w:rsidR="00A0492B" w:rsidRPr="00623C5B" w:rsidRDefault="00A0492B"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3.4. Characteristics of microbial pollution</w:t>
      </w:r>
    </w:p>
    <w:p w14:paraId="764D8AD4" w14:textId="51F04EA0" w:rsidR="00207F2F" w:rsidRPr="00623C5B" w:rsidRDefault="00207F2F"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As </w:t>
      </w:r>
      <w:r w:rsidRPr="00623C5B">
        <w:rPr>
          <w:rFonts w:ascii="Arial" w:hAnsi="Arial" w:cs="Arial"/>
          <w:color w:val="000000" w:themeColor="text1"/>
          <w:sz w:val="20"/>
          <w:szCs w:val="20"/>
        </w:rPr>
        <w:t>illustrated</w:t>
      </w:r>
      <w:r w:rsidRPr="00623C5B">
        <w:rPr>
          <w:rFonts w:ascii="Arial" w:hAnsi="Arial" w:cs="Arial"/>
          <w:color w:val="000000" w:themeColor="text1"/>
          <w:sz w:val="20"/>
          <w:szCs w:val="20"/>
          <w:lang w:val="en-US"/>
        </w:rPr>
        <w:t xml:space="preserve"> in Figure 5, total </w:t>
      </w:r>
      <w:r w:rsidR="005B1663" w:rsidRPr="00623C5B">
        <w:rPr>
          <w:rFonts w:ascii="Arial" w:hAnsi="Arial" w:cs="Arial"/>
          <w:color w:val="000000" w:themeColor="text1"/>
          <w:sz w:val="20"/>
          <w:szCs w:val="20"/>
          <w:lang w:val="en-US"/>
        </w:rPr>
        <w:t>c</w:t>
      </w:r>
      <w:r w:rsidRPr="00623C5B">
        <w:rPr>
          <w:rFonts w:ascii="Arial" w:hAnsi="Arial" w:cs="Arial"/>
          <w:color w:val="000000" w:themeColor="text1"/>
          <w:sz w:val="20"/>
          <w:szCs w:val="20"/>
          <w:lang w:val="en-US"/>
        </w:rPr>
        <w:t xml:space="preserve">oliforms levels remained elevated throughout both seasons, whereas </w:t>
      </w:r>
      <w:r w:rsidRPr="00623C5B">
        <w:rPr>
          <w:rFonts w:ascii="Arial" w:hAnsi="Arial" w:cs="Arial"/>
          <w:i/>
          <w:iCs/>
          <w:color w:val="000000" w:themeColor="text1"/>
          <w:sz w:val="20"/>
          <w:szCs w:val="20"/>
          <w:lang w:val="en-US"/>
        </w:rPr>
        <w:t>E. coli</w:t>
      </w:r>
      <w:r w:rsidRPr="00623C5B">
        <w:rPr>
          <w:rFonts w:ascii="Arial" w:hAnsi="Arial" w:cs="Arial"/>
          <w:color w:val="000000" w:themeColor="text1"/>
          <w:sz w:val="20"/>
          <w:szCs w:val="20"/>
          <w:lang w:val="en-US"/>
        </w:rPr>
        <w:t xml:space="preserve"> exhibited more pronounced fluctuations and greater dispersion during the rainy season. </w:t>
      </w:r>
      <w:r w:rsidR="00175096" w:rsidRPr="00623C5B">
        <w:rPr>
          <w:rFonts w:ascii="Arial" w:hAnsi="Arial" w:cs="Arial"/>
          <w:color w:val="000000" w:themeColor="text1"/>
          <w:sz w:val="20"/>
          <w:szCs w:val="20"/>
        </w:rPr>
        <w:t>The observed microbial contamination in Can Gio appears to be affected by both local sources and seasonal runoff, possibly originating from land and aquaculture operations. This observation is consistent with studies in the Xuan Thuy mangrove forest, where researchers documented substantial fluctuations in the diversity and decline rates of fecal indicator bacteria, depending on the prevailing environmental conditions within estuarine mangrove ecosystems.</w:t>
      </w:r>
      <w:r w:rsidR="00175096" w:rsidRPr="00623C5B">
        <w:rPr>
          <w:rFonts w:ascii="Arial" w:hAnsi="Arial" w:cs="Arial"/>
          <w:color w:val="000000" w:themeColor="text1"/>
          <w:sz w:val="20"/>
          <w:szCs w:val="20"/>
          <w:lang w:val="en-US"/>
        </w:rPr>
        <w:t xml:space="preserve"> </w:t>
      </w:r>
      <w:r w:rsidR="00175096" w:rsidRPr="00623C5B">
        <w:rPr>
          <w:rFonts w:ascii="Arial" w:hAnsi="Arial" w:cs="Arial"/>
          <w:color w:val="000000" w:themeColor="text1"/>
          <w:sz w:val="20"/>
          <w:szCs w:val="20"/>
        </w:rPr>
        <w:t xml:space="preserve">In addition, this finding aligns with a protracted study conducted in Dong Thap, where </w:t>
      </w:r>
      <w:r w:rsidR="00175096" w:rsidRPr="00623C5B">
        <w:rPr>
          <w:rFonts w:ascii="Arial" w:hAnsi="Arial" w:cs="Arial"/>
          <w:i/>
          <w:iCs/>
          <w:color w:val="000000" w:themeColor="text1"/>
          <w:sz w:val="20"/>
          <w:szCs w:val="20"/>
        </w:rPr>
        <w:t>E. coli</w:t>
      </w:r>
      <w:r w:rsidR="00175096" w:rsidRPr="00623C5B">
        <w:rPr>
          <w:rFonts w:ascii="Arial" w:hAnsi="Arial" w:cs="Arial"/>
          <w:color w:val="000000" w:themeColor="text1"/>
          <w:sz w:val="20"/>
          <w:szCs w:val="20"/>
        </w:rPr>
        <w:t xml:space="preserve"> levels exceeded the permissible threshold in 95.5% of the instances analyzed, thus designating it as a principal contaminant</w:t>
      </w:r>
      <w:r w:rsidR="00175096"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lang w:val="en-US"/>
        </w:rPr>
        <w:t>(Nguyen et al., 2022).</w:t>
      </w:r>
    </w:p>
    <w:p w14:paraId="7AC71EF6" w14:textId="42003DEA" w:rsidR="00401315" w:rsidRPr="00623C5B" w:rsidRDefault="00401315" w:rsidP="008E7CFA">
      <w:pPr>
        <w:spacing w:line="240" w:lineRule="auto"/>
        <w:ind w:firstLine="0"/>
        <w:rPr>
          <w:rFonts w:ascii="Arial" w:hAnsi="Arial" w:cs="Arial"/>
          <w:color w:val="000000" w:themeColor="text1"/>
          <w:sz w:val="20"/>
          <w:szCs w:val="20"/>
          <w:lang w:val="en-US"/>
        </w:rPr>
      </w:pPr>
      <w:r w:rsidRPr="00623C5B">
        <w:rPr>
          <w:noProof/>
          <w:color w:val="000000" w:themeColor="text1"/>
        </w:rPr>
        <mc:AlternateContent>
          <mc:Choice Requires="cx1">
            <w:drawing>
              <wp:inline distT="0" distB="0" distL="0" distR="0" wp14:anchorId="1E541473" wp14:editId="26A67EAB">
                <wp:extent cx="5781040" cy="2583305"/>
                <wp:effectExtent l="0" t="0" r="10160" b="7620"/>
                <wp:docPr id="825188174" name="Chart 1">
                  <a:extLst xmlns:a="http://schemas.openxmlformats.org/drawingml/2006/main">
                    <a:ext uri="{FF2B5EF4-FFF2-40B4-BE49-F238E27FC236}">
                      <a16:creationId xmlns:a16="http://schemas.microsoft.com/office/drawing/2014/main" id="{BFE5A515-5C93-E270-C94B-BE5BC3874EB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E541473" wp14:editId="26A67EAB">
                <wp:extent cx="5781040" cy="2583305"/>
                <wp:effectExtent l="0" t="0" r="10160" b="7620"/>
                <wp:docPr id="825188174" name="Chart 1">
                  <a:extLst xmlns:a="http://schemas.openxmlformats.org/drawingml/2006/main">
                    <a:ext uri="{FF2B5EF4-FFF2-40B4-BE49-F238E27FC236}">
                      <a16:creationId xmlns:a16="http://schemas.microsoft.com/office/drawing/2014/main" id="{BFE5A515-5C93-E270-C94B-BE5BC3874EB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25188174" name="Chart 1">
                          <a:extLst>
                            <a:ext uri="{FF2B5EF4-FFF2-40B4-BE49-F238E27FC236}">
                              <a16:creationId xmlns:a16="http://schemas.microsoft.com/office/drawing/2014/main" id="{BFE5A515-5C93-E270-C94B-BE5BC3874EB7}"/>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5781040" cy="2583180"/>
                        </a:xfrm>
                        <a:prstGeom prst="rect">
                          <a:avLst/>
                        </a:prstGeom>
                      </pic:spPr>
                    </pic:pic>
                  </a:graphicData>
                </a:graphic>
              </wp:inline>
            </w:drawing>
          </mc:Fallback>
        </mc:AlternateContent>
      </w:r>
    </w:p>
    <w:p w14:paraId="5A0F6732" w14:textId="625E00EC" w:rsidR="005A40AD" w:rsidRPr="00623C5B" w:rsidRDefault="005A40AD" w:rsidP="007F5B9E">
      <w:pPr>
        <w:spacing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rPr>
        <w:t xml:space="preserve">Figure 5. </w:t>
      </w:r>
      <w:r w:rsidR="00EA4F1E" w:rsidRPr="00623C5B">
        <w:rPr>
          <w:rFonts w:ascii="Arial" w:hAnsi="Arial" w:cs="Arial"/>
          <w:color w:val="000000" w:themeColor="text1"/>
          <w:sz w:val="20"/>
          <w:szCs w:val="20"/>
        </w:rPr>
        <w:t xml:space="preserve">Seasonal variation of microbial indicators (total </w:t>
      </w:r>
      <w:r w:rsidR="005B1663" w:rsidRPr="00623C5B">
        <w:rPr>
          <w:rFonts w:ascii="Arial" w:hAnsi="Arial" w:cs="Arial"/>
          <w:color w:val="000000" w:themeColor="text1"/>
          <w:sz w:val="20"/>
          <w:szCs w:val="20"/>
          <w:lang w:val="en-US"/>
        </w:rPr>
        <w:t>c</w:t>
      </w:r>
      <w:r w:rsidR="00EA4F1E" w:rsidRPr="00623C5B">
        <w:rPr>
          <w:rFonts w:ascii="Arial" w:hAnsi="Arial" w:cs="Arial"/>
          <w:color w:val="000000" w:themeColor="text1"/>
          <w:sz w:val="20"/>
          <w:szCs w:val="20"/>
        </w:rPr>
        <w:t>oliform and Escherichia coli) in surface water of the Can Gio estuary, Vietnam. Boxplots illustrate spatial variability between dry and rainy seasons, with increased microbial abundance in the rainy season likely associated with runoff from surrounding land and aquaculture areas.</w:t>
      </w:r>
    </w:p>
    <w:p w14:paraId="499668C5" w14:textId="202E2F39" w:rsidR="008C7DF5" w:rsidRPr="00623C5B" w:rsidRDefault="008C7DF5"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The present findings are also in agreement with broader studies indicating that fecal indicator bacteria are useful markers of surface-water contamination, especially in systems affected by mixed human and agricultural sources (Holcomb &amp; Stewart, 2020; Jamieson et al., 2004; de Brauwere et al., 2014)</w:t>
      </w:r>
      <w:r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rPr>
        <w:t xml:space="preserve">Comparative analyses with regional and global studies further support this interpretation. A recent review of aquaculture wastewater highlights that such discharges contain not only organic matter and nutrients but also biological pollutants, thereby increasing the risk of water quality degradation and environmental health impacts (Liu et al., 2024). Similarly, Brauns (2024) reported the co-occurrence of microbial indicators and organic contaminants in impacted waters, suggesting that mixed-source pollution should be considered when interpreting microbial results. Consequently, the consistently elevated total coliforms detected in Can Gio in both seasons, together with the stronger fluctuation of </w:t>
      </w:r>
      <w:r w:rsidRPr="00623C5B">
        <w:rPr>
          <w:rFonts w:ascii="Arial" w:hAnsi="Arial" w:cs="Arial"/>
          <w:i/>
          <w:iCs/>
          <w:color w:val="000000" w:themeColor="text1"/>
          <w:sz w:val="20"/>
          <w:szCs w:val="20"/>
        </w:rPr>
        <w:t>E. coli</w:t>
      </w:r>
      <w:r w:rsidRPr="00623C5B">
        <w:rPr>
          <w:rFonts w:ascii="Arial" w:hAnsi="Arial" w:cs="Arial"/>
          <w:color w:val="000000" w:themeColor="text1"/>
          <w:sz w:val="20"/>
          <w:szCs w:val="20"/>
        </w:rPr>
        <w:t xml:space="preserve"> in the rainy season, suggest persistent background microbial contamination together with an additional seasonal contribution from runoff.</w:t>
      </w:r>
    </w:p>
    <w:p w14:paraId="2FDB2841" w14:textId="603D7D76" w:rsidR="00A0492B" w:rsidRPr="00623C5B" w:rsidRDefault="00A0492B"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3.5. Relationship between organic pollution and dissolved oxygen</w:t>
      </w:r>
    </w:p>
    <w:p w14:paraId="05A40F80" w14:textId="4DC7DE95" w:rsidR="00A0492B" w:rsidRPr="00623C5B" w:rsidRDefault="00624203"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lastRenderedPageBreak/>
        <w:t>At the seasonal scale, the dry season tended to be associated with higher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/COD and lower DO</w:t>
      </w:r>
      <w:r w:rsidR="008C7DF5" w:rsidRPr="00623C5B">
        <w:rPr>
          <w:rFonts w:ascii="Arial" w:hAnsi="Arial" w:cs="Arial"/>
          <w:color w:val="000000" w:themeColor="text1"/>
          <w:sz w:val="20"/>
          <w:szCs w:val="20"/>
          <w:lang w:val="en-US"/>
        </w:rPr>
        <w:t>.</w:t>
      </w:r>
      <w:r w:rsidR="007649CA" w:rsidRPr="00623C5B">
        <w:rPr>
          <w:rFonts w:ascii="Arial" w:hAnsi="Arial" w:cs="Arial"/>
          <w:color w:val="000000" w:themeColor="text1"/>
          <w:sz w:val="20"/>
          <w:szCs w:val="20"/>
        </w:rPr>
        <w:t xml:space="preserve"> </w:t>
      </w:r>
      <w:r w:rsidR="008C7DF5" w:rsidRPr="00623C5B">
        <w:rPr>
          <w:rFonts w:ascii="Arial" w:hAnsi="Arial" w:cs="Arial"/>
          <w:color w:val="000000" w:themeColor="text1"/>
          <w:sz w:val="20"/>
          <w:szCs w:val="20"/>
          <w:lang w:val="en-US"/>
        </w:rPr>
        <w:t>H</w:t>
      </w:r>
      <w:r w:rsidR="008C7DF5" w:rsidRPr="00623C5B">
        <w:rPr>
          <w:rFonts w:ascii="Arial" w:hAnsi="Arial" w:cs="Arial"/>
          <w:color w:val="000000" w:themeColor="text1"/>
          <w:sz w:val="20"/>
          <w:szCs w:val="20"/>
        </w:rPr>
        <w:t>owever</w:t>
      </w:r>
      <w:r w:rsidR="008C7DF5" w:rsidRPr="00623C5B">
        <w:rPr>
          <w:rFonts w:ascii="Arial" w:hAnsi="Arial" w:cs="Arial"/>
          <w:color w:val="000000" w:themeColor="text1"/>
          <w:sz w:val="20"/>
          <w:szCs w:val="20"/>
          <w:lang w:val="en-US"/>
        </w:rPr>
        <w:t>,</w:t>
      </w:r>
      <w:r w:rsidR="007649CA" w:rsidRPr="00623C5B">
        <w:rPr>
          <w:rFonts w:ascii="Arial" w:hAnsi="Arial" w:cs="Arial"/>
          <w:color w:val="000000" w:themeColor="text1"/>
          <w:sz w:val="20"/>
          <w:szCs w:val="20"/>
        </w:rPr>
        <w:t xml:space="preserve"> at the point-by-point spatial scale, BOD</w:t>
      </w:r>
      <w:r w:rsidR="007649CA" w:rsidRPr="00623C5B">
        <w:rPr>
          <w:rFonts w:ascii="Cambria Math" w:hAnsi="Cambria Math" w:cs="Cambria Math"/>
          <w:color w:val="000000" w:themeColor="text1"/>
          <w:sz w:val="20"/>
          <w:szCs w:val="20"/>
        </w:rPr>
        <w:t>₅</w:t>
      </w:r>
      <w:r w:rsidR="007649CA" w:rsidRPr="00623C5B">
        <w:rPr>
          <w:rFonts w:ascii="Arial" w:hAnsi="Arial" w:cs="Arial"/>
          <w:color w:val="000000" w:themeColor="text1"/>
          <w:sz w:val="20"/>
          <w:szCs w:val="20"/>
        </w:rPr>
        <w:t xml:space="preserve"> alone is insufficient to explain DO fluctuations. </w:t>
      </w:r>
      <w:r w:rsidRPr="00623C5B">
        <w:rPr>
          <w:rFonts w:ascii="Arial" w:hAnsi="Arial" w:cs="Arial"/>
          <w:color w:val="000000" w:themeColor="text1"/>
          <w:sz w:val="20"/>
          <w:szCs w:val="20"/>
        </w:rPr>
        <w:t>This interpretation is consistent with the 2025 Can Gio study, which reported more severe organic pollution during the dry season and suggested seasonal oxygen stress, but it does not imply a strong negative linear relationship between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and DO at every site </w:t>
      </w:r>
      <w:r w:rsidR="00C97255" w:rsidRPr="00623C5B">
        <w:rPr>
          <w:rFonts w:ascii="Arial" w:hAnsi="Arial" w:cs="Arial"/>
          <w:color w:val="000000" w:themeColor="text1"/>
          <w:sz w:val="20"/>
          <w:szCs w:val="20"/>
        </w:rPr>
        <w:t>(Trung et al., 2025).</w:t>
      </w:r>
    </w:p>
    <w:p w14:paraId="4BF64F1F" w14:textId="30C3B51F" w:rsidR="00C63BEB" w:rsidRPr="00623C5B" w:rsidRDefault="00C63BEB" w:rsidP="008E7CFA">
      <w:pPr>
        <w:spacing w:line="240" w:lineRule="auto"/>
        <w:ind w:firstLine="0"/>
        <w:rPr>
          <w:rFonts w:ascii="Arial" w:hAnsi="Arial" w:cs="Arial"/>
          <w:color w:val="000000" w:themeColor="text1"/>
          <w:sz w:val="20"/>
          <w:szCs w:val="20"/>
          <w:lang w:val="en-US"/>
        </w:rPr>
      </w:pPr>
      <w:r w:rsidRPr="00623C5B">
        <w:rPr>
          <w:noProof/>
          <w:color w:val="000000" w:themeColor="text1"/>
        </w:rPr>
        <w:drawing>
          <wp:inline distT="0" distB="0" distL="0" distR="0" wp14:anchorId="5F082B6B" wp14:editId="2A57F45B">
            <wp:extent cx="5730875" cy="2228538"/>
            <wp:effectExtent l="0" t="0" r="3175" b="635"/>
            <wp:docPr id="1708308080" name="Chart 1">
              <a:extLst xmlns:a="http://schemas.openxmlformats.org/drawingml/2006/main">
                <a:ext uri="{FF2B5EF4-FFF2-40B4-BE49-F238E27FC236}">
                  <a16:creationId xmlns:a16="http://schemas.microsoft.com/office/drawing/2014/main" id="{8D26356E-FA69-B248-A5B7-3109CEFCFD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23AA04" w14:textId="4BD35DAC" w:rsidR="005A40AD" w:rsidRPr="00623C5B" w:rsidRDefault="005A40AD" w:rsidP="007F5B9E">
      <w:pPr>
        <w:spacing w:line="240" w:lineRule="auto"/>
        <w:ind w:firstLine="0"/>
        <w:rPr>
          <w:rFonts w:ascii="Arial" w:hAnsi="Arial" w:cs="Arial"/>
          <w:color w:val="000000" w:themeColor="text1"/>
          <w:sz w:val="20"/>
          <w:szCs w:val="20"/>
          <w:lang w:val="en-US"/>
        </w:rPr>
      </w:pPr>
      <w:r w:rsidRPr="00623C5B">
        <w:rPr>
          <w:rFonts w:ascii="Arial" w:hAnsi="Arial" w:cs="Arial"/>
          <w:b/>
          <w:bCs/>
          <w:color w:val="000000" w:themeColor="text1"/>
          <w:sz w:val="20"/>
          <w:szCs w:val="20"/>
        </w:rPr>
        <w:t>Figure 6.</w:t>
      </w:r>
      <w:r w:rsidRPr="00623C5B">
        <w:rPr>
          <w:rFonts w:ascii="Arial" w:hAnsi="Arial" w:cs="Arial"/>
          <w:color w:val="000000" w:themeColor="text1"/>
          <w:sz w:val="20"/>
          <w:szCs w:val="20"/>
        </w:rPr>
        <w:t xml:space="preserve"> Relationship between biochemical oxygen demand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and dissolved oxygen (DO) in surface water of the Can Gio estuary, Vietnam. Points represent dry and rainy seasons. Linear regression indicates a weak positive relationship between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and DO.</w:t>
      </w:r>
    </w:p>
    <w:p w14:paraId="7488AB19" w14:textId="73F67427" w:rsidR="008C7DF5" w:rsidRPr="00623C5B" w:rsidRDefault="008C7DF5"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From the perspective of estuarine ecology, this is a reasonable result. Recent reviews show that coastal wetlands and estuarine water quality are simultaneously influenced by rainfall, tides, salinity, water stratification, photosynthesis, respiration, atmospheric exchange, and loads from the basin (Goutami &amp; Patil, 2025). The study in Sundarban also shows that water quality can fluctuate strongly with both seasons and years under the influence of climate and hydrology (Mondal et al., 2024). In addition, Biedunkova (2025) emphasized that organic pollution indicators should be interpreted together with the environmental setting rather than in isolation</w:t>
      </w:r>
      <w:r w:rsidR="007D3C8C" w:rsidRPr="00623C5B">
        <w:rPr>
          <w:rFonts w:ascii="Arial" w:hAnsi="Arial" w:cs="Arial"/>
          <w:color w:val="000000" w:themeColor="text1"/>
          <w:sz w:val="20"/>
          <w:szCs w:val="20"/>
          <w:lang w:val="en-US"/>
        </w:rPr>
        <w:t>.</w:t>
      </w:r>
      <w:r w:rsidRPr="00623C5B">
        <w:rPr>
          <w:rFonts w:ascii="Arial" w:hAnsi="Arial" w:cs="Arial"/>
          <w:b/>
          <w:bCs/>
          <w:color w:val="000000" w:themeColor="text1"/>
          <w:sz w:val="20"/>
          <w:szCs w:val="20"/>
        </w:rPr>
        <w:t xml:space="preserve"> </w:t>
      </w:r>
      <w:r w:rsidRPr="00623C5B">
        <w:rPr>
          <w:rFonts w:ascii="Arial" w:hAnsi="Arial" w:cs="Arial"/>
          <w:color w:val="000000" w:themeColor="text1"/>
          <w:sz w:val="20"/>
          <w:szCs w:val="20"/>
        </w:rPr>
        <w:t xml:space="preserve">Therefore, </w:t>
      </w:r>
      <w:r w:rsidR="007D3C8C" w:rsidRPr="00623C5B">
        <w:rPr>
          <w:rFonts w:ascii="Arial" w:hAnsi="Arial" w:cs="Arial"/>
          <w:color w:val="000000" w:themeColor="text1"/>
          <w:sz w:val="20"/>
          <w:szCs w:val="20"/>
          <w:lang w:val="en-US"/>
        </w:rPr>
        <w:t xml:space="preserve">for </w:t>
      </w:r>
      <w:r w:rsidRPr="00623C5B">
        <w:rPr>
          <w:rFonts w:ascii="Arial" w:hAnsi="Arial" w:cs="Arial"/>
          <w:color w:val="000000" w:themeColor="text1"/>
          <w:sz w:val="20"/>
          <w:szCs w:val="20"/>
        </w:rPr>
        <w:t>Can Gio, DO should be viewed as a variable influenced by both organic loading and hydrodynamic conditions, rather than being determined by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 xml:space="preserve"> alone.</w:t>
      </w:r>
    </w:p>
    <w:p w14:paraId="61C39B2B" w14:textId="7F1FE31D" w:rsidR="00A0492B" w:rsidRPr="00623C5B" w:rsidRDefault="00A0492B"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t xml:space="preserve">3.6. </w:t>
      </w:r>
      <w:r w:rsidR="00624203" w:rsidRPr="00623C5B">
        <w:rPr>
          <w:rFonts w:ascii="Arial" w:hAnsi="Arial" w:cs="Arial"/>
          <w:b/>
          <w:bCs/>
          <w:color w:val="000000" w:themeColor="text1"/>
          <w:sz w:val="22"/>
        </w:rPr>
        <w:t>Relationship between organic and microbial pollution</w:t>
      </w:r>
    </w:p>
    <w:p w14:paraId="12BB8D6D" w14:textId="1DD603D4" w:rsidR="00552CE4" w:rsidRPr="00623C5B" w:rsidRDefault="00552CE4"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When comparing Figure 3 and Figure 5, it can be seen that organic pollution and microbial pollution </w:t>
      </w:r>
      <w:r w:rsidR="00C54E4B" w:rsidRPr="00623C5B">
        <w:rPr>
          <w:rFonts w:ascii="Arial" w:hAnsi="Arial" w:cs="Arial"/>
          <w:color w:val="000000" w:themeColor="text1"/>
          <w:sz w:val="20"/>
          <w:szCs w:val="20"/>
        </w:rPr>
        <w:t xml:space="preserve">tend to co-occur </w:t>
      </w:r>
      <w:r w:rsidRPr="00623C5B">
        <w:rPr>
          <w:rFonts w:ascii="Arial" w:hAnsi="Arial" w:cs="Arial"/>
          <w:color w:val="000000" w:themeColor="text1"/>
          <w:sz w:val="20"/>
          <w:szCs w:val="20"/>
        </w:rPr>
        <w:t xml:space="preserve">in areas strongly affected by human activities, but </w:t>
      </w:r>
      <w:r w:rsidR="00C54E4B" w:rsidRPr="00623C5B">
        <w:rPr>
          <w:rFonts w:ascii="Arial" w:hAnsi="Arial" w:cs="Arial"/>
          <w:color w:val="000000" w:themeColor="text1"/>
          <w:sz w:val="20"/>
          <w:szCs w:val="20"/>
        </w:rPr>
        <w:t>their magnitudes were not uniform across all sites</w:t>
      </w:r>
      <w:r w:rsidRPr="00623C5B">
        <w:rPr>
          <w:rFonts w:ascii="Arial" w:hAnsi="Arial" w:cs="Arial"/>
          <w:color w:val="000000" w:themeColor="text1"/>
          <w:sz w:val="20"/>
          <w:szCs w:val="20"/>
        </w:rPr>
        <w:t>. Some locations with high BOD</w:t>
      </w:r>
      <w:r w:rsidRPr="00623C5B">
        <w:rPr>
          <w:rFonts w:ascii="Cambria Math" w:hAnsi="Cambria Math" w:cs="Cambria Math"/>
          <w:color w:val="000000" w:themeColor="text1"/>
          <w:sz w:val="20"/>
          <w:szCs w:val="20"/>
        </w:rPr>
        <w:t>₅</w:t>
      </w:r>
      <w:r w:rsidRPr="00623C5B">
        <w:rPr>
          <w:rFonts w:ascii="Arial" w:hAnsi="Arial" w:cs="Arial"/>
          <w:color w:val="000000" w:themeColor="text1"/>
          <w:sz w:val="20"/>
          <w:szCs w:val="20"/>
        </w:rPr>
        <w:t>/COD also show high microbial densities, especially during the rainy season, suggesting a synergy between organic waste, domestic wastewater, and leaching runoff from farms or residential areas.</w:t>
      </w:r>
    </w:p>
    <w:p w14:paraId="61EDD757" w14:textId="03519CED" w:rsidR="007D3C8C" w:rsidRPr="00623C5B" w:rsidRDefault="007D3C8C" w:rsidP="007D3C8C">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This interpretation is consistent with the literature showing that microbial indicators often increase in surface waters receiving mixed organic and fecal inputs, although the strength of the association may vary depending on transport conditions, hydrology, and source characteristics (Jamieson et al., 2004; Holcomb &amp; Stewart, 2020; de </w:t>
      </w:r>
      <w:proofErr w:type="spellStart"/>
      <w:r w:rsidRPr="00623C5B">
        <w:rPr>
          <w:rFonts w:ascii="Arial" w:hAnsi="Arial" w:cs="Arial"/>
          <w:color w:val="000000" w:themeColor="text1"/>
          <w:sz w:val="20"/>
          <w:szCs w:val="20"/>
          <w:lang w:val="en-US"/>
        </w:rPr>
        <w:t>Brauwere</w:t>
      </w:r>
      <w:proofErr w:type="spellEnd"/>
      <w:r w:rsidRPr="00623C5B">
        <w:rPr>
          <w:rFonts w:ascii="Arial" w:hAnsi="Arial" w:cs="Arial"/>
          <w:color w:val="000000" w:themeColor="text1"/>
          <w:sz w:val="20"/>
          <w:szCs w:val="20"/>
          <w:lang w:val="en-US"/>
        </w:rPr>
        <w:t xml:space="preserve"> et al., 2014). </w:t>
      </w:r>
      <w:proofErr w:type="spellStart"/>
      <w:r w:rsidRPr="00623C5B">
        <w:rPr>
          <w:rFonts w:ascii="Arial" w:hAnsi="Arial" w:cs="Arial"/>
          <w:color w:val="000000" w:themeColor="text1"/>
          <w:sz w:val="20"/>
          <w:szCs w:val="20"/>
          <w:lang w:val="en-US"/>
        </w:rPr>
        <w:t>Brauns</w:t>
      </w:r>
      <w:proofErr w:type="spellEnd"/>
      <w:r w:rsidRPr="00623C5B">
        <w:rPr>
          <w:rFonts w:ascii="Arial" w:hAnsi="Arial" w:cs="Arial"/>
          <w:color w:val="000000" w:themeColor="text1"/>
          <w:sz w:val="20"/>
          <w:szCs w:val="20"/>
          <w:lang w:val="en-US"/>
        </w:rPr>
        <w:t xml:space="preserve"> (2024) likewise reported that microbial indicators may co-occur with other pollution markers in human-impacted waters. However, this association should be interpreted as suggestive rather than strong, as the current graph does not provide a direct statistical analysis between organic and microbiological indicators. In other words, microbial pollution in Can </w:t>
      </w:r>
      <w:proofErr w:type="spellStart"/>
      <w:r w:rsidRPr="00623C5B">
        <w:rPr>
          <w:rFonts w:ascii="Arial" w:hAnsi="Arial" w:cs="Arial"/>
          <w:color w:val="000000" w:themeColor="text1"/>
          <w:sz w:val="20"/>
          <w:szCs w:val="20"/>
          <w:lang w:val="en-US"/>
        </w:rPr>
        <w:t>Gio</w:t>
      </w:r>
      <w:proofErr w:type="spellEnd"/>
      <w:r w:rsidRPr="00623C5B">
        <w:rPr>
          <w:rFonts w:ascii="Arial" w:hAnsi="Arial" w:cs="Arial"/>
          <w:color w:val="000000" w:themeColor="text1"/>
          <w:sz w:val="20"/>
          <w:szCs w:val="20"/>
          <w:lang w:val="en-US"/>
        </w:rPr>
        <w:t xml:space="preserve"> likely reflects not only the amount of biodegradable organic matter, but also direct fecal inputs from domestic wastewater and other local sources. Therefore, the present results support the interpretation of mixed-source pollution rather than a simple one-to-one relationship between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lang w:val="en-US"/>
        </w:rPr>
        <w:t xml:space="preserve">/COD and microbial indicators. </w:t>
      </w:r>
    </w:p>
    <w:p w14:paraId="6C74B279" w14:textId="77777777" w:rsidR="00C92110" w:rsidRPr="00623C5B" w:rsidRDefault="00C92110" w:rsidP="00C92110">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lang w:val="en-US"/>
        </w:rPr>
        <w:t xml:space="preserve">3.7. </w:t>
      </w:r>
      <w:r w:rsidRPr="00623C5B">
        <w:rPr>
          <w:rFonts w:ascii="Arial" w:hAnsi="Arial" w:cs="Arial"/>
          <w:b/>
          <w:bCs/>
          <w:color w:val="000000" w:themeColor="text1"/>
          <w:sz w:val="22"/>
        </w:rPr>
        <w:t>Limitations</w:t>
      </w:r>
      <w:r w:rsidRPr="00623C5B">
        <w:rPr>
          <w:rFonts w:ascii="Arial" w:hAnsi="Arial" w:cs="Arial"/>
          <w:b/>
          <w:bCs/>
          <w:color w:val="000000" w:themeColor="text1"/>
          <w:sz w:val="22"/>
          <w:lang w:val="en-US"/>
        </w:rPr>
        <w:t xml:space="preserve"> of the study</w:t>
      </w:r>
    </w:p>
    <w:p w14:paraId="53EFB096" w14:textId="77777777" w:rsidR="00C92110" w:rsidRPr="00623C5B" w:rsidRDefault="00C92110" w:rsidP="00C92110">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This study has some limitations. First, it is a secondary analysis based on previously published monitoring data, and no new field sampling or laboratory measurements were conducted. Second, the interpretation depends on the accuracy and completeness of the original data sources. Third, the present analysis is mainly descriptive; therefore, the observed relationships among organic pollution, microbial indicators, and dissolved oxygen should be interpreted with caution. Future studies should include broader datasets and additional statistical analyses to better clarify pollution sources and water quality processes in the Can </w:t>
      </w:r>
      <w:proofErr w:type="spellStart"/>
      <w:r w:rsidRPr="00623C5B">
        <w:rPr>
          <w:rFonts w:ascii="Arial" w:hAnsi="Arial" w:cs="Arial"/>
          <w:color w:val="000000" w:themeColor="text1"/>
          <w:sz w:val="20"/>
          <w:szCs w:val="20"/>
          <w:lang w:val="en-US"/>
        </w:rPr>
        <w:t>Gio</w:t>
      </w:r>
      <w:proofErr w:type="spellEnd"/>
      <w:r w:rsidRPr="00623C5B">
        <w:rPr>
          <w:rFonts w:ascii="Arial" w:hAnsi="Arial" w:cs="Arial"/>
          <w:color w:val="000000" w:themeColor="text1"/>
          <w:sz w:val="20"/>
          <w:szCs w:val="20"/>
          <w:lang w:val="en-US"/>
        </w:rPr>
        <w:t xml:space="preserve"> estuary.</w:t>
      </w:r>
    </w:p>
    <w:p w14:paraId="6AC733B1" w14:textId="1893FC65" w:rsidR="008A5724" w:rsidRPr="00623C5B" w:rsidRDefault="008A5724" w:rsidP="007F5B9E">
      <w:pPr>
        <w:spacing w:line="240" w:lineRule="auto"/>
        <w:ind w:firstLine="0"/>
        <w:rPr>
          <w:rFonts w:ascii="Arial" w:hAnsi="Arial" w:cs="Arial"/>
          <w:b/>
          <w:bCs/>
          <w:color w:val="000000" w:themeColor="text1"/>
          <w:sz w:val="22"/>
          <w:lang w:val="en-US"/>
        </w:rPr>
      </w:pPr>
      <w:r w:rsidRPr="00623C5B">
        <w:rPr>
          <w:rFonts w:ascii="Arial" w:hAnsi="Arial" w:cs="Arial"/>
          <w:b/>
          <w:bCs/>
          <w:color w:val="000000" w:themeColor="text1"/>
          <w:sz w:val="22"/>
        </w:rPr>
        <w:lastRenderedPageBreak/>
        <w:t>4. CONCLUSION</w:t>
      </w:r>
    </w:p>
    <w:p w14:paraId="392D4D39" w14:textId="5F11F109" w:rsidR="00C92110" w:rsidRPr="00623C5B" w:rsidRDefault="00C92110" w:rsidP="009848C1">
      <w:pPr>
        <w:spacing w:line="240" w:lineRule="auto"/>
        <w:ind w:firstLine="426"/>
        <w:rPr>
          <w:rFonts w:ascii="Arial" w:hAnsi="Arial" w:cs="Arial"/>
          <w:color w:val="000000" w:themeColor="text1"/>
          <w:sz w:val="20"/>
          <w:szCs w:val="20"/>
          <w:lang w:val="en-US"/>
        </w:rPr>
      </w:pPr>
      <w:r w:rsidRPr="00623C5B">
        <w:rPr>
          <w:rFonts w:ascii="Arial" w:hAnsi="Arial" w:cs="Arial"/>
          <w:color w:val="000000" w:themeColor="text1"/>
          <w:sz w:val="20"/>
          <w:szCs w:val="20"/>
        </w:rPr>
        <w:t>The results indicate that surface water quality in the Can Gio estuary varies by both season and sampling site. Organic pollution was generally higher in the dry season, with elevated BOD</w:t>
      </w:r>
      <w:r w:rsidRPr="00623C5B">
        <w:rPr>
          <w:rFonts w:ascii="Arial" w:hAnsi="Arial" w:cs="Arial"/>
          <w:color w:val="000000" w:themeColor="text1"/>
          <w:sz w:val="20"/>
          <w:szCs w:val="20"/>
          <w:vertAlign w:val="subscript"/>
          <w:lang w:val="en-US"/>
        </w:rPr>
        <w:t>5</w:t>
      </w:r>
      <w:r w:rsidRPr="00623C5B">
        <w:rPr>
          <w:rFonts w:ascii="Arial" w:hAnsi="Arial" w:cs="Arial"/>
          <w:color w:val="000000" w:themeColor="text1"/>
          <w:sz w:val="20"/>
          <w:szCs w:val="20"/>
        </w:rPr>
        <w:t xml:space="preserve"> and COD and relatively lower DO, while several locations showed probable pollution hotspots associated with local human activities such as aquaculture and domestic wastewater discharge. Among the nutrient variables, NO</w:t>
      </w:r>
      <w:r w:rsidRPr="00623C5B">
        <w:rPr>
          <w:rFonts w:ascii="Arial" w:hAnsi="Arial" w:cs="Arial"/>
          <w:color w:val="000000" w:themeColor="text1"/>
          <w:sz w:val="20"/>
          <w:szCs w:val="20"/>
          <w:vertAlign w:val="subscript"/>
          <w:lang w:val="en-US"/>
        </w:rPr>
        <w:t>2</w:t>
      </w:r>
      <w:r w:rsidRPr="00623C5B">
        <w:rPr>
          <w:rFonts w:ascii="Arial" w:hAnsi="Arial" w:cs="Arial"/>
          <w:color w:val="000000" w:themeColor="text1"/>
          <w:sz w:val="20"/>
          <w:szCs w:val="20"/>
          <w:vertAlign w:val="superscript"/>
          <w:lang w:val="en-US"/>
        </w:rPr>
        <w:t>-</w:t>
      </w:r>
      <w:r w:rsidRPr="00623C5B">
        <w:rPr>
          <w:rFonts w:ascii="Arial" w:hAnsi="Arial" w:cs="Arial"/>
          <w:color w:val="000000" w:themeColor="text1"/>
          <w:sz w:val="20"/>
          <w:szCs w:val="20"/>
        </w:rPr>
        <w:t xml:space="preserve"> showed the clearest seasonal variation, whereas total coliform and </w:t>
      </w:r>
      <w:r w:rsidRPr="00623C5B">
        <w:rPr>
          <w:rFonts w:ascii="Arial" w:hAnsi="Arial" w:cs="Arial"/>
          <w:i/>
          <w:iCs/>
          <w:color w:val="000000" w:themeColor="text1"/>
          <w:sz w:val="20"/>
          <w:szCs w:val="20"/>
        </w:rPr>
        <w:t>E. coli</w:t>
      </w:r>
      <w:r w:rsidRPr="00623C5B">
        <w:rPr>
          <w:rFonts w:ascii="Arial" w:hAnsi="Arial" w:cs="Arial"/>
          <w:color w:val="000000" w:themeColor="text1"/>
          <w:sz w:val="20"/>
          <w:szCs w:val="20"/>
        </w:rPr>
        <w:t xml:space="preserve"> indicated persistent microbial contamination in both seasons. Overall, the findings suggest that the Can Gio estuary is under pressure from mixed organic and microbial pollution, and that priority should be given to monitoring pollution hotspots and dry-season conditions in support of surface water quality management.</w:t>
      </w:r>
    </w:p>
    <w:p w14:paraId="25DC0248" w14:textId="77777777" w:rsidR="00243B90" w:rsidRPr="00623C5B" w:rsidRDefault="00243B90" w:rsidP="008E7CFA">
      <w:pPr>
        <w:spacing w:before="120" w:line="240" w:lineRule="auto"/>
        <w:ind w:firstLine="0"/>
        <w:rPr>
          <w:rFonts w:ascii="Arial" w:hAnsi="Arial" w:cs="Arial"/>
          <w:b/>
          <w:bCs/>
          <w:color w:val="000000" w:themeColor="text1"/>
          <w:sz w:val="20"/>
          <w:szCs w:val="20"/>
          <w:lang w:val="en-US"/>
        </w:rPr>
      </w:pPr>
      <w:r w:rsidRPr="00623C5B">
        <w:rPr>
          <w:rFonts w:ascii="Arial" w:hAnsi="Arial" w:cs="Arial"/>
          <w:b/>
          <w:bCs/>
          <w:color w:val="000000" w:themeColor="text1"/>
          <w:sz w:val="20"/>
          <w:szCs w:val="20"/>
        </w:rPr>
        <w:t>DISCLAIMER (ARTIFICIAL INTELLIGENCE)</w:t>
      </w:r>
    </w:p>
    <w:p w14:paraId="04505768" w14:textId="77777777" w:rsidR="00243B90" w:rsidRPr="00623C5B" w:rsidRDefault="00243B90" w:rsidP="008E7CFA">
      <w:pPr>
        <w:spacing w:line="240" w:lineRule="auto"/>
        <w:ind w:firstLine="0"/>
        <w:rPr>
          <w:rFonts w:ascii="Arial" w:hAnsi="Arial" w:cs="Arial"/>
          <w:color w:val="000000" w:themeColor="text1"/>
          <w:sz w:val="20"/>
          <w:szCs w:val="20"/>
          <w:lang w:val="en-US"/>
        </w:rPr>
      </w:pPr>
      <w:r w:rsidRPr="00623C5B">
        <w:rPr>
          <w:rFonts w:ascii="Arial" w:hAnsi="Arial" w:cs="Arial"/>
          <w:color w:val="000000" w:themeColor="text1"/>
          <w:sz w:val="20"/>
          <w:szCs w:val="20"/>
          <w:lang w:val="en-US"/>
        </w:rPr>
        <w:t>Author</w:t>
      </w:r>
      <w:r w:rsidRPr="00623C5B">
        <w:rPr>
          <w:rFonts w:ascii="Arial" w:hAnsi="Arial" w:cs="Arial"/>
          <w:color w:val="000000" w:themeColor="text1"/>
          <w:sz w:val="20"/>
          <w:szCs w:val="20"/>
        </w:rPr>
        <w:t>(</w:t>
      </w:r>
      <w:proofErr w:type="gramStart"/>
      <w:r w:rsidRPr="00623C5B">
        <w:rPr>
          <w:rFonts w:ascii="Arial" w:hAnsi="Arial" w:cs="Arial"/>
          <w:color w:val="000000" w:themeColor="text1"/>
          <w:sz w:val="20"/>
          <w:szCs w:val="20"/>
        </w:rPr>
        <w:t>s)  hereby</w:t>
      </w:r>
      <w:proofErr w:type="gramEnd"/>
      <w:r w:rsidRPr="00623C5B">
        <w:rPr>
          <w:rFonts w:ascii="Arial" w:hAnsi="Arial" w:cs="Arial"/>
          <w:color w:val="000000" w:themeColor="text1"/>
          <w:sz w:val="20"/>
          <w:szCs w:val="20"/>
        </w:rPr>
        <w:t xml:space="preserve">  declare  that  NO generative  AI technologies  such  as  Large  Language  Models (ChatGPT,   COPILOT,   etc)   and   text-to-image generators  have  been  used  during  writing  or editing of this manuscript.</w:t>
      </w:r>
    </w:p>
    <w:p w14:paraId="2013A7A7" w14:textId="6834FEE0" w:rsidR="00EC26F6" w:rsidRPr="00623C5B" w:rsidRDefault="00C04929" w:rsidP="008E7CFA">
      <w:pPr>
        <w:spacing w:before="120" w:line="240" w:lineRule="auto"/>
        <w:ind w:firstLine="0"/>
        <w:rPr>
          <w:rFonts w:ascii="Arial" w:hAnsi="Arial" w:cs="Arial"/>
          <w:b/>
          <w:bCs/>
          <w:color w:val="000000" w:themeColor="text1"/>
          <w:sz w:val="20"/>
          <w:szCs w:val="20"/>
          <w:lang w:val="en-US"/>
        </w:rPr>
      </w:pPr>
      <w:r w:rsidRPr="00623C5B">
        <w:rPr>
          <w:rFonts w:ascii="Arial" w:hAnsi="Arial" w:cs="Arial"/>
          <w:b/>
          <w:bCs/>
          <w:color w:val="000000" w:themeColor="text1"/>
          <w:sz w:val="20"/>
          <w:szCs w:val="20"/>
        </w:rPr>
        <w:t xml:space="preserve">REFERENCES  </w:t>
      </w:r>
    </w:p>
    <w:p w14:paraId="222DAA19"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American Public Health Association (APHA), American Water Works Association (AWWA), &amp; Water Environment Federation (WEF). (2005). </w:t>
      </w:r>
      <w:r w:rsidRPr="00623C5B">
        <w:rPr>
          <w:rFonts w:ascii="Arial" w:hAnsi="Arial" w:cs="Arial"/>
          <w:i/>
          <w:iCs/>
          <w:color w:val="000000" w:themeColor="text1"/>
          <w:sz w:val="20"/>
          <w:szCs w:val="20"/>
        </w:rPr>
        <w:t>Standard methods for the examination of water and wastewater</w:t>
      </w:r>
      <w:r w:rsidRPr="00623C5B">
        <w:rPr>
          <w:rFonts w:ascii="Arial" w:hAnsi="Arial" w:cs="Arial"/>
          <w:color w:val="000000" w:themeColor="text1"/>
          <w:sz w:val="20"/>
          <w:szCs w:val="20"/>
        </w:rPr>
        <w:t xml:space="preserve"> (21st ed.).</w:t>
      </w:r>
    </w:p>
    <w:p w14:paraId="4CE33C0D" w14:textId="79E42FA9" w:rsidR="005B7629" w:rsidRPr="00623C5B" w:rsidRDefault="005B7629" w:rsidP="003B0679">
      <w:pPr>
        <w:spacing w:line="240" w:lineRule="auto"/>
        <w:ind w:left="567" w:hanging="567"/>
        <w:rPr>
          <w:rFonts w:ascii="Arial" w:hAnsi="Arial" w:cs="Arial"/>
          <w:color w:val="000000" w:themeColor="text1"/>
          <w:sz w:val="20"/>
          <w:szCs w:val="20"/>
          <w:lang w:val="en-US"/>
        </w:rPr>
      </w:pPr>
      <w:proofErr w:type="spellStart"/>
      <w:r w:rsidRPr="00623C5B">
        <w:rPr>
          <w:rFonts w:ascii="Arial" w:hAnsi="Arial" w:cs="Arial"/>
          <w:color w:val="000000" w:themeColor="text1"/>
          <w:sz w:val="20"/>
          <w:szCs w:val="20"/>
          <w:lang w:val="en-US"/>
        </w:rPr>
        <w:t>Biedunkova</w:t>
      </w:r>
      <w:proofErr w:type="spellEnd"/>
      <w:r w:rsidRPr="00623C5B">
        <w:rPr>
          <w:rFonts w:ascii="Arial" w:hAnsi="Arial" w:cs="Arial"/>
          <w:color w:val="000000" w:themeColor="text1"/>
          <w:sz w:val="20"/>
          <w:szCs w:val="20"/>
          <w:lang w:val="en-US"/>
        </w:rPr>
        <w:t xml:space="preserve">, O., </w:t>
      </w:r>
      <w:proofErr w:type="spellStart"/>
      <w:r w:rsidRPr="00623C5B">
        <w:rPr>
          <w:rFonts w:ascii="Arial" w:hAnsi="Arial" w:cs="Arial"/>
          <w:color w:val="000000" w:themeColor="text1"/>
          <w:sz w:val="20"/>
          <w:szCs w:val="20"/>
          <w:lang w:val="en-US"/>
        </w:rPr>
        <w:t>Kuznietsov</w:t>
      </w:r>
      <w:proofErr w:type="spellEnd"/>
      <w:r w:rsidRPr="00623C5B">
        <w:rPr>
          <w:rFonts w:ascii="Arial" w:hAnsi="Arial" w:cs="Arial"/>
          <w:color w:val="000000" w:themeColor="text1"/>
          <w:sz w:val="20"/>
          <w:szCs w:val="20"/>
          <w:lang w:val="en-US"/>
        </w:rPr>
        <w:t xml:space="preserve">, P., </w:t>
      </w:r>
      <w:proofErr w:type="spellStart"/>
      <w:r w:rsidRPr="00623C5B">
        <w:rPr>
          <w:rFonts w:ascii="Arial" w:hAnsi="Arial" w:cs="Arial"/>
          <w:color w:val="000000" w:themeColor="text1"/>
          <w:sz w:val="20"/>
          <w:szCs w:val="20"/>
          <w:lang w:val="en-US"/>
        </w:rPr>
        <w:t>Korbutiak</w:t>
      </w:r>
      <w:proofErr w:type="spellEnd"/>
      <w:r w:rsidRPr="00623C5B">
        <w:rPr>
          <w:rFonts w:ascii="Arial" w:hAnsi="Arial" w:cs="Arial"/>
          <w:color w:val="000000" w:themeColor="text1"/>
          <w:sz w:val="20"/>
          <w:szCs w:val="20"/>
          <w:lang w:val="en-US"/>
        </w:rPr>
        <w:t xml:space="preserve">, V. (2025). A study of surface water quality using organic pollution indices: Comparative characteristics and educational opportunities. </w:t>
      </w:r>
      <w:r w:rsidRPr="00623C5B">
        <w:rPr>
          <w:rFonts w:ascii="Arial" w:hAnsi="Arial" w:cs="Arial"/>
          <w:i/>
          <w:iCs/>
          <w:color w:val="000000" w:themeColor="text1"/>
          <w:sz w:val="20"/>
          <w:szCs w:val="20"/>
          <w:lang w:val="en-US"/>
        </w:rPr>
        <w:t>Water Quality Research Journal, 60</w:t>
      </w:r>
      <w:r w:rsidRPr="00623C5B">
        <w:rPr>
          <w:rFonts w:ascii="Arial" w:hAnsi="Arial" w:cs="Arial"/>
          <w:color w:val="000000" w:themeColor="text1"/>
          <w:sz w:val="20"/>
          <w:szCs w:val="20"/>
          <w:lang w:val="en-US"/>
        </w:rPr>
        <w:t>(2), 333-347.</w:t>
      </w:r>
      <w:r w:rsidR="00602E65" w:rsidRPr="00623C5B">
        <w:rPr>
          <w:rFonts w:ascii="Arial" w:hAnsi="Arial" w:cs="Arial"/>
          <w:color w:val="000000" w:themeColor="text1"/>
          <w:sz w:val="20"/>
          <w:szCs w:val="20"/>
          <w:lang w:val="en-US"/>
        </w:rPr>
        <w:t xml:space="preserve"> </w:t>
      </w:r>
      <w:hyperlink r:id="rId16" w:history="1">
        <w:r w:rsidR="00602E65" w:rsidRPr="00623C5B">
          <w:rPr>
            <w:rStyle w:val="Hyperlink"/>
            <w:rFonts w:ascii="Arial" w:hAnsi="Arial" w:cs="Arial"/>
            <w:color w:val="000000" w:themeColor="text1"/>
            <w:sz w:val="20"/>
            <w:szCs w:val="20"/>
            <w:lang w:val="en-US"/>
          </w:rPr>
          <w:t>https://doi.org/10.2166/wqrj.2025.044</w:t>
        </w:r>
      </w:hyperlink>
      <w:r w:rsidR="00602E65" w:rsidRPr="00623C5B">
        <w:rPr>
          <w:rFonts w:ascii="Arial" w:hAnsi="Arial" w:cs="Arial"/>
          <w:color w:val="000000" w:themeColor="text1"/>
          <w:sz w:val="20"/>
          <w:szCs w:val="20"/>
          <w:lang w:val="en-US"/>
        </w:rPr>
        <w:t xml:space="preserve"> </w:t>
      </w:r>
    </w:p>
    <w:p w14:paraId="448396B0" w14:textId="4DA2E55C" w:rsidR="005B7629" w:rsidRPr="00623C5B" w:rsidRDefault="005B7629" w:rsidP="003B0679">
      <w:pPr>
        <w:spacing w:line="240" w:lineRule="auto"/>
        <w:ind w:left="567" w:hanging="567"/>
        <w:rPr>
          <w:rFonts w:ascii="Arial" w:hAnsi="Arial" w:cs="Arial"/>
          <w:color w:val="000000" w:themeColor="text1"/>
          <w:sz w:val="20"/>
          <w:szCs w:val="20"/>
          <w:lang w:val="en-US"/>
        </w:rPr>
      </w:pPr>
      <w:proofErr w:type="spellStart"/>
      <w:r w:rsidRPr="00623C5B">
        <w:rPr>
          <w:rFonts w:ascii="Arial" w:hAnsi="Arial" w:cs="Arial"/>
          <w:color w:val="000000" w:themeColor="text1"/>
          <w:sz w:val="20"/>
          <w:szCs w:val="20"/>
          <w:lang w:val="en-US"/>
        </w:rPr>
        <w:t>Brauns</w:t>
      </w:r>
      <w:proofErr w:type="spellEnd"/>
      <w:r w:rsidRPr="00623C5B">
        <w:rPr>
          <w:rFonts w:ascii="Arial" w:hAnsi="Arial" w:cs="Arial"/>
          <w:color w:val="000000" w:themeColor="text1"/>
          <w:sz w:val="20"/>
          <w:szCs w:val="20"/>
          <w:lang w:val="en-US"/>
        </w:rPr>
        <w:t xml:space="preserve">, B., Chandra, S., Civil, W., </w:t>
      </w:r>
      <w:proofErr w:type="spellStart"/>
      <w:r w:rsidRPr="00623C5B">
        <w:rPr>
          <w:rFonts w:ascii="Arial" w:hAnsi="Arial" w:cs="Arial"/>
          <w:color w:val="000000" w:themeColor="text1"/>
          <w:sz w:val="20"/>
          <w:szCs w:val="20"/>
          <w:lang w:val="en-US"/>
        </w:rPr>
        <w:t>Lapworth</w:t>
      </w:r>
      <w:proofErr w:type="spellEnd"/>
      <w:r w:rsidRPr="00623C5B">
        <w:rPr>
          <w:rFonts w:ascii="Arial" w:hAnsi="Arial" w:cs="Arial"/>
          <w:color w:val="000000" w:themeColor="text1"/>
          <w:sz w:val="20"/>
          <w:szCs w:val="20"/>
          <w:lang w:val="en-US"/>
        </w:rPr>
        <w:t>, D. J., MacDonald, A. M., McKenzie, A. A., ...</w:t>
      </w:r>
      <w:r w:rsidR="00602E65" w:rsidRPr="00623C5B">
        <w:rPr>
          <w:rFonts w:ascii="Arial" w:hAnsi="Arial" w:cs="Arial"/>
          <w:color w:val="000000" w:themeColor="text1"/>
          <w:sz w:val="20"/>
          <w:szCs w:val="20"/>
          <w:lang w:val="en-US"/>
        </w:rPr>
        <w:t>,</w:t>
      </w:r>
      <w:r w:rsidRPr="00623C5B">
        <w:rPr>
          <w:rFonts w:ascii="Arial" w:hAnsi="Arial" w:cs="Arial"/>
          <w:color w:val="000000" w:themeColor="text1"/>
          <w:sz w:val="20"/>
          <w:szCs w:val="20"/>
          <w:lang w:val="en-US"/>
        </w:rPr>
        <w:t xml:space="preserve"> Tipper, H. J. (2024). Presence of emerging organic contaminants and microbial indicators in surface water and groundwater in urban India. </w:t>
      </w:r>
      <w:r w:rsidRPr="00623C5B">
        <w:rPr>
          <w:rFonts w:ascii="Arial" w:hAnsi="Arial" w:cs="Arial"/>
          <w:i/>
          <w:iCs/>
          <w:color w:val="000000" w:themeColor="text1"/>
          <w:sz w:val="20"/>
          <w:szCs w:val="20"/>
          <w:lang w:val="en-US"/>
        </w:rPr>
        <w:t>Environmental Pollution, 362</w:t>
      </w:r>
      <w:r w:rsidRPr="00623C5B">
        <w:rPr>
          <w:rFonts w:ascii="Arial" w:hAnsi="Arial" w:cs="Arial"/>
          <w:color w:val="000000" w:themeColor="text1"/>
          <w:sz w:val="20"/>
          <w:szCs w:val="20"/>
          <w:lang w:val="en-US"/>
        </w:rPr>
        <w:t xml:space="preserve">, 124983. </w:t>
      </w:r>
      <w:hyperlink r:id="rId17" w:history="1">
        <w:r w:rsidR="00602E65" w:rsidRPr="00623C5B">
          <w:rPr>
            <w:rStyle w:val="Hyperlink"/>
            <w:rFonts w:ascii="Arial" w:hAnsi="Arial" w:cs="Arial"/>
            <w:color w:val="000000" w:themeColor="text1"/>
            <w:sz w:val="20"/>
            <w:szCs w:val="20"/>
            <w:lang w:val="en-US"/>
          </w:rPr>
          <w:t>https://doi.org/10.1016/j.envpol.2024.124983</w:t>
        </w:r>
      </w:hyperlink>
      <w:r w:rsidR="00602E65" w:rsidRPr="00623C5B">
        <w:rPr>
          <w:rFonts w:ascii="Arial" w:hAnsi="Arial" w:cs="Arial"/>
          <w:color w:val="000000" w:themeColor="text1"/>
          <w:sz w:val="20"/>
          <w:szCs w:val="20"/>
          <w:lang w:val="en-US"/>
        </w:rPr>
        <w:t xml:space="preserve"> </w:t>
      </w:r>
    </w:p>
    <w:p w14:paraId="0738C139"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Crump, B. C., &amp; Bowen, J. L. (2024). The microbial ecology of estuarine ecosystems. </w:t>
      </w:r>
      <w:r w:rsidRPr="00623C5B">
        <w:rPr>
          <w:rFonts w:ascii="Arial" w:hAnsi="Arial" w:cs="Arial"/>
          <w:i/>
          <w:iCs/>
          <w:color w:val="000000" w:themeColor="text1"/>
          <w:sz w:val="20"/>
          <w:szCs w:val="20"/>
        </w:rPr>
        <w:t>Annual Review of Marine Science</w:t>
      </w:r>
      <w:r w:rsidRPr="00623C5B">
        <w:rPr>
          <w:rFonts w:ascii="Arial" w:hAnsi="Arial" w:cs="Arial"/>
          <w:color w:val="000000" w:themeColor="text1"/>
          <w:sz w:val="20"/>
          <w:szCs w:val="20"/>
        </w:rPr>
        <w:t xml:space="preserve">, 16, 335-360. </w:t>
      </w:r>
      <w:r w:rsidR="00B63914" w:rsidRPr="00623C5B">
        <w:rPr>
          <w:color w:val="000000" w:themeColor="text1"/>
        </w:rPr>
        <w:fldChar w:fldCharType="begin"/>
      </w:r>
      <w:r w:rsidR="00B63914" w:rsidRPr="00623C5B">
        <w:rPr>
          <w:color w:val="000000" w:themeColor="text1"/>
        </w:rPr>
        <w:instrText xml:space="preserve"> HYPERLINK "https://doi.org/10.1146/annurev-marine-022123-101845" </w:instrText>
      </w:r>
      <w:r w:rsidR="00B63914" w:rsidRPr="00623C5B">
        <w:rPr>
          <w:color w:val="000000" w:themeColor="text1"/>
        </w:rPr>
        <w:fldChar w:fldCharType="separate"/>
      </w:r>
      <w:r w:rsidRPr="00623C5B">
        <w:rPr>
          <w:rStyle w:val="Hyperlink"/>
          <w:rFonts w:ascii="Arial" w:hAnsi="Arial" w:cs="Arial"/>
          <w:color w:val="000000" w:themeColor="text1"/>
          <w:sz w:val="20"/>
          <w:szCs w:val="20"/>
        </w:rPr>
        <w:t>https://doi.org/10.1146/annurev-marine-022123-101845</w:t>
      </w:r>
      <w:r w:rsidR="00B63914" w:rsidRPr="00623C5B">
        <w:rPr>
          <w:rStyle w:val="Hyperlink"/>
          <w:rFonts w:ascii="Arial" w:hAnsi="Arial" w:cs="Arial"/>
          <w:color w:val="000000" w:themeColor="text1"/>
          <w:sz w:val="20"/>
          <w:szCs w:val="20"/>
        </w:rPr>
        <w:fldChar w:fldCharType="end"/>
      </w:r>
      <w:r w:rsidRPr="00623C5B">
        <w:rPr>
          <w:rFonts w:ascii="Arial" w:hAnsi="Arial" w:cs="Arial"/>
          <w:color w:val="000000" w:themeColor="text1"/>
          <w:sz w:val="20"/>
          <w:szCs w:val="20"/>
        </w:rPr>
        <w:t xml:space="preserve"> </w:t>
      </w:r>
    </w:p>
    <w:p w14:paraId="27594EAC" w14:textId="6157D04A" w:rsidR="005B7629" w:rsidRPr="00623C5B" w:rsidRDefault="005B7629" w:rsidP="003B0679">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de </w:t>
      </w:r>
      <w:proofErr w:type="spellStart"/>
      <w:r w:rsidRPr="00623C5B">
        <w:rPr>
          <w:rFonts w:ascii="Arial" w:hAnsi="Arial" w:cs="Arial"/>
          <w:color w:val="000000" w:themeColor="text1"/>
          <w:sz w:val="20"/>
          <w:szCs w:val="20"/>
          <w:lang w:val="en-US"/>
        </w:rPr>
        <w:t>Brauwere</w:t>
      </w:r>
      <w:proofErr w:type="spellEnd"/>
      <w:r w:rsidRPr="00623C5B">
        <w:rPr>
          <w:rFonts w:ascii="Arial" w:hAnsi="Arial" w:cs="Arial"/>
          <w:color w:val="000000" w:themeColor="text1"/>
          <w:sz w:val="20"/>
          <w:szCs w:val="20"/>
          <w:lang w:val="en-US"/>
        </w:rPr>
        <w:t xml:space="preserve">, A., Ouattara, N. K., &amp; Servais, P. (2014). Modeling fecal indicator bacteria concentrations in natural surface waters: a review. </w:t>
      </w:r>
      <w:r w:rsidRPr="00623C5B">
        <w:rPr>
          <w:rFonts w:ascii="Arial" w:hAnsi="Arial" w:cs="Arial"/>
          <w:i/>
          <w:iCs/>
          <w:color w:val="000000" w:themeColor="text1"/>
          <w:sz w:val="20"/>
          <w:szCs w:val="20"/>
          <w:lang w:val="en-US"/>
        </w:rPr>
        <w:t>Critical Reviews in Environmental Science and Technology, 44</w:t>
      </w:r>
      <w:r w:rsidRPr="00623C5B">
        <w:rPr>
          <w:rFonts w:ascii="Arial" w:hAnsi="Arial" w:cs="Arial"/>
          <w:color w:val="000000" w:themeColor="text1"/>
          <w:sz w:val="20"/>
          <w:szCs w:val="20"/>
          <w:lang w:val="en-US"/>
        </w:rPr>
        <w:t>(21), 2380-2453.</w:t>
      </w:r>
      <w:r w:rsidR="00602E65" w:rsidRPr="00623C5B">
        <w:rPr>
          <w:rFonts w:ascii="Arial" w:hAnsi="Arial" w:cs="Arial"/>
          <w:color w:val="000000" w:themeColor="text1"/>
          <w:sz w:val="20"/>
          <w:szCs w:val="20"/>
          <w:lang w:val="en-US"/>
        </w:rPr>
        <w:t xml:space="preserve"> </w:t>
      </w:r>
      <w:hyperlink r:id="rId18" w:history="1">
        <w:r w:rsidR="00602E65" w:rsidRPr="00623C5B">
          <w:rPr>
            <w:rStyle w:val="Hyperlink"/>
            <w:rFonts w:ascii="Arial" w:hAnsi="Arial" w:cs="Arial"/>
            <w:color w:val="000000" w:themeColor="text1"/>
            <w:sz w:val="20"/>
            <w:szCs w:val="20"/>
            <w:lang w:val="en-US"/>
          </w:rPr>
          <w:t>https://doi.org/10.1080/10643389.2013.829978</w:t>
        </w:r>
      </w:hyperlink>
      <w:r w:rsidR="00602E65" w:rsidRPr="00623C5B">
        <w:rPr>
          <w:rFonts w:ascii="Arial" w:hAnsi="Arial" w:cs="Arial"/>
          <w:color w:val="000000" w:themeColor="text1"/>
          <w:sz w:val="20"/>
          <w:szCs w:val="20"/>
          <w:lang w:val="en-US"/>
        </w:rPr>
        <w:t xml:space="preserve"> </w:t>
      </w:r>
    </w:p>
    <w:p w14:paraId="282BE158"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Giao, N. T., Anh, P. K., &amp; Nhien, H. T. H. (2021). Spatiotemporal analysis of surface water quality in Dong Thap Province, Vietnam using water quality index and statistical approaches. </w:t>
      </w:r>
      <w:r w:rsidRPr="00623C5B">
        <w:rPr>
          <w:rFonts w:ascii="Arial" w:hAnsi="Arial" w:cs="Arial"/>
          <w:i/>
          <w:iCs/>
          <w:color w:val="000000" w:themeColor="text1"/>
          <w:sz w:val="20"/>
          <w:szCs w:val="20"/>
        </w:rPr>
        <w:t>Water, 13</w:t>
      </w:r>
      <w:r w:rsidRPr="00623C5B">
        <w:rPr>
          <w:rFonts w:ascii="Arial" w:hAnsi="Arial" w:cs="Arial"/>
          <w:color w:val="000000" w:themeColor="text1"/>
          <w:sz w:val="20"/>
          <w:szCs w:val="20"/>
        </w:rPr>
        <w:t xml:space="preserve">(3), 336. </w:t>
      </w:r>
      <w:hyperlink r:id="rId19" w:history="1">
        <w:r w:rsidRPr="00623C5B">
          <w:rPr>
            <w:rStyle w:val="Hyperlink"/>
            <w:rFonts w:ascii="Arial" w:hAnsi="Arial" w:cs="Arial"/>
            <w:color w:val="000000" w:themeColor="text1"/>
            <w:sz w:val="20"/>
            <w:szCs w:val="20"/>
          </w:rPr>
          <w:t>https://doi.org/10.3390/w13030336</w:t>
        </w:r>
      </w:hyperlink>
      <w:r w:rsidRPr="00623C5B">
        <w:rPr>
          <w:rFonts w:ascii="Arial" w:hAnsi="Arial" w:cs="Arial"/>
          <w:color w:val="000000" w:themeColor="text1"/>
          <w:sz w:val="20"/>
          <w:szCs w:val="20"/>
        </w:rPr>
        <w:t xml:space="preserve"> </w:t>
      </w:r>
    </w:p>
    <w:p w14:paraId="3670C409"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Goutami, B., &amp; Patil, V. V. (2025). Understanding dynamics of water quality of coastal wetlands in a changing global landscape: A systematic review. </w:t>
      </w:r>
      <w:r w:rsidRPr="00623C5B">
        <w:rPr>
          <w:rFonts w:ascii="Arial" w:hAnsi="Arial" w:cs="Arial"/>
          <w:i/>
          <w:iCs/>
          <w:color w:val="000000" w:themeColor="text1"/>
          <w:sz w:val="20"/>
          <w:szCs w:val="20"/>
        </w:rPr>
        <w:t>Wetlands Ecology and Management, 33</w:t>
      </w:r>
      <w:r w:rsidRPr="00623C5B">
        <w:rPr>
          <w:rFonts w:ascii="Arial" w:hAnsi="Arial" w:cs="Arial"/>
          <w:color w:val="000000" w:themeColor="text1"/>
          <w:sz w:val="20"/>
          <w:szCs w:val="20"/>
        </w:rPr>
        <w:t xml:space="preserve">, 78. </w:t>
      </w:r>
      <w:hyperlink r:id="rId20" w:history="1">
        <w:r w:rsidRPr="00623C5B">
          <w:rPr>
            <w:rStyle w:val="Hyperlink"/>
            <w:rFonts w:ascii="Arial" w:hAnsi="Arial" w:cs="Arial"/>
            <w:color w:val="000000" w:themeColor="text1"/>
            <w:sz w:val="20"/>
            <w:szCs w:val="20"/>
          </w:rPr>
          <w:t>https://doi.org/10.1007/s11273-025-10093-w</w:t>
        </w:r>
      </w:hyperlink>
      <w:r w:rsidRPr="00623C5B">
        <w:rPr>
          <w:rFonts w:ascii="Arial" w:hAnsi="Arial" w:cs="Arial"/>
          <w:color w:val="000000" w:themeColor="text1"/>
          <w:sz w:val="20"/>
          <w:szCs w:val="20"/>
        </w:rPr>
        <w:t xml:space="preserve"> </w:t>
      </w:r>
    </w:p>
    <w:p w14:paraId="1F1D69A9"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Ha, D. D., Nguyen, D. H., Nguyen, B. C., Nguyen, T. Q., &amp; Le, G. T. N. (2025). Application of multivariate statistical techniques in the assessment of long-term surface water quality in Dong Thap Province, Vietnam. </w:t>
      </w:r>
      <w:r w:rsidRPr="00623C5B">
        <w:rPr>
          <w:rFonts w:ascii="Arial" w:hAnsi="Arial" w:cs="Arial"/>
          <w:i/>
          <w:iCs/>
          <w:color w:val="000000" w:themeColor="text1"/>
          <w:sz w:val="20"/>
          <w:szCs w:val="20"/>
        </w:rPr>
        <w:t>Environmental Monitoring and Assessment, 197(14)</w:t>
      </w:r>
      <w:r w:rsidRPr="00623C5B">
        <w:rPr>
          <w:rFonts w:ascii="Arial" w:hAnsi="Arial" w:cs="Arial"/>
          <w:color w:val="000000" w:themeColor="text1"/>
          <w:sz w:val="20"/>
          <w:szCs w:val="20"/>
        </w:rPr>
        <w:t xml:space="preserve">. </w:t>
      </w:r>
      <w:hyperlink r:id="rId21" w:history="1">
        <w:r w:rsidRPr="00623C5B">
          <w:rPr>
            <w:rStyle w:val="Hyperlink"/>
            <w:rFonts w:ascii="Arial" w:hAnsi="Arial" w:cs="Arial"/>
            <w:color w:val="000000" w:themeColor="text1"/>
            <w:sz w:val="20"/>
            <w:szCs w:val="20"/>
          </w:rPr>
          <w:t>https://doi.org/10.1007/s10661-024-13436-x</w:t>
        </w:r>
      </w:hyperlink>
      <w:r w:rsidRPr="00623C5B">
        <w:rPr>
          <w:rFonts w:ascii="Arial" w:hAnsi="Arial" w:cs="Arial"/>
          <w:color w:val="000000" w:themeColor="text1"/>
          <w:sz w:val="20"/>
          <w:szCs w:val="20"/>
        </w:rPr>
        <w:t xml:space="preserve"> </w:t>
      </w:r>
    </w:p>
    <w:p w14:paraId="466B2A72"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Ha, N. N., Huong, T. T. T., Vinh, P. T., &amp; Van, T. T. (2021). Surface water pollution risk from Vietnam Water Quality Index (VN-WQI) in Ca Mau City, Mekong Delta. </w:t>
      </w:r>
      <w:r w:rsidRPr="00623C5B">
        <w:rPr>
          <w:rFonts w:ascii="Arial" w:hAnsi="Arial" w:cs="Arial"/>
          <w:i/>
          <w:iCs/>
          <w:color w:val="000000" w:themeColor="text1"/>
          <w:sz w:val="20"/>
          <w:szCs w:val="20"/>
        </w:rPr>
        <w:t>Nature Environment and Pollution Technology, 20</w:t>
      </w:r>
      <w:r w:rsidRPr="00623C5B">
        <w:rPr>
          <w:rFonts w:ascii="Arial" w:hAnsi="Arial" w:cs="Arial"/>
          <w:color w:val="000000" w:themeColor="text1"/>
          <w:sz w:val="20"/>
          <w:szCs w:val="20"/>
        </w:rPr>
        <w:t xml:space="preserve">(4), 1449-1464. </w:t>
      </w:r>
      <w:hyperlink r:id="rId22" w:history="1">
        <w:r w:rsidRPr="00623C5B">
          <w:rPr>
            <w:rStyle w:val="Hyperlink"/>
            <w:rFonts w:ascii="Arial" w:hAnsi="Arial" w:cs="Arial"/>
            <w:color w:val="000000" w:themeColor="text1"/>
            <w:sz w:val="20"/>
            <w:szCs w:val="20"/>
          </w:rPr>
          <w:t>https://doi.org/10.46488/NEPT.2021.v20i04.007</w:t>
        </w:r>
      </w:hyperlink>
      <w:r w:rsidRPr="00623C5B">
        <w:rPr>
          <w:rFonts w:ascii="Arial" w:hAnsi="Arial" w:cs="Arial"/>
          <w:color w:val="000000" w:themeColor="text1"/>
          <w:sz w:val="20"/>
          <w:szCs w:val="20"/>
        </w:rPr>
        <w:t xml:space="preserve"> </w:t>
      </w:r>
    </w:p>
    <w:p w14:paraId="18483E25" w14:textId="67BA3982" w:rsidR="005B7629" w:rsidRPr="00623C5B" w:rsidRDefault="005B7629" w:rsidP="003B0679">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Holcomb, D. A., &amp; Stewart, J. R. (2020). Microbial indicators of fecal pollution: Recent progress and challenges in assessing water quality. </w:t>
      </w:r>
      <w:r w:rsidRPr="00623C5B">
        <w:rPr>
          <w:rFonts w:ascii="Arial" w:hAnsi="Arial" w:cs="Arial"/>
          <w:i/>
          <w:iCs/>
          <w:color w:val="000000" w:themeColor="text1"/>
          <w:sz w:val="20"/>
          <w:szCs w:val="20"/>
          <w:lang w:val="en-US"/>
        </w:rPr>
        <w:t>Current Environmental Health Reports, 7</w:t>
      </w:r>
      <w:r w:rsidRPr="00623C5B">
        <w:rPr>
          <w:rFonts w:ascii="Arial" w:hAnsi="Arial" w:cs="Arial"/>
          <w:color w:val="000000" w:themeColor="text1"/>
          <w:sz w:val="20"/>
          <w:szCs w:val="20"/>
          <w:lang w:val="en-US"/>
        </w:rPr>
        <w:t>(3), 311-324.</w:t>
      </w:r>
      <w:r w:rsidR="00D65EC0" w:rsidRPr="00623C5B">
        <w:rPr>
          <w:rFonts w:ascii="Arial" w:hAnsi="Arial" w:cs="Arial"/>
          <w:color w:val="000000" w:themeColor="text1"/>
          <w:sz w:val="20"/>
          <w:szCs w:val="20"/>
          <w:lang w:val="en-US"/>
        </w:rPr>
        <w:t xml:space="preserve"> </w:t>
      </w:r>
      <w:hyperlink r:id="rId23" w:history="1">
        <w:r w:rsidR="00D65EC0" w:rsidRPr="00623C5B">
          <w:rPr>
            <w:rStyle w:val="Hyperlink"/>
            <w:rFonts w:ascii="Arial" w:hAnsi="Arial" w:cs="Arial"/>
            <w:color w:val="000000" w:themeColor="text1"/>
            <w:sz w:val="20"/>
            <w:szCs w:val="20"/>
          </w:rPr>
          <w:t>https://doi.org/10.1007/s40572-020-00278-1</w:t>
        </w:r>
      </w:hyperlink>
      <w:r w:rsidR="00D65EC0" w:rsidRPr="00623C5B">
        <w:rPr>
          <w:rFonts w:ascii="Arial" w:hAnsi="Arial" w:cs="Arial"/>
          <w:color w:val="000000" w:themeColor="text1"/>
          <w:sz w:val="20"/>
          <w:szCs w:val="20"/>
          <w:lang w:val="en-US"/>
        </w:rPr>
        <w:t xml:space="preserve"> </w:t>
      </w:r>
      <w:r w:rsidRPr="00623C5B">
        <w:rPr>
          <w:rFonts w:ascii="Arial" w:hAnsi="Arial" w:cs="Arial"/>
          <w:color w:val="000000" w:themeColor="text1"/>
          <w:sz w:val="20"/>
          <w:szCs w:val="20"/>
          <w:lang w:val="en-US"/>
        </w:rPr>
        <w:t xml:space="preserve"> </w:t>
      </w:r>
    </w:p>
    <w:p w14:paraId="2684C60B" w14:textId="288EE317" w:rsidR="005B7629" w:rsidRPr="00623C5B" w:rsidRDefault="005B7629" w:rsidP="003B0679">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lang w:val="en-US"/>
        </w:rPr>
        <w:t xml:space="preserve">Jamieson, R., Gordon, R., Joy, D., Lee, H. (2004). Assessing microbial pollution of rural surface waters: A review of current watershed scale modeling approaches. </w:t>
      </w:r>
      <w:r w:rsidRPr="00623C5B">
        <w:rPr>
          <w:rFonts w:ascii="Arial" w:hAnsi="Arial" w:cs="Arial"/>
          <w:i/>
          <w:iCs/>
          <w:color w:val="000000" w:themeColor="text1"/>
          <w:sz w:val="20"/>
          <w:szCs w:val="20"/>
          <w:lang w:val="en-US"/>
        </w:rPr>
        <w:t>Agricultural Water Management, 70</w:t>
      </w:r>
      <w:r w:rsidRPr="00623C5B">
        <w:rPr>
          <w:rFonts w:ascii="Arial" w:hAnsi="Arial" w:cs="Arial"/>
          <w:color w:val="000000" w:themeColor="text1"/>
          <w:sz w:val="20"/>
          <w:szCs w:val="20"/>
          <w:lang w:val="en-US"/>
        </w:rPr>
        <w:t xml:space="preserve">(1), 1-17. </w:t>
      </w:r>
      <w:hyperlink r:id="rId24" w:history="1">
        <w:r w:rsidR="00D65EC0" w:rsidRPr="00623C5B">
          <w:rPr>
            <w:rStyle w:val="Hyperlink"/>
            <w:rFonts w:ascii="Arial" w:hAnsi="Arial" w:cs="Arial"/>
            <w:color w:val="000000" w:themeColor="text1"/>
            <w:sz w:val="20"/>
            <w:szCs w:val="20"/>
            <w:lang w:val="en-US"/>
          </w:rPr>
          <w:t>https://doi.org/10.1016/j.agwat.2004.05.006</w:t>
        </w:r>
      </w:hyperlink>
      <w:r w:rsidR="00D65EC0" w:rsidRPr="00623C5B">
        <w:rPr>
          <w:rFonts w:ascii="Arial" w:hAnsi="Arial" w:cs="Arial"/>
          <w:color w:val="000000" w:themeColor="text1"/>
          <w:sz w:val="20"/>
          <w:szCs w:val="20"/>
          <w:lang w:val="en-US"/>
        </w:rPr>
        <w:t xml:space="preserve"> </w:t>
      </w:r>
    </w:p>
    <w:p w14:paraId="4EAE5B1A"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Liu, X., Wang, Y., Liu, H., Zhang, Y., Zhou, Q., Wen, X., Guo, W., &amp; Zhang, Z. (2024). A systematic review on aquaculture wastewater: Pollutants, impacts, and treatment technology. </w:t>
      </w:r>
      <w:r w:rsidRPr="00623C5B">
        <w:rPr>
          <w:rFonts w:ascii="Arial" w:hAnsi="Arial" w:cs="Arial"/>
          <w:i/>
          <w:iCs/>
          <w:color w:val="000000" w:themeColor="text1"/>
          <w:sz w:val="20"/>
          <w:szCs w:val="20"/>
        </w:rPr>
        <w:t>Environmental Research, 262 (Part 1)</w:t>
      </w:r>
      <w:r w:rsidRPr="00623C5B">
        <w:rPr>
          <w:rFonts w:ascii="Arial" w:hAnsi="Arial" w:cs="Arial"/>
          <w:color w:val="000000" w:themeColor="text1"/>
          <w:sz w:val="20"/>
          <w:szCs w:val="20"/>
        </w:rPr>
        <w:t xml:space="preserve">, 119793. </w:t>
      </w:r>
      <w:hyperlink r:id="rId25" w:history="1">
        <w:r w:rsidRPr="00623C5B">
          <w:rPr>
            <w:rStyle w:val="Hyperlink"/>
            <w:rFonts w:ascii="Arial" w:hAnsi="Arial" w:cs="Arial"/>
            <w:color w:val="000000" w:themeColor="text1"/>
            <w:sz w:val="20"/>
            <w:szCs w:val="20"/>
          </w:rPr>
          <w:t>https://doi.org/10.1016/j.envres.2024.119793</w:t>
        </w:r>
      </w:hyperlink>
      <w:r w:rsidRPr="00623C5B">
        <w:rPr>
          <w:rFonts w:ascii="Arial" w:hAnsi="Arial" w:cs="Arial"/>
          <w:color w:val="000000" w:themeColor="text1"/>
          <w:sz w:val="20"/>
          <w:szCs w:val="20"/>
        </w:rPr>
        <w:t xml:space="preserve"> </w:t>
      </w:r>
    </w:p>
    <w:p w14:paraId="11E9DCC0"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Ministry of Natural Resources and Environment (MONRE). (2023a). </w:t>
      </w:r>
      <w:r w:rsidRPr="00623C5B">
        <w:rPr>
          <w:rFonts w:ascii="Arial" w:hAnsi="Arial" w:cs="Arial"/>
          <w:i/>
          <w:iCs/>
          <w:color w:val="000000" w:themeColor="text1"/>
          <w:sz w:val="20"/>
          <w:szCs w:val="20"/>
        </w:rPr>
        <w:t>QCVN 08:2023/BTNMT-National technical regulation on surface water quality</w:t>
      </w:r>
      <w:r w:rsidRPr="00623C5B">
        <w:rPr>
          <w:rFonts w:ascii="Arial" w:hAnsi="Arial" w:cs="Arial"/>
          <w:color w:val="000000" w:themeColor="text1"/>
          <w:sz w:val="20"/>
          <w:szCs w:val="20"/>
        </w:rPr>
        <w:t>. Hanoi, Vietnam.</w:t>
      </w:r>
    </w:p>
    <w:p w14:paraId="53C65F3B"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lastRenderedPageBreak/>
        <w:t xml:space="preserve">Ministry of Natural Resources and Environment (MONRE). (2023b). </w:t>
      </w:r>
      <w:r w:rsidRPr="00623C5B">
        <w:rPr>
          <w:rFonts w:ascii="Arial" w:hAnsi="Arial" w:cs="Arial"/>
          <w:i/>
          <w:iCs/>
          <w:color w:val="000000" w:themeColor="text1"/>
          <w:sz w:val="20"/>
          <w:szCs w:val="20"/>
        </w:rPr>
        <w:t>QCVN 10:2023/BTNMT-National technical regulation on marine water quality</w:t>
      </w:r>
      <w:r w:rsidRPr="00623C5B">
        <w:rPr>
          <w:rFonts w:ascii="Arial" w:hAnsi="Arial" w:cs="Arial"/>
          <w:color w:val="000000" w:themeColor="text1"/>
          <w:sz w:val="20"/>
          <w:szCs w:val="20"/>
        </w:rPr>
        <w:t>. Hanoi, Vietnam.</w:t>
      </w:r>
    </w:p>
    <w:p w14:paraId="7C403E16"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Mondal, I., Hossain, S. K. A., Roy, S. K., Karmakar, J., Jose, F., De, T. K., Nguyen, T. T., Elkhrachy, I., Nguyen, N. M. (2024). Assessing intra and interannual variability of water quality in the Sundarban mangrove dominated estuarine ecosystem using remote sensing and hybrid machine learning models. </w:t>
      </w:r>
      <w:r w:rsidRPr="00623C5B">
        <w:rPr>
          <w:rFonts w:ascii="Arial" w:hAnsi="Arial" w:cs="Arial"/>
          <w:i/>
          <w:iCs/>
          <w:color w:val="000000" w:themeColor="text1"/>
          <w:sz w:val="20"/>
          <w:szCs w:val="20"/>
        </w:rPr>
        <w:t>Journal of Cleaner Production, 442</w:t>
      </w:r>
      <w:r w:rsidRPr="00623C5B">
        <w:rPr>
          <w:rFonts w:ascii="Arial" w:hAnsi="Arial" w:cs="Arial"/>
          <w:color w:val="000000" w:themeColor="text1"/>
          <w:sz w:val="20"/>
          <w:szCs w:val="20"/>
        </w:rPr>
        <w:t xml:space="preserve">, 140889. </w:t>
      </w:r>
      <w:hyperlink r:id="rId26" w:history="1">
        <w:r w:rsidRPr="00623C5B">
          <w:rPr>
            <w:rStyle w:val="Hyperlink"/>
            <w:rFonts w:ascii="Arial" w:hAnsi="Arial" w:cs="Arial"/>
            <w:color w:val="000000" w:themeColor="text1"/>
            <w:sz w:val="20"/>
            <w:szCs w:val="20"/>
          </w:rPr>
          <w:t>https://doi.org/10.1016/j.jclepro.2024.140889</w:t>
        </w:r>
      </w:hyperlink>
      <w:r w:rsidRPr="00623C5B">
        <w:rPr>
          <w:rFonts w:ascii="Arial" w:hAnsi="Arial" w:cs="Arial"/>
          <w:color w:val="000000" w:themeColor="text1"/>
          <w:sz w:val="20"/>
          <w:szCs w:val="20"/>
        </w:rPr>
        <w:t xml:space="preserve"> </w:t>
      </w:r>
    </w:p>
    <w:p w14:paraId="479AC229"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Nguyen, B. T. N., Kansal, M. L., &amp; Neenu. (2026). Mangrove water quality assessment and bio-filtration mechanism in the Hung Yen Mangroves, Vietnam. </w:t>
      </w:r>
      <w:r w:rsidRPr="00623C5B">
        <w:rPr>
          <w:rFonts w:ascii="Arial" w:hAnsi="Arial" w:cs="Arial"/>
          <w:i/>
          <w:iCs/>
          <w:color w:val="000000" w:themeColor="text1"/>
          <w:sz w:val="20"/>
          <w:szCs w:val="20"/>
        </w:rPr>
        <w:t>Water, Air, &amp; Soil Pollution, 237(125)</w:t>
      </w:r>
      <w:r w:rsidRPr="00623C5B">
        <w:rPr>
          <w:rFonts w:ascii="Arial" w:hAnsi="Arial" w:cs="Arial"/>
          <w:color w:val="000000" w:themeColor="text1"/>
          <w:sz w:val="20"/>
          <w:szCs w:val="20"/>
        </w:rPr>
        <w:t xml:space="preserve">. </w:t>
      </w:r>
      <w:hyperlink r:id="rId27" w:history="1">
        <w:r w:rsidRPr="00623C5B">
          <w:rPr>
            <w:rStyle w:val="Hyperlink"/>
            <w:rFonts w:ascii="Arial" w:hAnsi="Arial" w:cs="Arial"/>
            <w:color w:val="000000" w:themeColor="text1"/>
            <w:sz w:val="20"/>
            <w:szCs w:val="20"/>
          </w:rPr>
          <w:t>https://doi.org/10.1007/s11270-025-08650-3</w:t>
        </w:r>
      </w:hyperlink>
      <w:r w:rsidRPr="00623C5B">
        <w:rPr>
          <w:rFonts w:ascii="Arial" w:hAnsi="Arial" w:cs="Arial"/>
          <w:color w:val="000000" w:themeColor="text1"/>
          <w:sz w:val="20"/>
          <w:szCs w:val="20"/>
        </w:rPr>
        <w:t xml:space="preserve"> </w:t>
      </w:r>
    </w:p>
    <w:p w14:paraId="17177597"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Nguyen, T. M. H., Le, T. P. Q., Hoang, V. V., Nhu, D. L., &amp; Ha, H. T. T. (2022). Fecal indicator bacteria diversity and decay in an estuarine mangrove ecosystem of the Xuan Thuy National Park, Vietnam. </w:t>
      </w:r>
      <w:r w:rsidRPr="00623C5B">
        <w:rPr>
          <w:rFonts w:ascii="Arial" w:hAnsi="Arial" w:cs="Arial"/>
          <w:i/>
          <w:iCs/>
          <w:color w:val="000000" w:themeColor="text1"/>
          <w:sz w:val="20"/>
          <w:szCs w:val="20"/>
        </w:rPr>
        <w:t>Journal of Water &amp; Health, 20(6)</w:t>
      </w:r>
      <w:r w:rsidRPr="00623C5B">
        <w:rPr>
          <w:rFonts w:ascii="Arial" w:hAnsi="Arial" w:cs="Arial"/>
          <w:color w:val="000000" w:themeColor="text1"/>
          <w:sz w:val="20"/>
          <w:szCs w:val="20"/>
        </w:rPr>
        <w:t xml:space="preserve">, 915-926. </w:t>
      </w:r>
      <w:hyperlink r:id="rId28" w:history="1">
        <w:r w:rsidRPr="00623C5B">
          <w:rPr>
            <w:rStyle w:val="Hyperlink"/>
            <w:rFonts w:ascii="Arial" w:hAnsi="Arial" w:cs="Arial"/>
            <w:color w:val="000000" w:themeColor="text1"/>
            <w:sz w:val="20"/>
            <w:szCs w:val="20"/>
          </w:rPr>
          <w:t>https://doi.org/10.2166/wh.2022.310</w:t>
        </w:r>
      </w:hyperlink>
      <w:r w:rsidRPr="00623C5B">
        <w:rPr>
          <w:rFonts w:ascii="Arial" w:hAnsi="Arial" w:cs="Arial"/>
          <w:color w:val="000000" w:themeColor="text1"/>
          <w:sz w:val="20"/>
          <w:szCs w:val="20"/>
        </w:rPr>
        <w:t xml:space="preserve"> </w:t>
      </w:r>
    </w:p>
    <w:p w14:paraId="7A06DB66"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Pham, T.-L. (2017). Environmental gradients regulate the spatio-temporal variability of phytoplankton assemblages in the Can Gio Mangrove Biosphere Reserve, Vietnam. </w:t>
      </w:r>
      <w:r w:rsidRPr="00623C5B">
        <w:rPr>
          <w:rFonts w:ascii="Arial" w:hAnsi="Arial" w:cs="Arial"/>
          <w:i/>
          <w:iCs/>
          <w:color w:val="000000" w:themeColor="text1"/>
          <w:sz w:val="20"/>
          <w:szCs w:val="20"/>
        </w:rPr>
        <w:t>Ocean Science Journal</w:t>
      </w:r>
      <w:r w:rsidRPr="00623C5B">
        <w:rPr>
          <w:rFonts w:ascii="Arial" w:hAnsi="Arial" w:cs="Arial"/>
          <w:color w:val="000000" w:themeColor="text1"/>
          <w:sz w:val="20"/>
          <w:szCs w:val="20"/>
        </w:rPr>
        <w:t xml:space="preserve">, </w:t>
      </w:r>
      <w:r w:rsidRPr="00623C5B">
        <w:rPr>
          <w:rFonts w:ascii="Arial" w:hAnsi="Arial" w:cs="Arial"/>
          <w:i/>
          <w:iCs/>
          <w:color w:val="000000" w:themeColor="text1"/>
          <w:sz w:val="20"/>
          <w:szCs w:val="20"/>
        </w:rPr>
        <w:t>52(4)</w:t>
      </w:r>
      <w:r w:rsidRPr="00623C5B">
        <w:rPr>
          <w:rFonts w:ascii="Arial" w:hAnsi="Arial" w:cs="Arial"/>
          <w:color w:val="000000" w:themeColor="text1"/>
          <w:sz w:val="20"/>
          <w:szCs w:val="20"/>
        </w:rPr>
        <w:t xml:space="preserve">, 537-547. </w:t>
      </w:r>
      <w:hyperlink r:id="rId29" w:history="1">
        <w:r w:rsidRPr="00623C5B">
          <w:rPr>
            <w:rStyle w:val="Hyperlink"/>
            <w:rFonts w:ascii="Arial" w:hAnsi="Arial" w:cs="Arial"/>
            <w:color w:val="000000" w:themeColor="text1"/>
            <w:sz w:val="20"/>
            <w:szCs w:val="20"/>
          </w:rPr>
          <w:t>https://doi.org/10.1007/s12601-017-0045-0</w:t>
        </w:r>
      </w:hyperlink>
      <w:r w:rsidRPr="00623C5B">
        <w:rPr>
          <w:rFonts w:ascii="Arial" w:hAnsi="Arial" w:cs="Arial"/>
          <w:color w:val="000000" w:themeColor="text1"/>
          <w:sz w:val="20"/>
          <w:szCs w:val="20"/>
        </w:rPr>
        <w:t xml:space="preserve"> </w:t>
      </w:r>
    </w:p>
    <w:p w14:paraId="741BC513"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Pham, T.-L. (2019). Factors governing phytoplankton community in the Can Gio mangrove biosphere reserve, Vietnam</w:t>
      </w:r>
      <w:r w:rsidRPr="00623C5B">
        <w:rPr>
          <w:rFonts w:ascii="Arial" w:hAnsi="Arial" w:cs="Arial"/>
          <w:i/>
          <w:iCs/>
          <w:color w:val="000000" w:themeColor="text1"/>
          <w:sz w:val="20"/>
          <w:szCs w:val="20"/>
        </w:rPr>
        <w:t>. Vietnam Journal of Marine Science and Technology, 19(1)</w:t>
      </w:r>
      <w:r w:rsidRPr="00623C5B">
        <w:rPr>
          <w:rFonts w:ascii="Arial" w:hAnsi="Arial" w:cs="Arial"/>
          <w:color w:val="000000" w:themeColor="text1"/>
          <w:sz w:val="20"/>
          <w:szCs w:val="20"/>
        </w:rPr>
        <w:t xml:space="preserve">, 67-78. </w:t>
      </w:r>
      <w:hyperlink r:id="rId30" w:history="1">
        <w:r w:rsidRPr="00623C5B">
          <w:rPr>
            <w:rStyle w:val="Hyperlink"/>
            <w:rFonts w:ascii="Arial" w:hAnsi="Arial" w:cs="Arial"/>
            <w:color w:val="000000" w:themeColor="text1"/>
            <w:sz w:val="20"/>
            <w:szCs w:val="20"/>
          </w:rPr>
          <w:t>https://doi.org/10.15625/1859-3097/19/1/9179</w:t>
        </w:r>
      </w:hyperlink>
      <w:r w:rsidRPr="00623C5B">
        <w:rPr>
          <w:rFonts w:ascii="Arial" w:hAnsi="Arial" w:cs="Arial"/>
          <w:color w:val="000000" w:themeColor="text1"/>
          <w:sz w:val="20"/>
          <w:szCs w:val="20"/>
        </w:rPr>
        <w:t xml:space="preserve"> </w:t>
      </w:r>
    </w:p>
    <w:p w14:paraId="68644ED4"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Taillardat, P., Willemsen, P., Marchand, C., Friess, D. A., Widory, D., Baudron, P., Truong, V. V., Nguyen, T.-N., &amp; Ziegler, A. D. (2018). Assessing the contribution of porewater discharge in carbon export and CO2 evasion in a mangrove tidal creek (Can Gio, Vietnam). </w:t>
      </w:r>
      <w:r w:rsidRPr="00623C5B">
        <w:rPr>
          <w:rFonts w:ascii="Arial" w:hAnsi="Arial" w:cs="Arial"/>
          <w:i/>
          <w:iCs/>
          <w:color w:val="000000" w:themeColor="text1"/>
          <w:sz w:val="20"/>
          <w:szCs w:val="20"/>
        </w:rPr>
        <w:t>Journal of Hydrology</w:t>
      </w:r>
      <w:r w:rsidRPr="00623C5B">
        <w:rPr>
          <w:rFonts w:ascii="Arial" w:hAnsi="Arial" w:cs="Arial"/>
          <w:color w:val="000000" w:themeColor="text1"/>
          <w:sz w:val="20"/>
          <w:szCs w:val="20"/>
        </w:rPr>
        <w:t xml:space="preserve">, </w:t>
      </w:r>
      <w:r w:rsidRPr="00623C5B">
        <w:rPr>
          <w:rFonts w:ascii="Arial" w:hAnsi="Arial" w:cs="Arial"/>
          <w:i/>
          <w:iCs/>
          <w:color w:val="000000" w:themeColor="text1"/>
          <w:sz w:val="20"/>
          <w:szCs w:val="20"/>
        </w:rPr>
        <w:t>563</w:t>
      </w:r>
      <w:r w:rsidRPr="00623C5B">
        <w:rPr>
          <w:rFonts w:ascii="Arial" w:hAnsi="Arial" w:cs="Arial"/>
          <w:color w:val="000000" w:themeColor="text1"/>
          <w:sz w:val="20"/>
          <w:szCs w:val="20"/>
        </w:rPr>
        <w:t xml:space="preserve">, 303-318. </w:t>
      </w:r>
      <w:hyperlink r:id="rId31" w:history="1">
        <w:r w:rsidRPr="00623C5B">
          <w:rPr>
            <w:rStyle w:val="Hyperlink"/>
            <w:rFonts w:ascii="Arial" w:hAnsi="Arial" w:cs="Arial"/>
            <w:color w:val="000000" w:themeColor="text1"/>
            <w:sz w:val="20"/>
            <w:szCs w:val="20"/>
          </w:rPr>
          <w:t>https://doi.org/10.1016/j.jhydrol.2018.05.042</w:t>
        </w:r>
      </w:hyperlink>
      <w:r w:rsidRPr="00623C5B">
        <w:rPr>
          <w:rFonts w:ascii="Arial" w:hAnsi="Arial" w:cs="Arial"/>
          <w:color w:val="000000" w:themeColor="text1"/>
          <w:sz w:val="20"/>
          <w:szCs w:val="20"/>
        </w:rPr>
        <w:t xml:space="preserve"> </w:t>
      </w:r>
    </w:p>
    <w:p w14:paraId="6B310EA1"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Taillardat, P., Ziegler, A. D., Friess, D. A., Widory, D., David, F., Ohte, N., Nakamura, T., Evaristo, J., Nguyen, T.-N., Truong, V. V., &amp; Marchand, C. (2019). Assessing nutrient dynamics in mangrove porewater and adjacent tidal creek using nitrate dual-stable isotopes: A new approach to challenge the Outwelling Hypothesis? </w:t>
      </w:r>
      <w:r w:rsidRPr="00623C5B">
        <w:rPr>
          <w:rFonts w:ascii="Arial" w:hAnsi="Arial" w:cs="Arial"/>
          <w:i/>
          <w:iCs/>
          <w:color w:val="000000" w:themeColor="text1"/>
          <w:sz w:val="20"/>
          <w:szCs w:val="20"/>
        </w:rPr>
        <w:t>Marine Chemistry</w:t>
      </w:r>
      <w:r w:rsidRPr="00623C5B">
        <w:rPr>
          <w:rFonts w:ascii="Arial" w:hAnsi="Arial" w:cs="Arial"/>
          <w:color w:val="000000" w:themeColor="text1"/>
          <w:sz w:val="20"/>
          <w:szCs w:val="20"/>
        </w:rPr>
        <w:t>,</w:t>
      </w:r>
      <w:r w:rsidRPr="00623C5B">
        <w:rPr>
          <w:rFonts w:ascii="Arial" w:hAnsi="Arial" w:cs="Arial"/>
          <w:i/>
          <w:iCs/>
          <w:color w:val="000000" w:themeColor="text1"/>
          <w:sz w:val="20"/>
          <w:szCs w:val="20"/>
        </w:rPr>
        <w:t xml:space="preserve"> 214</w:t>
      </w:r>
      <w:r w:rsidRPr="00623C5B">
        <w:rPr>
          <w:rFonts w:ascii="Arial" w:hAnsi="Arial" w:cs="Arial"/>
          <w:color w:val="000000" w:themeColor="text1"/>
          <w:sz w:val="20"/>
          <w:szCs w:val="20"/>
        </w:rPr>
        <w:t xml:space="preserve">, 103662. </w:t>
      </w:r>
      <w:hyperlink r:id="rId32" w:history="1">
        <w:r w:rsidRPr="00623C5B">
          <w:rPr>
            <w:rStyle w:val="Hyperlink"/>
            <w:rFonts w:ascii="Arial" w:hAnsi="Arial" w:cs="Arial"/>
            <w:color w:val="000000" w:themeColor="text1"/>
            <w:sz w:val="20"/>
            <w:szCs w:val="20"/>
          </w:rPr>
          <w:t>https://doi.org/10.1016/j.marchem.2019.103662</w:t>
        </w:r>
      </w:hyperlink>
      <w:r w:rsidRPr="00623C5B">
        <w:rPr>
          <w:rFonts w:ascii="Arial" w:hAnsi="Arial" w:cs="Arial"/>
          <w:color w:val="000000" w:themeColor="text1"/>
          <w:sz w:val="20"/>
          <w:szCs w:val="20"/>
        </w:rPr>
        <w:t xml:space="preserve"> </w:t>
      </w:r>
    </w:p>
    <w:p w14:paraId="540B1ABE"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Thai, N. T. (2023). Research and assessment of the current situation, propose solutions for management of aquatic resources and build a model of co-management of coastal fisheries in Can Gio District - Ho Chi Minh City, Department of Science and Technology of Ho Chi Minh City.</w:t>
      </w:r>
    </w:p>
    <w:p w14:paraId="490DC65C"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Trung, K. T., My, K. L. T., Ngoc, T. T., Quynh, L. L., My, N. T. T., Tuyet, N. V. T., Minh, Q. L. K., &amp; Hoang, D. N. (2025). Seasonal variations in surface water physicochemical quality and pollution assessment in the Can Gio estuary, Vietnam. </w:t>
      </w:r>
      <w:r w:rsidRPr="00623C5B">
        <w:rPr>
          <w:rFonts w:ascii="Arial" w:hAnsi="Arial" w:cs="Arial"/>
          <w:i/>
          <w:iCs/>
          <w:color w:val="000000" w:themeColor="text1"/>
          <w:sz w:val="20"/>
          <w:szCs w:val="20"/>
        </w:rPr>
        <w:t>Journal of Environment, Climate, and Ecology, 2</w:t>
      </w:r>
      <w:r w:rsidRPr="00623C5B">
        <w:rPr>
          <w:rFonts w:ascii="Arial" w:hAnsi="Arial" w:cs="Arial"/>
          <w:color w:val="000000" w:themeColor="text1"/>
          <w:sz w:val="20"/>
          <w:szCs w:val="20"/>
        </w:rPr>
        <w:t xml:space="preserve">(2), 147-154. </w:t>
      </w:r>
      <w:hyperlink r:id="rId33" w:history="1">
        <w:r w:rsidRPr="00623C5B">
          <w:rPr>
            <w:rStyle w:val="Hyperlink"/>
            <w:rFonts w:ascii="Arial" w:hAnsi="Arial" w:cs="Arial"/>
            <w:color w:val="000000" w:themeColor="text1"/>
            <w:sz w:val="20"/>
            <w:szCs w:val="20"/>
          </w:rPr>
          <w:t>https://doi.org/10.69739/jece.v2i2.1116</w:t>
        </w:r>
      </w:hyperlink>
      <w:r w:rsidRPr="00623C5B">
        <w:rPr>
          <w:rFonts w:ascii="Arial" w:hAnsi="Arial" w:cs="Arial"/>
          <w:color w:val="000000" w:themeColor="text1"/>
          <w:sz w:val="20"/>
          <w:szCs w:val="20"/>
        </w:rPr>
        <w:t xml:space="preserve"> </w:t>
      </w:r>
    </w:p>
    <w:p w14:paraId="307FA15F" w14:textId="77777777" w:rsidR="005B7629" w:rsidRPr="00623C5B" w:rsidRDefault="005B7629" w:rsidP="008E7CFA">
      <w:pPr>
        <w:spacing w:line="240" w:lineRule="auto"/>
        <w:ind w:left="567" w:hanging="567"/>
        <w:rPr>
          <w:rFonts w:ascii="Arial" w:hAnsi="Arial" w:cs="Arial"/>
          <w:color w:val="000000" w:themeColor="text1"/>
          <w:sz w:val="20"/>
          <w:szCs w:val="20"/>
          <w:lang w:val="en-US"/>
        </w:rPr>
      </w:pPr>
      <w:r w:rsidRPr="00623C5B">
        <w:rPr>
          <w:rFonts w:ascii="Arial" w:hAnsi="Arial" w:cs="Arial"/>
          <w:color w:val="000000" w:themeColor="text1"/>
          <w:sz w:val="20"/>
          <w:szCs w:val="20"/>
        </w:rPr>
        <w:t xml:space="preserve">Trung, K. T., Quynh, L. L., My, N. T. T., Tuyet, N. V. T., Hong, D. D. T., Dang, G. D., Quang, V. T., Van, D. P., &amp; Hoang, D. N. (2026). Spatial-seasonal assessment of surface water quality in Can Gio, Vietnam using the water quality index. Journal of Environment, Climate, and Ecology, 3(1), 8-13. </w:t>
      </w:r>
      <w:hyperlink r:id="rId34" w:history="1">
        <w:r w:rsidRPr="00623C5B">
          <w:rPr>
            <w:rStyle w:val="Hyperlink"/>
            <w:rFonts w:ascii="Arial" w:hAnsi="Arial" w:cs="Arial"/>
            <w:color w:val="000000" w:themeColor="text1"/>
            <w:sz w:val="20"/>
            <w:szCs w:val="20"/>
          </w:rPr>
          <w:t>https://doi.org/10.69739/jece.v3i1.1336</w:t>
        </w:r>
      </w:hyperlink>
      <w:r w:rsidRPr="00623C5B">
        <w:rPr>
          <w:rFonts w:ascii="Arial" w:hAnsi="Arial" w:cs="Arial"/>
          <w:color w:val="000000" w:themeColor="text1"/>
          <w:sz w:val="20"/>
          <w:szCs w:val="20"/>
        </w:rPr>
        <w:t xml:space="preserve"> </w:t>
      </w:r>
    </w:p>
    <w:p w14:paraId="3116E1D3" w14:textId="515C73F9" w:rsidR="00B629FE" w:rsidRPr="00623C5B" w:rsidRDefault="00B629FE" w:rsidP="00D22C8B">
      <w:pPr>
        <w:rPr>
          <w:rFonts w:ascii="Arial" w:hAnsi="Arial" w:cs="Arial"/>
          <w:color w:val="000000" w:themeColor="text1"/>
          <w:sz w:val="20"/>
          <w:szCs w:val="20"/>
          <w:lang w:val="en-US"/>
        </w:rPr>
      </w:pPr>
      <w:bookmarkStart w:id="0" w:name="_GoBack"/>
      <w:bookmarkEnd w:id="0"/>
    </w:p>
    <w:sectPr w:rsidR="00B629FE" w:rsidRPr="00623C5B" w:rsidSect="005F46CB">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613F7" w14:textId="77777777" w:rsidR="00B63914" w:rsidRDefault="00B63914" w:rsidP="005F46CB">
      <w:pPr>
        <w:spacing w:after="0" w:line="240" w:lineRule="auto"/>
      </w:pPr>
      <w:r>
        <w:separator/>
      </w:r>
    </w:p>
  </w:endnote>
  <w:endnote w:type="continuationSeparator" w:id="0">
    <w:p w14:paraId="6666D52D" w14:textId="77777777" w:rsidR="00B63914" w:rsidRDefault="00B63914" w:rsidP="005F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0B251" w14:textId="77777777" w:rsidR="00B63914" w:rsidRDefault="00B63914" w:rsidP="005F46CB">
      <w:pPr>
        <w:spacing w:after="0" w:line="240" w:lineRule="auto"/>
      </w:pPr>
      <w:r>
        <w:separator/>
      </w:r>
    </w:p>
  </w:footnote>
  <w:footnote w:type="continuationSeparator" w:id="0">
    <w:p w14:paraId="7B6B767B" w14:textId="77777777" w:rsidR="00B63914" w:rsidRDefault="00B63914" w:rsidP="005F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5042"/>
    <w:multiLevelType w:val="multilevel"/>
    <w:tmpl w:val="5A3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C6CCE"/>
    <w:multiLevelType w:val="multilevel"/>
    <w:tmpl w:val="C032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40039"/>
    <w:multiLevelType w:val="multilevel"/>
    <w:tmpl w:val="552CF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11"/>
    <w:rsid w:val="0000034D"/>
    <w:rsid w:val="00026A72"/>
    <w:rsid w:val="00026DD0"/>
    <w:rsid w:val="00030145"/>
    <w:rsid w:val="000370D2"/>
    <w:rsid w:val="00065830"/>
    <w:rsid w:val="00071F37"/>
    <w:rsid w:val="000B2C44"/>
    <w:rsid w:val="000C0F1F"/>
    <w:rsid w:val="000D6179"/>
    <w:rsid w:val="000E327D"/>
    <w:rsid w:val="000F3939"/>
    <w:rsid w:val="000F6E93"/>
    <w:rsid w:val="000F7BDC"/>
    <w:rsid w:val="00100FBF"/>
    <w:rsid w:val="0012521D"/>
    <w:rsid w:val="00135BF2"/>
    <w:rsid w:val="001414BE"/>
    <w:rsid w:val="00145D13"/>
    <w:rsid w:val="00160DA6"/>
    <w:rsid w:val="00164064"/>
    <w:rsid w:val="00175096"/>
    <w:rsid w:val="00185A11"/>
    <w:rsid w:val="001A34AF"/>
    <w:rsid w:val="001A6860"/>
    <w:rsid w:val="001B3750"/>
    <w:rsid w:val="001E2F50"/>
    <w:rsid w:val="001F2C90"/>
    <w:rsid w:val="00207F2F"/>
    <w:rsid w:val="002153B2"/>
    <w:rsid w:val="00243B90"/>
    <w:rsid w:val="00266133"/>
    <w:rsid w:val="00266812"/>
    <w:rsid w:val="00282AD9"/>
    <w:rsid w:val="00290ED7"/>
    <w:rsid w:val="00290F80"/>
    <w:rsid w:val="0029465A"/>
    <w:rsid w:val="002A075B"/>
    <w:rsid w:val="002C06D9"/>
    <w:rsid w:val="002D16EF"/>
    <w:rsid w:val="002E5E9E"/>
    <w:rsid w:val="002F7282"/>
    <w:rsid w:val="00305BCD"/>
    <w:rsid w:val="00321DC9"/>
    <w:rsid w:val="00333E94"/>
    <w:rsid w:val="00364CF4"/>
    <w:rsid w:val="00391FBC"/>
    <w:rsid w:val="003A6155"/>
    <w:rsid w:val="003B0679"/>
    <w:rsid w:val="003B3BCF"/>
    <w:rsid w:val="003B5970"/>
    <w:rsid w:val="003D51D3"/>
    <w:rsid w:val="003D67F6"/>
    <w:rsid w:val="003D7D44"/>
    <w:rsid w:val="003E0471"/>
    <w:rsid w:val="00401315"/>
    <w:rsid w:val="00420542"/>
    <w:rsid w:val="0042121C"/>
    <w:rsid w:val="004260FF"/>
    <w:rsid w:val="00471BB3"/>
    <w:rsid w:val="004739DD"/>
    <w:rsid w:val="004814A4"/>
    <w:rsid w:val="00495AA4"/>
    <w:rsid w:val="004A4A8B"/>
    <w:rsid w:val="004B76BE"/>
    <w:rsid w:val="004C73A0"/>
    <w:rsid w:val="004E7A2E"/>
    <w:rsid w:val="004F2A3F"/>
    <w:rsid w:val="00501633"/>
    <w:rsid w:val="00512992"/>
    <w:rsid w:val="005159CB"/>
    <w:rsid w:val="00515D72"/>
    <w:rsid w:val="00525526"/>
    <w:rsid w:val="00541052"/>
    <w:rsid w:val="00552CE4"/>
    <w:rsid w:val="00560B98"/>
    <w:rsid w:val="00560F77"/>
    <w:rsid w:val="00587D2F"/>
    <w:rsid w:val="00593BB6"/>
    <w:rsid w:val="005A40AD"/>
    <w:rsid w:val="005B1663"/>
    <w:rsid w:val="005B7629"/>
    <w:rsid w:val="005C2ADB"/>
    <w:rsid w:val="005D2160"/>
    <w:rsid w:val="005D4A4A"/>
    <w:rsid w:val="005D53B2"/>
    <w:rsid w:val="005F46CB"/>
    <w:rsid w:val="005F5F86"/>
    <w:rsid w:val="00602E65"/>
    <w:rsid w:val="00623C5B"/>
    <w:rsid w:val="00624203"/>
    <w:rsid w:val="00631523"/>
    <w:rsid w:val="00651CB3"/>
    <w:rsid w:val="00671D35"/>
    <w:rsid w:val="00676D24"/>
    <w:rsid w:val="00687229"/>
    <w:rsid w:val="00690FDE"/>
    <w:rsid w:val="006A68FB"/>
    <w:rsid w:val="006C62D3"/>
    <w:rsid w:val="006D6DCB"/>
    <w:rsid w:val="006F5E50"/>
    <w:rsid w:val="006F72EB"/>
    <w:rsid w:val="00701E07"/>
    <w:rsid w:val="0072455B"/>
    <w:rsid w:val="007275F2"/>
    <w:rsid w:val="00734C1B"/>
    <w:rsid w:val="00735A7B"/>
    <w:rsid w:val="00736BA0"/>
    <w:rsid w:val="0074108A"/>
    <w:rsid w:val="007505F0"/>
    <w:rsid w:val="00762C59"/>
    <w:rsid w:val="007649CA"/>
    <w:rsid w:val="00771A16"/>
    <w:rsid w:val="00785550"/>
    <w:rsid w:val="00796976"/>
    <w:rsid w:val="007A5203"/>
    <w:rsid w:val="007A7767"/>
    <w:rsid w:val="007B1597"/>
    <w:rsid w:val="007B2603"/>
    <w:rsid w:val="007B79D5"/>
    <w:rsid w:val="007C75C0"/>
    <w:rsid w:val="007D13E2"/>
    <w:rsid w:val="007D3C8C"/>
    <w:rsid w:val="007E0596"/>
    <w:rsid w:val="007E2F05"/>
    <w:rsid w:val="007F5382"/>
    <w:rsid w:val="007F5B9E"/>
    <w:rsid w:val="00823792"/>
    <w:rsid w:val="00830259"/>
    <w:rsid w:val="00832FA7"/>
    <w:rsid w:val="00833659"/>
    <w:rsid w:val="00841F3E"/>
    <w:rsid w:val="00852819"/>
    <w:rsid w:val="00863711"/>
    <w:rsid w:val="008700A3"/>
    <w:rsid w:val="008806C1"/>
    <w:rsid w:val="00897FEC"/>
    <w:rsid w:val="008A00FD"/>
    <w:rsid w:val="008A035A"/>
    <w:rsid w:val="008A32CA"/>
    <w:rsid w:val="008A5724"/>
    <w:rsid w:val="008B2A5E"/>
    <w:rsid w:val="008B4956"/>
    <w:rsid w:val="008B4DFC"/>
    <w:rsid w:val="008C02D6"/>
    <w:rsid w:val="008C0CBD"/>
    <w:rsid w:val="008C691E"/>
    <w:rsid w:val="008C7DF5"/>
    <w:rsid w:val="008E7CFA"/>
    <w:rsid w:val="008F210F"/>
    <w:rsid w:val="00900203"/>
    <w:rsid w:val="00915251"/>
    <w:rsid w:val="00915CFA"/>
    <w:rsid w:val="009178C8"/>
    <w:rsid w:val="00923743"/>
    <w:rsid w:val="009348EC"/>
    <w:rsid w:val="009565E2"/>
    <w:rsid w:val="0096113B"/>
    <w:rsid w:val="0096409A"/>
    <w:rsid w:val="009848C1"/>
    <w:rsid w:val="00987678"/>
    <w:rsid w:val="00992CDE"/>
    <w:rsid w:val="009B4D84"/>
    <w:rsid w:val="009B5318"/>
    <w:rsid w:val="009B58D2"/>
    <w:rsid w:val="009B6268"/>
    <w:rsid w:val="009C05B0"/>
    <w:rsid w:val="009C3A49"/>
    <w:rsid w:val="009C6DB9"/>
    <w:rsid w:val="009D07A2"/>
    <w:rsid w:val="009D3DBB"/>
    <w:rsid w:val="009D409C"/>
    <w:rsid w:val="00A0137A"/>
    <w:rsid w:val="00A0492B"/>
    <w:rsid w:val="00A06D86"/>
    <w:rsid w:val="00A1084C"/>
    <w:rsid w:val="00A12F2B"/>
    <w:rsid w:val="00A42A56"/>
    <w:rsid w:val="00A70F16"/>
    <w:rsid w:val="00A713C1"/>
    <w:rsid w:val="00A829D3"/>
    <w:rsid w:val="00AA09CA"/>
    <w:rsid w:val="00AB46D6"/>
    <w:rsid w:val="00AB54C9"/>
    <w:rsid w:val="00AB6C61"/>
    <w:rsid w:val="00AC32E5"/>
    <w:rsid w:val="00AD4A1A"/>
    <w:rsid w:val="00AE156E"/>
    <w:rsid w:val="00AE7BA1"/>
    <w:rsid w:val="00B015CC"/>
    <w:rsid w:val="00B05F9B"/>
    <w:rsid w:val="00B17F16"/>
    <w:rsid w:val="00B4193A"/>
    <w:rsid w:val="00B42C28"/>
    <w:rsid w:val="00B4445B"/>
    <w:rsid w:val="00B520B0"/>
    <w:rsid w:val="00B629FE"/>
    <w:rsid w:val="00B63914"/>
    <w:rsid w:val="00B66E3D"/>
    <w:rsid w:val="00B7588E"/>
    <w:rsid w:val="00B93F74"/>
    <w:rsid w:val="00BA3758"/>
    <w:rsid w:val="00BB58A5"/>
    <w:rsid w:val="00BC3643"/>
    <w:rsid w:val="00BC4438"/>
    <w:rsid w:val="00BD0378"/>
    <w:rsid w:val="00BE04EE"/>
    <w:rsid w:val="00BE6C5A"/>
    <w:rsid w:val="00BF5261"/>
    <w:rsid w:val="00C04929"/>
    <w:rsid w:val="00C4499F"/>
    <w:rsid w:val="00C46953"/>
    <w:rsid w:val="00C53389"/>
    <w:rsid w:val="00C54E4B"/>
    <w:rsid w:val="00C63BEB"/>
    <w:rsid w:val="00C7379B"/>
    <w:rsid w:val="00C75E39"/>
    <w:rsid w:val="00C845AD"/>
    <w:rsid w:val="00C873AF"/>
    <w:rsid w:val="00C91A9D"/>
    <w:rsid w:val="00C92110"/>
    <w:rsid w:val="00C95FB8"/>
    <w:rsid w:val="00C97255"/>
    <w:rsid w:val="00CA7A99"/>
    <w:rsid w:val="00CA7ED7"/>
    <w:rsid w:val="00CB5970"/>
    <w:rsid w:val="00CC00F9"/>
    <w:rsid w:val="00CD5818"/>
    <w:rsid w:val="00CE2D07"/>
    <w:rsid w:val="00CF08AD"/>
    <w:rsid w:val="00CF41CD"/>
    <w:rsid w:val="00D04A8B"/>
    <w:rsid w:val="00D22C8B"/>
    <w:rsid w:val="00D6257F"/>
    <w:rsid w:val="00D64EA0"/>
    <w:rsid w:val="00D65EC0"/>
    <w:rsid w:val="00D662B3"/>
    <w:rsid w:val="00D66C4E"/>
    <w:rsid w:val="00D6775D"/>
    <w:rsid w:val="00D7318F"/>
    <w:rsid w:val="00D805C8"/>
    <w:rsid w:val="00D868DF"/>
    <w:rsid w:val="00DA3361"/>
    <w:rsid w:val="00DB00DC"/>
    <w:rsid w:val="00DE35CF"/>
    <w:rsid w:val="00DF16F8"/>
    <w:rsid w:val="00DF7A93"/>
    <w:rsid w:val="00E157AC"/>
    <w:rsid w:val="00E15B8C"/>
    <w:rsid w:val="00E2773D"/>
    <w:rsid w:val="00E429A8"/>
    <w:rsid w:val="00E52703"/>
    <w:rsid w:val="00E619ED"/>
    <w:rsid w:val="00E721CA"/>
    <w:rsid w:val="00E72850"/>
    <w:rsid w:val="00E75BB8"/>
    <w:rsid w:val="00E77D5E"/>
    <w:rsid w:val="00E86603"/>
    <w:rsid w:val="00EA3220"/>
    <w:rsid w:val="00EA4F1E"/>
    <w:rsid w:val="00EC046D"/>
    <w:rsid w:val="00EC26F6"/>
    <w:rsid w:val="00EC5924"/>
    <w:rsid w:val="00EF04E1"/>
    <w:rsid w:val="00EF5C82"/>
    <w:rsid w:val="00F16D17"/>
    <w:rsid w:val="00F2190F"/>
    <w:rsid w:val="00F2342A"/>
    <w:rsid w:val="00F24D56"/>
    <w:rsid w:val="00F343CB"/>
    <w:rsid w:val="00F43786"/>
    <w:rsid w:val="00F7123A"/>
    <w:rsid w:val="00F76623"/>
    <w:rsid w:val="00F85CA3"/>
    <w:rsid w:val="00F86BE1"/>
    <w:rsid w:val="00F917B3"/>
    <w:rsid w:val="00FB26BB"/>
    <w:rsid w:val="00FB31F4"/>
    <w:rsid w:val="00FC1784"/>
    <w:rsid w:val="00FC619D"/>
    <w:rsid w:val="00FE176D"/>
    <w:rsid w:val="00FE3C93"/>
    <w:rsid w:val="00FF052C"/>
    <w:rsid w:val="00FF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D948"/>
  <w15:chartTrackingRefBased/>
  <w15:docId w15:val="{56FC9A17-4EC2-4D6F-AB29-D3ACB4D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20"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F9B"/>
    <w:rPr>
      <w:lang w:val="vi-VN"/>
    </w:rPr>
  </w:style>
  <w:style w:type="paragraph" w:styleId="Heading1">
    <w:name w:val="heading 1"/>
    <w:basedOn w:val="Normal"/>
    <w:next w:val="Normal"/>
    <w:link w:val="Heading1Char"/>
    <w:uiPriority w:val="9"/>
    <w:qFormat/>
    <w:rsid w:val="00185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A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A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A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A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A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A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A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A11"/>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185A11"/>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185A11"/>
    <w:rPr>
      <w:rFonts w:asciiTheme="minorHAnsi" w:eastAsiaTheme="majorEastAsia" w:hAnsiTheme="minorHAnsi"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185A11"/>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185A11"/>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185A11"/>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185A11"/>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185A11"/>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185A11"/>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185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A1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185A1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A11"/>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185A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5A11"/>
    <w:rPr>
      <w:i/>
      <w:iCs/>
      <w:color w:val="404040" w:themeColor="text1" w:themeTint="BF"/>
      <w:lang w:val="vi-VN"/>
    </w:rPr>
  </w:style>
  <w:style w:type="paragraph" w:styleId="ListParagraph">
    <w:name w:val="List Paragraph"/>
    <w:basedOn w:val="Normal"/>
    <w:uiPriority w:val="34"/>
    <w:qFormat/>
    <w:rsid w:val="00185A11"/>
    <w:pPr>
      <w:ind w:left="720"/>
      <w:contextualSpacing/>
    </w:pPr>
  </w:style>
  <w:style w:type="character" w:styleId="IntenseEmphasis">
    <w:name w:val="Intense Emphasis"/>
    <w:basedOn w:val="DefaultParagraphFont"/>
    <w:uiPriority w:val="21"/>
    <w:qFormat/>
    <w:rsid w:val="00185A11"/>
    <w:rPr>
      <w:i/>
      <w:iCs/>
      <w:color w:val="0F4761" w:themeColor="accent1" w:themeShade="BF"/>
    </w:rPr>
  </w:style>
  <w:style w:type="paragraph" w:styleId="IntenseQuote">
    <w:name w:val="Intense Quote"/>
    <w:basedOn w:val="Normal"/>
    <w:next w:val="Normal"/>
    <w:link w:val="IntenseQuoteChar"/>
    <w:uiPriority w:val="30"/>
    <w:qFormat/>
    <w:rsid w:val="00185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A11"/>
    <w:rPr>
      <w:i/>
      <w:iCs/>
      <w:color w:val="0F4761" w:themeColor="accent1" w:themeShade="BF"/>
      <w:lang w:val="vi-VN"/>
    </w:rPr>
  </w:style>
  <w:style w:type="character" w:styleId="IntenseReference">
    <w:name w:val="Intense Reference"/>
    <w:basedOn w:val="DefaultParagraphFont"/>
    <w:uiPriority w:val="32"/>
    <w:qFormat/>
    <w:rsid w:val="00185A11"/>
    <w:rPr>
      <w:b/>
      <w:bCs/>
      <w:smallCaps/>
      <w:color w:val="0F4761" w:themeColor="accent1" w:themeShade="BF"/>
      <w:spacing w:val="5"/>
    </w:rPr>
  </w:style>
  <w:style w:type="character" w:styleId="Hyperlink">
    <w:name w:val="Hyperlink"/>
    <w:basedOn w:val="DefaultParagraphFont"/>
    <w:uiPriority w:val="99"/>
    <w:unhideWhenUsed/>
    <w:rsid w:val="00701E07"/>
    <w:rPr>
      <w:color w:val="467886" w:themeColor="hyperlink"/>
      <w:u w:val="single"/>
    </w:rPr>
  </w:style>
  <w:style w:type="character" w:styleId="UnresolvedMention">
    <w:name w:val="Unresolved Mention"/>
    <w:basedOn w:val="DefaultParagraphFont"/>
    <w:uiPriority w:val="99"/>
    <w:semiHidden/>
    <w:unhideWhenUsed/>
    <w:rsid w:val="00701E07"/>
    <w:rPr>
      <w:color w:val="605E5C"/>
      <w:shd w:val="clear" w:color="auto" w:fill="E1DFDD"/>
    </w:rPr>
  </w:style>
  <w:style w:type="character" w:styleId="FollowedHyperlink">
    <w:name w:val="FollowedHyperlink"/>
    <w:basedOn w:val="DefaultParagraphFont"/>
    <w:uiPriority w:val="99"/>
    <w:semiHidden/>
    <w:unhideWhenUsed/>
    <w:rsid w:val="00701E07"/>
    <w:rPr>
      <w:color w:val="96607D" w:themeColor="followedHyperlink"/>
      <w:u w:val="single"/>
    </w:rPr>
  </w:style>
  <w:style w:type="character" w:styleId="PlaceholderText">
    <w:name w:val="Placeholder Text"/>
    <w:basedOn w:val="DefaultParagraphFont"/>
    <w:uiPriority w:val="99"/>
    <w:semiHidden/>
    <w:rsid w:val="001E2F50"/>
    <w:rPr>
      <w:color w:val="666666"/>
    </w:rPr>
  </w:style>
  <w:style w:type="paragraph" w:styleId="Header">
    <w:name w:val="header"/>
    <w:basedOn w:val="Normal"/>
    <w:link w:val="HeaderChar"/>
    <w:uiPriority w:val="99"/>
    <w:unhideWhenUsed/>
    <w:rsid w:val="005F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6CB"/>
    <w:rPr>
      <w:lang w:val="vi-VN"/>
    </w:rPr>
  </w:style>
  <w:style w:type="paragraph" w:styleId="Footer">
    <w:name w:val="footer"/>
    <w:basedOn w:val="Normal"/>
    <w:link w:val="FooterChar"/>
    <w:uiPriority w:val="99"/>
    <w:unhideWhenUsed/>
    <w:rsid w:val="005F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6CB"/>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4089">
      <w:bodyDiv w:val="1"/>
      <w:marLeft w:val="0"/>
      <w:marRight w:val="0"/>
      <w:marTop w:val="0"/>
      <w:marBottom w:val="0"/>
      <w:divBdr>
        <w:top w:val="none" w:sz="0" w:space="0" w:color="auto"/>
        <w:left w:val="none" w:sz="0" w:space="0" w:color="auto"/>
        <w:bottom w:val="none" w:sz="0" w:space="0" w:color="auto"/>
        <w:right w:val="none" w:sz="0" w:space="0" w:color="auto"/>
      </w:divBdr>
    </w:div>
    <w:div w:id="141969598">
      <w:bodyDiv w:val="1"/>
      <w:marLeft w:val="0"/>
      <w:marRight w:val="0"/>
      <w:marTop w:val="0"/>
      <w:marBottom w:val="0"/>
      <w:divBdr>
        <w:top w:val="none" w:sz="0" w:space="0" w:color="auto"/>
        <w:left w:val="none" w:sz="0" w:space="0" w:color="auto"/>
        <w:bottom w:val="none" w:sz="0" w:space="0" w:color="auto"/>
        <w:right w:val="none" w:sz="0" w:space="0" w:color="auto"/>
      </w:divBdr>
    </w:div>
    <w:div w:id="193857872">
      <w:bodyDiv w:val="1"/>
      <w:marLeft w:val="0"/>
      <w:marRight w:val="0"/>
      <w:marTop w:val="0"/>
      <w:marBottom w:val="0"/>
      <w:divBdr>
        <w:top w:val="none" w:sz="0" w:space="0" w:color="auto"/>
        <w:left w:val="none" w:sz="0" w:space="0" w:color="auto"/>
        <w:bottom w:val="none" w:sz="0" w:space="0" w:color="auto"/>
        <w:right w:val="none" w:sz="0" w:space="0" w:color="auto"/>
      </w:divBdr>
    </w:div>
    <w:div w:id="256713482">
      <w:bodyDiv w:val="1"/>
      <w:marLeft w:val="0"/>
      <w:marRight w:val="0"/>
      <w:marTop w:val="0"/>
      <w:marBottom w:val="0"/>
      <w:divBdr>
        <w:top w:val="none" w:sz="0" w:space="0" w:color="auto"/>
        <w:left w:val="none" w:sz="0" w:space="0" w:color="auto"/>
        <w:bottom w:val="none" w:sz="0" w:space="0" w:color="auto"/>
        <w:right w:val="none" w:sz="0" w:space="0" w:color="auto"/>
      </w:divBdr>
    </w:div>
    <w:div w:id="284429652">
      <w:bodyDiv w:val="1"/>
      <w:marLeft w:val="0"/>
      <w:marRight w:val="0"/>
      <w:marTop w:val="0"/>
      <w:marBottom w:val="0"/>
      <w:divBdr>
        <w:top w:val="none" w:sz="0" w:space="0" w:color="auto"/>
        <w:left w:val="none" w:sz="0" w:space="0" w:color="auto"/>
        <w:bottom w:val="none" w:sz="0" w:space="0" w:color="auto"/>
        <w:right w:val="none" w:sz="0" w:space="0" w:color="auto"/>
      </w:divBdr>
    </w:div>
    <w:div w:id="337001564">
      <w:bodyDiv w:val="1"/>
      <w:marLeft w:val="0"/>
      <w:marRight w:val="0"/>
      <w:marTop w:val="0"/>
      <w:marBottom w:val="0"/>
      <w:divBdr>
        <w:top w:val="none" w:sz="0" w:space="0" w:color="auto"/>
        <w:left w:val="none" w:sz="0" w:space="0" w:color="auto"/>
        <w:bottom w:val="none" w:sz="0" w:space="0" w:color="auto"/>
        <w:right w:val="none" w:sz="0" w:space="0" w:color="auto"/>
      </w:divBdr>
    </w:div>
    <w:div w:id="370107837">
      <w:bodyDiv w:val="1"/>
      <w:marLeft w:val="0"/>
      <w:marRight w:val="0"/>
      <w:marTop w:val="0"/>
      <w:marBottom w:val="0"/>
      <w:divBdr>
        <w:top w:val="none" w:sz="0" w:space="0" w:color="auto"/>
        <w:left w:val="none" w:sz="0" w:space="0" w:color="auto"/>
        <w:bottom w:val="none" w:sz="0" w:space="0" w:color="auto"/>
        <w:right w:val="none" w:sz="0" w:space="0" w:color="auto"/>
      </w:divBdr>
    </w:div>
    <w:div w:id="373428623">
      <w:bodyDiv w:val="1"/>
      <w:marLeft w:val="0"/>
      <w:marRight w:val="0"/>
      <w:marTop w:val="0"/>
      <w:marBottom w:val="0"/>
      <w:divBdr>
        <w:top w:val="none" w:sz="0" w:space="0" w:color="auto"/>
        <w:left w:val="none" w:sz="0" w:space="0" w:color="auto"/>
        <w:bottom w:val="none" w:sz="0" w:space="0" w:color="auto"/>
        <w:right w:val="none" w:sz="0" w:space="0" w:color="auto"/>
      </w:divBdr>
    </w:div>
    <w:div w:id="523129359">
      <w:bodyDiv w:val="1"/>
      <w:marLeft w:val="0"/>
      <w:marRight w:val="0"/>
      <w:marTop w:val="0"/>
      <w:marBottom w:val="0"/>
      <w:divBdr>
        <w:top w:val="none" w:sz="0" w:space="0" w:color="auto"/>
        <w:left w:val="none" w:sz="0" w:space="0" w:color="auto"/>
        <w:bottom w:val="none" w:sz="0" w:space="0" w:color="auto"/>
        <w:right w:val="none" w:sz="0" w:space="0" w:color="auto"/>
      </w:divBdr>
    </w:div>
    <w:div w:id="554706605">
      <w:bodyDiv w:val="1"/>
      <w:marLeft w:val="0"/>
      <w:marRight w:val="0"/>
      <w:marTop w:val="0"/>
      <w:marBottom w:val="0"/>
      <w:divBdr>
        <w:top w:val="none" w:sz="0" w:space="0" w:color="auto"/>
        <w:left w:val="none" w:sz="0" w:space="0" w:color="auto"/>
        <w:bottom w:val="none" w:sz="0" w:space="0" w:color="auto"/>
        <w:right w:val="none" w:sz="0" w:space="0" w:color="auto"/>
      </w:divBdr>
    </w:div>
    <w:div w:id="585501419">
      <w:bodyDiv w:val="1"/>
      <w:marLeft w:val="0"/>
      <w:marRight w:val="0"/>
      <w:marTop w:val="0"/>
      <w:marBottom w:val="0"/>
      <w:divBdr>
        <w:top w:val="none" w:sz="0" w:space="0" w:color="auto"/>
        <w:left w:val="none" w:sz="0" w:space="0" w:color="auto"/>
        <w:bottom w:val="none" w:sz="0" w:space="0" w:color="auto"/>
        <w:right w:val="none" w:sz="0" w:space="0" w:color="auto"/>
      </w:divBdr>
    </w:div>
    <w:div w:id="588194309">
      <w:bodyDiv w:val="1"/>
      <w:marLeft w:val="0"/>
      <w:marRight w:val="0"/>
      <w:marTop w:val="0"/>
      <w:marBottom w:val="0"/>
      <w:divBdr>
        <w:top w:val="none" w:sz="0" w:space="0" w:color="auto"/>
        <w:left w:val="none" w:sz="0" w:space="0" w:color="auto"/>
        <w:bottom w:val="none" w:sz="0" w:space="0" w:color="auto"/>
        <w:right w:val="none" w:sz="0" w:space="0" w:color="auto"/>
      </w:divBdr>
    </w:div>
    <w:div w:id="636885476">
      <w:bodyDiv w:val="1"/>
      <w:marLeft w:val="0"/>
      <w:marRight w:val="0"/>
      <w:marTop w:val="0"/>
      <w:marBottom w:val="0"/>
      <w:divBdr>
        <w:top w:val="none" w:sz="0" w:space="0" w:color="auto"/>
        <w:left w:val="none" w:sz="0" w:space="0" w:color="auto"/>
        <w:bottom w:val="none" w:sz="0" w:space="0" w:color="auto"/>
        <w:right w:val="none" w:sz="0" w:space="0" w:color="auto"/>
      </w:divBdr>
    </w:div>
    <w:div w:id="657271741">
      <w:bodyDiv w:val="1"/>
      <w:marLeft w:val="0"/>
      <w:marRight w:val="0"/>
      <w:marTop w:val="0"/>
      <w:marBottom w:val="0"/>
      <w:divBdr>
        <w:top w:val="none" w:sz="0" w:space="0" w:color="auto"/>
        <w:left w:val="none" w:sz="0" w:space="0" w:color="auto"/>
        <w:bottom w:val="none" w:sz="0" w:space="0" w:color="auto"/>
        <w:right w:val="none" w:sz="0" w:space="0" w:color="auto"/>
      </w:divBdr>
    </w:div>
    <w:div w:id="668413291">
      <w:bodyDiv w:val="1"/>
      <w:marLeft w:val="0"/>
      <w:marRight w:val="0"/>
      <w:marTop w:val="0"/>
      <w:marBottom w:val="0"/>
      <w:divBdr>
        <w:top w:val="none" w:sz="0" w:space="0" w:color="auto"/>
        <w:left w:val="none" w:sz="0" w:space="0" w:color="auto"/>
        <w:bottom w:val="none" w:sz="0" w:space="0" w:color="auto"/>
        <w:right w:val="none" w:sz="0" w:space="0" w:color="auto"/>
      </w:divBdr>
    </w:div>
    <w:div w:id="746615483">
      <w:bodyDiv w:val="1"/>
      <w:marLeft w:val="0"/>
      <w:marRight w:val="0"/>
      <w:marTop w:val="0"/>
      <w:marBottom w:val="0"/>
      <w:divBdr>
        <w:top w:val="none" w:sz="0" w:space="0" w:color="auto"/>
        <w:left w:val="none" w:sz="0" w:space="0" w:color="auto"/>
        <w:bottom w:val="none" w:sz="0" w:space="0" w:color="auto"/>
        <w:right w:val="none" w:sz="0" w:space="0" w:color="auto"/>
      </w:divBdr>
    </w:div>
    <w:div w:id="792940519">
      <w:bodyDiv w:val="1"/>
      <w:marLeft w:val="0"/>
      <w:marRight w:val="0"/>
      <w:marTop w:val="0"/>
      <w:marBottom w:val="0"/>
      <w:divBdr>
        <w:top w:val="none" w:sz="0" w:space="0" w:color="auto"/>
        <w:left w:val="none" w:sz="0" w:space="0" w:color="auto"/>
        <w:bottom w:val="none" w:sz="0" w:space="0" w:color="auto"/>
        <w:right w:val="none" w:sz="0" w:space="0" w:color="auto"/>
      </w:divBdr>
    </w:div>
    <w:div w:id="827209240">
      <w:bodyDiv w:val="1"/>
      <w:marLeft w:val="0"/>
      <w:marRight w:val="0"/>
      <w:marTop w:val="0"/>
      <w:marBottom w:val="0"/>
      <w:divBdr>
        <w:top w:val="none" w:sz="0" w:space="0" w:color="auto"/>
        <w:left w:val="none" w:sz="0" w:space="0" w:color="auto"/>
        <w:bottom w:val="none" w:sz="0" w:space="0" w:color="auto"/>
        <w:right w:val="none" w:sz="0" w:space="0" w:color="auto"/>
      </w:divBdr>
    </w:div>
    <w:div w:id="841512733">
      <w:bodyDiv w:val="1"/>
      <w:marLeft w:val="0"/>
      <w:marRight w:val="0"/>
      <w:marTop w:val="0"/>
      <w:marBottom w:val="0"/>
      <w:divBdr>
        <w:top w:val="none" w:sz="0" w:space="0" w:color="auto"/>
        <w:left w:val="none" w:sz="0" w:space="0" w:color="auto"/>
        <w:bottom w:val="none" w:sz="0" w:space="0" w:color="auto"/>
        <w:right w:val="none" w:sz="0" w:space="0" w:color="auto"/>
      </w:divBdr>
    </w:div>
    <w:div w:id="876360111">
      <w:bodyDiv w:val="1"/>
      <w:marLeft w:val="0"/>
      <w:marRight w:val="0"/>
      <w:marTop w:val="0"/>
      <w:marBottom w:val="0"/>
      <w:divBdr>
        <w:top w:val="none" w:sz="0" w:space="0" w:color="auto"/>
        <w:left w:val="none" w:sz="0" w:space="0" w:color="auto"/>
        <w:bottom w:val="none" w:sz="0" w:space="0" w:color="auto"/>
        <w:right w:val="none" w:sz="0" w:space="0" w:color="auto"/>
      </w:divBdr>
    </w:div>
    <w:div w:id="898171901">
      <w:bodyDiv w:val="1"/>
      <w:marLeft w:val="0"/>
      <w:marRight w:val="0"/>
      <w:marTop w:val="0"/>
      <w:marBottom w:val="0"/>
      <w:divBdr>
        <w:top w:val="none" w:sz="0" w:space="0" w:color="auto"/>
        <w:left w:val="none" w:sz="0" w:space="0" w:color="auto"/>
        <w:bottom w:val="none" w:sz="0" w:space="0" w:color="auto"/>
        <w:right w:val="none" w:sz="0" w:space="0" w:color="auto"/>
      </w:divBdr>
    </w:div>
    <w:div w:id="934555367">
      <w:bodyDiv w:val="1"/>
      <w:marLeft w:val="0"/>
      <w:marRight w:val="0"/>
      <w:marTop w:val="0"/>
      <w:marBottom w:val="0"/>
      <w:divBdr>
        <w:top w:val="none" w:sz="0" w:space="0" w:color="auto"/>
        <w:left w:val="none" w:sz="0" w:space="0" w:color="auto"/>
        <w:bottom w:val="none" w:sz="0" w:space="0" w:color="auto"/>
        <w:right w:val="none" w:sz="0" w:space="0" w:color="auto"/>
      </w:divBdr>
    </w:div>
    <w:div w:id="936132513">
      <w:bodyDiv w:val="1"/>
      <w:marLeft w:val="0"/>
      <w:marRight w:val="0"/>
      <w:marTop w:val="0"/>
      <w:marBottom w:val="0"/>
      <w:divBdr>
        <w:top w:val="none" w:sz="0" w:space="0" w:color="auto"/>
        <w:left w:val="none" w:sz="0" w:space="0" w:color="auto"/>
        <w:bottom w:val="none" w:sz="0" w:space="0" w:color="auto"/>
        <w:right w:val="none" w:sz="0" w:space="0" w:color="auto"/>
      </w:divBdr>
    </w:div>
    <w:div w:id="952983201">
      <w:bodyDiv w:val="1"/>
      <w:marLeft w:val="0"/>
      <w:marRight w:val="0"/>
      <w:marTop w:val="0"/>
      <w:marBottom w:val="0"/>
      <w:divBdr>
        <w:top w:val="none" w:sz="0" w:space="0" w:color="auto"/>
        <w:left w:val="none" w:sz="0" w:space="0" w:color="auto"/>
        <w:bottom w:val="none" w:sz="0" w:space="0" w:color="auto"/>
        <w:right w:val="none" w:sz="0" w:space="0" w:color="auto"/>
      </w:divBdr>
    </w:div>
    <w:div w:id="981471589">
      <w:bodyDiv w:val="1"/>
      <w:marLeft w:val="0"/>
      <w:marRight w:val="0"/>
      <w:marTop w:val="0"/>
      <w:marBottom w:val="0"/>
      <w:divBdr>
        <w:top w:val="none" w:sz="0" w:space="0" w:color="auto"/>
        <w:left w:val="none" w:sz="0" w:space="0" w:color="auto"/>
        <w:bottom w:val="none" w:sz="0" w:space="0" w:color="auto"/>
        <w:right w:val="none" w:sz="0" w:space="0" w:color="auto"/>
      </w:divBdr>
    </w:div>
    <w:div w:id="1011761432">
      <w:bodyDiv w:val="1"/>
      <w:marLeft w:val="0"/>
      <w:marRight w:val="0"/>
      <w:marTop w:val="0"/>
      <w:marBottom w:val="0"/>
      <w:divBdr>
        <w:top w:val="none" w:sz="0" w:space="0" w:color="auto"/>
        <w:left w:val="none" w:sz="0" w:space="0" w:color="auto"/>
        <w:bottom w:val="none" w:sz="0" w:space="0" w:color="auto"/>
        <w:right w:val="none" w:sz="0" w:space="0" w:color="auto"/>
      </w:divBdr>
    </w:div>
    <w:div w:id="1012488700">
      <w:bodyDiv w:val="1"/>
      <w:marLeft w:val="0"/>
      <w:marRight w:val="0"/>
      <w:marTop w:val="0"/>
      <w:marBottom w:val="0"/>
      <w:divBdr>
        <w:top w:val="none" w:sz="0" w:space="0" w:color="auto"/>
        <w:left w:val="none" w:sz="0" w:space="0" w:color="auto"/>
        <w:bottom w:val="none" w:sz="0" w:space="0" w:color="auto"/>
        <w:right w:val="none" w:sz="0" w:space="0" w:color="auto"/>
      </w:divBdr>
    </w:div>
    <w:div w:id="1046177181">
      <w:bodyDiv w:val="1"/>
      <w:marLeft w:val="0"/>
      <w:marRight w:val="0"/>
      <w:marTop w:val="0"/>
      <w:marBottom w:val="0"/>
      <w:divBdr>
        <w:top w:val="none" w:sz="0" w:space="0" w:color="auto"/>
        <w:left w:val="none" w:sz="0" w:space="0" w:color="auto"/>
        <w:bottom w:val="none" w:sz="0" w:space="0" w:color="auto"/>
        <w:right w:val="none" w:sz="0" w:space="0" w:color="auto"/>
      </w:divBdr>
    </w:div>
    <w:div w:id="1387099852">
      <w:bodyDiv w:val="1"/>
      <w:marLeft w:val="0"/>
      <w:marRight w:val="0"/>
      <w:marTop w:val="0"/>
      <w:marBottom w:val="0"/>
      <w:divBdr>
        <w:top w:val="none" w:sz="0" w:space="0" w:color="auto"/>
        <w:left w:val="none" w:sz="0" w:space="0" w:color="auto"/>
        <w:bottom w:val="none" w:sz="0" w:space="0" w:color="auto"/>
        <w:right w:val="none" w:sz="0" w:space="0" w:color="auto"/>
      </w:divBdr>
    </w:div>
    <w:div w:id="1424379030">
      <w:bodyDiv w:val="1"/>
      <w:marLeft w:val="0"/>
      <w:marRight w:val="0"/>
      <w:marTop w:val="0"/>
      <w:marBottom w:val="0"/>
      <w:divBdr>
        <w:top w:val="none" w:sz="0" w:space="0" w:color="auto"/>
        <w:left w:val="none" w:sz="0" w:space="0" w:color="auto"/>
        <w:bottom w:val="none" w:sz="0" w:space="0" w:color="auto"/>
        <w:right w:val="none" w:sz="0" w:space="0" w:color="auto"/>
      </w:divBdr>
    </w:div>
    <w:div w:id="1487353043">
      <w:bodyDiv w:val="1"/>
      <w:marLeft w:val="0"/>
      <w:marRight w:val="0"/>
      <w:marTop w:val="0"/>
      <w:marBottom w:val="0"/>
      <w:divBdr>
        <w:top w:val="none" w:sz="0" w:space="0" w:color="auto"/>
        <w:left w:val="none" w:sz="0" w:space="0" w:color="auto"/>
        <w:bottom w:val="none" w:sz="0" w:space="0" w:color="auto"/>
        <w:right w:val="none" w:sz="0" w:space="0" w:color="auto"/>
      </w:divBdr>
    </w:div>
    <w:div w:id="1573851401">
      <w:bodyDiv w:val="1"/>
      <w:marLeft w:val="0"/>
      <w:marRight w:val="0"/>
      <w:marTop w:val="0"/>
      <w:marBottom w:val="0"/>
      <w:divBdr>
        <w:top w:val="none" w:sz="0" w:space="0" w:color="auto"/>
        <w:left w:val="none" w:sz="0" w:space="0" w:color="auto"/>
        <w:bottom w:val="none" w:sz="0" w:space="0" w:color="auto"/>
        <w:right w:val="none" w:sz="0" w:space="0" w:color="auto"/>
      </w:divBdr>
    </w:div>
    <w:div w:id="1592541459">
      <w:bodyDiv w:val="1"/>
      <w:marLeft w:val="0"/>
      <w:marRight w:val="0"/>
      <w:marTop w:val="0"/>
      <w:marBottom w:val="0"/>
      <w:divBdr>
        <w:top w:val="none" w:sz="0" w:space="0" w:color="auto"/>
        <w:left w:val="none" w:sz="0" w:space="0" w:color="auto"/>
        <w:bottom w:val="none" w:sz="0" w:space="0" w:color="auto"/>
        <w:right w:val="none" w:sz="0" w:space="0" w:color="auto"/>
      </w:divBdr>
    </w:div>
    <w:div w:id="1597053859">
      <w:bodyDiv w:val="1"/>
      <w:marLeft w:val="0"/>
      <w:marRight w:val="0"/>
      <w:marTop w:val="0"/>
      <w:marBottom w:val="0"/>
      <w:divBdr>
        <w:top w:val="none" w:sz="0" w:space="0" w:color="auto"/>
        <w:left w:val="none" w:sz="0" w:space="0" w:color="auto"/>
        <w:bottom w:val="none" w:sz="0" w:space="0" w:color="auto"/>
        <w:right w:val="none" w:sz="0" w:space="0" w:color="auto"/>
      </w:divBdr>
    </w:div>
    <w:div w:id="1636131972">
      <w:bodyDiv w:val="1"/>
      <w:marLeft w:val="0"/>
      <w:marRight w:val="0"/>
      <w:marTop w:val="0"/>
      <w:marBottom w:val="0"/>
      <w:divBdr>
        <w:top w:val="none" w:sz="0" w:space="0" w:color="auto"/>
        <w:left w:val="none" w:sz="0" w:space="0" w:color="auto"/>
        <w:bottom w:val="none" w:sz="0" w:space="0" w:color="auto"/>
        <w:right w:val="none" w:sz="0" w:space="0" w:color="auto"/>
      </w:divBdr>
      <w:divsChild>
        <w:div w:id="176692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07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40234">
      <w:bodyDiv w:val="1"/>
      <w:marLeft w:val="0"/>
      <w:marRight w:val="0"/>
      <w:marTop w:val="0"/>
      <w:marBottom w:val="0"/>
      <w:divBdr>
        <w:top w:val="none" w:sz="0" w:space="0" w:color="auto"/>
        <w:left w:val="none" w:sz="0" w:space="0" w:color="auto"/>
        <w:bottom w:val="none" w:sz="0" w:space="0" w:color="auto"/>
        <w:right w:val="none" w:sz="0" w:space="0" w:color="auto"/>
      </w:divBdr>
    </w:div>
    <w:div w:id="1681933036">
      <w:bodyDiv w:val="1"/>
      <w:marLeft w:val="0"/>
      <w:marRight w:val="0"/>
      <w:marTop w:val="0"/>
      <w:marBottom w:val="0"/>
      <w:divBdr>
        <w:top w:val="none" w:sz="0" w:space="0" w:color="auto"/>
        <w:left w:val="none" w:sz="0" w:space="0" w:color="auto"/>
        <w:bottom w:val="none" w:sz="0" w:space="0" w:color="auto"/>
        <w:right w:val="none" w:sz="0" w:space="0" w:color="auto"/>
      </w:divBdr>
    </w:div>
    <w:div w:id="1682272612">
      <w:bodyDiv w:val="1"/>
      <w:marLeft w:val="0"/>
      <w:marRight w:val="0"/>
      <w:marTop w:val="0"/>
      <w:marBottom w:val="0"/>
      <w:divBdr>
        <w:top w:val="none" w:sz="0" w:space="0" w:color="auto"/>
        <w:left w:val="none" w:sz="0" w:space="0" w:color="auto"/>
        <w:bottom w:val="none" w:sz="0" w:space="0" w:color="auto"/>
        <w:right w:val="none" w:sz="0" w:space="0" w:color="auto"/>
      </w:divBdr>
      <w:divsChild>
        <w:div w:id="7930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8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721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7512">
      <w:bodyDiv w:val="1"/>
      <w:marLeft w:val="0"/>
      <w:marRight w:val="0"/>
      <w:marTop w:val="0"/>
      <w:marBottom w:val="0"/>
      <w:divBdr>
        <w:top w:val="none" w:sz="0" w:space="0" w:color="auto"/>
        <w:left w:val="none" w:sz="0" w:space="0" w:color="auto"/>
        <w:bottom w:val="none" w:sz="0" w:space="0" w:color="auto"/>
        <w:right w:val="none" w:sz="0" w:space="0" w:color="auto"/>
      </w:divBdr>
    </w:div>
    <w:div w:id="1739673540">
      <w:bodyDiv w:val="1"/>
      <w:marLeft w:val="0"/>
      <w:marRight w:val="0"/>
      <w:marTop w:val="0"/>
      <w:marBottom w:val="0"/>
      <w:divBdr>
        <w:top w:val="none" w:sz="0" w:space="0" w:color="auto"/>
        <w:left w:val="none" w:sz="0" w:space="0" w:color="auto"/>
        <w:bottom w:val="none" w:sz="0" w:space="0" w:color="auto"/>
        <w:right w:val="none" w:sz="0" w:space="0" w:color="auto"/>
      </w:divBdr>
    </w:div>
    <w:div w:id="1751921851">
      <w:bodyDiv w:val="1"/>
      <w:marLeft w:val="0"/>
      <w:marRight w:val="0"/>
      <w:marTop w:val="0"/>
      <w:marBottom w:val="0"/>
      <w:divBdr>
        <w:top w:val="none" w:sz="0" w:space="0" w:color="auto"/>
        <w:left w:val="none" w:sz="0" w:space="0" w:color="auto"/>
        <w:bottom w:val="none" w:sz="0" w:space="0" w:color="auto"/>
        <w:right w:val="none" w:sz="0" w:space="0" w:color="auto"/>
      </w:divBdr>
    </w:div>
    <w:div w:id="1793550468">
      <w:bodyDiv w:val="1"/>
      <w:marLeft w:val="0"/>
      <w:marRight w:val="0"/>
      <w:marTop w:val="0"/>
      <w:marBottom w:val="0"/>
      <w:divBdr>
        <w:top w:val="none" w:sz="0" w:space="0" w:color="auto"/>
        <w:left w:val="none" w:sz="0" w:space="0" w:color="auto"/>
        <w:bottom w:val="none" w:sz="0" w:space="0" w:color="auto"/>
        <w:right w:val="none" w:sz="0" w:space="0" w:color="auto"/>
      </w:divBdr>
    </w:div>
    <w:div w:id="1799641409">
      <w:bodyDiv w:val="1"/>
      <w:marLeft w:val="0"/>
      <w:marRight w:val="0"/>
      <w:marTop w:val="0"/>
      <w:marBottom w:val="0"/>
      <w:divBdr>
        <w:top w:val="none" w:sz="0" w:space="0" w:color="auto"/>
        <w:left w:val="none" w:sz="0" w:space="0" w:color="auto"/>
        <w:bottom w:val="none" w:sz="0" w:space="0" w:color="auto"/>
        <w:right w:val="none" w:sz="0" w:space="0" w:color="auto"/>
      </w:divBdr>
    </w:div>
    <w:div w:id="1831866801">
      <w:bodyDiv w:val="1"/>
      <w:marLeft w:val="0"/>
      <w:marRight w:val="0"/>
      <w:marTop w:val="0"/>
      <w:marBottom w:val="0"/>
      <w:divBdr>
        <w:top w:val="none" w:sz="0" w:space="0" w:color="auto"/>
        <w:left w:val="none" w:sz="0" w:space="0" w:color="auto"/>
        <w:bottom w:val="none" w:sz="0" w:space="0" w:color="auto"/>
        <w:right w:val="none" w:sz="0" w:space="0" w:color="auto"/>
      </w:divBdr>
    </w:div>
    <w:div w:id="1834686813">
      <w:bodyDiv w:val="1"/>
      <w:marLeft w:val="0"/>
      <w:marRight w:val="0"/>
      <w:marTop w:val="0"/>
      <w:marBottom w:val="0"/>
      <w:divBdr>
        <w:top w:val="none" w:sz="0" w:space="0" w:color="auto"/>
        <w:left w:val="none" w:sz="0" w:space="0" w:color="auto"/>
        <w:bottom w:val="none" w:sz="0" w:space="0" w:color="auto"/>
        <w:right w:val="none" w:sz="0" w:space="0" w:color="auto"/>
      </w:divBdr>
    </w:div>
    <w:div w:id="1860922594">
      <w:bodyDiv w:val="1"/>
      <w:marLeft w:val="0"/>
      <w:marRight w:val="0"/>
      <w:marTop w:val="0"/>
      <w:marBottom w:val="0"/>
      <w:divBdr>
        <w:top w:val="none" w:sz="0" w:space="0" w:color="auto"/>
        <w:left w:val="none" w:sz="0" w:space="0" w:color="auto"/>
        <w:bottom w:val="none" w:sz="0" w:space="0" w:color="auto"/>
        <w:right w:val="none" w:sz="0" w:space="0" w:color="auto"/>
      </w:divBdr>
    </w:div>
    <w:div w:id="1880849346">
      <w:bodyDiv w:val="1"/>
      <w:marLeft w:val="0"/>
      <w:marRight w:val="0"/>
      <w:marTop w:val="0"/>
      <w:marBottom w:val="0"/>
      <w:divBdr>
        <w:top w:val="none" w:sz="0" w:space="0" w:color="auto"/>
        <w:left w:val="none" w:sz="0" w:space="0" w:color="auto"/>
        <w:bottom w:val="none" w:sz="0" w:space="0" w:color="auto"/>
        <w:right w:val="none" w:sz="0" w:space="0" w:color="auto"/>
      </w:divBdr>
    </w:div>
    <w:div w:id="1891990521">
      <w:bodyDiv w:val="1"/>
      <w:marLeft w:val="0"/>
      <w:marRight w:val="0"/>
      <w:marTop w:val="0"/>
      <w:marBottom w:val="0"/>
      <w:divBdr>
        <w:top w:val="none" w:sz="0" w:space="0" w:color="auto"/>
        <w:left w:val="none" w:sz="0" w:space="0" w:color="auto"/>
        <w:bottom w:val="none" w:sz="0" w:space="0" w:color="auto"/>
        <w:right w:val="none" w:sz="0" w:space="0" w:color="auto"/>
      </w:divBdr>
    </w:div>
    <w:div w:id="1893347881">
      <w:bodyDiv w:val="1"/>
      <w:marLeft w:val="0"/>
      <w:marRight w:val="0"/>
      <w:marTop w:val="0"/>
      <w:marBottom w:val="0"/>
      <w:divBdr>
        <w:top w:val="none" w:sz="0" w:space="0" w:color="auto"/>
        <w:left w:val="none" w:sz="0" w:space="0" w:color="auto"/>
        <w:bottom w:val="none" w:sz="0" w:space="0" w:color="auto"/>
        <w:right w:val="none" w:sz="0" w:space="0" w:color="auto"/>
      </w:divBdr>
    </w:div>
    <w:div w:id="1996716235">
      <w:bodyDiv w:val="1"/>
      <w:marLeft w:val="0"/>
      <w:marRight w:val="0"/>
      <w:marTop w:val="0"/>
      <w:marBottom w:val="0"/>
      <w:divBdr>
        <w:top w:val="none" w:sz="0" w:space="0" w:color="auto"/>
        <w:left w:val="none" w:sz="0" w:space="0" w:color="auto"/>
        <w:bottom w:val="none" w:sz="0" w:space="0" w:color="auto"/>
        <w:right w:val="none" w:sz="0" w:space="0" w:color="auto"/>
      </w:divBdr>
    </w:div>
    <w:div w:id="2012173450">
      <w:bodyDiv w:val="1"/>
      <w:marLeft w:val="0"/>
      <w:marRight w:val="0"/>
      <w:marTop w:val="0"/>
      <w:marBottom w:val="0"/>
      <w:divBdr>
        <w:top w:val="none" w:sz="0" w:space="0" w:color="auto"/>
        <w:left w:val="none" w:sz="0" w:space="0" w:color="auto"/>
        <w:bottom w:val="none" w:sz="0" w:space="0" w:color="auto"/>
        <w:right w:val="none" w:sz="0" w:space="0" w:color="auto"/>
      </w:divBdr>
    </w:div>
    <w:div w:id="2036954820">
      <w:bodyDiv w:val="1"/>
      <w:marLeft w:val="0"/>
      <w:marRight w:val="0"/>
      <w:marTop w:val="0"/>
      <w:marBottom w:val="0"/>
      <w:divBdr>
        <w:top w:val="none" w:sz="0" w:space="0" w:color="auto"/>
        <w:left w:val="none" w:sz="0" w:space="0" w:color="auto"/>
        <w:bottom w:val="none" w:sz="0" w:space="0" w:color="auto"/>
        <w:right w:val="none" w:sz="0" w:space="0" w:color="auto"/>
      </w:divBdr>
    </w:div>
    <w:div w:id="2068987809">
      <w:bodyDiv w:val="1"/>
      <w:marLeft w:val="0"/>
      <w:marRight w:val="0"/>
      <w:marTop w:val="0"/>
      <w:marBottom w:val="0"/>
      <w:divBdr>
        <w:top w:val="none" w:sz="0" w:space="0" w:color="auto"/>
        <w:left w:val="none" w:sz="0" w:space="0" w:color="auto"/>
        <w:bottom w:val="none" w:sz="0" w:space="0" w:color="auto"/>
        <w:right w:val="none" w:sz="0" w:space="0" w:color="auto"/>
      </w:divBdr>
    </w:div>
    <w:div w:id="2109108895">
      <w:bodyDiv w:val="1"/>
      <w:marLeft w:val="0"/>
      <w:marRight w:val="0"/>
      <w:marTop w:val="0"/>
      <w:marBottom w:val="0"/>
      <w:divBdr>
        <w:top w:val="none" w:sz="0" w:space="0" w:color="auto"/>
        <w:left w:val="none" w:sz="0" w:space="0" w:color="auto"/>
        <w:bottom w:val="none" w:sz="0" w:space="0" w:color="auto"/>
        <w:right w:val="none" w:sz="0" w:space="0" w:color="auto"/>
      </w:divBdr>
    </w:div>
    <w:div w:id="21342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4/relationships/chartEx" Target="charts/chartEx2.xml"/><Relationship Id="rId18" Type="http://schemas.openxmlformats.org/officeDocument/2006/relationships/hyperlink" Target="https://doi.org/10.1080/10643389.2013.829978" TargetMode="External"/><Relationship Id="rId26" Type="http://schemas.openxmlformats.org/officeDocument/2006/relationships/hyperlink" Target="https://doi.org/10.1016/j.jclepro.2024.140889" TargetMode="External"/><Relationship Id="rId3" Type="http://schemas.openxmlformats.org/officeDocument/2006/relationships/styles" Target="styles.xml"/><Relationship Id="rId21" Type="http://schemas.openxmlformats.org/officeDocument/2006/relationships/hyperlink" Target="https://doi.org/10.1007/s10661-024-13436-x" TargetMode="External"/><Relationship Id="rId34" Type="http://schemas.openxmlformats.org/officeDocument/2006/relationships/hyperlink" Target="https://doi.org/10.69739/jece.v3i1.1336"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1016/j.envpol.2024.124983" TargetMode="External"/><Relationship Id="rId25" Type="http://schemas.openxmlformats.org/officeDocument/2006/relationships/hyperlink" Target="https://doi.org/10.1016/j.envres.2024.119793" TargetMode="External"/><Relationship Id="rId33" Type="http://schemas.openxmlformats.org/officeDocument/2006/relationships/hyperlink" Target="https://doi.org/10.69739/jece.v2i2.1116" TargetMode="External"/><Relationship Id="rId2" Type="http://schemas.openxmlformats.org/officeDocument/2006/relationships/numbering" Target="numbering.xml"/><Relationship Id="rId16" Type="http://schemas.openxmlformats.org/officeDocument/2006/relationships/hyperlink" Target="https://doi.org/10.2166/wqrj.2025.044" TargetMode="External"/><Relationship Id="rId20" Type="http://schemas.openxmlformats.org/officeDocument/2006/relationships/hyperlink" Target="https://doi.org/10.1007/s11273-025-10093-w" TargetMode="External"/><Relationship Id="rId29" Type="http://schemas.openxmlformats.org/officeDocument/2006/relationships/hyperlink" Target="https://doi.org/10.1007/s12601-017-004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016/j.agwat.2004.05.006" TargetMode="External"/><Relationship Id="rId32" Type="http://schemas.openxmlformats.org/officeDocument/2006/relationships/hyperlink" Target="https://doi.org/10.1016/j.marchem.2019.103662"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007/s40572-020-00278-1" TargetMode="External"/><Relationship Id="rId28" Type="http://schemas.openxmlformats.org/officeDocument/2006/relationships/hyperlink" Target="https://doi.org/10.2166/wh.2022.310"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390/w13030336" TargetMode="External"/><Relationship Id="rId31" Type="http://schemas.openxmlformats.org/officeDocument/2006/relationships/hyperlink" Target="https://doi.org/10.1016/j.jhydrol.2018.05.042" TargetMode="External"/><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image" Target="media/image3.png"/><Relationship Id="rId22" Type="http://schemas.openxmlformats.org/officeDocument/2006/relationships/hyperlink" Target="https://doi.org/10.46488/NEPT.2021.v20i04.007" TargetMode="External"/><Relationship Id="rId27" Type="http://schemas.openxmlformats.org/officeDocument/2006/relationships/hyperlink" Target="https://doi.org/10.1007/s11270-025-08650-3" TargetMode="External"/><Relationship Id="rId30" Type="http://schemas.openxmlformats.org/officeDocument/2006/relationships/hyperlink" Target="https://doi.org/10.15625/1859-3097/19/1/9179" TargetMode="External"/><Relationship Id="rId35" Type="http://schemas.openxmlformats.org/officeDocument/2006/relationships/fontTable" Target="fontTable.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C&#193;C%20M&#7908;C\B&#224;i%20b&#225;o\B&#7843;n%20th&#7843;o%20sau%202025\2026%20to&#224;n%20v&#259;n%20b&#224;i%20b&#225;o\b&#224;i%20C&#7847;n%20Gi&#7901;\wqi%20ki&#234;n.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C&#193;C%20M&#7908;C\B&#224;i%20b&#225;o\B&#7843;n%20th&#7843;o%20sau%202025\2026%20to&#224;n%20v&#259;n%20b&#224;i%20b&#225;o\b&#224;i%20C&#7847;n%20Gi&#7901;\wqi%20ki&#234;n.xlsx" TargetMode="External"/><Relationship Id="rId4"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097394590391099E-2"/>
          <c:y val="5.0439422325997532E-2"/>
          <c:w val="0.8765382155558159"/>
          <c:h val="0.72080642297636643"/>
        </c:manualLayout>
      </c:layout>
      <c:barChart>
        <c:barDir val="col"/>
        <c:grouping val="clustered"/>
        <c:varyColors val="0"/>
        <c:ser>
          <c:idx val="0"/>
          <c:order val="0"/>
          <c:tx>
            <c:strRef>
              <c:f>'3. Mối liên hệ'!$H$3</c:f>
              <c:strCache>
                <c:ptCount val="1"/>
                <c:pt idx="0">
                  <c:v>BOD5 (Dry)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hệ'!$H$4:$H$17</c:f>
              <c:numCache>
                <c:formatCode>General</c:formatCode>
                <c:ptCount val="14"/>
                <c:pt idx="0">
                  <c:v>28</c:v>
                </c:pt>
                <c:pt idx="1">
                  <c:v>29</c:v>
                </c:pt>
                <c:pt idx="2">
                  <c:v>27</c:v>
                </c:pt>
                <c:pt idx="3">
                  <c:v>27</c:v>
                </c:pt>
                <c:pt idx="4">
                  <c:v>24</c:v>
                </c:pt>
                <c:pt idx="5">
                  <c:v>22</c:v>
                </c:pt>
                <c:pt idx="6">
                  <c:v>31</c:v>
                </c:pt>
                <c:pt idx="7">
                  <c:v>26</c:v>
                </c:pt>
                <c:pt idx="8">
                  <c:v>34</c:v>
                </c:pt>
                <c:pt idx="9">
                  <c:v>37</c:v>
                </c:pt>
                <c:pt idx="10">
                  <c:v>39</c:v>
                </c:pt>
                <c:pt idx="11">
                  <c:v>35</c:v>
                </c:pt>
                <c:pt idx="12">
                  <c:v>27</c:v>
                </c:pt>
                <c:pt idx="13">
                  <c:v>28</c:v>
                </c:pt>
              </c:numCache>
            </c:numRef>
          </c:val>
          <c:extLst>
            <c:ext xmlns:c16="http://schemas.microsoft.com/office/drawing/2014/chart" uri="{C3380CC4-5D6E-409C-BE32-E72D297353CC}">
              <c16:uniqueId val="{00000000-BC1B-4C1B-AFDD-3C80FF18F3AE}"/>
            </c:ext>
          </c:extLst>
        </c:ser>
        <c:ser>
          <c:idx val="1"/>
          <c:order val="1"/>
          <c:tx>
            <c:strRef>
              <c:f>'3. Mối liên hệ'!$I$3</c:f>
              <c:strCache>
                <c:ptCount val="1"/>
                <c:pt idx="0">
                  <c:v>BOD5 (Rainy)</c:v>
                </c:pt>
              </c:strCache>
            </c:strRef>
          </c:tx>
          <c:spPr>
            <a:solidFill>
              <a:schemeClr val="accent5">
                <a:lumMod val="40000"/>
                <a:lumOff val="6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hệ'!$I$4:$I$17</c:f>
              <c:numCache>
                <c:formatCode>General</c:formatCode>
                <c:ptCount val="14"/>
                <c:pt idx="0">
                  <c:v>20</c:v>
                </c:pt>
                <c:pt idx="1">
                  <c:v>21</c:v>
                </c:pt>
                <c:pt idx="2">
                  <c:v>20</c:v>
                </c:pt>
                <c:pt idx="3">
                  <c:v>21</c:v>
                </c:pt>
                <c:pt idx="4">
                  <c:v>18</c:v>
                </c:pt>
                <c:pt idx="5">
                  <c:v>21</c:v>
                </c:pt>
                <c:pt idx="6">
                  <c:v>25</c:v>
                </c:pt>
                <c:pt idx="7">
                  <c:v>23</c:v>
                </c:pt>
                <c:pt idx="8">
                  <c:v>25</c:v>
                </c:pt>
                <c:pt idx="9">
                  <c:v>32</c:v>
                </c:pt>
                <c:pt idx="10">
                  <c:v>29</c:v>
                </c:pt>
                <c:pt idx="11">
                  <c:v>29</c:v>
                </c:pt>
                <c:pt idx="12">
                  <c:v>24</c:v>
                </c:pt>
                <c:pt idx="13">
                  <c:v>24</c:v>
                </c:pt>
              </c:numCache>
            </c:numRef>
          </c:val>
          <c:extLst>
            <c:ext xmlns:c16="http://schemas.microsoft.com/office/drawing/2014/chart" uri="{C3380CC4-5D6E-409C-BE32-E72D297353CC}">
              <c16:uniqueId val="{00000001-BC1B-4C1B-AFDD-3C80FF18F3AE}"/>
            </c:ext>
          </c:extLst>
        </c:ser>
        <c:ser>
          <c:idx val="2"/>
          <c:order val="2"/>
          <c:tx>
            <c:strRef>
              <c:f>'3. Mối liên hệ'!$J$3</c:f>
              <c:strCache>
                <c:ptCount val="1"/>
                <c:pt idx="0">
                  <c:v>COD (Dry)</c:v>
                </c:pt>
              </c:strCache>
            </c:strRef>
          </c:tx>
          <c:spPr>
            <a:solidFill>
              <a:schemeClr val="bg1">
                <a:lumMod val="5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hệ'!$J$4:$J$17</c:f>
              <c:numCache>
                <c:formatCode>#,##0</c:formatCode>
                <c:ptCount val="14"/>
                <c:pt idx="0">
                  <c:v>48</c:v>
                </c:pt>
                <c:pt idx="1">
                  <c:v>50</c:v>
                </c:pt>
                <c:pt idx="2">
                  <c:v>48</c:v>
                </c:pt>
                <c:pt idx="3">
                  <c:v>47</c:v>
                </c:pt>
                <c:pt idx="4">
                  <c:v>44</c:v>
                </c:pt>
                <c:pt idx="5">
                  <c:v>38</c:v>
                </c:pt>
                <c:pt idx="6">
                  <c:v>56</c:v>
                </c:pt>
                <c:pt idx="7">
                  <c:v>43</c:v>
                </c:pt>
                <c:pt idx="8">
                  <c:v>58</c:v>
                </c:pt>
                <c:pt idx="9">
                  <c:v>63</c:v>
                </c:pt>
                <c:pt idx="10">
                  <c:v>66</c:v>
                </c:pt>
                <c:pt idx="11">
                  <c:v>59</c:v>
                </c:pt>
                <c:pt idx="12">
                  <c:v>48</c:v>
                </c:pt>
                <c:pt idx="13">
                  <c:v>49</c:v>
                </c:pt>
              </c:numCache>
            </c:numRef>
          </c:val>
          <c:extLst>
            <c:ext xmlns:c16="http://schemas.microsoft.com/office/drawing/2014/chart" uri="{C3380CC4-5D6E-409C-BE32-E72D297353CC}">
              <c16:uniqueId val="{00000002-BC1B-4C1B-AFDD-3C80FF18F3AE}"/>
            </c:ext>
          </c:extLst>
        </c:ser>
        <c:ser>
          <c:idx val="3"/>
          <c:order val="3"/>
          <c:tx>
            <c:strRef>
              <c:f>'3. Mối liên hệ'!$K$3</c:f>
              <c:strCache>
                <c:ptCount val="1"/>
                <c:pt idx="0">
                  <c:v>COD (Rainy)</c:v>
                </c:pt>
              </c:strCache>
            </c:strRef>
          </c:tx>
          <c:spPr>
            <a:solidFill>
              <a:schemeClr val="bg1">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hệ'!$K$4:$K$17</c:f>
              <c:numCache>
                <c:formatCode>#,##0</c:formatCode>
                <c:ptCount val="14"/>
                <c:pt idx="0">
                  <c:v>36</c:v>
                </c:pt>
                <c:pt idx="1">
                  <c:v>38</c:v>
                </c:pt>
                <c:pt idx="2">
                  <c:v>36</c:v>
                </c:pt>
                <c:pt idx="3">
                  <c:v>37</c:v>
                </c:pt>
                <c:pt idx="4">
                  <c:v>32</c:v>
                </c:pt>
                <c:pt idx="5">
                  <c:v>38</c:v>
                </c:pt>
                <c:pt idx="6">
                  <c:v>44</c:v>
                </c:pt>
                <c:pt idx="7">
                  <c:v>42</c:v>
                </c:pt>
                <c:pt idx="8">
                  <c:v>46</c:v>
                </c:pt>
                <c:pt idx="9">
                  <c:v>57</c:v>
                </c:pt>
                <c:pt idx="10">
                  <c:v>54</c:v>
                </c:pt>
                <c:pt idx="11">
                  <c:v>53</c:v>
                </c:pt>
                <c:pt idx="12">
                  <c:v>43</c:v>
                </c:pt>
                <c:pt idx="13">
                  <c:v>42</c:v>
                </c:pt>
              </c:numCache>
            </c:numRef>
          </c:val>
          <c:extLst>
            <c:ext xmlns:c16="http://schemas.microsoft.com/office/drawing/2014/chart" uri="{C3380CC4-5D6E-409C-BE32-E72D297353CC}">
              <c16:uniqueId val="{00000003-BC1B-4C1B-AFDD-3C80FF18F3AE}"/>
            </c:ext>
          </c:extLst>
        </c:ser>
        <c:dLbls>
          <c:showLegendKey val="0"/>
          <c:showVal val="0"/>
          <c:showCatName val="0"/>
          <c:showSerName val="0"/>
          <c:showPercent val="0"/>
          <c:showBubbleSize val="0"/>
        </c:dLbls>
        <c:gapWidth val="219"/>
        <c:overlap val="-27"/>
        <c:axId val="317511088"/>
        <c:axId val="317511808"/>
      </c:barChart>
      <c:catAx>
        <c:axId val="317511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Sites</a:t>
                </a:r>
              </a:p>
            </c:rich>
          </c:tx>
          <c:layout>
            <c:manualLayout>
              <c:xMode val="edge"/>
              <c:yMode val="edge"/>
              <c:x val="0.90958462510670346"/>
              <c:y val="0.866583565540322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17511808"/>
        <c:crosses val="autoZero"/>
        <c:auto val="1"/>
        <c:lblAlgn val="ctr"/>
        <c:lblOffset val="100"/>
        <c:noMultiLvlLbl val="0"/>
      </c:catAx>
      <c:valAx>
        <c:axId val="317511808"/>
        <c:scaling>
          <c:orientation val="minMax"/>
        </c:scaling>
        <c:delete val="0"/>
        <c:axPos val="l"/>
        <c:majorGridlines>
          <c:spPr>
            <a:ln w="6350"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Concentration (mg/L)</a:t>
                </a:r>
              </a:p>
            </c:rich>
          </c:tx>
          <c:layout>
            <c:manualLayout>
              <c:xMode val="edge"/>
              <c:yMode val="edge"/>
              <c:x val="7.9905065955734114E-3"/>
              <c:y val="0.170615200566672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17511088"/>
        <c:crosses val="autoZero"/>
        <c:crossBetween val="between"/>
      </c:valAx>
      <c:spPr>
        <a:noFill/>
        <a:ln w="6350">
          <a:solidFill>
            <a:schemeClr val="bg1">
              <a:lumMod val="50000"/>
            </a:schemeClr>
          </a:solidFill>
        </a:ln>
        <a:effectLst/>
      </c:spPr>
    </c:plotArea>
    <c:legend>
      <c:legendPos val="b"/>
      <c:layout>
        <c:manualLayout>
          <c:xMode val="edge"/>
          <c:yMode val="edge"/>
          <c:x val="0.18674862404471623"/>
          <c:y val="0.91156263461330478"/>
          <c:w val="0.62650256145374927"/>
          <c:h val="7.43739085594775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50832620123032"/>
          <c:y val="3.6171644764209254E-2"/>
          <c:w val="0.86052163069044019"/>
          <c:h val="0.7242341472560766"/>
        </c:manualLayout>
      </c:layout>
      <c:barChart>
        <c:barDir val="col"/>
        <c:grouping val="clustered"/>
        <c:varyColors val="0"/>
        <c:ser>
          <c:idx val="0"/>
          <c:order val="0"/>
          <c:tx>
            <c:strRef>
              <c:f>'3. Mối liên hệ'!$L$3</c:f>
              <c:strCache>
                <c:ptCount val="1"/>
                <c:pt idx="0">
                  <c:v>NH4 (Dry)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hệ'!$L$4:$L$17</c:f>
              <c:numCache>
                <c:formatCode>#,##0.00</c:formatCode>
                <c:ptCount val="14"/>
                <c:pt idx="0">
                  <c:v>0.247</c:v>
                </c:pt>
                <c:pt idx="1">
                  <c:v>0.24</c:v>
                </c:pt>
                <c:pt idx="2">
                  <c:v>0.26</c:v>
                </c:pt>
                <c:pt idx="3">
                  <c:v>0.15</c:v>
                </c:pt>
                <c:pt idx="4">
                  <c:v>0.34</c:v>
                </c:pt>
                <c:pt idx="5">
                  <c:v>0.28000000000000003</c:v>
                </c:pt>
                <c:pt idx="6">
                  <c:v>0.28999999999999998</c:v>
                </c:pt>
                <c:pt idx="7">
                  <c:v>0.28999999999999998</c:v>
                </c:pt>
                <c:pt idx="8">
                  <c:v>0.37</c:v>
                </c:pt>
                <c:pt idx="9">
                  <c:v>0.28999999999999998</c:v>
                </c:pt>
                <c:pt idx="10">
                  <c:v>0.19</c:v>
                </c:pt>
                <c:pt idx="11">
                  <c:v>0.25</c:v>
                </c:pt>
                <c:pt idx="12">
                  <c:v>0.34</c:v>
                </c:pt>
                <c:pt idx="13">
                  <c:v>0.15</c:v>
                </c:pt>
              </c:numCache>
            </c:numRef>
          </c:val>
          <c:extLst>
            <c:ext xmlns:c16="http://schemas.microsoft.com/office/drawing/2014/chart" uri="{C3380CC4-5D6E-409C-BE32-E72D297353CC}">
              <c16:uniqueId val="{00000000-38CE-4927-B8A2-B4DF21011353}"/>
            </c:ext>
          </c:extLst>
        </c:ser>
        <c:ser>
          <c:idx val="1"/>
          <c:order val="1"/>
          <c:tx>
            <c:strRef>
              <c:f>'3. Mối liên hệ'!$M$3</c:f>
              <c:strCache>
                <c:ptCount val="1"/>
                <c:pt idx="0">
                  <c:v>NH4 (Rainy)</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hệ'!$M$4:$M$17</c:f>
              <c:numCache>
                <c:formatCode>#,##0.00</c:formatCode>
                <c:ptCount val="14"/>
                <c:pt idx="0">
                  <c:v>0.251</c:v>
                </c:pt>
                <c:pt idx="1">
                  <c:v>0.26200000000000001</c:v>
                </c:pt>
                <c:pt idx="2">
                  <c:v>0.26100000000000001</c:v>
                </c:pt>
                <c:pt idx="3">
                  <c:v>0.24099999999999999</c:v>
                </c:pt>
                <c:pt idx="4">
                  <c:v>0.33100000000000002</c:v>
                </c:pt>
                <c:pt idx="5">
                  <c:v>0.32200000000000001</c:v>
                </c:pt>
                <c:pt idx="6">
                  <c:v>0.28799999999999998</c:v>
                </c:pt>
                <c:pt idx="7">
                  <c:v>0.33100000000000002</c:v>
                </c:pt>
                <c:pt idx="8">
                  <c:v>0.32200000000000001</c:v>
                </c:pt>
                <c:pt idx="9">
                  <c:v>0.28899999999999998</c:v>
                </c:pt>
                <c:pt idx="10">
                  <c:v>0.27800000000000002</c:v>
                </c:pt>
                <c:pt idx="11">
                  <c:v>0.28299999999999997</c:v>
                </c:pt>
                <c:pt idx="12">
                  <c:v>0.23300000000000001</c:v>
                </c:pt>
                <c:pt idx="13">
                  <c:v>0.29699999999999999</c:v>
                </c:pt>
              </c:numCache>
            </c:numRef>
          </c:val>
          <c:extLst>
            <c:ext xmlns:c16="http://schemas.microsoft.com/office/drawing/2014/chart" uri="{C3380CC4-5D6E-409C-BE32-E72D297353CC}">
              <c16:uniqueId val="{00000001-38CE-4927-B8A2-B4DF21011353}"/>
            </c:ext>
          </c:extLst>
        </c:ser>
        <c:ser>
          <c:idx val="2"/>
          <c:order val="2"/>
          <c:tx>
            <c:strRef>
              <c:f>'3. Mối liên hệ'!$N$3</c:f>
              <c:strCache>
                <c:ptCount val="1"/>
                <c:pt idx="0">
                  <c:v>NO2 (Dry)</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hệ'!$N$4:$N$17</c:f>
              <c:numCache>
                <c:formatCode>#,##0.00</c:formatCode>
                <c:ptCount val="14"/>
                <c:pt idx="0">
                  <c:v>0.1</c:v>
                </c:pt>
                <c:pt idx="1">
                  <c:v>7.0000000000000007E-2</c:v>
                </c:pt>
                <c:pt idx="2">
                  <c:v>0.11</c:v>
                </c:pt>
                <c:pt idx="3">
                  <c:v>0.09</c:v>
                </c:pt>
                <c:pt idx="4">
                  <c:v>0.09</c:v>
                </c:pt>
                <c:pt idx="5">
                  <c:v>0.16</c:v>
                </c:pt>
                <c:pt idx="6">
                  <c:v>0.14000000000000001</c:v>
                </c:pt>
                <c:pt idx="7">
                  <c:v>0.13</c:v>
                </c:pt>
                <c:pt idx="8">
                  <c:v>0.1</c:v>
                </c:pt>
                <c:pt idx="9">
                  <c:v>0.08</c:v>
                </c:pt>
                <c:pt idx="10">
                  <c:v>0.21</c:v>
                </c:pt>
                <c:pt idx="11">
                  <c:v>0.13</c:v>
                </c:pt>
                <c:pt idx="12">
                  <c:v>0.24</c:v>
                </c:pt>
                <c:pt idx="13">
                  <c:v>0.13</c:v>
                </c:pt>
              </c:numCache>
            </c:numRef>
          </c:val>
          <c:extLst>
            <c:ext xmlns:c16="http://schemas.microsoft.com/office/drawing/2014/chart" uri="{C3380CC4-5D6E-409C-BE32-E72D297353CC}">
              <c16:uniqueId val="{00000002-38CE-4927-B8A2-B4DF21011353}"/>
            </c:ext>
          </c:extLst>
        </c:ser>
        <c:ser>
          <c:idx val="3"/>
          <c:order val="3"/>
          <c:tx>
            <c:strRef>
              <c:f>'3. Mối liên hệ'!$O$3</c:f>
              <c:strCache>
                <c:ptCount val="1"/>
                <c:pt idx="0">
                  <c:v>NO2 (Rainy)</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hệ'!$O$4:$O$17</c:f>
              <c:numCache>
                <c:formatCode>#,##0.00</c:formatCode>
                <c:ptCount val="14"/>
                <c:pt idx="0">
                  <c:v>0.17399999999999999</c:v>
                </c:pt>
                <c:pt idx="1">
                  <c:v>4.1000000000000002E-2</c:v>
                </c:pt>
                <c:pt idx="2">
                  <c:v>3.5000000000000003E-2</c:v>
                </c:pt>
                <c:pt idx="3">
                  <c:v>3.9E-2</c:v>
                </c:pt>
                <c:pt idx="4">
                  <c:v>3.6999999999999998E-2</c:v>
                </c:pt>
                <c:pt idx="5">
                  <c:v>4.1000000000000002E-2</c:v>
                </c:pt>
                <c:pt idx="6">
                  <c:v>3.7999999999999999E-2</c:v>
                </c:pt>
                <c:pt idx="7">
                  <c:v>3.1E-2</c:v>
                </c:pt>
                <c:pt idx="8">
                  <c:v>4.1000000000000002E-2</c:v>
                </c:pt>
                <c:pt idx="9">
                  <c:v>3.4000000000000002E-2</c:v>
                </c:pt>
                <c:pt idx="10">
                  <c:v>8.6999999999999994E-2</c:v>
                </c:pt>
                <c:pt idx="11">
                  <c:v>4.1000000000000002E-2</c:v>
                </c:pt>
                <c:pt idx="12">
                  <c:v>0.14899999999999999</c:v>
                </c:pt>
                <c:pt idx="13">
                  <c:v>8.1000000000000003E-2</c:v>
                </c:pt>
              </c:numCache>
            </c:numRef>
          </c:val>
          <c:extLst>
            <c:ext xmlns:c16="http://schemas.microsoft.com/office/drawing/2014/chart" uri="{C3380CC4-5D6E-409C-BE32-E72D297353CC}">
              <c16:uniqueId val="{00000003-38CE-4927-B8A2-B4DF21011353}"/>
            </c:ext>
          </c:extLst>
        </c:ser>
        <c:ser>
          <c:idx val="4"/>
          <c:order val="4"/>
          <c:tx>
            <c:strRef>
              <c:f>'3. Mối liên hệ'!$P$3</c:f>
              <c:strCache>
                <c:ptCount val="1"/>
                <c:pt idx="0">
                  <c:v>PO4 (Dry)</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hệ'!$P$4:$P$17</c:f>
              <c:numCache>
                <c:formatCode>#,##0.00</c:formatCode>
                <c:ptCount val="14"/>
                <c:pt idx="0">
                  <c:v>0.02</c:v>
                </c:pt>
                <c:pt idx="1">
                  <c:v>0.09</c:v>
                </c:pt>
                <c:pt idx="2">
                  <c:v>0.06</c:v>
                </c:pt>
                <c:pt idx="3">
                  <c:v>0.03</c:v>
                </c:pt>
                <c:pt idx="4">
                  <c:v>0.1</c:v>
                </c:pt>
                <c:pt idx="5">
                  <c:v>0.12</c:v>
                </c:pt>
                <c:pt idx="6">
                  <c:v>7.0000000000000007E-2</c:v>
                </c:pt>
                <c:pt idx="7">
                  <c:v>0.14000000000000001</c:v>
                </c:pt>
                <c:pt idx="8">
                  <c:v>2.1000000000000001E-2</c:v>
                </c:pt>
                <c:pt idx="9">
                  <c:v>0.1</c:v>
                </c:pt>
                <c:pt idx="10">
                  <c:v>0.05</c:v>
                </c:pt>
                <c:pt idx="11">
                  <c:v>0.15</c:v>
                </c:pt>
                <c:pt idx="12">
                  <c:v>0.21</c:v>
                </c:pt>
                <c:pt idx="13">
                  <c:v>0.06</c:v>
                </c:pt>
              </c:numCache>
            </c:numRef>
          </c:val>
          <c:extLst>
            <c:ext xmlns:c16="http://schemas.microsoft.com/office/drawing/2014/chart" uri="{C3380CC4-5D6E-409C-BE32-E72D297353CC}">
              <c16:uniqueId val="{00000004-38CE-4927-B8A2-B4DF21011353}"/>
            </c:ext>
          </c:extLst>
        </c:ser>
        <c:ser>
          <c:idx val="5"/>
          <c:order val="5"/>
          <c:tx>
            <c:strRef>
              <c:f>'3. Mối liên hệ'!$Q$3</c:f>
              <c:strCache>
                <c:ptCount val="1"/>
                <c:pt idx="0">
                  <c:v>PO4 (Rainy)</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'3. Mối liên hệ'!$C$4:$C$17</c:f>
              <c:strCache>
                <c:ptCount val="14"/>
                <c:pt idx="0">
                  <c:v>CG1</c:v>
                </c:pt>
                <c:pt idx="1">
                  <c:v>CG2</c:v>
                </c:pt>
                <c:pt idx="2">
                  <c:v>CG3</c:v>
                </c:pt>
                <c:pt idx="3">
                  <c:v>CG4</c:v>
                </c:pt>
                <c:pt idx="4">
                  <c:v>CG5</c:v>
                </c:pt>
                <c:pt idx="5">
                  <c:v>CG6</c:v>
                </c:pt>
                <c:pt idx="6">
                  <c:v>CG7</c:v>
                </c:pt>
                <c:pt idx="7">
                  <c:v>CG8</c:v>
                </c:pt>
                <c:pt idx="8">
                  <c:v>CG9</c:v>
                </c:pt>
                <c:pt idx="9">
                  <c:v>CG10</c:v>
                </c:pt>
                <c:pt idx="10">
                  <c:v>CG11</c:v>
                </c:pt>
                <c:pt idx="11">
                  <c:v>CG12</c:v>
                </c:pt>
                <c:pt idx="12">
                  <c:v>CG13</c:v>
                </c:pt>
                <c:pt idx="13">
                  <c:v>CG14</c:v>
                </c:pt>
              </c:strCache>
            </c:strRef>
          </c:cat>
          <c:val>
            <c:numRef>
              <c:f>'3. Mối liên hệ'!$Q$4:$Q$17</c:f>
              <c:numCache>
                <c:formatCode>#,##0.00</c:formatCode>
                <c:ptCount val="14"/>
                <c:pt idx="0">
                  <c:v>6.9000000000000006E-2</c:v>
                </c:pt>
                <c:pt idx="1">
                  <c:v>6.5000000000000002E-2</c:v>
                </c:pt>
                <c:pt idx="2">
                  <c:v>0.221</c:v>
                </c:pt>
                <c:pt idx="3">
                  <c:v>7.4999999999999997E-2</c:v>
                </c:pt>
                <c:pt idx="4">
                  <c:v>0.129</c:v>
                </c:pt>
                <c:pt idx="5">
                  <c:v>7.3999999999999996E-2</c:v>
                </c:pt>
                <c:pt idx="6">
                  <c:v>6.4000000000000001E-2</c:v>
                </c:pt>
                <c:pt idx="7">
                  <c:v>9.7000000000000003E-2</c:v>
                </c:pt>
                <c:pt idx="8">
                  <c:v>0.129</c:v>
                </c:pt>
                <c:pt idx="9">
                  <c:v>6.7000000000000004E-2</c:v>
                </c:pt>
                <c:pt idx="10">
                  <c:v>8.4000000000000005E-2</c:v>
                </c:pt>
                <c:pt idx="11">
                  <c:v>0.185</c:v>
                </c:pt>
                <c:pt idx="12">
                  <c:v>9.6000000000000002E-2</c:v>
                </c:pt>
                <c:pt idx="13">
                  <c:v>0.17399999999999999</c:v>
                </c:pt>
              </c:numCache>
            </c:numRef>
          </c:val>
          <c:extLst>
            <c:ext xmlns:c16="http://schemas.microsoft.com/office/drawing/2014/chart" uri="{C3380CC4-5D6E-409C-BE32-E72D297353CC}">
              <c16:uniqueId val="{00000005-38CE-4927-B8A2-B4DF21011353}"/>
            </c:ext>
          </c:extLst>
        </c:ser>
        <c:dLbls>
          <c:showLegendKey val="0"/>
          <c:showVal val="0"/>
          <c:showCatName val="0"/>
          <c:showSerName val="0"/>
          <c:showPercent val="0"/>
          <c:showBubbleSize val="0"/>
        </c:dLbls>
        <c:gapWidth val="219"/>
        <c:overlap val="-27"/>
        <c:axId val="553127192"/>
        <c:axId val="550794664"/>
      </c:barChart>
      <c:catAx>
        <c:axId val="553127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Sites</a:t>
                </a:r>
              </a:p>
            </c:rich>
          </c:tx>
          <c:layout>
            <c:manualLayout>
              <c:xMode val="edge"/>
              <c:yMode val="edge"/>
              <c:x val="0.93427643390288695"/>
              <c:y val="0.826495251017146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0794664"/>
        <c:crosses val="autoZero"/>
        <c:auto val="1"/>
        <c:lblAlgn val="ctr"/>
        <c:lblOffset val="100"/>
        <c:noMultiLvlLbl val="0"/>
      </c:catAx>
      <c:valAx>
        <c:axId val="550794664"/>
        <c:scaling>
          <c:orientation val="minMax"/>
        </c:scaling>
        <c:delete val="0"/>
        <c:axPos val="l"/>
        <c:majorGridlines>
          <c:spPr>
            <a:ln w="6350"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Concentration (mg/L)</a:t>
                </a:r>
              </a:p>
            </c:rich>
          </c:tx>
          <c:layout>
            <c:manualLayout>
              <c:xMode val="edge"/>
              <c:yMode val="edge"/>
              <c:x val="6.5372844840898628E-3"/>
              <c:y val="0.132196539157844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3127192"/>
        <c:crosses val="autoZero"/>
        <c:crossBetween val="between"/>
      </c:valAx>
      <c:spPr>
        <a:noFill/>
        <a:ln w="6350">
          <a:solidFill>
            <a:schemeClr val="bg1">
              <a:lumMod val="50000"/>
            </a:schemeClr>
          </a:solidFill>
        </a:ln>
        <a:effectLst/>
      </c:spPr>
    </c:plotArea>
    <c:legend>
      <c:legendPos val="b"/>
      <c:layout>
        <c:manualLayout>
          <c:xMode val="edge"/>
          <c:yMode val="edge"/>
          <c:x val="5.2328135859200008E-2"/>
          <c:y val="0.88859048648232253"/>
          <c:w val="0.89999992337499435"/>
          <c:h val="7.828490844868013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5161854768154"/>
          <c:y val="5.0925925925925923E-2"/>
          <c:w val="0.82885260480983236"/>
          <c:h val="0.75318678915135606"/>
        </c:manualLayout>
      </c:layout>
      <c:scatterChart>
        <c:scatterStyle val="lineMarker"/>
        <c:varyColors val="0"/>
        <c:ser>
          <c:idx val="0"/>
          <c:order val="0"/>
          <c:tx>
            <c:v>Dry season</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0391951006124234E-2"/>
                  <c:y val="0.17264071157771946"/>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y = 0.027x + 3.96</a:t>
                    </a:r>
                    <a:br>
                      <a:rPr lang="en-US"/>
                    </a:br>
                    <a:r>
                      <a:rPr lang="en-US"/>
                      <a:t>R² = 0.1012</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'3. Mối liên hệ'!$H$4:$H$17</c:f>
              <c:numCache>
                <c:formatCode>General</c:formatCode>
                <c:ptCount val="14"/>
                <c:pt idx="0">
                  <c:v>28</c:v>
                </c:pt>
                <c:pt idx="1">
                  <c:v>29</c:v>
                </c:pt>
                <c:pt idx="2">
                  <c:v>27</c:v>
                </c:pt>
                <c:pt idx="3">
                  <c:v>27</c:v>
                </c:pt>
                <c:pt idx="4">
                  <c:v>24</c:v>
                </c:pt>
                <c:pt idx="5">
                  <c:v>22</c:v>
                </c:pt>
                <c:pt idx="6">
                  <c:v>31</c:v>
                </c:pt>
                <c:pt idx="7">
                  <c:v>26</c:v>
                </c:pt>
                <c:pt idx="8">
                  <c:v>34</c:v>
                </c:pt>
                <c:pt idx="9">
                  <c:v>37</c:v>
                </c:pt>
                <c:pt idx="10">
                  <c:v>39</c:v>
                </c:pt>
                <c:pt idx="11">
                  <c:v>35</c:v>
                </c:pt>
                <c:pt idx="12">
                  <c:v>27</c:v>
                </c:pt>
                <c:pt idx="13">
                  <c:v>28</c:v>
                </c:pt>
              </c:numCache>
            </c:numRef>
          </c:xVal>
          <c:yVal>
            <c:numRef>
              <c:f>'3. Mối liên hệ'!$F$4:$F$17</c:f>
              <c:numCache>
                <c:formatCode>#,##0.0</c:formatCode>
                <c:ptCount val="14"/>
                <c:pt idx="0">
                  <c:v>4.2</c:v>
                </c:pt>
                <c:pt idx="1">
                  <c:v>4.4000000000000004</c:v>
                </c:pt>
                <c:pt idx="2">
                  <c:v>4.5999999999999996</c:v>
                </c:pt>
                <c:pt idx="3">
                  <c:v>4.5999999999999996</c:v>
                </c:pt>
                <c:pt idx="4">
                  <c:v>4.0999999999999996</c:v>
                </c:pt>
                <c:pt idx="5">
                  <c:v>4.8</c:v>
                </c:pt>
                <c:pt idx="6">
                  <c:v>4.9000000000000004</c:v>
                </c:pt>
                <c:pt idx="7">
                  <c:v>4.4000000000000004</c:v>
                </c:pt>
                <c:pt idx="8">
                  <c:v>4.8</c:v>
                </c:pt>
                <c:pt idx="9">
                  <c:v>4.8</c:v>
                </c:pt>
                <c:pt idx="10">
                  <c:v>5.0999999999999996</c:v>
                </c:pt>
                <c:pt idx="11">
                  <c:v>5</c:v>
                </c:pt>
                <c:pt idx="12">
                  <c:v>5.4</c:v>
                </c:pt>
                <c:pt idx="13">
                  <c:v>5.6</c:v>
                </c:pt>
              </c:numCache>
            </c:numRef>
          </c:yVal>
          <c:smooth val="0"/>
          <c:extLst>
            <c:ext xmlns:c16="http://schemas.microsoft.com/office/drawing/2014/chart" uri="{C3380CC4-5D6E-409C-BE32-E72D297353CC}">
              <c16:uniqueId val="{00000001-A1AD-4303-8B31-FB41AA38C49A}"/>
            </c:ext>
          </c:extLst>
        </c:ser>
        <c:ser>
          <c:idx val="1"/>
          <c:order val="1"/>
          <c:tx>
            <c:v>Rainy season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628902012248469"/>
                  <c:y val="9.3513414989792945E-2"/>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y = 0.083x + 2.99</a:t>
                    </a:r>
                    <a:br>
                      <a:rPr lang="en-US"/>
                    </a:br>
                    <a:r>
                      <a:rPr lang="en-US"/>
                      <a:t>R² = 0.4123</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'3. Mối liên hệ'!$I$4:$I$17</c:f>
              <c:numCache>
                <c:formatCode>General</c:formatCode>
                <c:ptCount val="14"/>
                <c:pt idx="0">
                  <c:v>20</c:v>
                </c:pt>
                <c:pt idx="1">
                  <c:v>21</c:v>
                </c:pt>
                <c:pt idx="2">
                  <c:v>20</c:v>
                </c:pt>
                <c:pt idx="3">
                  <c:v>21</c:v>
                </c:pt>
                <c:pt idx="4">
                  <c:v>18</c:v>
                </c:pt>
                <c:pt idx="5">
                  <c:v>21</c:v>
                </c:pt>
                <c:pt idx="6">
                  <c:v>25</c:v>
                </c:pt>
                <c:pt idx="7">
                  <c:v>23</c:v>
                </c:pt>
                <c:pt idx="8">
                  <c:v>25</c:v>
                </c:pt>
                <c:pt idx="9">
                  <c:v>32</c:v>
                </c:pt>
                <c:pt idx="10">
                  <c:v>29</c:v>
                </c:pt>
                <c:pt idx="11">
                  <c:v>29</c:v>
                </c:pt>
                <c:pt idx="12">
                  <c:v>24</c:v>
                </c:pt>
                <c:pt idx="13">
                  <c:v>24</c:v>
                </c:pt>
              </c:numCache>
            </c:numRef>
          </c:xVal>
          <c:yVal>
            <c:numRef>
              <c:f>'3. Mối liên hệ'!$G$4:$G$17</c:f>
              <c:numCache>
                <c:formatCode>#,##0.0</c:formatCode>
                <c:ptCount val="14"/>
                <c:pt idx="0">
                  <c:v>4.3</c:v>
                </c:pt>
                <c:pt idx="1">
                  <c:v>4.4000000000000004</c:v>
                </c:pt>
                <c:pt idx="2">
                  <c:v>4.5999999999999996</c:v>
                </c:pt>
                <c:pt idx="3">
                  <c:v>4.5999999999999996</c:v>
                </c:pt>
                <c:pt idx="4">
                  <c:v>4.3</c:v>
                </c:pt>
                <c:pt idx="5">
                  <c:v>4.9000000000000004</c:v>
                </c:pt>
                <c:pt idx="6">
                  <c:v>5</c:v>
                </c:pt>
                <c:pt idx="7">
                  <c:v>4.8</c:v>
                </c:pt>
                <c:pt idx="8">
                  <c:v>4.8</c:v>
                </c:pt>
                <c:pt idx="9">
                  <c:v>5.0999999999999996</c:v>
                </c:pt>
                <c:pt idx="10">
                  <c:v>5.6</c:v>
                </c:pt>
                <c:pt idx="11">
                  <c:v>5.4</c:v>
                </c:pt>
                <c:pt idx="12">
                  <c:v>5.8</c:v>
                </c:pt>
                <c:pt idx="13">
                  <c:v>5.8</c:v>
                </c:pt>
              </c:numCache>
            </c:numRef>
          </c:yVal>
          <c:smooth val="0"/>
          <c:extLst>
            <c:ext xmlns:c16="http://schemas.microsoft.com/office/drawing/2014/chart" uri="{C3380CC4-5D6E-409C-BE32-E72D297353CC}">
              <c16:uniqueId val="{00000003-A1AD-4303-8B31-FB41AA38C49A}"/>
            </c:ext>
          </c:extLst>
        </c:ser>
        <c:dLbls>
          <c:showLegendKey val="0"/>
          <c:showVal val="0"/>
          <c:showCatName val="0"/>
          <c:showSerName val="0"/>
          <c:showPercent val="0"/>
          <c:showBubbleSize val="0"/>
        </c:dLbls>
        <c:axId val="554214112"/>
        <c:axId val="554214832"/>
      </c:scatterChart>
      <c:valAx>
        <c:axId val="554214112"/>
        <c:scaling>
          <c:orientation val="minMax"/>
          <c:min val="1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BOD5 (mg L-1)</a:t>
                </a:r>
              </a:p>
            </c:rich>
          </c:tx>
          <c:layout>
            <c:manualLayout>
              <c:xMode val="edge"/>
              <c:yMode val="edge"/>
              <c:x val="0.63922777104134842"/>
              <c:y val="0.893702907907350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4214832"/>
        <c:crosses val="autoZero"/>
        <c:crossBetween val="midCat"/>
      </c:valAx>
      <c:valAx>
        <c:axId val="554214832"/>
        <c:scaling>
          <c:orientation val="minMax"/>
          <c:min val="4"/>
        </c:scaling>
        <c:delete val="0"/>
        <c:axPos val="l"/>
        <c:majorGridlines>
          <c:spPr>
            <a:ln w="6350"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DO (mg L-1)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54214112"/>
        <c:crosses val="autoZero"/>
        <c:crossBetween val="midCat"/>
      </c:valAx>
      <c:spPr>
        <a:noFill/>
        <a:ln w="6350">
          <a:solidFill>
            <a:schemeClr val="bg1">
              <a:lumMod val="75000"/>
            </a:schemeClr>
          </a:solidFill>
        </a:ln>
        <a:effectLst/>
      </c:spPr>
    </c:plotArea>
    <c:legend>
      <c:legendPos val="r"/>
      <c:legendEntry>
        <c:idx val="2"/>
        <c:delete val="1"/>
      </c:legendEntry>
      <c:legendEntry>
        <c:idx val="3"/>
        <c:delete val="1"/>
      </c:legendEntry>
      <c:layout>
        <c:manualLayout>
          <c:xMode val="edge"/>
          <c:yMode val="edge"/>
          <c:x val="0.14081333029592219"/>
          <c:y val="0.88342235434798011"/>
          <c:w val="0.38679680266521888"/>
          <c:h val="9.507813076112246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Table2!$A$2:$A$85</cx:f>
        <cx:lvl ptCount="84">
          <cx:pt idx="0">DO (Dry)</cx:pt>
          <cx:pt idx="1">DO (Rainy)</cx:pt>
          <cx:pt idx="2">BOD5 (Dry)</cx:pt>
          <cx:pt idx="3">BOD5 (Rainy)</cx:pt>
          <cx:pt idx="4">COD (Dry)</cx:pt>
          <cx:pt idx="5">COD (Rainy)</cx:pt>
          <cx:pt idx="6">DO (Dry)</cx:pt>
          <cx:pt idx="7">DO (Rainy)</cx:pt>
          <cx:pt idx="8">BOD5 (Dry)</cx:pt>
          <cx:pt idx="9">BOD5 (Rainy)</cx:pt>
          <cx:pt idx="10">COD (Dry)</cx:pt>
          <cx:pt idx="11">COD (Rainy)</cx:pt>
          <cx:pt idx="12">DO (Dry)</cx:pt>
          <cx:pt idx="13">DO (Rainy)</cx:pt>
          <cx:pt idx="14">BOD5 (Dry)</cx:pt>
          <cx:pt idx="15">BOD5 (Rainy)</cx:pt>
          <cx:pt idx="16">COD (Dry)</cx:pt>
          <cx:pt idx="17">COD (Rainy)</cx:pt>
          <cx:pt idx="18">DO (Dry)</cx:pt>
          <cx:pt idx="19">DO (Rainy)</cx:pt>
          <cx:pt idx="20">BOD5 (Dry)</cx:pt>
          <cx:pt idx="21">BOD5 (Rainy)</cx:pt>
          <cx:pt idx="22">COD (Dry)</cx:pt>
          <cx:pt idx="23">COD (Rainy)</cx:pt>
          <cx:pt idx="24">DO (Dry)</cx:pt>
          <cx:pt idx="25">DO (Rainy)</cx:pt>
          <cx:pt idx="26">BOD5 (Dry)</cx:pt>
          <cx:pt idx="27">BOD5 (Rainy)</cx:pt>
          <cx:pt idx="28">COD (Dry)</cx:pt>
          <cx:pt idx="29">COD (Rainy)</cx:pt>
          <cx:pt idx="30">DO (Dry)</cx:pt>
          <cx:pt idx="31">DO (Rainy)</cx:pt>
          <cx:pt idx="32">BOD5 (Dry)</cx:pt>
          <cx:pt idx="33">BOD5 (Rainy)</cx:pt>
          <cx:pt idx="34">COD (Dry)</cx:pt>
          <cx:pt idx="35">COD (Rainy)</cx:pt>
          <cx:pt idx="36">DO (Dry)</cx:pt>
          <cx:pt idx="37">DO (Rainy)</cx:pt>
          <cx:pt idx="38">BOD5 (Dry)</cx:pt>
          <cx:pt idx="39">BOD5 (Rainy)</cx:pt>
          <cx:pt idx="40">COD (Dry)</cx:pt>
          <cx:pt idx="41">COD (Rainy)</cx:pt>
          <cx:pt idx="42">DO (Dry)</cx:pt>
          <cx:pt idx="43">DO (Rainy)</cx:pt>
          <cx:pt idx="44">BOD5 (Dry)</cx:pt>
          <cx:pt idx="45">BOD5 (Rainy)</cx:pt>
          <cx:pt idx="46">COD (Dry)</cx:pt>
          <cx:pt idx="47">COD (Rainy)</cx:pt>
          <cx:pt idx="48">DO (Dry)</cx:pt>
          <cx:pt idx="49">DO (Rainy)</cx:pt>
          <cx:pt idx="50">BOD5 (Dry)</cx:pt>
          <cx:pt idx="51">BOD5 (Rainy)</cx:pt>
          <cx:pt idx="52">COD (Dry)</cx:pt>
          <cx:pt idx="53">COD (Rainy)</cx:pt>
          <cx:pt idx="54">DO (Dry)</cx:pt>
          <cx:pt idx="55">DO (Rainy)</cx:pt>
          <cx:pt idx="56">BOD5 (Dry)</cx:pt>
          <cx:pt idx="57">BOD5 (Rainy)</cx:pt>
          <cx:pt idx="58">COD (Dry)</cx:pt>
          <cx:pt idx="59">COD (Rainy)</cx:pt>
          <cx:pt idx="60">DO (Dry)</cx:pt>
          <cx:pt idx="61">DO (Rainy)</cx:pt>
          <cx:pt idx="62">BOD5 (Dry)</cx:pt>
          <cx:pt idx="63">BOD5 (Rainy)</cx:pt>
          <cx:pt idx="64">COD (Dry)</cx:pt>
          <cx:pt idx="65">COD (Rainy)</cx:pt>
          <cx:pt idx="66">DO (Dry)</cx:pt>
          <cx:pt idx="67">DO (Rainy)</cx:pt>
          <cx:pt idx="68">BOD5 (Dry)</cx:pt>
          <cx:pt idx="69">BOD5 (Rainy)</cx:pt>
          <cx:pt idx="70">COD (Dry)</cx:pt>
          <cx:pt idx="71">COD (Rainy)</cx:pt>
          <cx:pt idx="72">DO (Dry)</cx:pt>
          <cx:pt idx="73">DO (Rainy)</cx:pt>
          <cx:pt idx="74">BOD5 (Dry)</cx:pt>
          <cx:pt idx="75">BOD5 (Rainy)</cx:pt>
          <cx:pt idx="76">COD (Dry)</cx:pt>
          <cx:pt idx="77">COD (Rainy)</cx:pt>
          <cx:pt idx="78">DO (Dry)</cx:pt>
          <cx:pt idx="79">DO (Rainy)</cx:pt>
          <cx:pt idx="80">BOD5 (Dry)</cx:pt>
          <cx:pt idx="81">BOD5 (Rainy)</cx:pt>
          <cx:pt idx="82">COD (Dry)</cx:pt>
          <cx:pt idx="83">COD (Rainy)</cx:pt>
        </cx:lvl>
      </cx:strDim>
      <cx:numDim type="val">
        <cx:f>Table2!$B$2:$B$85</cx:f>
        <cx:lvl ptCount="84" formatCode="General">
          <cx:pt idx="0">4.2000000000000002</cx:pt>
          <cx:pt idx="1">4.2999999999999998</cx:pt>
          <cx:pt idx="2">28</cx:pt>
          <cx:pt idx="3">20</cx:pt>
          <cx:pt idx="4">48</cx:pt>
          <cx:pt idx="5">36</cx:pt>
          <cx:pt idx="6">4.4000000000000004</cx:pt>
          <cx:pt idx="7">4.4000000000000004</cx:pt>
          <cx:pt idx="8">29</cx:pt>
          <cx:pt idx="9">21</cx:pt>
          <cx:pt idx="10">50</cx:pt>
          <cx:pt idx="11">38</cx:pt>
          <cx:pt idx="12">4.5999999999999996</cx:pt>
          <cx:pt idx="13">4.5999999999999996</cx:pt>
          <cx:pt idx="14">27</cx:pt>
          <cx:pt idx="15">20</cx:pt>
          <cx:pt idx="16">48</cx:pt>
          <cx:pt idx="17">36</cx:pt>
          <cx:pt idx="18">4.5999999999999996</cx:pt>
          <cx:pt idx="19">4.5999999999999996</cx:pt>
          <cx:pt idx="20">27</cx:pt>
          <cx:pt idx="21">21</cx:pt>
          <cx:pt idx="22">47</cx:pt>
          <cx:pt idx="23">37</cx:pt>
          <cx:pt idx="24">4.0999999999999996</cx:pt>
          <cx:pt idx="25">4.2999999999999998</cx:pt>
          <cx:pt idx="26">24</cx:pt>
          <cx:pt idx="27">18</cx:pt>
          <cx:pt idx="28">44</cx:pt>
          <cx:pt idx="29">32</cx:pt>
          <cx:pt idx="30">4.7999999999999998</cx:pt>
          <cx:pt idx="31">4.9000000000000004</cx:pt>
          <cx:pt idx="32">22</cx:pt>
          <cx:pt idx="33">21</cx:pt>
          <cx:pt idx="34">38</cx:pt>
          <cx:pt idx="35">38</cx:pt>
          <cx:pt idx="36">4.9000000000000004</cx:pt>
          <cx:pt idx="37">5</cx:pt>
          <cx:pt idx="38">31</cx:pt>
          <cx:pt idx="39">25</cx:pt>
          <cx:pt idx="40">56</cx:pt>
          <cx:pt idx="41">44</cx:pt>
          <cx:pt idx="42">4.4000000000000004</cx:pt>
          <cx:pt idx="43">4.7999999999999998</cx:pt>
          <cx:pt idx="44">26</cx:pt>
          <cx:pt idx="45">23</cx:pt>
          <cx:pt idx="46">43</cx:pt>
          <cx:pt idx="47">42</cx:pt>
          <cx:pt idx="48">4.7999999999999998</cx:pt>
          <cx:pt idx="49">4.7999999999999998</cx:pt>
          <cx:pt idx="50">34</cx:pt>
          <cx:pt idx="51">25</cx:pt>
          <cx:pt idx="52">58</cx:pt>
          <cx:pt idx="53">46</cx:pt>
          <cx:pt idx="54">4.7999999999999998</cx:pt>
          <cx:pt idx="55">5.0999999999999996</cx:pt>
          <cx:pt idx="56">37</cx:pt>
          <cx:pt idx="57">32</cx:pt>
          <cx:pt idx="58">63</cx:pt>
          <cx:pt idx="59">57</cx:pt>
          <cx:pt idx="60">5.0999999999999996</cx:pt>
          <cx:pt idx="61">5.5999999999999996</cx:pt>
          <cx:pt idx="62">39</cx:pt>
          <cx:pt idx="63">29</cx:pt>
          <cx:pt idx="64">66</cx:pt>
          <cx:pt idx="65">54</cx:pt>
          <cx:pt idx="66">5</cx:pt>
          <cx:pt idx="67">5.4000000000000004</cx:pt>
          <cx:pt idx="68">35</cx:pt>
          <cx:pt idx="69">29</cx:pt>
          <cx:pt idx="70">59</cx:pt>
          <cx:pt idx="71">53</cx:pt>
          <cx:pt idx="72">5.4000000000000004</cx:pt>
          <cx:pt idx="73">5.7999999999999998</cx:pt>
          <cx:pt idx="74">27</cx:pt>
          <cx:pt idx="75">24</cx:pt>
          <cx:pt idx="76">48</cx:pt>
          <cx:pt idx="77">43</cx:pt>
          <cx:pt idx="78">5.5999999999999996</cx:pt>
          <cx:pt idx="79">5.7999999999999998</cx:pt>
          <cx:pt idx="80">28</cx:pt>
          <cx:pt idx="81">24</cx:pt>
          <cx:pt idx="82">49</cx:pt>
          <cx:pt idx="83">42</cx:pt>
        </cx:lvl>
      </cx:numDim>
    </cx:data>
  </cx:chartData>
  <cx:chart>
    <cx:plotArea>
      <cx:plotAreaRegion>
        <cx:plotSurface>
          <cx:spPr>
            <a:noFill/>
            <a:ln>
              <a:solidFill>
                <a:schemeClr val="bg1">
                  <a:lumMod val="65000"/>
                </a:schemeClr>
              </a:solidFill>
            </a:ln>
          </cx:spPr>
        </cx:plotSurface>
        <cx:series layoutId="boxWhisker" uniqueId="{84A81385-26AB-47DA-9CB8-3649BF2A0FAA}">
          <cx:tx>
            <cx:txData>
              <cx:f>Table2!$B$1</cx:f>
              <cx:v>Value</cx:v>
            </cx:txData>
          </cx:tx>
          <cx:spPr>
            <a:solidFill>
              <a:schemeClr val="bg1">
                <a:lumMod val="65000"/>
              </a:schemeClr>
            </a:solidFill>
            <a:ln w="6350" cmpd="dbl">
              <a:solidFill>
                <a:schemeClr val="bg1">
                  <a:lumMod val="65000"/>
                </a:schemeClr>
              </a:solidFill>
            </a:ln>
          </cx:spPr>
          <cx:dataId val="0"/>
          <cx:layoutPr>
            <cx:visibility meanLine="0" meanMarker="1" nonoutliers="0" outliers="1"/>
            <cx:statistics quartileMethod="exclusive"/>
          </cx:layoutPr>
        </cx:series>
      </cx:plotAreaRegion>
      <cx:axis id="0">
        <cx:catScaling gapWidth="1"/>
        <cx:title>
          <cx:tx>
            <cx:txData>
              <cx:v>Water quality parameters </cx:v>
            </cx:txData>
          </cx:tx>
          <cx:txPr>
            <a:bodyPr vertOverflow="overflow" horzOverflow="overflow" wrap="square" lIns="0" tIns="0" rIns="0" bIns="0"/>
            <a:lstStyle/>
            <a:p>
              <a:pPr algn="ctr" rtl="0">
                <a:defRPr sz="1000" b="0" i="0">
                  <a:solidFill>
                    <a:srgbClr val="595959"/>
                  </a:solidFill>
                  <a:latin typeface="Arial" panose="020B0604020202020204" pitchFamily="34" charset="0"/>
                  <a:ea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Water quality parameters </a:t>
              </a:r>
            </a:p>
          </cx:txPr>
        </cx:title>
        <cx:tickLabels/>
        <cx:txPr>
          <a:bodyPr vertOverflow="overflow" horzOverflow="overflow" wrap="square" lIns="0" tIns="0" rIns="0" bIns="0"/>
          <a:lstStyle/>
          <a:p>
            <a:pPr algn="ctr" rtl="0">
              <a:defRPr sz="1000" b="0" i="0">
                <a:solidFill>
                  <a:srgbClr val="595959"/>
                </a:solidFill>
                <a:latin typeface="Arial" panose="020B0604020202020204" pitchFamily="34" charset="0"/>
                <a:ea typeface="Arial" panose="020B0604020202020204" pitchFamily="34" charset="0"/>
                <a:cs typeface="Arial" panose="020B0604020202020204" pitchFamily="34" charset="0"/>
              </a:defRPr>
            </a:pPr>
            <a:endParaRPr lang="en-US" sz="1000">
              <a:solidFill>
                <a:srgbClr val="595959"/>
              </a:solidFill>
              <a:latin typeface="Arial" panose="020B0604020202020204" pitchFamily="34" charset="0"/>
              <a:cs typeface="Arial" panose="020B0604020202020204" pitchFamily="34" charset="0"/>
            </a:endParaRPr>
          </a:p>
        </cx:txPr>
      </cx:axis>
      <cx:axis id="1">
        <cx:valScaling/>
        <cx:title>
          <cx:tx>
            <cx:txData>
              <cx:v>Concentration (mg/L)</cx:v>
            </cx:txData>
          </cx:tx>
          <cx:txPr>
            <a:bodyPr spcFirstLastPara="1" vertOverflow="ellipsis" horzOverflow="overflow" wrap="square" lIns="0" tIns="0" rIns="0" bIns="0" anchor="ctr" anchorCtr="1"/>
            <a:lstStyle/>
            <a:p>
              <a:pPr algn="ctr" rtl="0">
                <a:defRPr sz="1000">
                  <a:latin typeface="Arial" panose="020B0604020202020204" pitchFamily="34" charset="0"/>
                  <a:ea typeface="Arial" panose="020B0604020202020204" pitchFamily="34" charset="0"/>
                  <a:cs typeface="Arial" panose="020B0604020202020204" pitchFamily="34" charset="0"/>
                </a:defRPr>
              </a:pPr>
              <a:r>
                <a:rPr lang="en-US" sz="10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rPr>
                <a:t>Concentration (mg/L)</a:t>
              </a:r>
            </a:p>
          </cx:txPr>
        </cx:title>
        <cx:majorGridlines/>
        <cx:tickLabels/>
        <cx:numFmt formatCode="0" sourceLinked="0"/>
        <cx:txPr>
          <a:bodyPr vertOverflow="overflow" horzOverflow="overflow" wrap="square" lIns="0" tIns="0" rIns="0" bIns="0"/>
          <a:lstStyle/>
          <a:p>
            <a:pPr algn="ctr" rtl="0">
              <a:defRPr sz="1000" b="0" i="0">
                <a:solidFill>
                  <a:srgbClr val="595959"/>
                </a:solidFill>
                <a:latin typeface="Arial" panose="020B0604020202020204" pitchFamily="34" charset="0"/>
                <a:ea typeface="Arial" panose="020B0604020202020204" pitchFamily="34" charset="0"/>
                <a:cs typeface="Arial" panose="020B0604020202020204" pitchFamily="34" charset="0"/>
              </a:defRPr>
            </a:pPr>
            <a:endParaRPr lang="en-US" sz="1000">
              <a:latin typeface="Arial" panose="020B0604020202020204" pitchFamily="34" charset="0"/>
              <a:cs typeface="Arial" panose="020B0604020202020204" pitchFamily="34" charset="0"/>
            </a:endParaRPr>
          </a:p>
        </cx:txPr>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Table1!$A$2:$A$57</cx:f>
        <cx:lvl ptCount="56">
          <cx:pt idx="0">Coliforms (Dry)</cx:pt>
          <cx:pt idx="1">Coliforms (Rainy)</cx:pt>
          <cx:pt idx="2">E.Coli (Dry)</cx:pt>
          <cx:pt idx="3">E.Coli (Rainy)</cx:pt>
          <cx:pt idx="4">Coliforms (Dry)</cx:pt>
          <cx:pt idx="5">Coliforms (Rainy)</cx:pt>
          <cx:pt idx="6">E.Coli (Dry)</cx:pt>
          <cx:pt idx="7">E.Coli (Rainy)</cx:pt>
          <cx:pt idx="8">Coliforms (Dry)</cx:pt>
          <cx:pt idx="9">Coliforms (Rainy)</cx:pt>
          <cx:pt idx="10">E.Coli (Dry)</cx:pt>
          <cx:pt idx="11">E.Coli (Rainy)</cx:pt>
          <cx:pt idx="12">Coliforms (Dry)</cx:pt>
          <cx:pt idx="13">Coliforms (Rainy)</cx:pt>
          <cx:pt idx="14">E.Coli (Dry)</cx:pt>
          <cx:pt idx="15">E.Coli (Rainy)</cx:pt>
          <cx:pt idx="16">Coliforms (Dry)</cx:pt>
          <cx:pt idx="17">Coliforms (Rainy)</cx:pt>
          <cx:pt idx="18">E.Coli (Dry)</cx:pt>
          <cx:pt idx="19">E.Coli (Rainy)</cx:pt>
          <cx:pt idx="20">Coliforms (Dry)</cx:pt>
          <cx:pt idx="21">Coliforms (Rainy)</cx:pt>
          <cx:pt idx="22">E.Coli (Dry)</cx:pt>
          <cx:pt idx="23">E.Coli (Rainy)</cx:pt>
          <cx:pt idx="24">Coliforms (Dry)</cx:pt>
          <cx:pt idx="25">Coliforms (Rainy)</cx:pt>
          <cx:pt idx="26">E.Coli (Dry)</cx:pt>
          <cx:pt idx="27">E.Coli (Rainy)</cx:pt>
          <cx:pt idx="28">Coliforms (Dry)</cx:pt>
          <cx:pt idx="29">Coliforms (Rainy)</cx:pt>
          <cx:pt idx="30">E.Coli (Dry)</cx:pt>
          <cx:pt idx="31">E.Coli (Rainy)</cx:pt>
          <cx:pt idx="32">Coliforms (Dry)</cx:pt>
          <cx:pt idx="33">Coliforms (Rainy)</cx:pt>
          <cx:pt idx="34">E.Coli (Dry)</cx:pt>
          <cx:pt idx="35">E.Coli (Rainy)</cx:pt>
          <cx:pt idx="36">Coliforms (Dry)</cx:pt>
          <cx:pt idx="37">Coliforms (Rainy)</cx:pt>
          <cx:pt idx="38">E.Coli (Dry)</cx:pt>
          <cx:pt idx="39">E.Coli (Rainy)</cx:pt>
          <cx:pt idx="40">Coliforms (Dry)</cx:pt>
          <cx:pt idx="41">Coliforms (Rainy)</cx:pt>
          <cx:pt idx="42">E.Coli (Dry)</cx:pt>
          <cx:pt idx="43">E.Coli (Rainy)</cx:pt>
          <cx:pt idx="44">Coliforms (Dry)</cx:pt>
          <cx:pt idx="45">Coliforms (Rainy)</cx:pt>
          <cx:pt idx="46">E.Coli (Dry)</cx:pt>
          <cx:pt idx="47">E.Coli (Rainy)</cx:pt>
          <cx:pt idx="48">Coliforms (Dry)</cx:pt>
          <cx:pt idx="49">Coliforms (Rainy)</cx:pt>
          <cx:pt idx="50">E.Coli (Dry)</cx:pt>
          <cx:pt idx="51">E.Coli (Rainy)</cx:pt>
          <cx:pt idx="52">Coliforms (Dry)</cx:pt>
          <cx:pt idx="53">Coliforms (Rainy)</cx:pt>
          <cx:pt idx="54">E.Coli (Dry)</cx:pt>
          <cx:pt idx="55">E.Coli (Rainy)</cx:pt>
        </cx:lvl>
      </cx:strDim>
      <cx:numDim type="val">
        <cx:f>Table1!$B$2:$B$57</cx:f>
        <cx:lvl ptCount="56" formatCode="0.00">
          <cx:pt idx="0">3.3222192947339191</cx:pt>
          <cx:pt idx="1">3.3802112417116059</cx:pt>
          <cx:pt idx="2">1.8061799739838871</cx:pt>
          <cx:pt idx="3">1.6627578316815741</cx:pt>
          <cx:pt idx="4">3.1760912590556813</cx:pt>
          <cx:pt idx="5">3.3802112417116059</cx:pt>
          <cx:pt idx="6">1.4623979978989561</cx:pt>
          <cx:pt idx="7">1.6334684555795864</cx:pt>
          <cx:pt idx="8">3.1760912590556813</cx:pt>
          <cx:pt idx="9">3.1760912590556813</cx:pt>
          <cx:pt idx="10">1.6334684555795864</cx:pt>
          <cx:pt idx="11">1.4623979978989561</cx:pt>
          <cx:pt idx="12">3.3222192947339191</cx:pt>
          <cx:pt idx="13">3.3222192947339191</cx:pt>
          <cx:pt idx="14">1.8750612633917001</cx:pt>
          <cx:pt idx="15">1.8061799739838871</cx:pt>
          <cx:pt idx="16">3.1760912590556813</cx:pt>
          <cx:pt idx="17">3.6627578316815739</cx:pt>
          <cx:pt idx="18">2.0791812460476247</cx:pt>
          <cx:pt idx="19">1.8750612633917001</cx:pt>
          <cx:pt idx="20">3.1760912590556813</cx:pt>
          <cx:pt idx="21">3.1760912590556813</cx:pt>
          <cx:pt idx="22">1.8061799739838871</cx:pt>
          <cx:pt idx="23">1.4623979978989561</cx:pt>
          <cx:pt idx="24">3.1760912590556813</cx:pt>
          <cx:pt idx="25">3.1760912590556813</cx:pt>
          <cx:pt idx="26">2.0791812460476247</cx:pt>
          <cx:pt idx="27">1.4623979978989561</cx:pt>
          <cx:pt idx="28">3.3802112417116059</cx:pt>
          <cx:pt idx="29">3.1760912590556813</cx:pt>
          <cx:pt idx="30">1.8750612633917001</cx:pt>
          <cx:pt idx="31">1.5797835966168101</cx:pt>
          <cx:pt idx="32">3.4623979978989561</cx:pt>
          <cx:pt idx="33">3.3802112417116059</cx:pt>
          <cx:pt idx="34">1.4623979978989561</cx:pt>
          <cx:pt idx="35">1.6334684555795864</cx:pt>
          <cx:pt idx="36">3.6627578316815739</cx:pt>
          <cx:pt idx="37">3.4623979978989561</cx:pt>
          <cx:pt idx="38">1.8750612633917001</cx:pt>
          <cx:pt idx="39">1.8750612633917001</cx:pt>
          <cx:pt idx="40">3.1461280356782382</cx:pt>
          <cx:pt idx="41">3.4623979978989561</cx:pt>
          <cx:pt idx="42">1.8061799739838871</cx:pt>
          <cx:pt idx="43">1.8061799739838871</cx:pt>
          <cx:pt idx="44">3.8061799739838871</cx:pt>
          <cx:pt idx="45">3.6627578316815739</cx:pt>
          <cx:pt idx="46">2.0791812460476247</cx:pt>
          <cx:pt idx="47">1.8750612633917001</cx:pt>
          <cx:pt idx="48">3.3222192947339191</cx:pt>
          <cx:pt idx="49">3.3222192947339191</cx:pt>
          <cx:pt idx="50">1.6334684555795864</cx:pt>
          <cx:pt idx="51">1.6334684555795864</cx:pt>
          <cx:pt idx="52">3.3222192947339191</cx:pt>
          <cx:pt idx="53">3.3222192947339191</cx:pt>
          <cx:pt idx="54">2.0791812460476247</cx:pt>
          <cx:pt idx="55">1.6334684555795864</cx:pt>
        </cx:lvl>
      </cx:numDim>
    </cx:data>
  </cx:chartData>
  <cx:chart>
    <cx:plotArea>
      <cx:plotAreaRegion>
        <cx:plotSurface>
          <cx:spPr>
            <a:ln w="6350">
              <a:solidFill>
                <a:schemeClr val="bg1">
                  <a:lumMod val="65000"/>
                </a:schemeClr>
              </a:solidFill>
            </a:ln>
          </cx:spPr>
        </cx:plotSurface>
        <cx:series layoutId="boxWhisker" uniqueId="{40ABB4C1-1444-44BA-9455-2E174D1A01FA}">
          <cx:tx>
            <cx:txData>
              <cx:f>Table1!$B$1</cx:f>
              <cx:v>Value</cx:v>
            </cx:txData>
          </cx:tx>
          <cx:spPr>
            <a:solidFill>
              <a:schemeClr val="bg1">
                <a:lumMod val="65000"/>
              </a:schemeClr>
            </a:solidFill>
            <a:ln>
              <a:solidFill>
                <a:schemeClr val="bg1">
                  <a:lumMod val="65000"/>
                </a:schemeClr>
              </a:solidFill>
            </a:ln>
          </cx:spPr>
          <cx:dataId val="0"/>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sz="1000">
                    <a:latin typeface="Arial" panose="020B0604020202020204" pitchFamily="34" charset="0"/>
                    <a:ea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Microbial indicators</a:t>
                </a:r>
                <a:endParaRPr lang="en-US" sz="10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endParaRPr>
              </a:p>
            </cx:rich>
          </cx:tx>
        </cx:title>
        <cx:tickLabels/>
        <cx:txPr>
          <a:bodyPr vertOverflow="overflow" horzOverflow="overflow" wrap="square" lIns="0" tIns="0" rIns="0" bIns="0"/>
          <a:lstStyle/>
          <a:p>
            <a:pPr algn="ctr" rtl="0">
              <a:defRPr sz="1000" b="0" i="0">
                <a:solidFill>
                  <a:srgbClr val="595959"/>
                </a:solidFill>
                <a:latin typeface="Arial" panose="020B0604020202020204" pitchFamily="34" charset="0"/>
                <a:ea typeface="Arial" panose="020B0604020202020204" pitchFamily="34" charset="0"/>
                <a:cs typeface="Arial" panose="020B0604020202020204" pitchFamily="34" charset="0"/>
              </a:defRPr>
            </a:pPr>
            <a:endParaRPr lang="en-US" sz="1000">
              <a:latin typeface="Arial" panose="020B0604020202020204" pitchFamily="34" charset="0"/>
              <a:cs typeface="Arial" panose="020B0604020202020204" pitchFamily="34" charset="0"/>
            </a:endParaRPr>
          </a:p>
        </cx:txPr>
      </cx:axis>
      <cx:axis id="1">
        <cx:valScaling max="4" min="0"/>
        <cx:title>
          <cx:tx>
            <cx:txData>
              <cx:v>Log10 (MPN 100 mL-1)</cx:v>
            </cx:txData>
          </cx:tx>
          <cx:txPr>
            <a:bodyPr spcFirstLastPara="1" vertOverflow="ellipsis" horzOverflow="overflow" wrap="square" lIns="0" tIns="0" rIns="0" bIns="0" anchor="ctr" anchorCtr="1"/>
            <a:lstStyle/>
            <a:p>
              <a:pPr algn="ctr" rtl="0">
                <a:defRPr sz="1000">
                  <a:latin typeface="Arial" panose="020B0604020202020204" pitchFamily="34" charset="0"/>
                  <a:ea typeface="Arial" panose="020B0604020202020204" pitchFamily="34" charset="0"/>
                  <a:cs typeface="Arial" panose="020B0604020202020204" pitchFamily="34" charset="0"/>
                </a:defRPr>
              </a:pPr>
              <a:r>
                <a:rPr lang="en-US" sz="10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rPr>
                <a:t>Log10 (MPN 100 mL-1)</a:t>
              </a:r>
            </a:p>
          </cx:txPr>
        </cx:title>
        <cx:majorGridlines>
          <cx:spPr>
            <a:ln w="6350">
              <a:solidFill>
                <a:schemeClr val="bg1">
                  <a:lumMod val="50000"/>
                </a:schemeClr>
              </a:solidFill>
            </a:ln>
          </cx:spPr>
        </cx:majorGridlines>
        <cx:tickLabels/>
        <cx:numFmt formatCode="0.0" sourceLinked="0"/>
        <cx:txPr>
          <a:bodyPr vertOverflow="overflow" horzOverflow="overflow" wrap="square" lIns="0" tIns="0" rIns="0" bIns="0"/>
          <a:lstStyle/>
          <a:p>
            <a:pPr algn="ctr" rtl="0">
              <a:defRPr sz="1000" b="0" i="0">
                <a:solidFill>
                  <a:srgbClr val="595959"/>
                </a:solidFill>
                <a:latin typeface="Arial" panose="020B0604020202020204" pitchFamily="34" charset="0"/>
                <a:ea typeface="Arial" panose="020B0604020202020204" pitchFamily="34" charset="0"/>
                <a:cs typeface="Arial" panose="020B0604020202020204" pitchFamily="34" charset="0"/>
              </a:defRPr>
            </a:pPr>
            <a:endParaRPr lang="en-US" sz="1000">
              <a:latin typeface="Arial" panose="020B0604020202020204" pitchFamily="34" charset="0"/>
              <a:cs typeface="Arial" panose="020B0604020202020204" pitchFamily="34" charset="0"/>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A125-6C7B-4604-892E-934AE2FF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5086-Trần Trung Kiên-Viện Sinh học nhiệt đới</dc:creator>
  <cp:keywords/>
  <dc:description/>
  <cp:lastModifiedBy>Editor-1183</cp:lastModifiedBy>
  <cp:revision>29</cp:revision>
  <dcterms:created xsi:type="dcterms:W3CDTF">2026-04-06T11:36:00Z</dcterms:created>
  <dcterms:modified xsi:type="dcterms:W3CDTF">2026-04-17T08:58:00Z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3ecde783-a52c-40ce-9390-debe0dbcd0ba</vt:lpwstr>
  </property>
</Properties>
</file>