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7CA91" w14:textId="761E4929" w:rsidR="00AE31A1" w:rsidRDefault="00170AF2" w:rsidP="00324B82">
      <w:pPr>
        <w:pStyle w:val="Author"/>
        <w:spacing w:line="240" w:lineRule="auto"/>
        <w:jc w:val="both"/>
        <w:rPr>
          <w:rFonts w:ascii="Arial" w:hAnsi="Arial" w:cs="Arial"/>
          <w:bCs/>
          <w:iCs/>
          <w:kern w:val="28"/>
          <w:sz w:val="36"/>
        </w:rPr>
      </w:pPr>
      <w:r w:rsidRPr="00170AF2">
        <w:rPr>
          <w:rFonts w:ascii="Arial" w:hAnsi="Arial" w:cs="Arial"/>
          <w:bCs/>
          <w:iCs/>
          <w:kern w:val="28"/>
          <w:sz w:val="36"/>
        </w:rPr>
        <w:t xml:space="preserve">Predictors of Inter-Hospital Transfer from a Secondary-Level Hospital in </w:t>
      </w:r>
      <w:r w:rsidR="003E7371">
        <w:rPr>
          <w:rFonts w:ascii="Arial" w:hAnsi="Arial" w:cs="Arial"/>
          <w:bCs/>
          <w:iCs/>
          <w:kern w:val="28"/>
          <w:sz w:val="36"/>
        </w:rPr>
        <w:t>Trincomalee District</w:t>
      </w:r>
      <w:r w:rsidR="00053208">
        <w:rPr>
          <w:rFonts w:ascii="Arial" w:hAnsi="Arial" w:cs="Arial"/>
          <w:bCs/>
          <w:iCs/>
          <w:kern w:val="28"/>
          <w:sz w:val="36"/>
        </w:rPr>
        <w:t>, Sri Lanka</w:t>
      </w:r>
    </w:p>
    <w:p w14:paraId="3D6981F4" w14:textId="77777777" w:rsidR="00324B82" w:rsidRPr="00AE31A1" w:rsidRDefault="00324B82" w:rsidP="00324B82">
      <w:pPr>
        <w:pStyle w:val="Author"/>
        <w:spacing w:line="240" w:lineRule="auto"/>
        <w:jc w:val="both"/>
        <w:rPr>
          <w:rFonts w:ascii="Arial" w:hAnsi="Arial" w:cs="Arial"/>
          <w:sz w:val="20"/>
          <w:szCs w:val="10"/>
        </w:rPr>
      </w:pPr>
    </w:p>
    <w:p w14:paraId="0F70DB84" w14:textId="1BBDC4BD" w:rsidR="00B01FCD" w:rsidRPr="00FB3A86" w:rsidRDefault="00FB3A86"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rPr>
        <w:t>.</w:t>
      </w:r>
    </w:p>
    <w:p w14:paraId="77A21704" w14:textId="744B596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059F0E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9830E27" w14:textId="77777777" w:rsidTr="001E44FE">
        <w:tc>
          <w:tcPr>
            <w:tcW w:w="9576" w:type="dxa"/>
            <w:shd w:val="clear" w:color="auto" w:fill="F2F2F2"/>
          </w:tcPr>
          <w:p w14:paraId="35297A74" w14:textId="77777777" w:rsidR="00E3114E" w:rsidRDefault="00E3114E" w:rsidP="00441B6F">
            <w:pPr>
              <w:pStyle w:val="Body"/>
              <w:spacing w:after="0"/>
              <w:rPr>
                <w:rFonts w:ascii="Arial" w:eastAsia="Calibri" w:hAnsi="Arial" w:cs="Arial"/>
                <w:b/>
                <w:szCs w:val="22"/>
              </w:rPr>
            </w:pPr>
          </w:p>
          <w:p w14:paraId="1FEB3904" w14:textId="16BE8F10" w:rsidR="0060508C" w:rsidRPr="0060508C" w:rsidRDefault="0060508C" w:rsidP="00441B6F">
            <w:pPr>
              <w:pStyle w:val="Body"/>
              <w:spacing w:after="0"/>
              <w:rPr>
                <w:rFonts w:ascii="Arial" w:eastAsia="Calibri" w:hAnsi="Arial" w:cs="Arial"/>
                <w:bCs/>
                <w:szCs w:val="22"/>
              </w:rPr>
            </w:pPr>
            <w:r>
              <w:rPr>
                <w:rFonts w:ascii="Arial" w:eastAsia="Calibri" w:hAnsi="Arial" w:cs="Arial"/>
                <w:b/>
                <w:szCs w:val="22"/>
              </w:rPr>
              <w:t xml:space="preserve">Background: </w:t>
            </w:r>
            <w:r w:rsidRPr="0060508C">
              <w:rPr>
                <w:rFonts w:ascii="Arial" w:eastAsia="Calibri" w:hAnsi="Arial" w:cs="Arial"/>
                <w:bCs/>
                <w:szCs w:val="22"/>
              </w:rPr>
              <w:t>Inter-hospital transfers from secondary-level hospitals are often driven by patient severity and limited access to specialized care. Identifying key predictors in Trincomalee District, Sri Lanka, is essential to improve referral efficiency and patient outcomes.</w:t>
            </w:r>
          </w:p>
          <w:p w14:paraId="134B91BB" w14:textId="5665F16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A7C58" w:rsidRPr="001A7C58">
              <w:rPr>
                <w:rFonts w:ascii="Arial" w:eastAsia="Calibri" w:hAnsi="Arial" w:cs="Arial"/>
                <w:szCs w:val="22"/>
              </w:rPr>
              <w:t>To identify demographic, clinical, and institutional factors associated with inter-hospital transfer from a secondary-level public hospital in Sri Lanka and to develop a practical predictive model for administrative decision-making</w:t>
            </w:r>
            <w:r w:rsidRPr="00BA1B01">
              <w:rPr>
                <w:rFonts w:ascii="Arial" w:eastAsia="Calibri" w:hAnsi="Arial" w:cs="Arial"/>
                <w:szCs w:val="22"/>
              </w:rPr>
              <w:t>.</w:t>
            </w:r>
          </w:p>
          <w:p w14:paraId="7F5C2085" w14:textId="7474FFF3" w:rsidR="001A7C58"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1A7C58" w:rsidRPr="00BA1B01">
              <w:rPr>
                <w:rFonts w:ascii="Arial" w:eastAsia="Calibri" w:hAnsi="Arial" w:cs="Arial"/>
                <w:b/>
                <w:szCs w:val="22"/>
              </w:rPr>
              <w:t>:</w:t>
            </w:r>
            <w:r w:rsidR="001A7C58" w:rsidRPr="00BA1B01">
              <w:rPr>
                <w:rFonts w:ascii="Arial" w:eastAsia="Calibri" w:hAnsi="Arial" w:cs="Arial"/>
                <w:szCs w:val="22"/>
              </w:rPr>
              <w:t xml:space="preserve"> Retrospective</w:t>
            </w:r>
            <w:r w:rsidR="001A7C58" w:rsidRPr="001A7C58">
              <w:rPr>
                <w:rFonts w:ascii="Arial" w:eastAsia="Calibri" w:hAnsi="Arial" w:cs="Arial"/>
                <w:szCs w:val="22"/>
              </w:rPr>
              <w:t xml:space="preserve"> observational study with supplementary qualitative inquiry.</w:t>
            </w:r>
          </w:p>
          <w:p w14:paraId="22FF047C" w14:textId="1B6DCF3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1A7C58" w:rsidRPr="001A7C58">
              <w:rPr>
                <w:rFonts w:ascii="Arial" w:eastAsia="Calibri" w:hAnsi="Arial" w:cs="Arial"/>
                <w:szCs w:val="22"/>
              </w:rPr>
              <w:t xml:space="preserve">Base Hospital </w:t>
            </w:r>
            <w:proofErr w:type="spellStart"/>
            <w:r w:rsidR="001A7C58" w:rsidRPr="001A7C58">
              <w:rPr>
                <w:rFonts w:ascii="Arial" w:eastAsia="Calibri" w:hAnsi="Arial" w:cs="Arial"/>
                <w:szCs w:val="22"/>
              </w:rPr>
              <w:t>Kanthale</w:t>
            </w:r>
            <w:proofErr w:type="spellEnd"/>
            <w:r w:rsidR="001A7C58" w:rsidRPr="001A7C58">
              <w:rPr>
                <w:rFonts w:ascii="Arial" w:eastAsia="Calibri" w:hAnsi="Arial" w:cs="Arial"/>
                <w:szCs w:val="22"/>
              </w:rPr>
              <w:t>, Trincomalee District, Sri Lanka, using records of patients admitted from January 2025 to April 2025.</w:t>
            </w:r>
          </w:p>
          <w:p w14:paraId="2C5BC3A4" w14:textId="4E7DA06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A7C58" w:rsidRPr="001A7C58">
              <w:rPr>
                <w:rFonts w:ascii="Arial" w:eastAsia="Calibri" w:hAnsi="Arial" w:cs="Arial"/>
                <w:szCs w:val="22"/>
              </w:rPr>
              <w:t>Secondary data were extracted for 357 adult patients aged 16 years and above using a structured checklist. Patients with pre-arranged referral plans and those requiring immediate resuscitation and intubation were excluded. Variables covered demographic factors, clinical status, and institutional service availability. Semi-structured interviews with the medical administrator and clinicians involved in acute care were used to contextualize transfer decisions. Descriptive statistics, chi-square testing, analysis of variance, and multivariable logistic regression were used. Predictive performance was assessed using accuracy, precision, recall, and F1 score</w:t>
            </w:r>
            <w:r w:rsidRPr="00BA1B01">
              <w:rPr>
                <w:rFonts w:ascii="Arial" w:eastAsia="Calibri" w:hAnsi="Arial" w:cs="Arial"/>
                <w:szCs w:val="22"/>
              </w:rPr>
              <w:t>.</w:t>
            </w:r>
          </w:p>
          <w:p w14:paraId="576D4611" w14:textId="682960CC"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1A7C58" w:rsidRPr="001A7C58">
              <w:rPr>
                <w:rFonts w:ascii="Arial" w:eastAsia="Calibri" w:hAnsi="Arial" w:cs="Arial"/>
                <w:szCs w:val="22"/>
              </w:rPr>
              <w:t>Of 357 patients, 79 (22.0%) were transferred to a higher level of care. Mean age was 49.8 years</w:t>
            </w:r>
            <w:r w:rsidR="00053208">
              <w:rPr>
                <w:rFonts w:ascii="Arial" w:eastAsia="Calibri" w:hAnsi="Arial" w:cs="Arial"/>
                <w:szCs w:val="22"/>
              </w:rPr>
              <w:t>,</w:t>
            </w:r>
            <w:r w:rsidR="001A7C58" w:rsidRPr="001A7C58">
              <w:rPr>
                <w:rFonts w:ascii="Arial" w:eastAsia="Calibri" w:hAnsi="Arial" w:cs="Arial"/>
                <w:szCs w:val="22"/>
              </w:rPr>
              <w:t xml:space="preserve"> and 53.3% were male. Pulse rate differed significantly between transferred and non-transferred groups (P = .023). Significant categorical associations were found for level of consciousness (P = .003), specialist-related service availability (P &lt; .001), CT/MRI availability (P &lt; .001), and day of admission (P &lt; .001). </w:t>
            </w:r>
            <w:r w:rsidR="009F47EA" w:rsidRPr="009F47EA">
              <w:rPr>
                <w:rFonts w:ascii="Arial" w:eastAsia="Calibri" w:hAnsi="Arial" w:cs="Arial"/>
                <w:szCs w:val="22"/>
              </w:rPr>
              <w:t>In the adjusted model, semi-conscious state (OR 0.26, P = .044), specialist-related service constraint (OR 1032.45, approximate 95% CI 126.08–8459.79; P &lt; .001), CT/MRI-related constraint (OR 10.69, P &lt; .001), and admission on public holidays (OR 50.98, P &lt; .001) were significant predictors</w:t>
            </w:r>
            <w:r w:rsidR="001A7C58" w:rsidRPr="001A7C58">
              <w:rPr>
                <w:rFonts w:ascii="Arial" w:eastAsia="Calibri" w:hAnsi="Arial" w:cs="Arial"/>
                <w:szCs w:val="22"/>
              </w:rPr>
              <w:t>. Model accuracy was 91.3%, while precision, recall, and F1 score were each 80.3%.</w:t>
            </w:r>
          </w:p>
          <w:p w14:paraId="43045D7B" w14:textId="295AF3D6"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A7C58" w:rsidRPr="001A7C58">
              <w:rPr>
                <w:rFonts w:ascii="Arial" w:eastAsia="Calibri" w:hAnsi="Arial" w:cs="Arial"/>
                <w:szCs w:val="22"/>
              </w:rPr>
              <w:t>Inter-hospital transfer was driven mainly by institutional constraints rather than demographic characteristics alone. Limited specialist coverage, restricted access to advanced imaging, and service pressure during public holidays were major determinants. The predictive model may support better resource allocation and more rational transfer decisions</w:t>
            </w:r>
            <w:r w:rsidRPr="00BA1B01">
              <w:rPr>
                <w:rFonts w:ascii="Arial" w:eastAsia="Calibri" w:hAnsi="Arial" w:cs="Arial"/>
                <w:szCs w:val="22"/>
              </w:rPr>
              <w:t>.</w:t>
            </w:r>
          </w:p>
        </w:tc>
      </w:tr>
    </w:tbl>
    <w:p w14:paraId="53C2B92C" w14:textId="77777777" w:rsidR="00636EB2" w:rsidRDefault="00636EB2" w:rsidP="00441B6F">
      <w:pPr>
        <w:pStyle w:val="Body"/>
        <w:spacing w:after="0"/>
        <w:rPr>
          <w:rFonts w:ascii="Arial" w:hAnsi="Arial" w:cs="Arial"/>
          <w:i/>
        </w:rPr>
      </w:pPr>
    </w:p>
    <w:p w14:paraId="7046A001" w14:textId="400E0FC7" w:rsidR="00A24E7E" w:rsidRDefault="00A24E7E" w:rsidP="00441B6F">
      <w:pPr>
        <w:pStyle w:val="Body"/>
        <w:spacing w:after="0"/>
        <w:rPr>
          <w:rFonts w:ascii="Arial" w:hAnsi="Arial" w:cs="Arial"/>
          <w:i/>
        </w:rPr>
      </w:pPr>
      <w:r>
        <w:rPr>
          <w:rFonts w:ascii="Arial" w:hAnsi="Arial" w:cs="Arial"/>
          <w:i/>
        </w:rPr>
        <w:t xml:space="preserve">Keywords: </w:t>
      </w:r>
      <w:r w:rsidR="001A7C58" w:rsidRPr="001A7C58">
        <w:rPr>
          <w:rFonts w:ascii="Arial" w:hAnsi="Arial" w:cs="Arial"/>
          <w:i/>
        </w:rPr>
        <w:t>patient transfer; health systems; predictive modeling; hospital administration; Sri Lanka; referral hospitals</w:t>
      </w:r>
    </w:p>
    <w:p w14:paraId="3042C509" w14:textId="77777777" w:rsidR="001A7C58" w:rsidRDefault="001A7C58" w:rsidP="00441B6F">
      <w:pPr>
        <w:pStyle w:val="Body"/>
        <w:spacing w:after="0"/>
        <w:rPr>
          <w:rFonts w:ascii="Arial" w:hAnsi="Arial" w:cs="Arial"/>
          <w:iCs/>
        </w:rPr>
      </w:pPr>
    </w:p>
    <w:p w14:paraId="4DBB18CD" w14:textId="1F7BAC42" w:rsidR="001A7C58" w:rsidRPr="001A7C58" w:rsidRDefault="001A7C58" w:rsidP="00441B6F">
      <w:pPr>
        <w:pStyle w:val="Body"/>
        <w:spacing w:after="0"/>
        <w:rPr>
          <w:rFonts w:ascii="Arial" w:hAnsi="Arial" w:cs="Arial"/>
          <w:iCs/>
        </w:rPr>
      </w:pPr>
      <w:r w:rsidRPr="001A7C58">
        <w:rPr>
          <w:rFonts w:ascii="Arial" w:hAnsi="Arial" w:cs="Arial"/>
          <w:iCs/>
        </w:rPr>
        <w:t>Abbreviations</w:t>
      </w:r>
      <w:r w:rsidR="007D2DCD">
        <w:rPr>
          <w:rFonts w:ascii="Arial" w:hAnsi="Arial" w:cs="Arial"/>
          <w:iCs/>
        </w:rPr>
        <w:t xml:space="preserve"> Table</w:t>
      </w:r>
      <w:r w:rsidR="00324B82">
        <w:rPr>
          <w:rFonts w:ascii="Arial" w:hAnsi="Arial" w:cs="Arial"/>
          <w:iCs/>
        </w:rPr>
        <w:t>:</w:t>
      </w:r>
    </w:p>
    <w:tbl>
      <w:tblPr>
        <w:tblW w:w="6840" w:type="dxa"/>
        <w:tblInd w:w="378" w:type="dxa"/>
        <w:tblBorders>
          <w:top w:val="single" w:sz="4" w:space="0" w:color="auto"/>
          <w:bottom w:val="single" w:sz="4" w:space="0" w:color="auto"/>
          <w:insideH w:val="single" w:sz="4" w:space="0" w:color="auto"/>
        </w:tblBorders>
        <w:tblLook w:val="01E0" w:firstRow="1" w:lastRow="1" w:firstColumn="1" w:lastColumn="1" w:noHBand="0" w:noVBand="0"/>
      </w:tblPr>
      <w:tblGrid>
        <w:gridCol w:w="2880"/>
        <w:gridCol w:w="3960"/>
      </w:tblGrid>
      <w:tr w:rsidR="001A7C58" w:rsidRPr="00DC3180" w14:paraId="70E91B52" w14:textId="77777777" w:rsidTr="00324B82">
        <w:tc>
          <w:tcPr>
            <w:tcW w:w="2880" w:type="dxa"/>
            <w:tcBorders>
              <w:bottom w:val="single" w:sz="4" w:space="0" w:color="auto"/>
            </w:tcBorders>
          </w:tcPr>
          <w:p w14:paraId="01E0A54F" w14:textId="38A40EC4" w:rsidR="001A7C58" w:rsidRPr="00DC3180" w:rsidRDefault="001A7C58" w:rsidP="00324B82">
            <w:pPr>
              <w:jc w:val="center"/>
              <w:rPr>
                <w:rFonts w:ascii="Arial" w:hAnsi="Arial"/>
                <w:b/>
                <w:bCs/>
              </w:rPr>
            </w:pPr>
            <w:r>
              <w:rPr>
                <w:rFonts w:ascii="Arial" w:hAnsi="Arial"/>
                <w:b/>
                <w:bCs/>
              </w:rPr>
              <w:t>Abbreviations</w:t>
            </w:r>
          </w:p>
        </w:tc>
        <w:tc>
          <w:tcPr>
            <w:tcW w:w="3960" w:type="dxa"/>
            <w:tcBorders>
              <w:bottom w:val="single" w:sz="4" w:space="0" w:color="auto"/>
            </w:tcBorders>
          </w:tcPr>
          <w:p w14:paraId="223284B1" w14:textId="08D7374B" w:rsidR="001A7C58" w:rsidRPr="00DC3180" w:rsidRDefault="001A7C58" w:rsidP="00324B82">
            <w:pPr>
              <w:jc w:val="center"/>
              <w:rPr>
                <w:rFonts w:ascii="Arial" w:hAnsi="Arial"/>
                <w:b/>
                <w:bCs/>
              </w:rPr>
            </w:pPr>
            <w:r>
              <w:rPr>
                <w:rFonts w:ascii="Arial" w:hAnsi="Arial"/>
                <w:b/>
                <w:bCs/>
              </w:rPr>
              <w:t>Full form</w:t>
            </w:r>
          </w:p>
        </w:tc>
      </w:tr>
      <w:tr w:rsidR="001A7C58" w:rsidRPr="00DC3180" w14:paraId="0669EF90" w14:textId="77777777" w:rsidTr="00324B82">
        <w:trPr>
          <w:trHeight w:val="197"/>
          <w:hidden/>
        </w:trPr>
        <w:tc>
          <w:tcPr>
            <w:tcW w:w="2880" w:type="dxa"/>
            <w:tcBorders>
              <w:bottom w:val="nil"/>
            </w:tcBorders>
          </w:tcPr>
          <w:p w14:paraId="39CA0D87" w14:textId="77777777" w:rsidR="001A7C58" w:rsidRPr="00DC3180" w:rsidRDefault="001A7C58" w:rsidP="00324B82">
            <w:pPr>
              <w:jc w:val="both"/>
              <w:rPr>
                <w:rFonts w:ascii="Arial" w:hAnsi="Arial"/>
                <w:vanish/>
              </w:rPr>
            </w:pPr>
          </w:p>
          <w:p w14:paraId="1D98D104" w14:textId="6D4C8823" w:rsidR="001A7C58" w:rsidRPr="00DC3180" w:rsidRDefault="00324B82" w:rsidP="00324B82">
            <w:pPr>
              <w:jc w:val="both"/>
              <w:rPr>
                <w:rFonts w:ascii="Arial" w:hAnsi="Arial"/>
                <w:b/>
                <w:bCs/>
              </w:rPr>
            </w:pPr>
            <w:r>
              <w:rPr>
                <w:rFonts w:ascii="Arial" w:hAnsi="Arial"/>
              </w:rPr>
              <w:t>CT</w:t>
            </w:r>
          </w:p>
        </w:tc>
        <w:tc>
          <w:tcPr>
            <w:tcW w:w="3960" w:type="dxa"/>
            <w:tcBorders>
              <w:bottom w:val="nil"/>
            </w:tcBorders>
          </w:tcPr>
          <w:p w14:paraId="3C05C351" w14:textId="1E4AE31C" w:rsidR="001A7C58" w:rsidRPr="00324B82" w:rsidRDefault="00324B82" w:rsidP="00324B82">
            <w:pPr>
              <w:jc w:val="both"/>
              <w:rPr>
                <w:rFonts w:ascii="Arial" w:hAnsi="Arial"/>
              </w:rPr>
            </w:pPr>
            <w:r w:rsidRPr="00324B82">
              <w:rPr>
                <w:rFonts w:ascii="Arial" w:hAnsi="Arial"/>
              </w:rPr>
              <w:t>Computed Tomography</w:t>
            </w:r>
          </w:p>
        </w:tc>
      </w:tr>
      <w:tr w:rsidR="001A7C58" w:rsidRPr="00DC3180" w14:paraId="16B43E17" w14:textId="77777777" w:rsidTr="00324B82">
        <w:tc>
          <w:tcPr>
            <w:tcW w:w="2880" w:type="dxa"/>
            <w:tcBorders>
              <w:top w:val="nil"/>
              <w:bottom w:val="nil"/>
            </w:tcBorders>
          </w:tcPr>
          <w:p w14:paraId="780F3B03" w14:textId="303F03D5" w:rsidR="001A7C58" w:rsidRPr="00324B82" w:rsidRDefault="00324B82" w:rsidP="00324B82">
            <w:pPr>
              <w:jc w:val="both"/>
              <w:rPr>
                <w:rFonts w:ascii="Arial" w:hAnsi="Arial" w:cs="Arial"/>
                <w:vanish/>
              </w:rPr>
            </w:pPr>
            <w:r>
              <w:rPr>
                <w:rFonts w:ascii="Arial" w:hAnsi="Arial" w:cs="Arial"/>
              </w:rPr>
              <w:t>ICU</w:t>
            </w:r>
          </w:p>
        </w:tc>
        <w:tc>
          <w:tcPr>
            <w:tcW w:w="3960" w:type="dxa"/>
            <w:tcBorders>
              <w:top w:val="nil"/>
              <w:bottom w:val="nil"/>
            </w:tcBorders>
          </w:tcPr>
          <w:p w14:paraId="7B57D999" w14:textId="53C21870" w:rsidR="001A7C58" w:rsidRPr="00DC3180" w:rsidRDefault="00324B82" w:rsidP="00324B82">
            <w:pPr>
              <w:jc w:val="both"/>
              <w:rPr>
                <w:rFonts w:ascii="Arial" w:hAnsi="Arial" w:cs="Arial"/>
              </w:rPr>
            </w:pPr>
            <w:r>
              <w:rPr>
                <w:rFonts w:ascii="Arial" w:hAnsi="Arial" w:cs="Arial"/>
              </w:rPr>
              <w:t xml:space="preserve">Intensive Care Unit </w:t>
            </w:r>
          </w:p>
        </w:tc>
      </w:tr>
      <w:tr w:rsidR="001A7C58" w:rsidRPr="00DC3180" w14:paraId="1EC16557" w14:textId="77777777" w:rsidTr="00324B82">
        <w:tc>
          <w:tcPr>
            <w:tcW w:w="2880" w:type="dxa"/>
            <w:tcBorders>
              <w:top w:val="nil"/>
              <w:bottom w:val="nil"/>
            </w:tcBorders>
          </w:tcPr>
          <w:p w14:paraId="1BBEC8C2" w14:textId="32EA3E28" w:rsidR="001A7C58" w:rsidRPr="00DC3180" w:rsidRDefault="00324B82" w:rsidP="00324B82">
            <w:pPr>
              <w:jc w:val="both"/>
              <w:rPr>
                <w:rFonts w:ascii="Arial" w:hAnsi="Arial"/>
                <w:vanish/>
              </w:rPr>
            </w:pPr>
            <w:r>
              <w:rPr>
                <w:rFonts w:ascii="Arial" w:hAnsi="Arial"/>
              </w:rPr>
              <w:t>MRI</w:t>
            </w:r>
          </w:p>
          <w:p w14:paraId="01286A23" w14:textId="77777777" w:rsidR="001A7C58" w:rsidRPr="00DC3180" w:rsidRDefault="001A7C58" w:rsidP="00324B82">
            <w:pPr>
              <w:jc w:val="both"/>
              <w:rPr>
                <w:rFonts w:ascii="Arial" w:hAnsi="Arial"/>
              </w:rPr>
            </w:pPr>
          </w:p>
        </w:tc>
        <w:tc>
          <w:tcPr>
            <w:tcW w:w="3960" w:type="dxa"/>
            <w:tcBorders>
              <w:top w:val="nil"/>
              <w:bottom w:val="nil"/>
            </w:tcBorders>
          </w:tcPr>
          <w:p w14:paraId="067C61E9" w14:textId="27C6B16E" w:rsidR="001A7C58" w:rsidRPr="00DC3180" w:rsidRDefault="00324B82" w:rsidP="00324B82">
            <w:pPr>
              <w:jc w:val="both"/>
              <w:rPr>
                <w:rFonts w:ascii="Arial" w:hAnsi="Arial"/>
              </w:rPr>
            </w:pPr>
            <w:r>
              <w:rPr>
                <w:rFonts w:ascii="Arial" w:hAnsi="Arial"/>
              </w:rPr>
              <w:t xml:space="preserve">Magnetic Resonance Imaging </w:t>
            </w:r>
          </w:p>
        </w:tc>
      </w:tr>
      <w:tr w:rsidR="001A7C58" w:rsidRPr="00DC3180" w14:paraId="2263B5FA" w14:textId="77777777" w:rsidTr="00324B82">
        <w:tc>
          <w:tcPr>
            <w:tcW w:w="2880" w:type="dxa"/>
            <w:tcBorders>
              <w:top w:val="nil"/>
              <w:bottom w:val="nil"/>
            </w:tcBorders>
          </w:tcPr>
          <w:p w14:paraId="7C597918" w14:textId="6FCD157B" w:rsidR="001A7C58" w:rsidRPr="00DC3180" w:rsidRDefault="00324B82" w:rsidP="00324B82">
            <w:pPr>
              <w:jc w:val="both"/>
              <w:rPr>
                <w:rFonts w:ascii="Arial" w:hAnsi="Arial"/>
              </w:rPr>
            </w:pPr>
            <w:r>
              <w:rPr>
                <w:rFonts w:ascii="Arial" w:hAnsi="Arial"/>
              </w:rPr>
              <w:t>NEWS2</w:t>
            </w:r>
          </w:p>
        </w:tc>
        <w:tc>
          <w:tcPr>
            <w:tcW w:w="3960" w:type="dxa"/>
            <w:tcBorders>
              <w:top w:val="nil"/>
              <w:bottom w:val="nil"/>
            </w:tcBorders>
          </w:tcPr>
          <w:p w14:paraId="0F877A4B" w14:textId="1D1C2C8F" w:rsidR="001A7C58" w:rsidRPr="00DC3180" w:rsidRDefault="00324B82" w:rsidP="00324B82">
            <w:pPr>
              <w:jc w:val="both"/>
              <w:rPr>
                <w:rFonts w:ascii="Arial" w:hAnsi="Arial"/>
              </w:rPr>
            </w:pPr>
            <w:r>
              <w:rPr>
                <w:rFonts w:ascii="Arial" w:hAnsi="Arial"/>
              </w:rPr>
              <w:t xml:space="preserve">National Early Warning Score 2 </w:t>
            </w:r>
          </w:p>
        </w:tc>
      </w:tr>
    </w:tbl>
    <w:p w14:paraId="08F217E2" w14:textId="19D3CDA6" w:rsidR="00790ADA"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A188576" w14:textId="77777777" w:rsidR="006147F1" w:rsidRDefault="006147F1" w:rsidP="00441B6F">
      <w:pPr>
        <w:pStyle w:val="AbstHead"/>
        <w:spacing w:after="0"/>
        <w:jc w:val="both"/>
        <w:rPr>
          <w:rFonts w:ascii="Arial" w:hAnsi="Arial" w:cs="Arial"/>
        </w:rPr>
      </w:pPr>
    </w:p>
    <w:p w14:paraId="200A9A2A" w14:textId="77777777" w:rsidR="00324B82" w:rsidRPr="00FB3A86" w:rsidRDefault="00324B82" w:rsidP="00441B6F">
      <w:pPr>
        <w:pStyle w:val="AbstHead"/>
        <w:spacing w:after="0"/>
        <w:jc w:val="both"/>
        <w:rPr>
          <w:rFonts w:ascii="Arial" w:hAnsi="Arial" w:cs="Arial"/>
        </w:rPr>
      </w:pPr>
    </w:p>
    <w:p w14:paraId="4B7146D0" w14:textId="49847B38" w:rsidR="00324B82" w:rsidRPr="00324B82" w:rsidRDefault="00324B82" w:rsidP="00324B82">
      <w:pPr>
        <w:pStyle w:val="AbstHead"/>
        <w:jc w:val="both"/>
        <w:rPr>
          <w:rFonts w:ascii="Arial" w:hAnsi="Arial" w:cs="Arial"/>
          <w:b w:val="0"/>
          <w:caps w:val="0"/>
          <w:sz w:val="20"/>
        </w:rPr>
      </w:pPr>
      <w:r w:rsidRPr="00324B82">
        <w:rPr>
          <w:rFonts w:ascii="Arial" w:hAnsi="Arial" w:cs="Arial"/>
          <w:b w:val="0"/>
          <w:caps w:val="0"/>
          <w:sz w:val="20"/>
        </w:rPr>
        <w:t>Inter-hospital transfer is an essential component of tiered health systems because it connects patients presenting to lower-level institutions with services that are not available locally (Kulshrestha and Singh, 2016). Ideally, transfer supports continuity of care and protects patient safety by enabling timely access to definitive treatment (Wright et al., 2024). In practice, however, transfer decisions are often made under clinical uncertainty and within operational constraints such as staff shortages, limited diagnostic facilities, and uneven specialist availability (Wright et al., 2024). Unnecessary transfers may increase transport-related risk, cost, and disruption for patients and families, whereas delayed transfers may worsen clinical outcomes (Kulshrestha and Singh, 2016).</w:t>
      </w:r>
    </w:p>
    <w:p w14:paraId="174E20EC" w14:textId="278E19B9" w:rsidR="00324B82" w:rsidRPr="00324B82" w:rsidRDefault="00324B82" w:rsidP="00324B82">
      <w:pPr>
        <w:pStyle w:val="AbstHead"/>
        <w:jc w:val="both"/>
        <w:rPr>
          <w:rFonts w:ascii="Arial" w:hAnsi="Arial" w:cs="Arial"/>
          <w:b w:val="0"/>
          <w:caps w:val="0"/>
          <w:sz w:val="20"/>
        </w:rPr>
      </w:pPr>
      <w:r w:rsidRPr="00324B82">
        <w:rPr>
          <w:rFonts w:ascii="Arial" w:hAnsi="Arial" w:cs="Arial"/>
          <w:b w:val="0"/>
          <w:caps w:val="0"/>
          <w:sz w:val="20"/>
        </w:rPr>
        <w:t>These concerns are especially relevant in Sri Lanka, where public healthcare is provided free at the point of delivery and organized through a hierarchical network of institutions (Gamage et al., 2024). Secondary-level hospitals provide a broad range of inpatient and emergency services, but they do not possess the full specialist and diagnostic capacity available in tertiary hospitals (Annual Health Bulletin, 2022). As a result, transfers are common and often clinically necessary. However, repeated transfers driven by avoidable institutional barriers may overload referral hospitals, increase administrative burden, and fragment continuity of care (Bosk et al., 2011).</w:t>
      </w:r>
    </w:p>
    <w:p w14:paraId="7B8ECDAD" w14:textId="5C95731F" w:rsidR="00324B82" w:rsidRPr="00324B82" w:rsidRDefault="00324B82" w:rsidP="00324B82">
      <w:pPr>
        <w:pStyle w:val="AbstHead"/>
        <w:jc w:val="both"/>
        <w:rPr>
          <w:rFonts w:ascii="Arial" w:hAnsi="Arial" w:cs="Arial"/>
          <w:b w:val="0"/>
          <w:caps w:val="0"/>
          <w:sz w:val="20"/>
        </w:rPr>
      </w:pPr>
      <w:r w:rsidRPr="00324B82">
        <w:rPr>
          <w:rFonts w:ascii="Arial" w:hAnsi="Arial" w:cs="Arial"/>
          <w:b w:val="0"/>
          <w:caps w:val="0"/>
          <w:sz w:val="20"/>
        </w:rPr>
        <w:t xml:space="preserve">The referral pathway in Sri Lanka is therefore both a clinical and a managerial issue. Each transfer involves not only </w:t>
      </w:r>
      <w:r w:rsidR="0037393B">
        <w:rPr>
          <w:rFonts w:ascii="Arial" w:hAnsi="Arial" w:cs="Arial"/>
          <w:b w:val="0"/>
          <w:caps w:val="0"/>
          <w:sz w:val="20"/>
        </w:rPr>
        <w:t xml:space="preserve">bedside clinical decision-making but also </w:t>
      </w:r>
      <w:r w:rsidRPr="00324B82">
        <w:rPr>
          <w:rFonts w:ascii="Arial" w:hAnsi="Arial" w:cs="Arial"/>
          <w:b w:val="0"/>
          <w:caps w:val="0"/>
          <w:sz w:val="20"/>
        </w:rPr>
        <w:t xml:space="preserve">transport, staff time, inter-facility communication, and patient movement between institutions (Kulshrestha and Singh, 2016). </w:t>
      </w:r>
      <w:r w:rsidR="0067457C" w:rsidRPr="0067457C">
        <w:rPr>
          <w:rFonts w:ascii="Arial" w:hAnsi="Arial" w:cs="Arial"/>
          <w:b w:val="0"/>
          <w:caps w:val="0"/>
          <w:sz w:val="20"/>
        </w:rPr>
        <w:t>Recent systematic review evidence has highlighted persistent communication challenges during interfacility transfer, especially in rural and remote settings, reinforcing the importance of accurate and timely information exchange in safe transfer processes (</w:t>
      </w:r>
      <w:proofErr w:type="spellStart"/>
      <w:r w:rsidR="0067457C" w:rsidRPr="0067457C">
        <w:rPr>
          <w:rFonts w:ascii="Arial" w:hAnsi="Arial" w:cs="Arial"/>
          <w:b w:val="0"/>
          <w:caps w:val="0"/>
          <w:sz w:val="20"/>
        </w:rPr>
        <w:t>Galatzan</w:t>
      </w:r>
      <w:proofErr w:type="spellEnd"/>
      <w:r w:rsidR="0067457C" w:rsidRPr="0067457C">
        <w:rPr>
          <w:rFonts w:ascii="Arial" w:hAnsi="Arial" w:cs="Arial"/>
          <w:b w:val="0"/>
          <w:caps w:val="0"/>
          <w:sz w:val="20"/>
        </w:rPr>
        <w:t xml:space="preserve"> et al., 2024).</w:t>
      </w:r>
      <w:r w:rsidR="0067457C">
        <w:rPr>
          <w:rFonts w:ascii="Arial" w:hAnsi="Arial" w:cs="Arial"/>
          <w:b w:val="0"/>
          <w:caps w:val="0"/>
          <w:sz w:val="20"/>
        </w:rPr>
        <w:t xml:space="preserve"> </w:t>
      </w:r>
      <w:r w:rsidRPr="00324B82">
        <w:rPr>
          <w:rFonts w:ascii="Arial" w:hAnsi="Arial" w:cs="Arial"/>
          <w:b w:val="0"/>
          <w:caps w:val="0"/>
          <w:sz w:val="20"/>
        </w:rPr>
        <w:t>For this reason, understanding why patients are transferred is important for both quality of care and health system efficiency. A predictive approach may help distinguish unavoidable transfers from those driven by potentially modifiable institutional weaknesses (Pozzi et al., 2016).</w:t>
      </w:r>
    </w:p>
    <w:p w14:paraId="24544167" w14:textId="06D8FEC0" w:rsidR="00324B82" w:rsidRPr="00324B82" w:rsidRDefault="00324B82" w:rsidP="00324B82">
      <w:pPr>
        <w:pStyle w:val="AbstHead"/>
        <w:jc w:val="both"/>
        <w:rPr>
          <w:rFonts w:ascii="Arial" w:hAnsi="Arial" w:cs="Arial"/>
          <w:b w:val="0"/>
          <w:caps w:val="0"/>
          <w:sz w:val="20"/>
        </w:rPr>
      </w:pPr>
      <w:r w:rsidRPr="00324B82">
        <w:rPr>
          <w:rFonts w:ascii="Arial" w:hAnsi="Arial" w:cs="Arial"/>
          <w:b w:val="0"/>
          <w:caps w:val="0"/>
          <w:sz w:val="20"/>
        </w:rPr>
        <w:t>Previous studies have shown that transfer decisions are influenced by demographic characteristics, acute clinical condition, disease profile, and institutional readiness (Fernandes-Taylor et al., 2021). Other studies have emphasized the importance of specialist availability, access to advanced diagnostics, and the quality of transfer processes in shaping transfer outcomes (Wright et al., 2024). Temporal factors such as holidays and after-hours service gaps may also affect transfer practices (Moore III et al., 2023). Despite this, evidence from Sri Lanka remains limited, particularly on how routinely available clinical and institutional data can be combined into a practical predictive tool for hospital management.</w:t>
      </w:r>
    </w:p>
    <w:p w14:paraId="1E80E2F0" w14:textId="77777777" w:rsidR="00324B82" w:rsidRDefault="00324B82" w:rsidP="00324B82">
      <w:pPr>
        <w:pStyle w:val="AbstHead"/>
        <w:spacing w:after="0"/>
        <w:jc w:val="both"/>
        <w:rPr>
          <w:rFonts w:ascii="Arial" w:hAnsi="Arial" w:cs="Arial"/>
          <w:b w:val="0"/>
          <w:caps w:val="0"/>
          <w:sz w:val="20"/>
        </w:rPr>
      </w:pPr>
      <w:r w:rsidRPr="00324B82">
        <w:rPr>
          <w:rFonts w:ascii="Arial" w:hAnsi="Arial" w:cs="Arial"/>
          <w:b w:val="0"/>
          <w:caps w:val="0"/>
          <w:sz w:val="20"/>
        </w:rPr>
        <w:t xml:space="preserve">Base Hospital </w:t>
      </w:r>
      <w:proofErr w:type="spellStart"/>
      <w:r w:rsidRPr="00324B82">
        <w:rPr>
          <w:rFonts w:ascii="Arial" w:hAnsi="Arial" w:cs="Arial"/>
          <w:b w:val="0"/>
          <w:caps w:val="0"/>
          <w:sz w:val="20"/>
        </w:rPr>
        <w:t>Kanthale</w:t>
      </w:r>
      <w:proofErr w:type="spellEnd"/>
      <w:r w:rsidRPr="00324B82">
        <w:rPr>
          <w:rFonts w:ascii="Arial" w:hAnsi="Arial" w:cs="Arial"/>
          <w:b w:val="0"/>
          <w:caps w:val="0"/>
          <w:sz w:val="20"/>
        </w:rPr>
        <w:t xml:space="preserve"> is a secondary-level government hospital serving a mixed, largely rural population in the Trincomalee District. Practical experience in such settings suggests that inter-hospital transfer is frequently influenced by limited specialist coverage, restricted access to CT/MRI facilities, and reduced service availability during holidays. This study was therefore undertaken to identify the demographic, clinical, and institutional factors associated with inter-hospital transfer from Base Hospital </w:t>
      </w:r>
      <w:proofErr w:type="spellStart"/>
      <w:r w:rsidRPr="00324B82">
        <w:rPr>
          <w:rFonts w:ascii="Arial" w:hAnsi="Arial" w:cs="Arial"/>
          <w:b w:val="0"/>
          <w:caps w:val="0"/>
          <w:sz w:val="20"/>
        </w:rPr>
        <w:t>Kanthale</w:t>
      </w:r>
      <w:proofErr w:type="spellEnd"/>
      <w:r w:rsidRPr="00324B82">
        <w:rPr>
          <w:rFonts w:ascii="Arial" w:hAnsi="Arial" w:cs="Arial"/>
          <w:b w:val="0"/>
          <w:caps w:val="0"/>
          <w:sz w:val="20"/>
        </w:rPr>
        <w:t xml:space="preserve"> and to develop a predictive model to support more rational administrative planning.</w:t>
      </w:r>
    </w:p>
    <w:p w14:paraId="2EF7B72B" w14:textId="731BF741" w:rsidR="007B7069" w:rsidRDefault="007B7069" w:rsidP="00324B82">
      <w:pPr>
        <w:pStyle w:val="AbstHead"/>
        <w:spacing w:after="0"/>
        <w:jc w:val="both"/>
        <w:rPr>
          <w:rFonts w:ascii="Arial" w:hAnsi="Arial" w:cs="Arial"/>
          <w:b w:val="0"/>
          <w:caps w:val="0"/>
          <w:sz w:val="20"/>
        </w:rPr>
      </w:pPr>
    </w:p>
    <w:p w14:paraId="66457DC8" w14:textId="77777777" w:rsidR="007B7069" w:rsidRDefault="007B7069" w:rsidP="00324B82">
      <w:pPr>
        <w:pStyle w:val="AbstHead"/>
        <w:spacing w:after="0"/>
        <w:jc w:val="both"/>
        <w:rPr>
          <w:rFonts w:ascii="Arial" w:hAnsi="Arial" w:cs="Arial"/>
          <w:b w:val="0"/>
          <w:caps w:val="0"/>
          <w:sz w:val="20"/>
        </w:rPr>
      </w:pPr>
    </w:p>
    <w:p w14:paraId="4E9D7B87" w14:textId="77777777" w:rsidR="007B7069" w:rsidRDefault="007B7069" w:rsidP="00324B82">
      <w:pPr>
        <w:pStyle w:val="AbstHead"/>
        <w:spacing w:after="0"/>
        <w:jc w:val="both"/>
        <w:rPr>
          <w:rFonts w:ascii="Arial" w:hAnsi="Arial" w:cs="Arial"/>
          <w:b w:val="0"/>
          <w:caps w:val="0"/>
          <w:sz w:val="20"/>
        </w:rPr>
      </w:pPr>
    </w:p>
    <w:p w14:paraId="703B8D98" w14:textId="77777777" w:rsidR="007B7069" w:rsidRDefault="007B7069" w:rsidP="00324B82">
      <w:pPr>
        <w:pStyle w:val="AbstHead"/>
        <w:spacing w:after="0"/>
        <w:jc w:val="both"/>
        <w:rPr>
          <w:rFonts w:ascii="Arial" w:hAnsi="Arial" w:cs="Arial"/>
          <w:b w:val="0"/>
          <w:caps w:val="0"/>
          <w:sz w:val="20"/>
        </w:rPr>
      </w:pPr>
    </w:p>
    <w:p w14:paraId="12501E98" w14:textId="77777777" w:rsidR="007B7069" w:rsidRDefault="007B7069" w:rsidP="00324B82">
      <w:pPr>
        <w:pStyle w:val="AbstHead"/>
        <w:spacing w:after="0"/>
        <w:jc w:val="both"/>
        <w:rPr>
          <w:rFonts w:ascii="Arial" w:hAnsi="Arial" w:cs="Arial"/>
          <w:b w:val="0"/>
          <w:caps w:val="0"/>
          <w:sz w:val="20"/>
        </w:rPr>
      </w:pPr>
    </w:p>
    <w:p w14:paraId="1B959A80" w14:textId="77777777" w:rsidR="007B7069" w:rsidRDefault="007B7069" w:rsidP="00324B82">
      <w:pPr>
        <w:pStyle w:val="AbstHead"/>
        <w:spacing w:after="0"/>
        <w:jc w:val="both"/>
        <w:rPr>
          <w:rFonts w:ascii="Arial" w:hAnsi="Arial" w:cs="Arial"/>
          <w:b w:val="0"/>
          <w:caps w:val="0"/>
          <w:sz w:val="20"/>
        </w:rPr>
      </w:pPr>
    </w:p>
    <w:p w14:paraId="37AD090D" w14:textId="77777777" w:rsidR="007B7069" w:rsidRDefault="007B7069" w:rsidP="00324B82">
      <w:pPr>
        <w:pStyle w:val="AbstHead"/>
        <w:spacing w:after="0"/>
        <w:jc w:val="both"/>
        <w:rPr>
          <w:rFonts w:ascii="Arial" w:hAnsi="Arial" w:cs="Arial"/>
          <w:b w:val="0"/>
          <w:caps w:val="0"/>
          <w:sz w:val="20"/>
        </w:rPr>
      </w:pPr>
    </w:p>
    <w:p w14:paraId="37254752" w14:textId="1676D2EB" w:rsidR="00790ADA" w:rsidRDefault="00902823" w:rsidP="00441B6F">
      <w:pPr>
        <w:pStyle w:val="AbstHead"/>
        <w:spacing w:after="0"/>
        <w:jc w:val="both"/>
        <w:rPr>
          <w:rFonts w:ascii="Arial" w:hAnsi="Arial" w:cs="Arial"/>
        </w:rPr>
      </w:pPr>
      <w:r>
        <w:rPr>
          <w:rFonts w:ascii="Arial" w:hAnsi="Arial" w:cs="Arial"/>
        </w:rPr>
        <w:t xml:space="preserve">2. </w:t>
      </w:r>
      <w:r w:rsidR="00245ADA">
        <w:rPr>
          <w:rFonts w:ascii="Arial" w:hAnsi="Arial" w:cs="Arial"/>
        </w:rPr>
        <w:t>Materials</w:t>
      </w:r>
      <w:r>
        <w:rPr>
          <w:rFonts w:ascii="Arial" w:hAnsi="Arial" w:cs="Arial"/>
        </w:rPr>
        <w:t xml:space="preserve"> and </w:t>
      </w:r>
      <w:r w:rsidR="00245ADA">
        <w:rPr>
          <w:rFonts w:ascii="Arial" w:hAnsi="Arial" w:cs="Arial"/>
        </w:rPr>
        <w:t>Methods</w:t>
      </w:r>
      <w:r w:rsidR="00000F8F">
        <w:rPr>
          <w:rFonts w:ascii="Arial" w:hAnsi="Arial" w:cs="Arial"/>
        </w:rPr>
        <w:t xml:space="preserve"> </w:t>
      </w:r>
    </w:p>
    <w:p w14:paraId="5DF06BF9" w14:textId="77777777" w:rsidR="007B7069" w:rsidRDefault="007B7069" w:rsidP="00441B6F">
      <w:pPr>
        <w:pStyle w:val="AbstHead"/>
        <w:spacing w:after="0"/>
        <w:jc w:val="both"/>
        <w:rPr>
          <w:rFonts w:ascii="Arial" w:hAnsi="Arial" w:cs="Arial"/>
        </w:rPr>
      </w:pPr>
    </w:p>
    <w:p w14:paraId="7F116963" w14:textId="77777777" w:rsidR="007B7069" w:rsidRPr="00FB3A86" w:rsidRDefault="007B7069" w:rsidP="00441B6F">
      <w:pPr>
        <w:pStyle w:val="AbstHead"/>
        <w:spacing w:after="0"/>
        <w:jc w:val="both"/>
        <w:rPr>
          <w:rFonts w:ascii="Arial" w:hAnsi="Arial" w:cs="Arial"/>
        </w:rPr>
      </w:pPr>
    </w:p>
    <w:p w14:paraId="7AA1C416" w14:textId="77777777" w:rsidR="0037393B" w:rsidRDefault="00AA74E0" w:rsidP="00441B6F">
      <w:pPr>
        <w:pStyle w:val="Body"/>
        <w:spacing w:after="0"/>
        <w:rPr>
          <w:rFonts w:ascii="Arial" w:hAnsi="Arial" w:cs="Arial"/>
          <w:b/>
          <w:sz w:val="22"/>
        </w:rPr>
      </w:pPr>
      <w:r w:rsidRPr="00C30A0F">
        <w:rPr>
          <w:rFonts w:ascii="Arial" w:hAnsi="Arial" w:cs="Arial"/>
          <w:b/>
          <w:caps/>
          <w:sz w:val="22"/>
        </w:rPr>
        <w:t xml:space="preserve">2.1 </w:t>
      </w:r>
      <w:r w:rsidR="0037393B" w:rsidRPr="0037393B">
        <w:rPr>
          <w:rFonts w:ascii="Arial" w:hAnsi="Arial" w:cs="Arial"/>
          <w:b/>
          <w:sz w:val="22"/>
        </w:rPr>
        <w:t xml:space="preserve">Study design </w:t>
      </w:r>
    </w:p>
    <w:p w14:paraId="0354D8FD" w14:textId="77777777" w:rsidR="0037393B" w:rsidRDefault="0037393B" w:rsidP="00441B6F">
      <w:pPr>
        <w:pStyle w:val="Body"/>
        <w:spacing w:after="0"/>
        <w:rPr>
          <w:rFonts w:ascii="Arial" w:hAnsi="Arial" w:cs="Arial"/>
          <w:b/>
          <w:sz w:val="22"/>
        </w:rPr>
      </w:pPr>
    </w:p>
    <w:p w14:paraId="7A0E11E8" w14:textId="623B1F0A" w:rsidR="0037393B" w:rsidRDefault="0037393B" w:rsidP="00441B6F">
      <w:pPr>
        <w:pStyle w:val="Body"/>
        <w:spacing w:after="0"/>
        <w:rPr>
          <w:rFonts w:ascii="Arial" w:hAnsi="Arial" w:cs="Arial"/>
          <w:bCs/>
        </w:rPr>
      </w:pPr>
      <w:r w:rsidRPr="0037393B">
        <w:rPr>
          <w:rFonts w:ascii="Arial" w:hAnsi="Arial" w:cs="Arial"/>
          <w:bCs/>
        </w:rPr>
        <w:t xml:space="preserve">This was a retrospective observational study supplemented by qualitative key informant interviews. </w:t>
      </w:r>
    </w:p>
    <w:p w14:paraId="4E0CC6FF" w14:textId="77777777" w:rsidR="0037393B" w:rsidRDefault="0037393B" w:rsidP="00441B6F">
      <w:pPr>
        <w:pStyle w:val="Body"/>
        <w:spacing w:after="0"/>
        <w:rPr>
          <w:rFonts w:ascii="Arial" w:hAnsi="Arial" w:cs="Arial"/>
          <w:bCs/>
        </w:rPr>
      </w:pPr>
    </w:p>
    <w:p w14:paraId="1D7A43E8" w14:textId="77777777" w:rsidR="006147F1" w:rsidRPr="000636CF" w:rsidRDefault="006147F1" w:rsidP="00441B6F">
      <w:pPr>
        <w:pStyle w:val="Body"/>
        <w:spacing w:after="0"/>
        <w:rPr>
          <w:rFonts w:ascii="Arial" w:hAnsi="Arial" w:cs="Arial"/>
          <w:bCs/>
        </w:rPr>
      </w:pPr>
    </w:p>
    <w:p w14:paraId="45E6A136" w14:textId="28A70665" w:rsidR="0037393B" w:rsidRDefault="0037393B" w:rsidP="0037393B">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37393B">
        <w:rPr>
          <w:rFonts w:ascii="Arial" w:hAnsi="Arial" w:cs="Arial"/>
          <w:b/>
          <w:sz w:val="22"/>
        </w:rPr>
        <w:t xml:space="preserve">Study </w:t>
      </w:r>
      <w:r>
        <w:rPr>
          <w:rFonts w:ascii="Arial" w:hAnsi="Arial" w:cs="Arial"/>
          <w:b/>
          <w:sz w:val="22"/>
        </w:rPr>
        <w:t>setting</w:t>
      </w:r>
    </w:p>
    <w:p w14:paraId="3BC361F2" w14:textId="77777777" w:rsidR="0037393B" w:rsidRDefault="0037393B" w:rsidP="0037393B">
      <w:pPr>
        <w:pStyle w:val="Body"/>
        <w:spacing w:after="0"/>
        <w:rPr>
          <w:rFonts w:ascii="Arial" w:hAnsi="Arial" w:cs="Arial"/>
          <w:b/>
          <w:sz w:val="22"/>
        </w:rPr>
      </w:pPr>
    </w:p>
    <w:p w14:paraId="1BEB705A" w14:textId="48767D33" w:rsidR="0037393B" w:rsidRDefault="0037393B" w:rsidP="00441B6F">
      <w:pPr>
        <w:pStyle w:val="Body"/>
        <w:spacing w:after="0"/>
        <w:rPr>
          <w:rFonts w:ascii="Arial" w:hAnsi="Arial" w:cs="Arial"/>
          <w:bCs/>
        </w:rPr>
      </w:pPr>
      <w:r w:rsidRPr="0037393B">
        <w:rPr>
          <w:rFonts w:ascii="Arial" w:hAnsi="Arial" w:cs="Arial"/>
          <w:bCs/>
        </w:rPr>
        <w:t xml:space="preserve">The study was conducted at Base Hospital </w:t>
      </w:r>
      <w:proofErr w:type="spellStart"/>
      <w:r w:rsidRPr="0037393B">
        <w:rPr>
          <w:rFonts w:ascii="Arial" w:hAnsi="Arial" w:cs="Arial"/>
          <w:bCs/>
        </w:rPr>
        <w:t>Kanthale</w:t>
      </w:r>
      <w:proofErr w:type="spellEnd"/>
      <w:r w:rsidRPr="0037393B">
        <w:rPr>
          <w:rFonts w:ascii="Arial" w:hAnsi="Arial" w:cs="Arial"/>
          <w:bCs/>
        </w:rPr>
        <w:t>, a secondary-level public hospital in the Trincomalee District of Sri Lanka. The hospital provides general inpatient and emergency services and refers patients requiring advanced investigations, specialist input, or higher-dependency care to tertiary institutions.</w:t>
      </w:r>
    </w:p>
    <w:p w14:paraId="6BFD4A72" w14:textId="77777777" w:rsidR="006147F1" w:rsidRPr="000636CF" w:rsidRDefault="006147F1" w:rsidP="00441B6F">
      <w:pPr>
        <w:pStyle w:val="Body"/>
        <w:spacing w:after="0"/>
        <w:rPr>
          <w:rFonts w:ascii="Arial" w:hAnsi="Arial" w:cs="Arial"/>
          <w:b/>
          <w:szCs w:val="18"/>
        </w:rPr>
      </w:pPr>
    </w:p>
    <w:p w14:paraId="7B4503C2" w14:textId="77777777" w:rsidR="0037393B" w:rsidRDefault="0037393B" w:rsidP="00441B6F">
      <w:pPr>
        <w:pStyle w:val="Body"/>
        <w:spacing w:after="0"/>
        <w:rPr>
          <w:rFonts w:ascii="Arial" w:hAnsi="Arial" w:cs="Arial"/>
        </w:rPr>
      </w:pPr>
    </w:p>
    <w:p w14:paraId="6EB29823" w14:textId="5E4254B8" w:rsidR="0037393B" w:rsidRDefault="0037393B" w:rsidP="0037393B">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37393B">
        <w:rPr>
          <w:rFonts w:ascii="Arial" w:hAnsi="Arial" w:cs="Arial"/>
          <w:b/>
          <w:sz w:val="22"/>
        </w:rPr>
        <w:t>Study population and eligibility</w:t>
      </w:r>
    </w:p>
    <w:p w14:paraId="5483610A" w14:textId="77777777" w:rsidR="0037393B" w:rsidRDefault="0037393B" w:rsidP="0037393B">
      <w:pPr>
        <w:pStyle w:val="Body"/>
        <w:spacing w:after="0"/>
        <w:rPr>
          <w:rFonts w:ascii="Arial" w:hAnsi="Arial" w:cs="Arial"/>
          <w:b/>
          <w:sz w:val="22"/>
        </w:rPr>
      </w:pPr>
    </w:p>
    <w:p w14:paraId="1681BDF2" w14:textId="41AB7472" w:rsidR="0037393B" w:rsidRPr="0037393B" w:rsidRDefault="0037393B" w:rsidP="0037393B">
      <w:pPr>
        <w:pStyle w:val="Body"/>
        <w:rPr>
          <w:rFonts w:ascii="Arial" w:hAnsi="Arial" w:cs="Arial"/>
          <w:bCs/>
        </w:rPr>
      </w:pPr>
      <w:r w:rsidRPr="0037393B">
        <w:rPr>
          <w:rFonts w:ascii="Arial" w:hAnsi="Arial" w:cs="Arial"/>
          <w:bCs/>
        </w:rPr>
        <w:t xml:space="preserve">The quantitative component included adult patients aged 16 years and above who were admitted during </w:t>
      </w:r>
      <w:r>
        <w:rPr>
          <w:rFonts w:ascii="Arial" w:hAnsi="Arial" w:cs="Arial"/>
          <w:bCs/>
        </w:rPr>
        <w:t>three months</w:t>
      </w:r>
      <w:r w:rsidRPr="0037393B">
        <w:rPr>
          <w:rFonts w:ascii="Arial" w:hAnsi="Arial" w:cs="Arial"/>
          <w:bCs/>
        </w:rPr>
        <w:t xml:space="preserve"> from January 2025 to April 2025. Patients admitted with pre-arranged referral plans and those requiring immediate resuscitation and intubation were excluded.</w:t>
      </w:r>
    </w:p>
    <w:p w14:paraId="7C88C4C6" w14:textId="0A60B4EC" w:rsidR="0037393B" w:rsidRDefault="0037393B" w:rsidP="0037393B">
      <w:pPr>
        <w:pStyle w:val="Body"/>
        <w:spacing w:after="0"/>
        <w:rPr>
          <w:rFonts w:ascii="Arial" w:hAnsi="Arial" w:cs="Arial"/>
          <w:bCs/>
        </w:rPr>
      </w:pPr>
      <w:r w:rsidRPr="0037393B">
        <w:rPr>
          <w:rFonts w:ascii="Arial" w:hAnsi="Arial" w:cs="Arial"/>
          <w:bCs/>
        </w:rPr>
        <w:t>The qualitative component consisted of semi-structured interviews with the medical administrator and clinicians involved in acute patient management. These interviews were used to explain the operational context of transfer decisions.</w:t>
      </w:r>
    </w:p>
    <w:p w14:paraId="632B36BE" w14:textId="77777777" w:rsidR="0037393B" w:rsidRDefault="0037393B" w:rsidP="0037393B">
      <w:pPr>
        <w:pStyle w:val="Body"/>
        <w:spacing w:after="0"/>
        <w:rPr>
          <w:rFonts w:ascii="Arial" w:hAnsi="Arial" w:cs="Arial"/>
          <w:bCs/>
        </w:rPr>
      </w:pPr>
    </w:p>
    <w:p w14:paraId="13ED97A7" w14:textId="77777777" w:rsidR="006147F1" w:rsidRPr="000636CF" w:rsidRDefault="006147F1" w:rsidP="0037393B">
      <w:pPr>
        <w:pStyle w:val="Body"/>
        <w:spacing w:after="0"/>
        <w:rPr>
          <w:rFonts w:ascii="Arial" w:hAnsi="Arial" w:cs="Arial"/>
          <w:bCs/>
        </w:rPr>
      </w:pPr>
    </w:p>
    <w:p w14:paraId="04BAB13E" w14:textId="61E0EE2B" w:rsidR="0037393B" w:rsidRDefault="0037393B" w:rsidP="0037393B">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37393B">
        <w:rPr>
          <w:rFonts w:ascii="Arial" w:hAnsi="Arial" w:cs="Arial"/>
          <w:b/>
          <w:sz w:val="22"/>
        </w:rPr>
        <w:t>Sample size</w:t>
      </w:r>
      <w:r w:rsidR="006147F1">
        <w:rPr>
          <w:rFonts w:ascii="Arial" w:hAnsi="Arial" w:cs="Arial"/>
          <w:b/>
          <w:sz w:val="22"/>
        </w:rPr>
        <w:t xml:space="preserve"> and study </w:t>
      </w:r>
      <w:r w:rsidRPr="0037393B">
        <w:rPr>
          <w:rFonts w:ascii="Arial" w:hAnsi="Arial" w:cs="Arial"/>
          <w:b/>
          <w:sz w:val="22"/>
        </w:rPr>
        <w:t>instruments</w:t>
      </w:r>
    </w:p>
    <w:p w14:paraId="13AB13A4" w14:textId="77777777" w:rsidR="0037393B" w:rsidRDefault="0037393B" w:rsidP="0037393B">
      <w:pPr>
        <w:pStyle w:val="Body"/>
        <w:spacing w:after="0"/>
        <w:rPr>
          <w:rFonts w:ascii="Arial" w:hAnsi="Arial" w:cs="Arial"/>
          <w:b/>
          <w:sz w:val="22"/>
        </w:rPr>
      </w:pPr>
    </w:p>
    <w:p w14:paraId="0831543E" w14:textId="64B378D3" w:rsidR="006147F1" w:rsidRDefault="0037393B" w:rsidP="0037393B">
      <w:pPr>
        <w:pStyle w:val="Body"/>
        <w:rPr>
          <w:rFonts w:ascii="Arial" w:hAnsi="Arial" w:cs="Arial"/>
          <w:bCs/>
        </w:rPr>
      </w:pPr>
      <w:r w:rsidRPr="0037393B">
        <w:rPr>
          <w:rFonts w:ascii="Arial" w:hAnsi="Arial" w:cs="Arial"/>
          <w:bCs/>
        </w:rPr>
        <w:t xml:space="preserve">A total of 357 patient records were analyzed. Data were extracted from bed head tickets, admission registers, and transfer records using a structured Checklist on Patient Transfers developed through literature review and expert consultation. </w:t>
      </w:r>
      <w:r>
        <w:rPr>
          <w:rFonts w:ascii="Arial" w:hAnsi="Arial" w:cs="Arial"/>
          <w:bCs/>
        </w:rPr>
        <w:t>A specialist review in medicine, surgery, and anesthesiology supported Content validity</w:t>
      </w:r>
      <w:r w:rsidRPr="0037393B">
        <w:rPr>
          <w:rFonts w:ascii="Arial" w:hAnsi="Arial" w:cs="Arial"/>
          <w:bCs/>
        </w:rPr>
        <w:t>. Elements of the National Early Warning Score 2 were used to capture clinical severity, while the checklist approach was informed by prior transport and handoff tools (Silva and Amante, 2015</w:t>
      </w:r>
      <w:r w:rsidR="006147F1">
        <w:rPr>
          <w:rFonts w:ascii="Arial" w:hAnsi="Arial" w:cs="Arial"/>
          <w:bCs/>
        </w:rPr>
        <w:t xml:space="preserve">). </w:t>
      </w:r>
    </w:p>
    <w:p w14:paraId="4FEB0717" w14:textId="77777777" w:rsidR="006147F1" w:rsidRPr="000636CF" w:rsidRDefault="006147F1" w:rsidP="006147F1">
      <w:pPr>
        <w:pStyle w:val="Body"/>
        <w:spacing w:after="0"/>
        <w:rPr>
          <w:rFonts w:ascii="Arial" w:hAnsi="Arial" w:cs="Arial"/>
          <w:b/>
          <w:caps/>
          <w:szCs w:val="18"/>
        </w:rPr>
      </w:pPr>
    </w:p>
    <w:p w14:paraId="3C346BCF" w14:textId="08696F99" w:rsidR="006147F1" w:rsidRDefault="006147F1" w:rsidP="006147F1">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Pr>
          <w:rFonts w:ascii="Arial" w:hAnsi="Arial" w:cs="Arial"/>
          <w:b/>
          <w:sz w:val="22"/>
        </w:rPr>
        <w:t xml:space="preserve">Variables </w:t>
      </w:r>
    </w:p>
    <w:p w14:paraId="3FB3D135" w14:textId="77777777" w:rsidR="006147F1" w:rsidRPr="006147F1" w:rsidRDefault="006147F1" w:rsidP="006147F1">
      <w:pPr>
        <w:pStyle w:val="Body"/>
        <w:spacing w:after="0"/>
        <w:rPr>
          <w:rFonts w:ascii="Arial" w:hAnsi="Arial" w:cs="Arial"/>
          <w:b/>
          <w:sz w:val="22"/>
        </w:rPr>
      </w:pPr>
    </w:p>
    <w:p w14:paraId="64D3B13C" w14:textId="5008F3B0" w:rsidR="0037393B" w:rsidRPr="0037393B" w:rsidRDefault="0037393B" w:rsidP="0037393B">
      <w:pPr>
        <w:pStyle w:val="Body"/>
        <w:rPr>
          <w:rFonts w:ascii="Arial" w:hAnsi="Arial" w:cs="Arial"/>
          <w:bCs/>
        </w:rPr>
      </w:pPr>
      <w:r w:rsidRPr="0037393B">
        <w:rPr>
          <w:rFonts w:ascii="Arial" w:hAnsi="Arial" w:cs="Arial"/>
          <w:bCs/>
        </w:rPr>
        <w:t xml:space="preserve">Variables were grouped into three domains. Demographic variables were age and sex. Clinical variables included level of consciousness, pulse rate, peripheral oxygen saturation, respiratory rate, temperature, and major comorbidities. Institutional variables included specialist availability, subspecialty availability, CT/MRI availability, ICU bed availability, day of admission, and time of admission. The outcome variable was </w:t>
      </w:r>
      <w:r>
        <w:rPr>
          <w:rFonts w:ascii="Arial" w:hAnsi="Arial" w:cs="Arial"/>
          <w:bCs/>
        </w:rPr>
        <w:t>transferred</w:t>
      </w:r>
      <w:r w:rsidRPr="0037393B">
        <w:rPr>
          <w:rFonts w:ascii="Arial" w:hAnsi="Arial" w:cs="Arial"/>
          <w:bCs/>
        </w:rPr>
        <w:t xml:space="preserve"> to the next level of care.</w:t>
      </w:r>
    </w:p>
    <w:p w14:paraId="4D70AE28" w14:textId="109517A8" w:rsidR="0037393B" w:rsidRDefault="0037393B" w:rsidP="0037393B">
      <w:pPr>
        <w:pStyle w:val="Body"/>
        <w:spacing w:after="0"/>
        <w:rPr>
          <w:rFonts w:ascii="Arial" w:hAnsi="Arial" w:cs="Arial"/>
          <w:bCs/>
        </w:rPr>
      </w:pPr>
      <w:r w:rsidRPr="0037393B">
        <w:rPr>
          <w:rFonts w:ascii="Arial" w:hAnsi="Arial" w:cs="Arial"/>
          <w:bCs/>
        </w:rPr>
        <w:lastRenderedPageBreak/>
        <w:t>The interview guide was developed to explore issues not fully captured in the records, including reasons for transfer, service limitations, and possible improvements to transfer practice.</w:t>
      </w:r>
    </w:p>
    <w:p w14:paraId="293253F4" w14:textId="77777777" w:rsidR="00676ED1" w:rsidRDefault="00676ED1" w:rsidP="0037393B">
      <w:pPr>
        <w:pStyle w:val="Body"/>
        <w:spacing w:after="0"/>
        <w:rPr>
          <w:rFonts w:ascii="Arial" w:hAnsi="Arial" w:cs="Arial"/>
          <w:bCs/>
        </w:rPr>
      </w:pPr>
    </w:p>
    <w:p w14:paraId="01D88B5C" w14:textId="72AEB626" w:rsidR="00676ED1" w:rsidRDefault="00676ED1" w:rsidP="00676ED1">
      <w:pPr>
        <w:pStyle w:val="Body"/>
        <w:spacing w:after="0"/>
        <w:rPr>
          <w:rFonts w:ascii="Arial" w:hAnsi="Arial" w:cs="Arial"/>
          <w:b/>
          <w:u w:val="single"/>
        </w:rPr>
      </w:pPr>
      <w:r>
        <w:rPr>
          <w:rFonts w:ascii="Arial" w:hAnsi="Arial" w:cs="Arial"/>
          <w:b/>
          <w:u w:val="single"/>
        </w:rPr>
        <w:t xml:space="preserve">2.5.1 operational definitions </w:t>
      </w:r>
    </w:p>
    <w:p w14:paraId="7168BB66" w14:textId="77777777" w:rsidR="00676ED1" w:rsidRPr="006147F1" w:rsidRDefault="00676ED1" w:rsidP="00676ED1">
      <w:pPr>
        <w:pStyle w:val="Body"/>
        <w:spacing w:after="0"/>
        <w:rPr>
          <w:rFonts w:ascii="Arial" w:hAnsi="Arial" w:cs="Arial"/>
          <w:b/>
          <w:sz w:val="22"/>
        </w:rPr>
      </w:pPr>
    </w:p>
    <w:p w14:paraId="7D924CA5" w14:textId="531E0257" w:rsidR="00676ED1" w:rsidRDefault="00FF611E" w:rsidP="0037393B">
      <w:pPr>
        <w:pStyle w:val="Body"/>
        <w:spacing w:after="0"/>
        <w:rPr>
          <w:rFonts w:ascii="Arial" w:hAnsi="Arial" w:cs="Arial"/>
          <w:bCs/>
        </w:rPr>
      </w:pPr>
      <w:r w:rsidRPr="00FF611E">
        <w:rPr>
          <w:rFonts w:ascii="Arial" w:hAnsi="Arial" w:cs="Arial"/>
          <w:bCs/>
        </w:rPr>
        <w:t>Specialist-related service constraint was defined as the unavailability of the relevant specialist service required for ongoing management at the time of transfer decision-making. CT/MRI-related constraint was defined as the unavailability or inaccessibility of advanced imaging required for diagnosis or further management. These institutional variables were coded to reflect service constraints rather than routine service presence.</w:t>
      </w:r>
    </w:p>
    <w:p w14:paraId="03C4ECB9" w14:textId="77777777" w:rsidR="006147F1" w:rsidRDefault="006147F1" w:rsidP="0037393B">
      <w:pPr>
        <w:pStyle w:val="Body"/>
        <w:spacing w:after="0"/>
        <w:rPr>
          <w:rFonts w:ascii="Arial" w:hAnsi="Arial" w:cs="Arial"/>
        </w:rPr>
      </w:pPr>
    </w:p>
    <w:p w14:paraId="42FB5861" w14:textId="3E224F0A" w:rsidR="0037393B" w:rsidRDefault="0037393B" w:rsidP="0037393B">
      <w:pPr>
        <w:pStyle w:val="Body"/>
        <w:spacing w:after="0"/>
        <w:rPr>
          <w:rFonts w:ascii="Arial" w:hAnsi="Arial" w:cs="Arial"/>
          <w:b/>
          <w:sz w:val="22"/>
        </w:rPr>
      </w:pPr>
      <w:r w:rsidRPr="00C30A0F">
        <w:rPr>
          <w:rFonts w:ascii="Arial" w:hAnsi="Arial" w:cs="Arial"/>
          <w:b/>
          <w:caps/>
          <w:sz w:val="22"/>
        </w:rPr>
        <w:t>2.</w:t>
      </w:r>
      <w:r w:rsidR="006147F1">
        <w:rPr>
          <w:rFonts w:ascii="Arial" w:hAnsi="Arial" w:cs="Arial"/>
          <w:b/>
          <w:caps/>
          <w:sz w:val="22"/>
        </w:rPr>
        <w:t>6</w:t>
      </w:r>
      <w:r w:rsidRPr="00C30A0F">
        <w:rPr>
          <w:rFonts w:ascii="Arial" w:hAnsi="Arial" w:cs="Arial"/>
          <w:b/>
          <w:caps/>
          <w:sz w:val="22"/>
        </w:rPr>
        <w:t xml:space="preserve"> </w:t>
      </w:r>
      <w:r w:rsidRPr="0037393B">
        <w:rPr>
          <w:rFonts w:ascii="Arial" w:hAnsi="Arial" w:cs="Arial"/>
          <w:b/>
          <w:sz w:val="22"/>
        </w:rPr>
        <w:t xml:space="preserve">Data collection </w:t>
      </w:r>
    </w:p>
    <w:p w14:paraId="3F7A61E5" w14:textId="77777777" w:rsidR="0037393B" w:rsidRDefault="0037393B" w:rsidP="0037393B">
      <w:pPr>
        <w:pStyle w:val="Body"/>
        <w:spacing w:after="0"/>
        <w:rPr>
          <w:rFonts w:ascii="Arial" w:hAnsi="Arial" w:cs="Arial"/>
          <w:b/>
          <w:sz w:val="22"/>
        </w:rPr>
      </w:pPr>
    </w:p>
    <w:p w14:paraId="3B1C89C9" w14:textId="20811339" w:rsidR="0037393B" w:rsidRDefault="006147F1" w:rsidP="0037393B">
      <w:pPr>
        <w:pStyle w:val="Body"/>
        <w:spacing w:after="0"/>
        <w:rPr>
          <w:rFonts w:ascii="Arial" w:hAnsi="Arial" w:cs="Arial"/>
          <w:bCs/>
        </w:rPr>
      </w:pPr>
      <w:r w:rsidRPr="006147F1">
        <w:rPr>
          <w:rFonts w:ascii="Arial" w:hAnsi="Arial" w:cs="Arial"/>
          <w:bCs/>
        </w:rPr>
        <w:t xml:space="preserve">Quantitative data </w:t>
      </w:r>
      <w:r>
        <w:rPr>
          <w:rFonts w:ascii="Arial" w:hAnsi="Arial" w:cs="Arial"/>
          <w:bCs/>
        </w:rPr>
        <w:t>were</w:t>
      </w:r>
      <w:r w:rsidRPr="006147F1">
        <w:rPr>
          <w:rFonts w:ascii="Arial" w:hAnsi="Arial" w:cs="Arial"/>
          <w:bCs/>
        </w:rPr>
        <w:t xml:space="preserve"> extracted from routine hospital records by trained data collectors using the structured checklist. Qualitative data were collected separately by the principal investigator through semi-structured interviews after obtaining written informed consent for participation and audio recording.</w:t>
      </w:r>
    </w:p>
    <w:p w14:paraId="3BF0726F" w14:textId="77777777" w:rsidR="006147F1" w:rsidRDefault="006147F1" w:rsidP="0037393B">
      <w:pPr>
        <w:pStyle w:val="Body"/>
        <w:spacing w:after="0"/>
        <w:rPr>
          <w:rFonts w:ascii="Arial" w:hAnsi="Arial" w:cs="Arial"/>
          <w:bCs/>
        </w:rPr>
      </w:pPr>
    </w:p>
    <w:p w14:paraId="4A6BD82A" w14:textId="77777777" w:rsidR="006147F1" w:rsidRPr="000636CF" w:rsidRDefault="006147F1" w:rsidP="0037393B">
      <w:pPr>
        <w:pStyle w:val="Body"/>
        <w:spacing w:after="0"/>
        <w:rPr>
          <w:rFonts w:ascii="Arial" w:hAnsi="Arial" w:cs="Arial"/>
          <w:bCs/>
        </w:rPr>
      </w:pPr>
    </w:p>
    <w:p w14:paraId="10A28A9D" w14:textId="44597CD6" w:rsidR="006147F1" w:rsidRDefault="006147F1" w:rsidP="006147F1">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7</w:t>
      </w:r>
      <w:r w:rsidRPr="00C30A0F">
        <w:rPr>
          <w:rFonts w:ascii="Arial" w:hAnsi="Arial" w:cs="Arial"/>
          <w:b/>
          <w:caps/>
          <w:sz w:val="22"/>
        </w:rPr>
        <w:t xml:space="preserve"> </w:t>
      </w:r>
      <w:r w:rsidRPr="0037393B">
        <w:rPr>
          <w:rFonts w:ascii="Arial" w:hAnsi="Arial" w:cs="Arial"/>
          <w:b/>
          <w:sz w:val="22"/>
        </w:rPr>
        <w:t xml:space="preserve">Data </w:t>
      </w:r>
      <w:r>
        <w:rPr>
          <w:rFonts w:ascii="Arial" w:hAnsi="Arial" w:cs="Arial"/>
          <w:b/>
          <w:sz w:val="22"/>
        </w:rPr>
        <w:t xml:space="preserve">analysis </w:t>
      </w:r>
    </w:p>
    <w:p w14:paraId="46AC67D3" w14:textId="77777777" w:rsidR="006147F1" w:rsidRDefault="006147F1" w:rsidP="006147F1">
      <w:pPr>
        <w:pStyle w:val="Body"/>
        <w:spacing w:after="0"/>
        <w:rPr>
          <w:rFonts w:ascii="Arial" w:hAnsi="Arial" w:cs="Arial"/>
          <w:b/>
          <w:sz w:val="22"/>
        </w:rPr>
      </w:pPr>
    </w:p>
    <w:p w14:paraId="694B879A" w14:textId="0BBE3896" w:rsidR="006147F1" w:rsidRDefault="006147F1" w:rsidP="0037393B">
      <w:pPr>
        <w:pStyle w:val="Body"/>
        <w:spacing w:after="0"/>
        <w:rPr>
          <w:rFonts w:ascii="Arial" w:hAnsi="Arial" w:cs="Arial"/>
          <w:bCs/>
        </w:rPr>
      </w:pPr>
      <w:r w:rsidRPr="006147F1">
        <w:rPr>
          <w:rFonts w:ascii="Arial" w:hAnsi="Arial" w:cs="Arial"/>
          <w:bCs/>
        </w:rPr>
        <w:t>Descriptive statistics were used to summarize the study sample. Continuous variables were compared between transferred and non-transferred patients using analysis of variance, while categorical variables were assessed using chi-square tests. Multivariable logistic regression was then used to identify independent predictors of transfer, in line with methods applied in related transfer prediction studies (Kim et al., 2023). Model fit was assessed using omnibus test statistics and pseudo-R-squared values. Predictive performance was evaluated using accuracy, precision, recall, and F1 score. A train-test split approach was used to reduce overfitting and estimate model performance.</w:t>
      </w:r>
    </w:p>
    <w:p w14:paraId="1971E036" w14:textId="77777777" w:rsidR="006147F1" w:rsidRPr="000636CF" w:rsidRDefault="006147F1" w:rsidP="0037393B">
      <w:pPr>
        <w:pStyle w:val="Body"/>
        <w:spacing w:after="0"/>
        <w:rPr>
          <w:rFonts w:ascii="Arial" w:hAnsi="Arial" w:cs="Arial"/>
          <w:bCs/>
        </w:rPr>
      </w:pPr>
    </w:p>
    <w:p w14:paraId="3E5538C3" w14:textId="77777777" w:rsidR="0037393B" w:rsidRDefault="0037393B" w:rsidP="0037393B">
      <w:pPr>
        <w:pStyle w:val="Body"/>
        <w:spacing w:after="0"/>
        <w:rPr>
          <w:rFonts w:ascii="Arial" w:hAnsi="Arial" w:cs="Arial"/>
        </w:rPr>
      </w:pPr>
    </w:p>
    <w:p w14:paraId="57784B95" w14:textId="23870243" w:rsidR="006147F1" w:rsidRDefault="006147F1" w:rsidP="006147F1">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8</w:t>
      </w:r>
      <w:r w:rsidRPr="00C30A0F">
        <w:rPr>
          <w:rFonts w:ascii="Arial" w:hAnsi="Arial" w:cs="Arial"/>
          <w:b/>
          <w:caps/>
          <w:sz w:val="22"/>
        </w:rPr>
        <w:t xml:space="preserve"> </w:t>
      </w:r>
      <w:r w:rsidR="000636CF" w:rsidRPr="000636CF">
        <w:rPr>
          <w:rFonts w:ascii="Arial" w:hAnsi="Arial" w:cs="Arial"/>
          <w:b/>
          <w:sz w:val="22"/>
        </w:rPr>
        <w:t>Ethical approval</w:t>
      </w:r>
    </w:p>
    <w:p w14:paraId="3CF878F5" w14:textId="77777777" w:rsidR="006147F1" w:rsidRDefault="006147F1" w:rsidP="006147F1">
      <w:pPr>
        <w:pStyle w:val="Body"/>
        <w:spacing w:after="0"/>
        <w:rPr>
          <w:rFonts w:ascii="Arial" w:hAnsi="Arial" w:cs="Arial"/>
          <w:b/>
          <w:sz w:val="22"/>
        </w:rPr>
      </w:pPr>
    </w:p>
    <w:p w14:paraId="3EA89496" w14:textId="5D15E7C5" w:rsidR="006147F1" w:rsidRDefault="000636CF" w:rsidP="0037393B">
      <w:pPr>
        <w:pStyle w:val="Body"/>
        <w:spacing w:after="0"/>
        <w:rPr>
          <w:rFonts w:ascii="Arial" w:hAnsi="Arial" w:cs="Arial"/>
          <w:bCs/>
        </w:rPr>
      </w:pPr>
      <w:r w:rsidRPr="000636CF">
        <w:rPr>
          <w:rFonts w:ascii="Arial" w:hAnsi="Arial" w:cs="Arial"/>
          <w:bCs/>
        </w:rPr>
        <w:t xml:space="preserve">The study documents indicate that ethical approval was obtained through Cardiff Metropolitan University and that institutional clearance was obtained from Base Hospital </w:t>
      </w:r>
      <w:proofErr w:type="spellStart"/>
      <w:r w:rsidRPr="000636CF">
        <w:rPr>
          <w:rFonts w:ascii="Arial" w:hAnsi="Arial" w:cs="Arial"/>
          <w:bCs/>
        </w:rPr>
        <w:t>Kanthale</w:t>
      </w:r>
      <w:proofErr w:type="spellEnd"/>
      <w:r w:rsidRPr="000636CF">
        <w:rPr>
          <w:rFonts w:ascii="Arial" w:hAnsi="Arial" w:cs="Arial"/>
          <w:bCs/>
        </w:rPr>
        <w:t xml:space="preserve"> before data collection. Patient data were anonymized </w:t>
      </w:r>
      <w:r w:rsidR="006A6BC8">
        <w:rPr>
          <w:rFonts w:ascii="Arial" w:hAnsi="Arial" w:cs="Arial"/>
          <w:bCs/>
        </w:rPr>
        <w:t>before</w:t>
      </w:r>
      <w:r w:rsidRPr="000636CF">
        <w:rPr>
          <w:rFonts w:ascii="Arial" w:hAnsi="Arial" w:cs="Arial"/>
          <w:bCs/>
        </w:rPr>
        <w:t xml:space="preserve"> analysis, and confidentiality was maintained throughout the study. Individual patient consent for publication was not applicable because no identifiable patient information is presented. The exact ethics approval number should be inserted from the approval letter before submission.</w:t>
      </w:r>
    </w:p>
    <w:p w14:paraId="7B258156" w14:textId="77777777" w:rsidR="000636CF" w:rsidRDefault="000636CF" w:rsidP="0037393B">
      <w:pPr>
        <w:pStyle w:val="Body"/>
        <w:spacing w:after="0"/>
        <w:rPr>
          <w:rFonts w:ascii="Arial" w:hAnsi="Arial" w:cs="Arial"/>
          <w:bCs/>
        </w:rPr>
      </w:pPr>
    </w:p>
    <w:p w14:paraId="2F008294" w14:textId="77777777" w:rsidR="000636CF" w:rsidRPr="000636CF" w:rsidRDefault="000636CF" w:rsidP="0037393B">
      <w:pPr>
        <w:pStyle w:val="Body"/>
        <w:spacing w:after="0"/>
        <w:rPr>
          <w:rFonts w:ascii="Arial" w:hAnsi="Arial" w:cs="Arial"/>
        </w:rPr>
      </w:pPr>
    </w:p>
    <w:p w14:paraId="79986090" w14:textId="77777777" w:rsidR="0037393B" w:rsidRPr="00FB3A86" w:rsidRDefault="0037393B" w:rsidP="00441B6F">
      <w:pPr>
        <w:pStyle w:val="Body"/>
        <w:spacing w:after="0"/>
        <w:rPr>
          <w:rFonts w:ascii="Arial" w:hAnsi="Arial" w:cs="Arial"/>
        </w:rPr>
      </w:pPr>
    </w:p>
    <w:p w14:paraId="563802D3" w14:textId="0D852250" w:rsidR="009F47EA"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2AB4F4FA" w14:textId="77777777" w:rsidR="009F47EA" w:rsidRPr="00FB3A86" w:rsidRDefault="009F47EA" w:rsidP="00441B6F">
      <w:pPr>
        <w:pStyle w:val="Head1"/>
        <w:spacing w:after="0"/>
        <w:jc w:val="both"/>
        <w:rPr>
          <w:rFonts w:ascii="Arial" w:hAnsi="Arial" w:cs="Arial"/>
        </w:rPr>
      </w:pPr>
    </w:p>
    <w:p w14:paraId="1346FB2C" w14:textId="77777777" w:rsidR="00790ADA" w:rsidRDefault="00790ADA" w:rsidP="00441B6F">
      <w:pPr>
        <w:pStyle w:val="Body"/>
        <w:spacing w:after="0"/>
        <w:rPr>
          <w:rFonts w:ascii="Arial" w:hAnsi="Arial" w:cs="Arial"/>
        </w:rPr>
      </w:pPr>
    </w:p>
    <w:p w14:paraId="62F2FAFA" w14:textId="7B01BA58" w:rsidR="000636CF" w:rsidRDefault="000636CF" w:rsidP="000636C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1</w:t>
      </w:r>
      <w:r w:rsidRPr="00C30A0F">
        <w:rPr>
          <w:rFonts w:ascii="Arial" w:hAnsi="Arial" w:cs="Arial"/>
          <w:b/>
          <w:caps/>
          <w:sz w:val="22"/>
        </w:rPr>
        <w:t xml:space="preserve"> </w:t>
      </w:r>
      <w:r w:rsidRPr="000636CF">
        <w:rPr>
          <w:rFonts w:ascii="Arial" w:hAnsi="Arial" w:cs="Arial"/>
          <w:b/>
          <w:sz w:val="22"/>
        </w:rPr>
        <w:t>Characteristics of the study population</w:t>
      </w:r>
    </w:p>
    <w:p w14:paraId="2F3B525C" w14:textId="77777777" w:rsidR="006A6BC8" w:rsidRDefault="006A6BC8" w:rsidP="000636CF">
      <w:pPr>
        <w:pStyle w:val="Body"/>
        <w:spacing w:after="0"/>
        <w:rPr>
          <w:rFonts w:ascii="Arial" w:hAnsi="Arial" w:cs="Arial"/>
          <w:b/>
          <w:sz w:val="22"/>
        </w:rPr>
      </w:pPr>
    </w:p>
    <w:p w14:paraId="3478BB1E" w14:textId="36D81EC1" w:rsidR="000636CF" w:rsidRPr="000636CF" w:rsidRDefault="000636CF" w:rsidP="000636CF">
      <w:pPr>
        <w:pStyle w:val="Body"/>
        <w:rPr>
          <w:rFonts w:ascii="Arial" w:hAnsi="Arial" w:cs="Arial"/>
          <w:bCs/>
        </w:rPr>
      </w:pPr>
      <w:r w:rsidRPr="000636CF">
        <w:rPr>
          <w:rFonts w:ascii="Arial" w:hAnsi="Arial" w:cs="Arial"/>
          <w:bCs/>
        </w:rPr>
        <w:t>A total of 357 patient records were included. The mean age was 49.79 years (SD 22.45; range 16-90 years). Males accounted for 190 patients (53.3%) and females for 167 (46.7%). Seventy-nine patients (22.0%) were transferred to the next level of care, while 278 (78.0%) were not transferred.</w:t>
      </w:r>
    </w:p>
    <w:p w14:paraId="16AF2FC3" w14:textId="618B2B3F" w:rsidR="000636CF" w:rsidRPr="000636CF" w:rsidRDefault="000636CF" w:rsidP="000636CF">
      <w:pPr>
        <w:pStyle w:val="Body"/>
        <w:rPr>
          <w:rFonts w:ascii="Arial" w:hAnsi="Arial" w:cs="Arial"/>
          <w:bCs/>
        </w:rPr>
      </w:pPr>
      <w:r w:rsidRPr="000636CF">
        <w:rPr>
          <w:rFonts w:ascii="Arial" w:hAnsi="Arial" w:cs="Arial"/>
          <w:bCs/>
        </w:rPr>
        <w:lastRenderedPageBreak/>
        <w:t xml:space="preserve">Regarding consciousness status, 198 patients (55.3%) were conscious, 71 (20.0%) were semi-conscious, and 88 (24.7%) were unconscious. Diabetes was present </w:t>
      </w:r>
      <w:r w:rsidR="00FF611E" w:rsidRPr="000636CF">
        <w:rPr>
          <w:rFonts w:ascii="Arial" w:hAnsi="Arial" w:cs="Arial"/>
          <w:bCs/>
        </w:rPr>
        <w:t>at</w:t>
      </w:r>
      <w:r w:rsidRPr="000636CF">
        <w:rPr>
          <w:rFonts w:ascii="Arial" w:hAnsi="Arial" w:cs="Arial"/>
          <w:bCs/>
        </w:rPr>
        <w:t xml:space="preserve"> 36.3%, cardiac disease </w:t>
      </w:r>
      <w:r w:rsidR="00FF611E">
        <w:rPr>
          <w:rFonts w:ascii="Arial" w:hAnsi="Arial" w:cs="Arial"/>
          <w:bCs/>
        </w:rPr>
        <w:t>at</w:t>
      </w:r>
      <w:r w:rsidRPr="000636CF">
        <w:rPr>
          <w:rFonts w:ascii="Arial" w:hAnsi="Arial" w:cs="Arial"/>
          <w:bCs/>
        </w:rPr>
        <w:t xml:space="preserve"> 30.3%, respiratory disease </w:t>
      </w:r>
      <w:r w:rsidR="00FF611E">
        <w:rPr>
          <w:rFonts w:ascii="Arial" w:hAnsi="Arial" w:cs="Arial"/>
          <w:bCs/>
        </w:rPr>
        <w:t>at</w:t>
      </w:r>
      <w:r w:rsidRPr="000636CF">
        <w:rPr>
          <w:rFonts w:ascii="Arial" w:hAnsi="Arial" w:cs="Arial"/>
          <w:bCs/>
        </w:rPr>
        <w:t xml:space="preserve"> 32.7%, and kidney disease </w:t>
      </w:r>
      <w:r w:rsidR="00FF611E">
        <w:rPr>
          <w:rFonts w:ascii="Arial" w:hAnsi="Arial" w:cs="Arial"/>
          <w:bCs/>
        </w:rPr>
        <w:t>at</w:t>
      </w:r>
      <w:r w:rsidRPr="000636CF">
        <w:rPr>
          <w:rFonts w:ascii="Arial" w:hAnsi="Arial" w:cs="Arial"/>
          <w:bCs/>
        </w:rPr>
        <w:t xml:space="preserve"> 31.0%. Specialist availability was reported in 43.0% of cases, subspecialty availability </w:t>
      </w:r>
      <w:r w:rsidR="00FF611E">
        <w:rPr>
          <w:rFonts w:ascii="Arial" w:hAnsi="Arial" w:cs="Arial"/>
          <w:bCs/>
        </w:rPr>
        <w:t>at</w:t>
      </w:r>
      <w:r w:rsidRPr="000636CF">
        <w:rPr>
          <w:rFonts w:ascii="Arial" w:hAnsi="Arial" w:cs="Arial"/>
          <w:bCs/>
        </w:rPr>
        <w:t xml:space="preserve"> 53.0%, and CT/MRI availability </w:t>
      </w:r>
      <w:r w:rsidR="00FF611E">
        <w:rPr>
          <w:rFonts w:ascii="Arial" w:hAnsi="Arial" w:cs="Arial"/>
          <w:bCs/>
        </w:rPr>
        <w:t>at</w:t>
      </w:r>
      <w:r w:rsidRPr="000636CF">
        <w:rPr>
          <w:rFonts w:ascii="Arial" w:hAnsi="Arial" w:cs="Arial"/>
          <w:bCs/>
        </w:rPr>
        <w:t xml:space="preserve"> 36.7%. ICU bed availability was nearly absent. Admissions were most common on weekdays (44.3%), followed by public holidays (32.3%) and weekends (23.3%). Key baseline characteristics are summarized in Table 1.</w:t>
      </w:r>
    </w:p>
    <w:p w14:paraId="59C818B7" w14:textId="77777777" w:rsidR="000636CF" w:rsidRPr="000636CF" w:rsidRDefault="000636CF" w:rsidP="000636CF">
      <w:pPr>
        <w:pStyle w:val="Body"/>
        <w:rPr>
          <w:rFonts w:ascii="Arial" w:hAnsi="Arial" w:cs="Arial"/>
          <w:bCs/>
        </w:rPr>
      </w:pPr>
      <w:r w:rsidRPr="000636CF">
        <w:rPr>
          <w:rFonts w:ascii="Arial" w:hAnsi="Arial" w:cs="Arial"/>
          <w:bCs/>
        </w:rPr>
        <w:t>Transferred patients were older on average than non-transferred patients (53.68 versus 48.69 years). They also had a higher mean pulse rate (82.20 versus 77.38 beats per minute) and slightly lower oxygen saturation (94.56% versus 95.59%).</w:t>
      </w:r>
    </w:p>
    <w:p w14:paraId="3A11D5AD" w14:textId="6C690C41" w:rsidR="000636CF" w:rsidRDefault="000636CF" w:rsidP="000636CF">
      <w:pPr>
        <w:pStyle w:val="Body"/>
        <w:spacing w:after="0"/>
        <w:rPr>
          <w:rFonts w:ascii="Arial" w:hAnsi="Arial" w:cs="Arial"/>
        </w:rPr>
      </w:pPr>
      <w:r w:rsidRPr="000636CF">
        <w:rPr>
          <w:rFonts w:ascii="Arial" w:hAnsi="Arial" w:cs="Arial"/>
          <w:bCs/>
        </w:rPr>
        <w:t>The distribution of comorbidities showed that chronic disease was common in both transferred and non-transferred groups, but none of the individual comorbidity categories demonstrated a meaningful independent effect on transfer. This suggests that the immediate clinical picture and the hospital’s ability to respond to it may have been more important than background disease status alone.</w:t>
      </w:r>
    </w:p>
    <w:p w14:paraId="7C5CB6D2" w14:textId="77777777" w:rsidR="000636CF" w:rsidRDefault="000636CF" w:rsidP="00441B6F">
      <w:pPr>
        <w:pStyle w:val="Body"/>
        <w:spacing w:after="0"/>
        <w:rPr>
          <w:rFonts w:ascii="Arial" w:hAnsi="Arial" w:cs="Arial"/>
        </w:rPr>
      </w:pPr>
    </w:p>
    <w:p w14:paraId="1463EA81" w14:textId="73409D16" w:rsidR="00863BD3" w:rsidRDefault="009500A6" w:rsidP="00441B6F">
      <w:pPr>
        <w:tabs>
          <w:tab w:val="left" w:pos="1080"/>
        </w:tabs>
        <w:jc w:val="both"/>
        <w:rPr>
          <w:rFonts w:ascii="Arial" w:hAnsi="Arial"/>
          <w:b/>
        </w:rPr>
      </w:pPr>
      <w:r>
        <w:rPr>
          <w:rFonts w:ascii="Arial" w:hAnsi="Arial"/>
          <w:b/>
        </w:rPr>
        <w:t>Table 1.</w:t>
      </w:r>
      <w:r w:rsidR="000636CF">
        <w:rPr>
          <w:rFonts w:ascii="Arial" w:hAnsi="Arial"/>
          <w:b/>
        </w:rPr>
        <w:t xml:space="preserve"> </w:t>
      </w:r>
      <w:r w:rsidR="000636CF" w:rsidRPr="000636CF">
        <w:rPr>
          <w:rFonts w:ascii="Arial" w:hAnsi="Arial"/>
          <w:b/>
        </w:rPr>
        <w:t>Selected baseline characteristics of the study population</w:t>
      </w:r>
    </w:p>
    <w:p w14:paraId="5828210B" w14:textId="77777777" w:rsidR="00863BD3" w:rsidRPr="00DC3180" w:rsidRDefault="00863BD3" w:rsidP="00441B6F">
      <w:pPr>
        <w:tabs>
          <w:tab w:val="left" w:pos="1080"/>
        </w:tabs>
        <w:jc w:val="both"/>
        <w:rPr>
          <w:rFonts w:ascii="Arial" w:hAnsi="Arial"/>
          <w:b/>
        </w:rPr>
      </w:pPr>
    </w:p>
    <w:tbl>
      <w:tblPr>
        <w:tblW w:w="7816"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328"/>
        <w:gridCol w:w="3488"/>
      </w:tblGrid>
      <w:tr w:rsidR="000636CF" w:rsidRPr="00DC3180" w14:paraId="2BECA988" w14:textId="77777777" w:rsidTr="00704DAB">
        <w:trPr>
          <w:trHeight w:val="305"/>
          <w:jc w:val="center"/>
        </w:trPr>
        <w:tc>
          <w:tcPr>
            <w:tcW w:w="4328" w:type="dxa"/>
            <w:tcBorders>
              <w:bottom w:val="single" w:sz="4" w:space="0" w:color="auto"/>
            </w:tcBorders>
          </w:tcPr>
          <w:p w14:paraId="16887618" w14:textId="6503F3B9" w:rsidR="000636CF" w:rsidRPr="00DC3180" w:rsidRDefault="000636CF" w:rsidP="00704DAB">
            <w:pPr>
              <w:spacing w:line="276" w:lineRule="auto"/>
              <w:jc w:val="center"/>
              <w:rPr>
                <w:rFonts w:ascii="Arial" w:hAnsi="Arial"/>
                <w:b/>
                <w:bCs/>
              </w:rPr>
            </w:pPr>
            <w:r>
              <w:rPr>
                <w:rFonts w:ascii="Arial" w:hAnsi="Arial"/>
                <w:b/>
              </w:rPr>
              <w:t>Characteristics</w:t>
            </w:r>
          </w:p>
        </w:tc>
        <w:tc>
          <w:tcPr>
            <w:tcW w:w="3488" w:type="dxa"/>
            <w:tcBorders>
              <w:bottom w:val="single" w:sz="4" w:space="0" w:color="auto"/>
            </w:tcBorders>
          </w:tcPr>
          <w:p w14:paraId="581154BD" w14:textId="63A9FFA8" w:rsidR="000636CF" w:rsidRPr="00DC3180" w:rsidRDefault="000636CF" w:rsidP="00704DAB">
            <w:pPr>
              <w:spacing w:line="276" w:lineRule="auto"/>
              <w:jc w:val="center"/>
              <w:rPr>
                <w:rFonts w:ascii="Arial" w:hAnsi="Arial"/>
                <w:b/>
                <w:bCs/>
              </w:rPr>
            </w:pPr>
            <w:r>
              <w:rPr>
                <w:rFonts w:ascii="Arial" w:hAnsi="Arial"/>
                <w:b/>
                <w:bCs/>
              </w:rPr>
              <w:t>Value</w:t>
            </w:r>
          </w:p>
        </w:tc>
      </w:tr>
      <w:tr w:rsidR="000636CF" w:rsidRPr="00DC3180" w14:paraId="590DB612" w14:textId="77777777" w:rsidTr="00704DAB">
        <w:trPr>
          <w:trHeight w:val="286"/>
          <w:jc w:val="center"/>
          <w:hidden/>
        </w:trPr>
        <w:tc>
          <w:tcPr>
            <w:tcW w:w="4328" w:type="dxa"/>
            <w:tcBorders>
              <w:bottom w:val="nil"/>
            </w:tcBorders>
          </w:tcPr>
          <w:p w14:paraId="31309C33" w14:textId="77777777" w:rsidR="000636CF" w:rsidRPr="00DC3180" w:rsidRDefault="000636CF" w:rsidP="00704DAB">
            <w:pPr>
              <w:spacing w:line="276" w:lineRule="auto"/>
              <w:jc w:val="both"/>
              <w:rPr>
                <w:rFonts w:ascii="Arial" w:hAnsi="Arial"/>
                <w:vanish/>
              </w:rPr>
            </w:pPr>
          </w:p>
          <w:p w14:paraId="02F30D36" w14:textId="5B89DC3B" w:rsidR="000636CF" w:rsidRPr="00DC3180" w:rsidRDefault="006A6BC8" w:rsidP="00704DAB">
            <w:pPr>
              <w:spacing w:line="276" w:lineRule="auto"/>
              <w:jc w:val="both"/>
              <w:rPr>
                <w:rFonts w:ascii="Arial" w:hAnsi="Arial"/>
                <w:b/>
                <w:bCs/>
              </w:rPr>
            </w:pPr>
            <w:r>
              <w:rPr>
                <w:rFonts w:ascii="Arial" w:hAnsi="Arial"/>
              </w:rPr>
              <w:t>T</w:t>
            </w:r>
            <w:r w:rsidR="00704DAB">
              <w:rPr>
                <w:rFonts w:ascii="Arial" w:hAnsi="Arial"/>
              </w:rPr>
              <w:t>otal</w:t>
            </w:r>
            <w:r w:rsidR="000636CF">
              <w:rPr>
                <w:rFonts w:ascii="Arial" w:hAnsi="Arial"/>
              </w:rPr>
              <w:t xml:space="preserve"> sample </w:t>
            </w:r>
          </w:p>
        </w:tc>
        <w:tc>
          <w:tcPr>
            <w:tcW w:w="3488" w:type="dxa"/>
            <w:tcBorders>
              <w:bottom w:val="nil"/>
            </w:tcBorders>
          </w:tcPr>
          <w:p w14:paraId="1B95B356" w14:textId="5199B399" w:rsidR="000636CF" w:rsidRPr="006A6BC8" w:rsidRDefault="006A6BC8" w:rsidP="00704DAB">
            <w:pPr>
              <w:spacing w:line="276" w:lineRule="auto"/>
              <w:jc w:val="both"/>
              <w:rPr>
                <w:rFonts w:ascii="Arial" w:hAnsi="Arial"/>
              </w:rPr>
            </w:pPr>
            <w:r w:rsidRPr="006A6BC8">
              <w:rPr>
                <w:rFonts w:ascii="Arial" w:hAnsi="Arial"/>
              </w:rPr>
              <w:t>357</w:t>
            </w:r>
          </w:p>
        </w:tc>
      </w:tr>
      <w:tr w:rsidR="000636CF" w:rsidRPr="00DC3180" w14:paraId="086285A4" w14:textId="77777777" w:rsidTr="00704DAB">
        <w:trPr>
          <w:trHeight w:val="305"/>
          <w:jc w:val="center"/>
        </w:trPr>
        <w:tc>
          <w:tcPr>
            <w:tcW w:w="4328" w:type="dxa"/>
            <w:tcBorders>
              <w:top w:val="nil"/>
              <w:bottom w:val="nil"/>
            </w:tcBorders>
          </w:tcPr>
          <w:p w14:paraId="12A2A8D0" w14:textId="4C704179" w:rsidR="000636CF" w:rsidRPr="00DC3180" w:rsidRDefault="000636CF" w:rsidP="00704DAB">
            <w:pPr>
              <w:spacing w:line="276" w:lineRule="auto"/>
              <w:jc w:val="both"/>
              <w:rPr>
                <w:rFonts w:ascii="Arial" w:hAnsi="Arial" w:cs="Arial"/>
                <w:vanish/>
              </w:rPr>
            </w:pPr>
            <w:r w:rsidRPr="000636CF">
              <w:rPr>
                <w:rFonts w:ascii="Arial" w:hAnsi="Arial" w:cs="Arial"/>
              </w:rPr>
              <w:t>Transferred patients</w:t>
            </w:r>
          </w:p>
          <w:p w14:paraId="0532E23F" w14:textId="77777777" w:rsidR="000636CF" w:rsidRPr="00DC3180" w:rsidRDefault="000636CF" w:rsidP="00704DAB">
            <w:pPr>
              <w:spacing w:line="276" w:lineRule="auto"/>
              <w:jc w:val="both"/>
              <w:rPr>
                <w:rFonts w:ascii="Arial" w:hAnsi="Arial" w:cs="Arial"/>
              </w:rPr>
            </w:pPr>
          </w:p>
        </w:tc>
        <w:tc>
          <w:tcPr>
            <w:tcW w:w="3488" w:type="dxa"/>
            <w:tcBorders>
              <w:top w:val="nil"/>
              <w:bottom w:val="nil"/>
            </w:tcBorders>
          </w:tcPr>
          <w:p w14:paraId="46D581D1" w14:textId="319EE519" w:rsidR="000636CF" w:rsidRPr="00DC3180" w:rsidRDefault="006A6BC8" w:rsidP="00704DAB">
            <w:pPr>
              <w:spacing w:line="276" w:lineRule="auto"/>
              <w:jc w:val="both"/>
              <w:rPr>
                <w:rFonts w:ascii="Arial" w:hAnsi="Arial" w:cs="Arial"/>
                <w:vanish/>
              </w:rPr>
            </w:pPr>
            <w:r>
              <w:rPr>
                <w:rFonts w:ascii="Arial" w:hAnsi="Arial" w:cs="Arial"/>
              </w:rPr>
              <w:t>79 (22.0%)</w:t>
            </w:r>
          </w:p>
          <w:p w14:paraId="07E21C40" w14:textId="77777777" w:rsidR="000636CF" w:rsidRPr="00DC3180" w:rsidRDefault="000636CF" w:rsidP="00704DAB">
            <w:pPr>
              <w:spacing w:line="276" w:lineRule="auto"/>
              <w:jc w:val="both"/>
              <w:rPr>
                <w:rFonts w:ascii="Arial" w:hAnsi="Arial"/>
              </w:rPr>
            </w:pPr>
          </w:p>
        </w:tc>
      </w:tr>
      <w:tr w:rsidR="000636CF" w:rsidRPr="00DC3180" w14:paraId="11AB1F26" w14:textId="77777777" w:rsidTr="00704DAB">
        <w:trPr>
          <w:trHeight w:val="305"/>
          <w:jc w:val="center"/>
        </w:trPr>
        <w:tc>
          <w:tcPr>
            <w:tcW w:w="4328" w:type="dxa"/>
            <w:tcBorders>
              <w:top w:val="nil"/>
              <w:bottom w:val="nil"/>
            </w:tcBorders>
          </w:tcPr>
          <w:p w14:paraId="0C4D6729" w14:textId="40A82F0F" w:rsidR="000636CF" w:rsidRPr="00DC3180" w:rsidRDefault="000636CF" w:rsidP="00704DAB">
            <w:pPr>
              <w:spacing w:line="276" w:lineRule="auto"/>
              <w:jc w:val="both"/>
              <w:rPr>
                <w:rFonts w:ascii="Arial" w:hAnsi="Arial"/>
              </w:rPr>
            </w:pPr>
            <w:r w:rsidRPr="000636CF">
              <w:rPr>
                <w:rFonts w:ascii="Arial" w:hAnsi="Arial"/>
              </w:rPr>
              <w:t>Non-transferred patients</w:t>
            </w:r>
          </w:p>
        </w:tc>
        <w:tc>
          <w:tcPr>
            <w:tcW w:w="3488" w:type="dxa"/>
            <w:tcBorders>
              <w:top w:val="nil"/>
              <w:bottom w:val="nil"/>
            </w:tcBorders>
          </w:tcPr>
          <w:p w14:paraId="239E7995" w14:textId="059649EB" w:rsidR="000636CF" w:rsidRPr="00DC3180" w:rsidRDefault="006A6BC8" w:rsidP="00704DAB">
            <w:pPr>
              <w:spacing w:line="276" w:lineRule="auto"/>
              <w:jc w:val="both"/>
              <w:rPr>
                <w:rFonts w:ascii="Arial" w:hAnsi="Arial" w:cs="Arial"/>
              </w:rPr>
            </w:pPr>
            <w:r>
              <w:rPr>
                <w:rFonts w:ascii="Arial" w:hAnsi="Arial" w:cs="Arial"/>
              </w:rPr>
              <w:t>278 (78.0%)</w:t>
            </w:r>
          </w:p>
        </w:tc>
      </w:tr>
      <w:tr w:rsidR="000636CF" w:rsidRPr="00DC3180" w14:paraId="1336F427" w14:textId="77777777" w:rsidTr="00704DAB">
        <w:trPr>
          <w:trHeight w:val="305"/>
          <w:jc w:val="center"/>
        </w:trPr>
        <w:tc>
          <w:tcPr>
            <w:tcW w:w="4328" w:type="dxa"/>
            <w:tcBorders>
              <w:top w:val="nil"/>
              <w:bottom w:val="nil"/>
            </w:tcBorders>
          </w:tcPr>
          <w:p w14:paraId="6CD6BC5C" w14:textId="1B5BEFC8" w:rsidR="000636CF" w:rsidRPr="00DC3180" w:rsidRDefault="000636CF" w:rsidP="00704DAB">
            <w:pPr>
              <w:spacing w:line="276" w:lineRule="auto"/>
              <w:jc w:val="both"/>
              <w:rPr>
                <w:rFonts w:ascii="Arial" w:hAnsi="Arial"/>
              </w:rPr>
            </w:pPr>
            <w:r w:rsidRPr="000636CF">
              <w:rPr>
                <w:rFonts w:ascii="Arial" w:hAnsi="Arial"/>
              </w:rPr>
              <w:t>Mean age</w:t>
            </w:r>
          </w:p>
        </w:tc>
        <w:tc>
          <w:tcPr>
            <w:tcW w:w="3488" w:type="dxa"/>
            <w:tcBorders>
              <w:top w:val="nil"/>
              <w:bottom w:val="nil"/>
            </w:tcBorders>
          </w:tcPr>
          <w:p w14:paraId="31187B17" w14:textId="7FDAE9B6" w:rsidR="000636CF" w:rsidRPr="00DC3180" w:rsidRDefault="006A6BC8" w:rsidP="00704DAB">
            <w:pPr>
              <w:spacing w:line="276" w:lineRule="auto"/>
              <w:jc w:val="both"/>
              <w:rPr>
                <w:rFonts w:ascii="Arial" w:hAnsi="Arial" w:cs="Arial"/>
              </w:rPr>
            </w:pPr>
            <w:r>
              <w:rPr>
                <w:rFonts w:ascii="Arial" w:hAnsi="Arial" w:cs="Arial"/>
              </w:rPr>
              <w:t>49.79 years (SD 22.45)</w:t>
            </w:r>
          </w:p>
        </w:tc>
      </w:tr>
      <w:tr w:rsidR="000636CF" w:rsidRPr="00DC3180" w14:paraId="602AA916" w14:textId="77777777" w:rsidTr="00704DAB">
        <w:trPr>
          <w:trHeight w:val="305"/>
          <w:jc w:val="center"/>
        </w:trPr>
        <w:tc>
          <w:tcPr>
            <w:tcW w:w="4328" w:type="dxa"/>
            <w:tcBorders>
              <w:top w:val="nil"/>
              <w:bottom w:val="nil"/>
            </w:tcBorders>
          </w:tcPr>
          <w:p w14:paraId="3E414AFE" w14:textId="4E4E1FAB" w:rsidR="000636CF" w:rsidRPr="00DC3180" w:rsidRDefault="000636CF" w:rsidP="00704DAB">
            <w:pPr>
              <w:spacing w:line="276" w:lineRule="auto"/>
              <w:jc w:val="both"/>
              <w:rPr>
                <w:rFonts w:ascii="Arial" w:hAnsi="Arial"/>
              </w:rPr>
            </w:pPr>
            <w:r w:rsidRPr="000636CF">
              <w:rPr>
                <w:rFonts w:ascii="Arial" w:hAnsi="Arial"/>
              </w:rPr>
              <w:t>Male</w:t>
            </w:r>
          </w:p>
        </w:tc>
        <w:tc>
          <w:tcPr>
            <w:tcW w:w="3488" w:type="dxa"/>
            <w:tcBorders>
              <w:top w:val="nil"/>
              <w:bottom w:val="nil"/>
            </w:tcBorders>
          </w:tcPr>
          <w:p w14:paraId="2F796BD5" w14:textId="594AB430" w:rsidR="000636CF" w:rsidRPr="00DC3180" w:rsidRDefault="006A6BC8" w:rsidP="00704DAB">
            <w:pPr>
              <w:spacing w:line="276" w:lineRule="auto"/>
              <w:jc w:val="both"/>
              <w:rPr>
                <w:rFonts w:ascii="Arial" w:hAnsi="Arial" w:cs="Arial"/>
              </w:rPr>
            </w:pPr>
            <w:r>
              <w:rPr>
                <w:rFonts w:ascii="Arial" w:hAnsi="Arial" w:cs="Arial"/>
              </w:rPr>
              <w:t>190 (53.3%)</w:t>
            </w:r>
          </w:p>
        </w:tc>
      </w:tr>
      <w:tr w:rsidR="006A6BC8" w:rsidRPr="00DC3180" w14:paraId="765E5628" w14:textId="77777777" w:rsidTr="00704DAB">
        <w:trPr>
          <w:trHeight w:val="289"/>
          <w:jc w:val="center"/>
        </w:trPr>
        <w:tc>
          <w:tcPr>
            <w:tcW w:w="4328" w:type="dxa"/>
            <w:tcBorders>
              <w:top w:val="nil"/>
              <w:bottom w:val="nil"/>
            </w:tcBorders>
          </w:tcPr>
          <w:p w14:paraId="52A82E37" w14:textId="6354CFAF" w:rsidR="006A6BC8" w:rsidRPr="000636CF" w:rsidRDefault="006A6BC8" w:rsidP="00704DAB">
            <w:pPr>
              <w:spacing w:line="276" w:lineRule="auto"/>
              <w:jc w:val="both"/>
              <w:rPr>
                <w:rFonts w:ascii="Arial" w:hAnsi="Arial"/>
              </w:rPr>
            </w:pPr>
            <w:r>
              <w:rPr>
                <w:rFonts w:ascii="Arial" w:hAnsi="Arial"/>
              </w:rPr>
              <w:t xml:space="preserve">Female </w:t>
            </w:r>
          </w:p>
        </w:tc>
        <w:tc>
          <w:tcPr>
            <w:tcW w:w="3488" w:type="dxa"/>
            <w:tcBorders>
              <w:top w:val="nil"/>
              <w:bottom w:val="nil"/>
            </w:tcBorders>
          </w:tcPr>
          <w:p w14:paraId="1901D53D" w14:textId="14DAD4BD" w:rsidR="006A6BC8" w:rsidRPr="00DC3180" w:rsidRDefault="006A6BC8" w:rsidP="00704DAB">
            <w:pPr>
              <w:spacing w:line="276" w:lineRule="auto"/>
              <w:jc w:val="both"/>
              <w:rPr>
                <w:rFonts w:ascii="Arial" w:hAnsi="Arial" w:cs="Arial"/>
              </w:rPr>
            </w:pPr>
            <w:r>
              <w:rPr>
                <w:rFonts w:ascii="Arial" w:hAnsi="Arial" w:cs="Arial"/>
              </w:rPr>
              <w:t>167 (46.7%)</w:t>
            </w:r>
          </w:p>
        </w:tc>
      </w:tr>
      <w:tr w:rsidR="006A6BC8" w:rsidRPr="00DC3180" w14:paraId="28101EAD" w14:textId="77777777" w:rsidTr="00704DAB">
        <w:trPr>
          <w:trHeight w:val="305"/>
          <w:jc w:val="center"/>
        </w:trPr>
        <w:tc>
          <w:tcPr>
            <w:tcW w:w="4328" w:type="dxa"/>
            <w:tcBorders>
              <w:top w:val="nil"/>
              <w:bottom w:val="nil"/>
            </w:tcBorders>
          </w:tcPr>
          <w:p w14:paraId="1C1C23EF" w14:textId="51669128" w:rsidR="006A6BC8" w:rsidRPr="000636CF" w:rsidRDefault="006A6BC8" w:rsidP="00704DAB">
            <w:pPr>
              <w:spacing w:line="276" w:lineRule="auto"/>
              <w:jc w:val="both"/>
              <w:rPr>
                <w:rFonts w:ascii="Arial" w:hAnsi="Arial"/>
              </w:rPr>
            </w:pPr>
            <w:r>
              <w:rPr>
                <w:rFonts w:ascii="Arial" w:hAnsi="Arial"/>
              </w:rPr>
              <w:t xml:space="preserve">Consciousness </w:t>
            </w:r>
          </w:p>
        </w:tc>
        <w:tc>
          <w:tcPr>
            <w:tcW w:w="3488" w:type="dxa"/>
            <w:tcBorders>
              <w:top w:val="nil"/>
              <w:bottom w:val="nil"/>
            </w:tcBorders>
          </w:tcPr>
          <w:p w14:paraId="7E9B54C6" w14:textId="68291B16" w:rsidR="006A6BC8" w:rsidRPr="00DC3180" w:rsidRDefault="006A6BC8" w:rsidP="00704DAB">
            <w:pPr>
              <w:spacing w:line="276" w:lineRule="auto"/>
              <w:jc w:val="both"/>
              <w:rPr>
                <w:rFonts w:ascii="Arial" w:hAnsi="Arial" w:cs="Arial"/>
              </w:rPr>
            </w:pPr>
            <w:r>
              <w:rPr>
                <w:rFonts w:ascii="Arial" w:hAnsi="Arial" w:cs="Arial"/>
              </w:rPr>
              <w:t>198 (55.3%)</w:t>
            </w:r>
          </w:p>
        </w:tc>
      </w:tr>
      <w:tr w:rsidR="006A6BC8" w:rsidRPr="00DC3180" w14:paraId="643690CD" w14:textId="77777777" w:rsidTr="00704DAB">
        <w:trPr>
          <w:trHeight w:val="305"/>
          <w:jc w:val="center"/>
        </w:trPr>
        <w:tc>
          <w:tcPr>
            <w:tcW w:w="4328" w:type="dxa"/>
            <w:tcBorders>
              <w:top w:val="nil"/>
              <w:bottom w:val="nil"/>
            </w:tcBorders>
          </w:tcPr>
          <w:p w14:paraId="0D75984F" w14:textId="2E29BA74" w:rsidR="006A6BC8" w:rsidRPr="000636CF" w:rsidRDefault="006A6BC8" w:rsidP="00704DAB">
            <w:pPr>
              <w:spacing w:line="276" w:lineRule="auto"/>
              <w:jc w:val="both"/>
              <w:rPr>
                <w:rFonts w:ascii="Arial" w:hAnsi="Arial"/>
              </w:rPr>
            </w:pPr>
            <w:r>
              <w:rPr>
                <w:rFonts w:ascii="Arial" w:hAnsi="Arial"/>
              </w:rPr>
              <w:t>Semi-</w:t>
            </w:r>
            <w:r w:rsidR="00676ED1" w:rsidRPr="00676ED1">
              <w:rPr>
                <w:rFonts w:ascii="Arial" w:hAnsi="Arial"/>
              </w:rPr>
              <w:t>consciousness</w:t>
            </w:r>
          </w:p>
        </w:tc>
        <w:tc>
          <w:tcPr>
            <w:tcW w:w="3488" w:type="dxa"/>
            <w:tcBorders>
              <w:top w:val="nil"/>
              <w:bottom w:val="nil"/>
            </w:tcBorders>
          </w:tcPr>
          <w:p w14:paraId="7360D0C8" w14:textId="7EDE4F55" w:rsidR="006A6BC8" w:rsidRPr="00DC3180" w:rsidRDefault="006A6BC8" w:rsidP="00704DAB">
            <w:pPr>
              <w:spacing w:line="276" w:lineRule="auto"/>
              <w:jc w:val="both"/>
              <w:rPr>
                <w:rFonts w:ascii="Arial" w:hAnsi="Arial" w:cs="Arial"/>
              </w:rPr>
            </w:pPr>
            <w:r>
              <w:rPr>
                <w:rFonts w:ascii="Arial" w:hAnsi="Arial" w:cs="Arial"/>
              </w:rPr>
              <w:t>71 (20.0%)</w:t>
            </w:r>
          </w:p>
        </w:tc>
      </w:tr>
      <w:tr w:rsidR="006A6BC8" w:rsidRPr="00DC3180" w14:paraId="4F5D6748" w14:textId="77777777" w:rsidTr="00704DAB">
        <w:trPr>
          <w:trHeight w:val="305"/>
          <w:jc w:val="center"/>
        </w:trPr>
        <w:tc>
          <w:tcPr>
            <w:tcW w:w="4328" w:type="dxa"/>
            <w:tcBorders>
              <w:top w:val="nil"/>
              <w:bottom w:val="nil"/>
            </w:tcBorders>
          </w:tcPr>
          <w:p w14:paraId="1C5DE3F6" w14:textId="3CD27511" w:rsidR="006A6BC8" w:rsidRPr="000636CF" w:rsidRDefault="006A6BC8" w:rsidP="00704DAB">
            <w:pPr>
              <w:spacing w:line="276" w:lineRule="auto"/>
              <w:jc w:val="both"/>
              <w:rPr>
                <w:rFonts w:ascii="Arial" w:hAnsi="Arial"/>
              </w:rPr>
            </w:pPr>
            <w:r>
              <w:rPr>
                <w:rFonts w:ascii="Arial" w:hAnsi="Arial"/>
              </w:rPr>
              <w:t>Unconsciousness</w:t>
            </w:r>
          </w:p>
        </w:tc>
        <w:tc>
          <w:tcPr>
            <w:tcW w:w="3488" w:type="dxa"/>
            <w:tcBorders>
              <w:top w:val="nil"/>
              <w:bottom w:val="nil"/>
            </w:tcBorders>
          </w:tcPr>
          <w:p w14:paraId="58FF25E3" w14:textId="76B4A17F" w:rsidR="006A6BC8" w:rsidRPr="00DC3180" w:rsidRDefault="006A6BC8" w:rsidP="00704DAB">
            <w:pPr>
              <w:spacing w:line="276" w:lineRule="auto"/>
              <w:jc w:val="both"/>
              <w:rPr>
                <w:rFonts w:ascii="Arial" w:hAnsi="Arial" w:cs="Arial"/>
              </w:rPr>
            </w:pPr>
            <w:r>
              <w:rPr>
                <w:rFonts w:ascii="Arial" w:hAnsi="Arial" w:cs="Arial"/>
              </w:rPr>
              <w:t>88 (24.7%)</w:t>
            </w:r>
          </w:p>
        </w:tc>
      </w:tr>
      <w:tr w:rsidR="006A6BC8" w:rsidRPr="00DC3180" w14:paraId="29F2620C" w14:textId="77777777" w:rsidTr="00704DAB">
        <w:trPr>
          <w:trHeight w:val="83"/>
          <w:jc w:val="center"/>
        </w:trPr>
        <w:tc>
          <w:tcPr>
            <w:tcW w:w="4328" w:type="dxa"/>
            <w:tcBorders>
              <w:top w:val="nil"/>
              <w:bottom w:val="nil"/>
            </w:tcBorders>
          </w:tcPr>
          <w:p w14:paraId="0408598B" w14:textId="37E7E537" w:rsidR="006A6BC8" w:rsidRPr="000636CF" w:rsidRDefault="006A6BC8" w:rsidP="00704DAB">
            <w:pPr>
              <w:spacing w:line="276" w:lineRule="auto"/>
              <w:jc w:val="both"/>
              <w:rPr>
                <w:rFonts w:ascii="Arial" w:hAnsi="Arial"/>
              </w:rPr>
            </w:pPr>
            <w:r>
              <w:rPr>
                <w:rFonts w:ascii="Arial" w:hAnsi="Arial"/>
              </w:rPr>
              <w:t xml:space="preserve">Diabetes </w:t>
            </w:r>
          </w:p>
        </w:tc>
        <w:tc>
          <w:tcPr>
            <w:tcW w:w="3488" w:type="dxa"/>
            <w:tcBorders>
              <w:top w:val="nil"/>
              <w:bottom w:val="nil"/>
            </w:tcBorders>
          </w:tcPr>
          <w:p w14:paraId="4F5FD16F" w14:textId="20AA3F5A" w:rsidR="006A6BC8" w:rsidRPr="00DC3180" w:rsidRDefault="006A6BC8" w:rsidP="00704DAB">
            <w:pPr>
              <w:spacing w:line="276" w:lineRule="auto"/>
              <w:jc w:val="both"/>
              <w:rPr>
                <w:rFonts w:ascii="Arial" w:hAnsi="Arial" w:cs="Arial"/>
              </w:rPr>
            </w:pPr>
            <w:r>
              <w:rPr>
                <w:rFonts w:ascii="Arial" w:hAnsi="Arial" w:cs="Arial"/>
              </w:rPr>
              <w:t xml:space="preserve">130 (36.3%) </w:t>
            </w:r>
          </w:p>
        </w:tc>
      </w:tr>
      <w:tr w:rsidR="006A6BC8" w:rsidRPr="00DC3180" w14:paraId="422734A0" w14:textId="77777777" w:rsidTr="00704DAB">
        <w:trPr>
          <w:trHeight w:val="83"/>
          <w:jc w:val="center"/>
        </w:trPr>
        <w:tc>
          <w:tcPr>
            <w:tcW w:w="4328" w:type="dxa"/>
            <w:tcBorders>
              <w:top w:val="nil"/>
              <w:bottom w:val="nil"/>
            </w:tcBorders>
          </w:tcPr>
          <w:p w14:paraId="0B0B784F" w14:textId="32DCC979" w:rsidR="006A6BC8" w:rsidRDefault="006A6BC8" w:rsidP="00704DAB">
            <w:pPr>
              <w:spacing w:line="276" w:lineRule="auto"/>
              <w:jc w:val="both"/>
              <w:rPr>
                <w:rFonts w:ascii="Arial" w:hAnsi="Arial"/>
              </w:rPr>
            </w:pPr>
            <w:r>
              <w:rPr>
                <w:rFonts w:ascii="Arial" w:hAnsi="Arial"/>
              </w:rPr>
              <w:t xml:space="preserve">Cardiac disease </w:t>
            </w:r>
          </w:p>
        </w:tc>
        <w:tc>
          <w:tcPr>
            <w:tcW w:w="3488" w:type="dxa"/>
            <w:tcBorders>
              <w:top w:val="nil"/>
              <w:bottom w:val="nil"/>
            </w:tcBorders>
          </w:tcPr>
          <w:p w14:paraId="52131C08" w14:textId="1052EB49" w:rsidR="006A6BC8" w:rsidRPr="00DC3180" w:rsidRDefault="006A6BC8" w:rsidP="00704DAB">
            <w:pPr>
              <w:spacing w:line="276" w:lineRule="auto"/>
              <w:jc w:val="both"/>
              <w:rPr>
                <w:rFonts w:ascii="Arial" w:hAnsi="Arial" w:cs="Arial"/>
              </w:rPr>
            </w:pPr>
            <w:r>
              <w:rPr>
                <w:rFonts w:ascii="Arial" w:hAnsi="Arial" w:cs="Arial"/>
              </w:rPr>
              <w:t>108 (30.3%)</w:t>
            </w:r>
          </w:p>
        </w:tc>
      </w:tr>
      <w:tr w:rsidR="006A6BC8" w:rsidRPr="00DC3180" w14:paraId="494E5454" w14:textId="77777777" w:rsidTr="00704DAB">
        <w:trPr>
          <w:trHeight w:val="83"/>
          <w:jc w:val="center"/>
        </w:trPr>
        <w:tc>
          <w:tcPr>
            <w:tcW w:w="4328" w:type="dxa"/>
            <w:tcBorders>
              <w:top w:val="nil"/>
              <w:bottom w:val="nil"/>
            </w:tcBorders>
          </w:tcPr>
          <w:p w14:paraId="751AB02B" w14:textId="6ABF6179" w:rsidR="006A6BC8" w:rsidRDefault="006A6BC8" w:rsidP="00704DAB">
            <w:pPr>
              <w:spacing w:line="276" w:lineRule="auto"/>
              <w:jc w:val="both"/>
              <w:rPr>
                <w:rFonts w:ascii="Arial" w:hAnsi="Arial"/>
              </w:rPr>
            </w:pPr>
            <w:r>
              <w:rPr>
                <w:rFonts w:ascii="Arial" w:hAnsi="Arial"/>
              </w:rPr>
              <w:t>Respiratory disease</w:t>
            </w:r>
          </w:p>
        </w:tc>
        <w:tc>
          <w:tcPr>
            <w:tcW w:w="3488" w:type="dxa"/>
            <w:tcBorders>
              <w:top w:val="nil"/>
              <w:bottom w:val="nil"/>
            </w:tcBorders>
          </w:tcPr>
          <w:p w14:paraId="1BE55DDB" w14:textId="416EEBC6" w:rsidR="006A6BC8" w:rsidRPr="00DC3180" w:rsidRDefault="006A6BC8" w:rsidP="00704DAB">
            <w:pPr>
              <w:spacing w:line="276" w:lineRule="auto"/>
              <w:jc w:val="both"/>
              <w:rPr>
                <w:rFonts w:ascii="Arial" w:hAnsi="Arial" w:cs="Arial"/>
              </w:rPr>
            </w:pPr>
            <w:r>
              <w:rPr>
                <w:rFonts w:ascii="Arial" w:hAnsi="Arial" w:cs="Arial"/>
              </w:rPr>
              <w:t>117 (32.7%)</w:t>
            </w:r>
          </w:p>
        </w:tc>
      </w:tr>
      <w:tr w:rsidR="006A6BC8" w:rsidRPr="00DC3180" w14:paraId="44211ACF" w14:textId="77777777" w:rsidTr="00704DAB">
        <w:trPr>
          <w:trHeight w:val="83"/>
          <w:jc w:val="center"/>
        </w:trPr>
        <w:tc>
          <w:tcPr>
            <w:tcW w:w="4328" w:type="dxa"/>
            <w:tcBorders>
              <w:top w:val="nil"/>
              <w:bottom w:val="nil"/>
            </w:tcBorders>
          </w:tcPr>
          <w:p w14:paraId="5D05F614" w14:textId="27FB5D57" w:rsidR="006A6BC8" w:rsidRDefault="006A6BC8" w:rsidP="00704DAB">
            <w:pPr>
              <w:spacing w:line="276" w:lineRule="auto"/>
              <w:jc w:val="both"/>
              <w:rPr>
                <w:rFonts w:ascii="Arial" w:hAnsi="Arial"/>
              </w:rPr>
            </w:pPr>
            <w:r>
              <w:rPr>
                <w:rFonts w:ascii="Arial" w:hAnsi="Arial"/>
              </w:rPr>
              <w:t xml:space="preserve">Kidney disease </w:t>
            </w:r>
          </w:p>
        </w:tc>
        <w:tc>
          <w:tcPr>
            <w:tcW w:w="3488" w:type="dxa"/>
            <w:tcBorders>
              <w:top w:val="nil"/>
              <w:bottom w:val="nil"/>
            </w:tcBorders>
          </w:tcPr>
          <w:p w14:paraId="48BE35C1" w14:textId="11D71579" w:rsidR="006A6BC8" w:rsidRPr="00DC3180" w:rsidRDefault="006A6BC8" w:rsidP="00704DAB">
            <w:pPr>
              <w:spacing w:line="276" w:lineRule="auto"/>
              <w:jc w:val="both"/>
              <w:rPr>
                <w:rFonts w:ascii="Arial" w:hAnsi="Arial" w:cs="Arial"/>
              </w:rPr>
            </w:pPr>
            <w:r>
              <w:rPr>
                <w:rFonts w:ascii="Arial" w:hAnsi="Arial" w:cs="Arial"/>
              </w:rPr>
              <w:t>111 (31.0%)</w:t>
            </w:r>
          </w:p>
        </w:tc>
      </w:tr>
      <w:tr w:rsidR="006A6BC8" w:rsidRPr="00DC3180" w14:paraId="0D5C041A" w14:textId="77777777" w:rsidTr="00704DAB">
        <w:trPr>
          <w:trHeight w:val="83"/>
          <w:jc w:val="center"/>
        </w:trPr>
        <w:tc>
          <w:tcPr>
            <w:tcW w:w="4328" w:type="dxa"/>
            <w:tcBorders>
              <w:top w:val="nil"/>
              <w:bottom w:val="nil"/>
            </w:tcBorders>
          </w:tcPr>
          <w:p w14:paraId="450E4E0B" w14:textId="3E62347A" w:rsidR="006A6BC8" w:rsidRDefault="006A6BC8" w:rsidP="00704DAB">
            <w:pPr>
              <w:spacing w:line="276" w:lineRule="auto"/>
              <w:jc w:val="both"/>
              <w:rPr>
                <w:rFonts w:ascii="Arial" w:hAnsi="Arial"/>
              </w:rPr>
            </w:pPr>
            <w:r>
              <w:rPr>
                <w:rFonts w:ascii="Arial" w:hAnsi="Arial"/>
              </w:rPr>
              <w:t xml:space="preserve">Specialist availability </w:t>
            </w:r>
          </w:p>
        </w:tc>
        <w:tc>
          <w:tcPr>
            <w:tcW w:w="3488" w:type="dxa"/>
            <w:tcBorders>
              <w:top w:val="nil"/>
              <w:bottom w:val="nil"/>
            </w:tcBorders>
          </w:tcPr>
          <w:p w14:paraId="50D4C37A" w14:textId="5C5B267D" w:rsidR="006A6BC8" w:rsidRPr="00DC3180" w:rsidRDefault="006A6BC8" w:rsidP="00704DAB">
            <w:pPr>
              <w:spacing w:line="276" w:lineRule="auto"/>
              <w:jc w:val="both"/>
              <w:rPr>
                <w:rFonts w:ascii="Arial" w:hAnsi="Arial" w:cs="Arial"/>
              </w:rPr>
            </w:pPr>
            <w:r>
              <w:rPr>
                <w:rFonts w:ascii="Arial" w:hAnsi="Arial" w:cs="Arial"/>
              </w:rPr>
              <w:t>154 (43.0%)</w:t>
            </w:r>
          </w:p>
        </w:tc>
      </w:tr>
      <w:tr w:rsidR="006A6BC8" w:rsidRPr="00DC3180" w14:paraId="1DF1DF02" w14:textId="77777777" w:rsidTr="00704DAB">
        <w:trPr>
          <w:trHeight w:val="83"/>
          <w:jc w:val="center"/>
        </w:trPr>
        <w:tc>
          <w:tcPr>
            <w:tcW w:w="4328" w:type="dxa"/>
            <w:tcBorders>
              <w:top w:val="nil"/>
              <w:bottom w:val="nil"/>
            </w:tcBorders>
          </w:tcPr>
          <w:p w14:paraId="1E1618B0" w14:textId="130D9682" w:rsidR="006A6BC8" w:rsidRDefault="006A6BC8" w:rsidP="00704DAB">
            <w:pPr>
              <w:spacing w:line="276" w:lineRule="auto"/>
              <w:jc w:val="both"/>
              <w:rPr>
                <w:rFonts w:ascii="Arial" w:hAnsi="Arial"/>
              </w:rPr>
            </w:pPr>
            <w:r>
              <w:rPr>
                <w:rFonts w:ascii="Arial" w:hAnsi="Arial"/>
              </w:rPr>
              <w:t xml:space="preserve">CT/ MRI availability </w:t>
            </w:r>
          </w:p>
        </w:tc>
        <w:tc>
          <w:tcPr>
            <w:tcW w:w="3488" w:type="dxa"/>
            <w:tcBorders>
              <w:top w:val="nil"/>
              <w:bottom w:val="nil"/>
            </w:tcBorders>
          </w:tcPr>
          <w:p w14:paraId="50BDD71A" w14:textId="565D7525" w:rsidR="006A6BC8" w:rsidRPr="00DC3180" w:rsidRDefault="006A6BC8" w:rsidP="00704DAB">
            <w:pPr>
              <w:spacing w:line="276" w:lineRule="auto"/>
              <w:jc w:val="both"/>
              <w:rPr>
                <w:rFonts w:ascii="Arial" w:hAnsi="Arial" w:cs="Arial"/>
              </w:rPr>
            </w:pPr>
            <w:r>
              <w:rPr>
                <w:rFonts w:ascii="Arial" w:hAnsi="Arial" w:cs="Arial"/>
              </w:rPr>
              <w:t>131 (36.7%)</w:t>
            </w:r>
          </w:p>
        </w:tc>
      </w:tr>
      <w:tr w:rsidR="006A6BC8" w:rsidRPr="00DC3180" w14:paraId="046243CE" w14:textId="77777777" w:rsidTr="00704DAB">
        <w:trPr>
          <w:trHeight w:val="83"/>
          <w:jc w:val="center"/>
        </w:trPr>
        <w:tc>
          <w:tcPr>
            <w:tcW w:w="4328" w:type="dxa"/>
            <w:tcBorders>
              <w:top w:val="nil"/>
              <w:bottom w:val="nil"/>
            </w:tcBorders>
          </w:tcPr>
          <w:p w14:paraId="63050C0B" w14:textId="6F887E26" w:rsidR="006A6BC8" w:rsidRDefault="006A6BC8" w:rsidP="00704DAB">
            <w:pPr>
              <w:spacing w:line="276" w:lineRule="auto"/>
              <w:jc w:val="both"/>
              <w:rPr>
                <w:rFonts w:ascii="Arial" w:hAnsi="Arial"/>
              </w:rPr>
            </w:pPr>
            <w:r>
              <w:rPr>
                <w:rFonts w:ascii="Arial" w:hAnsi="Arial"/>
              </w:rPr>
              <w:t xml:space="preserve">Public holiday admissions </w:t>
            </w:r>
          </w:p>
        </w:tc>
        <w:tc>
          <w:tcPr>
            <w:tcW w:w="3488" w:type="dxa"/>
            <w:tcBorders>
              <w:top w:val="nil"/>
              <w:bottom w:val="nil"/>
            </w:tcBorders>
          </w:tcPr>
          <w:p w14:paraId="53ABE44D" w14:textId="2C5C137A" w:rsidR="006A6BC8" w:rsidRPr="00DC3180" w:rsidRDefault="006A6BC8" w:rsidP="00704DAB">
            <w:pPr>
              <w:spacing w:line="276" w:lineRule="auto"/>
              <w:jc w:val="both"/>
              <w:rPr>
                <w:rFonts w:ascii="Arial" w:hAnsi="Arial" w:cs="Arial"/>
              </w:rPr>
            </w:pPr>
            <w:r>
              <w:rPr>
                <w:rFonts w:ascii="Arial" w:hAnsi="Arial" w:cs="Arial"/>
              </w:rPr>
              <w:t xml:space="preserve">115 (32.3%) </w:t>
            </w:r>
          </w:p>
        </w:tc>
      </w:tr>
    </w:tbl>
    <w:p w14:paraId="5FA5A19C" w14:textId="586088F8" w:rsidR="00863BD3" w:rsidRDefault="00863BD3" w:rsidP="00441B6F">
      <w:pPr>
        <w:pStyle w:val="BodyText3"/>
        <w:tabs>
          <w:tab w:val="left" w:pos="1080"/>
        </w:tabs>
        <w:spacing w:after="0"/>
        <w:ind w:left="1080" w:hanging="1080"/>
        <w:jc w:val="both"/>
        <w:rPr>
          <w:rFonts w:ascii="Arial" w:hAnsi="Arial"/>
          <w:b/>
          <w:sz w:val="20"/>
          <w:szCs w:val="20"/>
        </w:rPr>
      </w:pPr>
    </w:p>
    <w:p w14:paraId="7035B7BC"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5E460A54" w14:textId="77777777" w:rsidR="006A6BC8" w:rsidRDefault="006A6BC8" w:rsidP="00441B6F">
      <w:pPr>
        <w:pStyle w:val="BodyText3"/>
        <w:tabs>
          <w:tab w:val="left" w:pos="1080"/>
        </w:tabs>
        <w:spacing w:after="0"/>
        <w:ind w:left="1080" w:hanging="1080"/>
        <w:jc w:val="both"/>
        <w:rPr>
          <w:rFonts w:ascii="Arial" w:hAnsi="Arial"/>
          <w:b/>
          <w:sz w:val="20"/>
          <w:szCs w:val="20"/>
        </w:rPr>
      </w:pPr>
    </w:p>
    <w:p w14:paraId="1F447704" w14:textId="31D300CB" w:rsidR="006A6BC8" w:rsidRDefault="006A6BC8" w:rsidP="006A6BC8">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6A6BC8">
        <w:rPr>
          <w:rFonts w:ascii="Arial" w:hAnsi="Arial" w:cs="Arial"/>
          <w:b/>
          <w:sz w:val="22"/>
        </w:rPr>
        <w:t>Bivariable associations with transfer</w:t>
      </w:r>
    </w:p>
    <w:p w14:paraId="209695F1" w14:textId="77777777" w:rsidR="006A6BC8" w:rsidRDefault="006A6BC8" w:rsidP="006A6BC8">
      <w:pPr>
        <w:pStyle w:val="Body"/>
        <w:spacing w:after="0"/>
        <w:rPr>
          <w:rFonts w:ascii="Arial" w:hAnsi="Arial" w:cs="Arial"/>
          <w:b/>
          <w:sz w:val="22"/>
        </w:rPr>
      </w:pPr>
    </w:p>
    <w:p w14:paraId="43CFFE74" w14:textId="77777777" w:rsidR="006A6BC8" w:rsidRPr="006A6BC8" w:rsidRDefault="006A6BC8" w:rsidP="006A6BC8">
      <w:pPr>
        <w:pStyle w:val="Body"/>
        <w:rPr>
          <w:rFonts w:ascii="Arial" w:hAnsi="Arial" w:cs="Arial"/>
          <w:bCs/>
        </w:rPr>
      </w:pPr>
      <w:r w:rsidRPr="006A6BC8">
        <w:rPr>
          <w:rFonts w:ascii="Arial" w:hAnsi="Arial" w:cs="Arial"/>
          <w:bCs/>
        </w:rPr>
        <w:t>Among continuous variables, pulse rate was the only factor significantly associated with transfer status (F = 5.224, P = .023). Age (P = .111), oxygen saturation (P = .141), respiratory rate (P = .970), and temperature (P = .674) were not significant.</w:t>
      </w:r>
    </w:p>
    <w:p w14:paraId="28964DDF" w14:textId="7597F8A4" w:rsidR="00704DAB" w:rsidRDefault="006A6BC8" w:rsidP="00441B6F">
      <w:pPr>
        <w:pStyle w:val="Body"/>
        <w:spacing w:after="0"/>
        <w:rPr>
          <w:rFonts w:ascii="Arial" w:hAnsi="Arial" w:cs="Arial"/>
          <w:bCs/>
        </w:rPr>
      </w:pPr>
      <w:r w:rsidRPr="006A6BC8">
        <w:rPr>
          <w:rFonts w:ascii="Arial" w:hAnsi="Arial" w:cs="Arial"/>
          <w:bCs/>
        </w:rPr>
        <w:t xml:space="preserve">Among categorical variables, level of consciousness was significantly associated with transfer status (chi-square = 14.079, df = 2, P = .003). Specialist-related service availability was strongly associated with transfer (chi-square = 94.989, df = 1, P &lt; .001), as was CT/MRI </w:t>
      </w:r>
      <w:r w:rsidRPr="006A6BC8">
        <w:rPr>
          <w:rFonts w:ascii="Arial" w:hAnsi="Arial" w:cs="Arial"/>
          <w:bCs/>
        </w:rPr>
        <w:lastRenderedPageBreak/>
        <w:t>availability (chi-square = 13.705, df = 1, P &lt; .001). Day of admission also showed a significant association (chi-square = 16.579, df = 2, P &lt; .001), with a higher proportion of transfers on public holidays. Sex, diabetes, cardiac disease, respiratory disease, kidney disease, subspecialty availability, ICU availability, and time of admission were not significant. The main bivariable findings are presented in Table 2.</w:t>
      </w:r>
    </w:p>
    <w:p w14:paraId="70233F98" w14:textId="77777777" w:rsidR="00704DAB" w:rsidRDefault="00704DAB" w:rsidP="00441B6F">
      <w:pPr>
        <w:pStyle w:val="Body"/>
        <w:spacing w:after="0"/>
        <w:rPr>
          <w:rFonts w:ascii="Arial" w:hAnsi="Arial" w:cs="Arial"/>
        </w:rPr>
      </w:pPr>
    </w:p>
    <w:p w14:paraId="3CAC32C2" w14:textId="009F787A" w:rsidR="006A6BC8" w:rsidRDefault="006A6BC8" w:rsidP="006A6BC8">
      <w:pPr>
        <w:tabs>
          <w:tab w:val="left" w:pos="1080"/>
        </w:tabs>
        <w:jc w:val="both"/>
        <w:rPr>
          <w:rFonts w:ascii="Arial" w:hAnsi="Arial"/>
          <w:b/>
        </w:rPr>
      </w:pPr>
      <w:r>
        <w:rPr>
          <w:rFonts w:ascii="Arial" w:hAnsi="Arial"/>
          <w:b/>
        </w:rPr>
        <w:t xml:space="preserve">Table </w:t>
      </w:r>
      <w:r w:rsidR="00704DAB">
        <w:rPr>
          <w:rFonts w:ascii="Arial" w:hAnsi="Arial"/>
          <w:b/>
        </w:rPr>
        <w:t>2</w:t>
      </w:r>
      <w:r>
        <w:rPr>
          <w:rFonts w:ascii="Arial" w:hAnsi="Arial"/>
          <w:b/>
        </w:rPr>
        <w:t xml:space="preserve">. </w:t>
      </w:r>
      <w:r w:rsidR="00704DAB" w:rsidRPr="00704DAB">
        <w:rPr>
          <w:rFonts w:ascii="Arial" w:hAnsi="Arial"/>
          <w:b/>
        </w:rPr>
        <w:t>Main bivariable associations with transfer status</w:t>
      </w:r>
    </w:p>
    <w:p w14:paraId="7B21E9C6" w14:textId="77777777" w:rsidR="006A6BC8" w:rsidRDefault="006A6BC8" w:rsidP="00441B6F">
      <w:pPr>
        <w:pStyle w:val="Body"/>
        <w:spacing w:after="0"/>
        <w:rPr>
          <w:rFonts w:ascii="Arial" w:hAnsi="Arial" w:cs="Arial"/>
        </w:rPr>
      </w:pPr>
    </w:p>
    <w:tbl>
      <w:tblPr>
        <w:tblW w:w="832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480"/>
        <w:gridCol w:w="2428"/>
        <w:gridCol w:w="1710"/>
        <w:gridCol w:w="1710"/>
      </w:tblGrid>
      <w:tr w:rsidR="00704DAB" w:rsidRPr="00DC3180" w14:paraId="17801EBE" w14:textId="34B68D0B" w:rsidTr="001F12E3">
        <w:trPr>
          <w:trHeight w:val="305"/>
          <w:jc w:val="center"/>
        </w:trPr>
        <w:tc>
          <w:tcPr>
            <w:tcW w:w="2480" w:type="dxa"/>
            <w:tcBorders>
              <w:bottom w:val="single" w:sz="4" w:space="0" w:color="auto"/>
            </w:tcBorders>
          </w:tcPr>
          <w:p w14:paraId="0D8FAC90" w14:textId="00D78F7C" w:rsidR="00704DAB" w:rsidRPr="00DC3180" w:rsidRDefault="00EF75A9" w:rsidP="00740874">
            <w:pPr>
              <w:spacing w:line="276" w:lineRule="auto"/>
              <w:jc w:val="center"/>
              <w:rPr>
                <w:rFonts w:ascii="Arial" w:hAnsi="Arial"/>
                <w:b/>
                <w:bCs/>
              </w:rPr>
            </w:pPr>
            <w:r>
              <w:rPr>
                <w:rFonts w:ascii="Arial" w:hAnsi="Arial"/>
                <w:b/>
                <w:bCs/>
              </w:rPr>
              <w:t xml:space="preserve">Variable </w:t>
            </w:r>
          </w:p>
        </w:tc>
        <w:tc>
          <w:tcPr>
            <w:tcW w:w="2428" w:type="dxa"/>
            <w:tcBorders>
              <w:bottom w:val="single" w:sz="4" w:space="0" w:color="auto"/>
            </w:tcBorders>
          </w:tcPr>
          <w:p w14:paraId="5BDBBA1F" w14:textId="357F516F" w:rsidR="00704DAB" w:rsidRPr="00DC3180" w:rsidRDefault="00EF75A9" w:rsidP="00740874">
            <w:pPr>
              <w:spacing w:line="276" w:lineRule="auto"/>
              <w:jc w:val="center"/>
              <w:rPr>
                <w:rFonts w:ascii="Arial" w:hAnsi="Arial"/>
                <w:b/>
                <w:bCs/>
              </w:rPr>
            </w:pPr>
            <w:r>
              <w:rPr>
                <w:rFonts w:ascii="Arial" w:hAnsi="Arial"/>
                <w:b/>
                <w:bCs/>
              </w:rPr>
              <w:t xml:space="preserve">Statistic </w:t>
            </w:r>
          </w:p>
        </w:tc>
        <w:tc>
          <w:tcPr>
            <w:tcW w:w="1710" w:type="dxa"/>
            <w:tcBorders>
              <w:bottom w:val="single" w:sz="4" w:space="0" w:color="auto"/>
            </w:tcBorders>
          </w:tcPr>
          <w:p w14:paraId="6B8AD98A" w14:textId="411C7580" w:rsidR="00704DAB" w:rsidRDefault="00704DAB" w:rsidP="00740874">
            <w:pPr>
              <w:spacing w:line="276" w:lineRule="auto"/>
              <w:jc w:val="center"/>
              <w:rPr>
                <w:rFonts w:ascii="Arial" w:hAnsi="Arial"/>
                <w:b/>
                <w:bCs/>
              </w:rPr>
            </w:pPr>
            <w:r>
              <w:rPr>
                <w:rFonts w:ascii="Arial" w:hAnsi="Arial"/>
                <w:b/>
                <w:bCs/>
              </w:rPr>
              <w:t xml:space="preserve">P value </w:t>
            </w:r>
          </w:p>
        </w:tc>
        <w:tc>
          <w:tcPr>
            <w:tcW w:w="1710" w:type="dxa"/>
            <w:tcBorders>
              <w:bottom w:val="single" w:sz="4" w:space="0" w:color="auto"/>
            </w:tcBorders>
          </w:tcPr>
          <w:p w14:paraId="5A4DA188" w14:textId="12795235" w:rsidR="00704DAB" w:rsidRDefault="00704DAB" w:rsidP="00740874">
            <w:pPr>
              <w:spacing w:line="276" w:lineRule="auto"/>
              <w:jc w:val="center"/>
              <w:rPr>
                <w:rFonts w:ascii="Arial" w:hAnsi="Arial"/>
                <w:b/>
                <w:bCs/>
              </w:rPr>
            </w:pPr>
            <w:r>
              <w:rPr>
                <w:rFonts w:ascii="Arial" w:hAnsi="Arial"/>
                <w:b/>
                <w:bCs/>
              </w:rPr>
              <w:t xml:space="preserve">Interpretation </w:t>
            </w:r>
          </w:p>
        </w:tc>
      </w:tr>
      <w:tr w:rsidR="00704DAB" w:rsidRPr="00DC3180" w14:paraId="2D5CD816" w14:textId="6F3AC3A2" w:rsidTr="001F12E3">
        <w:trPr>
          <w:trHeight w:val="286"/>
          <w:jc w:val="center"/>
          <w:hidden/>
        </w:trPr>
        <w:tc>
          <w:tcPr>
            <w:tcW w:w="2480" w:type="dxa"/>
            <w:tcBorders>
              <w:bottom w:val="nil"/>
            </w:tcBorders>
          </w:tcPr>
          <w:p w14:paraId="29280C95" w14:textId="77777777" w:rsidR="00704DAB" w:rsidRPr="00704DAB" w:rsidRDefault="00704DAB" w:rsidP="00740874">
            <w:pPr>
              <w:spacing w:line="276" w:lineRule="auto"/>
              <w:jc w:val="both"/>
              <w:rPr>
                <w:rFonts w:ascii="Arial" w:hAnsi="Arial"/>
                <w:vanish/>
              </w:rPr>
            </w:pPr>
          </w:p>
          <w:p w14:paraId="00777465" w14:textId="51D6D704" w:rsidR="00704DAB" w:rsidRPr="00DC3180" w:rsidRDefault="00704DAB" w:rsidP="00740874">
            <w:pPr>
              <w:spacing w:line="276" w:lineRule="auto"/>
              <w:jc w:val="both"/>
              <w:rPr>
                <w:rFonts w:ascii="Arial" w:hAnsi="Arial"/>
                <w:b/>
                <w:bCs/>
              </w:rPr>
            </w:pPr>
            <w:r w:rsidRPr="00704DAB">
              <w:rPr>
                <w:rFonts w:ascii="Arial" w:hAnsi="Arial"/>
              </w:rPr>
              <w:t>Pulse rate</w:t>
            </w:r>
            <w:r>
              <w:rPr>
                <w:rFonts w:ascii="Arial" w:hAnsi="Arial"/>
                <w:b/>
                <w:bCs/>
              </w:rPr>
              <w:t xml:space="preserve"> </w:t>
            </w:r>
          </w:p>
        </w:tc>
        <w:tc>
          <w:tcPr>
            <w:tcW w:w="2428" w:type="dxa"/>
            <w:tcBorders>
              <w:bottom w:val="nil"/>
            </w:tcBorders>
          </w:tcPr>
          <w:p w14:paraId="01B8E604" w14:textId="5C31F209" w:rsidR="00704DAB" w:rsidRPr="006A6BC8" w:rsidRDefault="00676ED1" w:rsidP="00740874">
            <w:pPr>
              <w:spacing w:line="276" w:lineRule="auto"/>
              <w:jc w:val="both"/>
              <w:rPr>
                <w:rFonts w:ascii="Arial" w:hAnsi="Arial"/>
              </w:rPr>
            </w:pPr>
            <w:r>
              <w:rPr>
                <w:rFonts w:ascii="Arial" w:hAnsi="Arial"/>
              </w:rPr>
              <w:t xml:space="preserve">F = 5.224 </w:t>
            </w:r>
          </w:p>
        </w:tc>
        <w:tc>
          <w:tcPr>
            <w:tcW w:w="1710" w:type="dxa"/>
            <w:tcBorders>
              <w:bottom w:val="nil"/>
            </w:tcBorders>
          </w:tcPr>
          <w:p w14:paraId="4F9CC967" w14:textId="4DC26605" w:rsidR="00704DAB" w:rsidRPr="006A6BC8" w:rsidRDefault="00704DAB" w:rsidP="00740874">
            <w:pPr>
              <w:spacing w:line="276" w:lineRule="auto"/>
              <w:jc w:val="both"/>
              <w:rPr>
                <w:rFonts w:ascii="Arial" w:hAnsi="Arial"/>
              </w:rPr>
            </w:pPr>
            <w:r>
              <w:rPr>
                <w:rFonts w:ascii="Arial" w:hAnsi="Arial"/>
              </w:rPr>
              <w:t>0.023</w:t>
            </w:r>
          </w:p>
        </w:tc>
        <w:tc>
          <w:tcPr>
            <w:tcW w:w="1710" w:type="dxa"/>
            <w:tcBorders>
              <w:bottom w:val="nil"/>
            </w:tcBorders>
          </w:tcPr>
          <w:p w14:paraId="3C7006E7" w14:textId="199EFACB" w:rsidR="00704DAB" w:rsidRPr="006A6BC8" w:rsidRDefault="00704DAB" w:rsidP="00740874">
            <w:pPr>
              <w:spacing w:line="276" w:lineRule="auto"/>
              <w:jc w:val="both"/>
              <w:rPr>
                <w:rFonts w:ascii="Arial" w:hAnsi="Arial"/>
              </w:rPr>
            </w:pPr>
            <w:r>
              <w:rPr>
                <w:rFonts w:ascii="Arial" w:hAnsi="Arial"/>
              </w:rPr>
              <w:t xml:space="preserve">Significant </w:t>
            </w:r>
          </w:p>
        </w:tc>
      </w:tr>
      <w:tr w:rsidR="00704DAB" w:rsidRPr="00DC3180" w14:paraId="57793CEA" w14:textId="30C598DF" w:rsidTr="001F12E3">
        <w:trPr>
          <w:trHeight w:val="305"/>
          <w:jc w:val="center"/>
        </w:trPr>
        <w:tc>
          <w:tcPr>
            <w:tcW w:w="2480" w:type="dxa"/>
            <w:tcBorders>
              <w:top w:val="nil"/>
              <w:bottom w:val="nil"/>
            </w:tcBorders>
          </w:tcPr>
          <w:p w14:paraId="5DDA7E8B" w14:textId="31970EFB" w:rsidR="00704DAB" w:rsidRPr="00DC3180" w:rsidRDefault="00704DAB" w:rsidP="00740874">
            <w:pPr>
              <w:spacing w:line="276" w:lineRule="auto"/>
              <w:jc w:val="both"/>
              <w:rPr>
                <w:rFonts w:ascii="Arial" w:hAnsi="Arial" w:cs="Arial"/>
                <w:vanish/>
              </w:rPr>
            </w:pPr>
            <w:r>
              <w:rPr>
                <w:rFonts w:ascii="Arial" w:hAnsi="Arial" w:cs="Arial"/>
              </w:rPr>
              <w:t xml:space="preserve">Level of consciousness </w:t>
            </w:r>
          </w:p>
          <w:p w14:paraId="2235950B" w14:textId="77777777" w:rsidR="00704DAB" w:rsidRPr="00DC3180" w:rsidRDefault="00704DAB" w:rsidP="00740874">
            <w:pPr>
              <w:spacing w:line="276" w:lineRule="auto"/>
              <w:jc w:val="both"/>
              <w:rPr>
                <w:rFonts w:ascii="Arial" w:hAnsi="Arial" w:cs="Arial"/>
              </w:rPr>
            </w:pPr>
          </w:p>
        </w:tc>
        <w:tc>
          <w:tcPr>
            <w:tcW w:w="2428" w:type="dxa"/>
            <w:tcBorders>
              <w:top w:val="nil"/>
              <w:bottom w:val="nil"/>
            </w:tcBorders>
          </w:tcPr>
          <w:p w14:paraId="7CA3906C" w14:textId="198B8D89" w:rsidR="00704DAB" w:rsidRPr="00DC3180" w:rsidRDefault="001F12E3" w:rsidP="00740874">
            <w:pPr>
              <w:spacing w:line="276" w:lineRule="auto"/>
              <w:jc w:val="both"/>
              <w:rPr>
                <w:rFonts w:ascii="Arial" w:hAnsi="Arial" w:cs="Arial"/>
                <w:vanish/>
              </w:rPr>
            </w:pPr>
            <w:r>
              <w:t>χ² = 14.079, df = 2</w:t>
            </w:r>
          </w:p>
          <w:p w14:paraId="29E87FBD" w14:textId="77777777" w:rsidR="00704DAB" w:rsidRPr="00DC3180" w:rsidRDefault="00704DAB" w:rsidP="00740874">
            <w:pPr>
              <w:spacing w:line="276" w:lineRule="auto"/>
              <w:jc w:val="both"/>
              <w:rPr>
                <w:rFonts w:ascii="Arial" w:hAnsi="Arial"/>
              </w:rPr>
            </w:pPr>
          </w:p>
        </w:tc>
        <w:tc>
          <w:tcPr>
            <w:tcW w:w="1710" w:type="dxa"/>
            <w:tcBorders>
              <w:top w:val="nil"/>
              <w:bottom w:val="nil"/>
            </w:tcBorders>
          </w:tcPr>
          <w:p w14:paraId="60D1AA39" w14:textId="23832DE8" w:rsidR="00704DAB" w:rsidRDefault="00704DAB" w:rsidP="00740874">
            <w:pPr>
              <w:spacing w:line="276" w:lineRule="auto"/>
              <w:jc w:val="both"/>
              <w:rPr>
                <w:rFonts w:ascii="Arial" w:hAnsi="Arial" w:cs="Arial"/>
              </w:rPr>
            </w:pPr>
            <w:r>
              <w:rPr>
                <w:rFonts w:ascii="Arial" w:hAnsi="Arial" w:cs="Arial"/>
              </w:rPr>
              <w:t xml:space="preserve">0.003 </w:t>
            </w:r>
          </w:p>
        </w:tc>
        <w:tc>
          <w:tcPr>
            <w:tcW w:w="1710" w:type="dxa"/>
            <w:tcBorders>
              <w:top w:val="nil"/>
              <w:bottom w:val="nil"/>
            </w:tcBorders>
          </w:tcPr>
          <w:p w14:paraId="27866B65" w14:textId="35A8933D" w:rsidR="00704DAB" w:rsidRDefault="00704DAB" w:rsidP="00740874">
            <w:pPr>
              <w:spacing w:line="276" w:lineRule="auto"/>
              <w:jc w:val="both"/>
              <w:rPr>
                <w:rFonts w:ascii="Arial" w:hAnsi="Arial" w:cs="Arial"/>
              </w:rPr>
            </w:pPr>
            <w:r w:rsidRPr="00704DAB">
              <w:rPr>
                <w:rFonts w:ascii="Arial" w:hAnsi="Arial" w:cs="Arial"/>
              </w:rPr>
              <w:t xml:space="preserve">Significant </w:t>
            </w:r>
          </w:p>
        </w:tc>
      </w:tr>
      <w:tr w:rsidR="00704DAB" w:rsidRPr="00DC3180" w14:paraId="263A16D1" w14:textId="6AD2C6FF" w:rsidTr="001F12E3">
        <w:trPr>
          <w:trHeight w:val="305"/>
          <w:jc w:val="center"/>
        </w:trPr>
        <w:tc>
          <w:tcPr>
            <w:tcW w:w="2480" w:type="dxa"/>
            <w:tcBorders>
              <w:top w:val="nil"/>
              <w:bottom w:val="nil"/>
            </w:tcBorders>
          </w:tcPr>
          <w:p w14:paraId="6122D33E" w14:textId="7C50F1F8" w:rsidR="00704DAB" w:rsidRPr="00DC3180" w:rsidRDefault="00704DAB" w:rsidP="00740874">
            <w:pPr>
              <w:spacing w:line="276" w:lineRule="auto"/>
              <w:jc w:val="both"/>
              <w:rPr>
                <w:rFonts w:ascii="Arial" w:hAnsi="Arial"/>
              </w:rPr>
            </w:pPr>
            <w:r>
              <w:rPr>
                <w:rFonts w:ascii="Arial" w:hAnsi="Arial"/>
              </w:rPr>
              <w:t xml:space="preserve">Specialist-related service availability </w:t>
            </w:r>
          </w:p>
        </w:tc>
        <w:tc>
          <w:tcPr>
            <w:tcW w:w="2428" w:type="dxa"/>
            <w:tcBorders>
              <w:top w:val="nil"/>
              <w:bottom w:val="nil"/>
            </w:tcBorders>
          </w:tcPr>
          <w:p w14:paraId="100EE37E" w14:textId="66EB4311" w:rsidR="00704DAB" w:rsidRPr="00DC3180" w:rsidRDefault="001F12E3" w:rsidP="00740874">
            <w:pPr>
              <w:spacing w:line="276" w:lineRule="auto"/>
              <w:jc w:val="both"/>
              <w:rPr>
                <w:rFonts w:ascii="Arial" w:hAnsi="Arial" w:cs="Arial"/>
              </w:rPr>
            </w:pPr>
            <w:r>
              <w:t>χ² = 94.989, df = 1</w:t>
            </w:r>
          </w:p>
        </w:tc>
        <w:tc>
          <w:tcPr>
            <w:tcW w:w="1710" w:type="dxa"/>
            <w:tcBorders>
              <w:top w:val="nil"/>
              <w:bottom w:val="nil"/>
            </w:tcBorders>
          </w:tcPr>
          <w:p w14:paraId="4882C51F" w14:textId="4D9A5964" w:rsidR="00704DAB" w:rsidRDefault="00704DAB" w:rsidP="00740874">
            <w:pPr>
              <w:spacing w:line="276" w:lineRule="auto"/>
              <w:jc w:val="both"/>
              <w:rPr>
                <w:rFonts w:ascii="Arial" w:hAnsi="Arial" w:cs="Arial"/>
              </w:rPr>
            </w:pPr>
            <w:r>
              <w:rPr>
                <w:rFonts w:ascii="Arial" w:hAnsi="Arial" w:cs="Arial"/>
              </w:rPr>
              <w:t>&lt; 0.001</w:t>
            </w:r>
          </w:p>
        </w:tc>
        <w:tc>
          <w:tcPr>
            <w:tcW w:w="1710" w:type="dxa"/>
            <w:tcBorders>
              <w:top w:val="nil"/>
              <w:bottom w:val="nil"/>
            </w:tcBorders>
          </w:tcPr>
          <w:p w14:paraId="33292584" w14:textId="62B84D68" w:rsidR="00704DAB" w:rsidRDefault="00704DAB" w:rsidP="00740874">
            <w:pPr>
              <w:spacing w:line="276" w:lineRule="auto"/>
              <w:jc w:val="both"/>
              <w:rPr>
                <w:rFonts w:ascii="Arial" w:hAnsi="Arial" w:cs="Arial"/>
              </w:rPr>
            </w:pPr>
            <w:r w:rsidRPr="00704DAB">
              <w:rPr>
                <w:rFonts w:ascii="Arial" w:hAnsi="Arial" w:cs="Arial"/>
              </w:rPr>
              <w:t xml:space="preserve">Significant </w:t>
            </w:r>
          </w:p>
        </w:tc>
      </w:tr>
      <w:tr w:rsidR="00704DAB" w:rsidRPr="00DC3180" w14:paraId="58A9A570" w14:textId="4C90FC9D" w:rsidTr="001F12E3">
        <w:trPr>
          <w:trHeight w:val="305"/>
          <w:jc w:val="center"/>
        </w:trPr>
        <w:tc>
          <w:tcPr>
            <w:tcW w:w="2480" w:type="dxa"/>
            <w:tcBorders>
              <w:top w:val="nil"/>
              <w:bottom w:val="nil"/>
            </w:tcBorders>
          </w:tcPr>
          <w:p w14:paraId="1D8A12B0" w14:textId="5EEC1A10" w:rsidR="00704DAB" w:rsidRPr="00DC3180" w:rsidRDefault="00704DAB" w:rsidP="00740874">
            <w:pPr>
              <w:spacing w:line="276" w:lineRule="auto"/>
              <w:jc w:val="both"/>
              <w:rPr>
                <w:rFonts w:ascii="Arial" w:hAnsi="Arial"/>
              </w:rPr>
            </w:pPr>
            <w:r>
              <w:rPr>
                <w:rFonts w:ascii="Arial" w:hAnsi="Arial"/>
              </w:rPr>
              <w:t xml:space="preserve">CT/ MRI availability </w:t>
            </w:r>
          </w:p>
        </w:tc>
        <w:tc>
          <w:tcPr>
            <w:tcW w:w="2428" w:type="dxa"/>
            <w:tcBorders>
              <w:top w:val="nil"/>
              <w:bottom w:val="nil"/>
            </w:tcBorders>
          </w:tcPr>
          <w:p w14:paraId="54FBBDB5" w14:textId="0F808092" w:rsidR="00704DAB" w:rsidRPr="00DC3180" w:rsidRDefault="001F12E3" w:rsidP="00740874">
            <w:pPr>
              <w:spacing w:line="276" w:lineRule="auto"/>
              <w:jc w:val="both"/>
              <w:rPr>
                <w:rFonts w:ascii="Arial" w:hAnsi="Arial" w:cs="Arial"/>
              </w:rPr>
            </w:pPr>
            <w:r>
              <w:t>χ² = 13.705, df = 1</w:t>
            </w:r>
          </w:p>
        </w:tc>
        <w:tc>
          <w:tcPr>
            <w:tcW w:w="1710" w:type="dxa"/>
            <w:tcBorders>
              <w:top w:val="nil"/>
              <w:bottom w:val="nil"/>
            </w:tcBorders>
          </w:tcPr>
          <w:p w14:paraId="7C38C013" w14:textId="485047B4" w:rsidR="00704DAB" w:rsidRDefault="00704DAB" w:rsidP="00740874">
            <w:pPr>
              <w:spacing w:line="276" w:lineRule="auto"/>
              <w:jc w:val="both"/>
              <w:rPr>
                <w:rFonts w:ascii="Arial" w:hAnsi="Arial" w:cs="Arial"/>
              </w:rPr>
            </w:pPr>
            <w:r w:rsidRPr="00704DAB">
              <w:rPr>
                <w:rFonts w:ascii="Arial" w:hAnsi="Arial" w:cs="Arial"/>
              </w:rPr>
              <w:t>&lt; 0.001</w:t>
            </w:r>
          </w:p>
        </w:tc>
        <w:tc>
          <w:tcPr>
            <w:tcW w:w="1710" w:type="dxa"/>
            <w:tcBorders>
              <w:top w:val="nil"/>
              <w:bottom w:val="nil"/>
            </w:tcBorders>
          </w:tcPr>
          <w:p w14:paraId="7137EDB2" w14:textId="33CA6650" w:rsidR="00704DAB" w:rsidRDefault="00704DAB" w:rsidP="00740874">
            <w:pPr>
              <w:spacing w:line="276" w:lineRule="auto"/>
              <w:jc w:val="both"/>
              <w:rPr>
                <w:rFonts w:ascii="Arial" w:hAnsi="Arial" w:cs="Arial"/>
              </w:rPr>
            </w:pPr>
            <w:r w:rsidRPr="00704DAB">
              <w:rPr>
                <w:rFonts w:ascii="Arial" w:hAnsi="Arial" w:cs="Arial"/>
              </w:rPr>
              <w:t xml:space="preserve">Significant </w:t>
            </w:r>
          </w:p>
        </w:tc>
      </w:tr>
      <w:tr w:rsidR="00704DAB" w:rsidRPr="00DC3180" w14:paraId="3920105A" w14:textId="09A6BDA1" w:rsidTr="001F12E3">
        <w:trPr>
          <w:trHeight w:val="305"/>
          <w:jc w:val="center"/>
        </w:trPr>
        <w:tc>
          <w:tcPr>
            <w:tcW w:w="2480" w:type="dxa"/>
            <w:tcBorders>
              <w:top w:val="nil"/>
              <w:bottom w:val="nil"/>
            </w:tcBorders>
          </w:tcPr>
          <w:p w14:paraId="7F3CADF9" w14:textId="2100E247" w:rsidR="00704DAB" w:rsidRPr="00DC3180" w:rsidRDefault="00704DAB" w:rsidP="00740874">
            <w:pPr>
              <w:spacing w:line="276" w:lineRule="auto"/>
              <w:jc w:val="both"/>
              <w:rPr>
                <w:rFonts w:ascii="Arial" w:hAnsi="Arial"/>
              </w:rPr>
            </w:pPr>
            <w:r>
              <w:rPr>
                <w:rFonts w:ascii="Arial" w:hAnsi="Arial"/>
              </w:rPr>
              <w:t xml:space="preserve">Day of admission </w:t>
            </w:r>
          </w:p>
        </w:tc>
        <w:tc>
          <w:tcPr>
            <w:tcW w:w="2428" w:type="dxa"/>
            <w:tcBorders>
              <w:top w:val="nil"/>
              <w:bottom w:val="nil"/>
            </w:tcBorders>
          </w:tcPr>
          <w:p w14:paraId="55EB2610" w14:textId="1BC54C8B" w:rsidR="00704DAB" w:rsidRPr="00DC3180" w:rsidRDefault="001F12E3" w:rsidP="00740874">
            <w:pPr>
              <w:spacing w:line="276" w:lineRule="auto"/>
              <w:jc w:val="both"/>
              <w:rPr>
                <w:rFonts w:ascii="Arial" w:hAnsi="Arial" w:cs="Arial"/>
              </w:rPr>
            </w:pPr>
            <w:r>
              <w:t>χ² = 16.579, df = 2</w:t>
            </w:r>
          </w:p>
        </w:tc>
        <w:tc>
          <w:tcPr>
            <w:tcW w:w="1710" w:type="dxa"/>
            <w:tcBorders>
              <w:top w:val="nil"/>
              <w:bottom w:val="nil"/>
            </w:tcBorders>
          </w:tcPr>
          <w:p w14:paraId="76BC64F9" w14:textId="53DAE40D" w:rsidR="00704DAB" w:rsidRDefault="00704DAB" w:rsidP="00740874">
            <w:pPr>
              <w:spacing w:line="276" w:lineRule="auto"/>
              <w:jc w:val="both"/>
              <w:rPr>
                <w:rFonts w:ascii="Arial" w:hAnsi="Arial" w:cs="Arial"/>
              </w:rPr>
            </w:pPr>
            <w:r w:rsidRPr="00704DAB">
              <w:rPr>
                <w:rFonts w:ascii="Arial" w:hAnsi="Arial" w:cs="Arial"/>
              </w:rPr>
              <w:t>&lt; 0.001</w:t>
            </w:r>
          </w:p>
        </w:tc>
        <w:tc>
          <w:tcPr>
            <w:tcW w:w="1710" w:type="dxa"/>
            <w:tcBorders>
              <w:top w:val="nil"/>
              <w:bottom w:val="nil"/>
            </w:tcBorders>
          </w:tcPr>
          <w:p w14:paraId="5CC5759F" w14:textId="57C1550E" w:rsidR="00704DAB" w:rsidRDefault="00704DAB" w:rsidP="00740874">
            <w:pPr>
              <w:spacing w:line="276" w:lineRule="auto"/>
              <w:jc w:val="both"/>
              <w:rPr>
                <w:rFonts w:ascii="Arial" w:hAnsi="Arial" w:cs="Arial"/>
              </w:rPr>
            </w:pPr>
            <w:r w:rsidRPr="00704DAB">
              <w:rPr>
                <w:rFonts w:ascii="Arial" w:hAnsi="Arial" w:cs="Arial"/>
              </w:rPr>
              <w:t xml:space="preserve">Significant </w:t>
            </w:r>
          </w:p>
        </w:tc>
      </w:tr>
    </w:tbl>
    <w:p w14:paraId="33F7A76C" w14:textId="77777777" w:rsidR="006A6BC8" w:rsidRDefault="006A6BC8" w:rsidP="00441B6F">
      <w:pPr>
        <w:pStyle w:val="Body"/>
        <w:spacing w:after="0"/>
        <w:rPr>
          <w:rFonts w:ascii="Arial" w:hAnsi="Arial" w:cs="Arial"/>
        </w:rPr>
      </w:pPr>
    </w:p>
    <w:p w14:paraId="13D04145" w14:textId="77777777" w:rsidR="006A6BC8" w:rsidRDefault="006A6BC8" w:rsidP="00441B6F">
      <w:pPr>
        <w:pStyle w:val="Body"/>
        <w:spacing w:after="0"/>
        <w:rPr>
          <w:rFonts w:ascii="Arial" w:hAnsi="Arial" w:cs="Arial"/>
        </w:rPr>
      </w:pPr>
    </w:p>
    <w:p w14:paraId="186DD975" w14:textId="77777777" w:rsidR="006A6BC8" w:rsidRDefault="006A6BC8" w:rsidP="00441B6F">
      <w:pPr>
        <w:pStyle w:val="Body"/>
        <w:spacing w:after="0"/>
        <w:rPr>
          <w:rFonts w:ascii="Arial" w:hAnsi="Arial" w:cs="Arial"/>
        </w:rPr>
      </w:pPr>
    </w:p>
    <w:p w14:paraId="790F4D1E" w14:textId="7AC7D030" w:rsidR="00704DAB" w:rsidRDefault="00704DAB" w:rsidP="00704DAB">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704DAB">
        <w:rPr>
          <w:rFonts w:ascii="Arial" w:hAnsi="Arial" w:cs="Arial"/>
          <w:b/>
          <w:sz w:val="22"/>
        </w:rPr>
        <w:t>Multivariable model and predictive performance</w:t>
      </w:r>
    </w:p>
    <w:p w14:paraId="5B0E6AC3" w14:textId="77777777" w:rsidR="00704DAB" w:rsidRDefault="00704DAB" w:rsidP="00704DAB">
      <w:pPr>
        <w:pStyle w:val="Body"/>
        <w:spacing w:after="0"/>
        <w:rPr>
          <w:rFonts w:ascii="Arial" w:hAnsi="Arial" w:cs="Arial"/>
          <w:b/>
          <w:sz w:val="22"/>
        </w:rPr>
      </w:pPr>
    </w:p>
    <w:p w14:paraId="2A76BB89" w14:textId="4D578DC6" w:rsidR="00EF75A9" w:rsidRDefault="00EF75A9" w:rsidP="00704DAB">
      <w:pPr>
        <w:pStyle w:val="Body"/>
        <w:spacing w:after="0"/>
        <w:rPr>
          <w:rFonts w:ascii="Arial" w:hAnsi="Arial" w:cs="Arial"/>
          <w:bCs/>
        </w:rPr>
      </w:pPr>
      <w:r w:rsidRPr="00EF75A9">
        <w:rPr>
          <w:rFonts w:ascii="Arial" w:hAnsi="Arial" w:cs="Arial"/>
          <w:bCs/>
        </w:rPr>
        <w:t xml:space="preserve">The logistic regression model showed a significant improvement over the constant-only model (omnibus chi-square = 192.742, df = 21, P &lt; .001). The Cox and Snell </w:t>
      </w:r>
      <w:r>
        <w:rPr>
          <w:rFonts w:ascii="Arial" w:hAnsi="Arial" w:cs="Arial"/>
          <w:bCs/>
        </w:rPr>
        <w:t>R-squared</w:t>
      </w:r>
      <w:r w:rsidRPr="00EF75A9">
        <w:rPr>
          <w:rFonts w:ascii="Arial" w:hAnsi="Arial" w:cs="Arial"/>
          <w:bCs/>
        </w:rPr>
        <w:t xml:space="preserve"> was 0.474, while the Nagelkerke </w:t>
      </w:r>
      <w:r>
        <w:rPr>
          <w:rFonts w:ascii="Arial" w:hAnsi="Arial" w:cs="Arial"/>
          <w:bCs/>
        </w:rPr>
        <w:t>R-squared</w:t>
      </w:r>
      <w:r w:rsidRPr="00EF75A9">
        <w:rPr>
          <w:rFonts w:ascii="Arial" w:hAnsi="Arial" w:cs="Arial"/>
          <w:bCs/>
        </w:rPr>
        <w:t xml:space="preserve"> was 0.728, indicating that the model explained a substantial proportion of the variation in transfer outcome. In the adjusted analysis, institutional factors remained the strongest predictors of transfer. </w:t>
      </w:r>
      <w:r w:rsidR="009F47EA" w:rsidRPr="009F47EA">
        <w:rPr>
          <w:rFonts w:ascii="Arial" w:hAnsi="Arial" w:cs="Arial"/>
          <w:bCs/>
        </w:rPr>
        <w:t>A specialist-related service constraint was associated with markedly increased odds of transfer (</w:t>
      </w:r>
      <w:proofErr w:type="spellStart"/>
      <w:r w:rsidR="009F47EA" w:rsidRPr="009F47EA">
        <w:rPr>
          <w:rFonts w:ascii="Arial" w:hAnsi="Arial" w:cs="Arial"/>
          <w:bCs/>
        </w:rPr>
        <w:t>aOR</w:t>
      </w:r>
      <w:proofErr w:type="spellEnd"/>
      <w:r w:rsidR="009F47EA" w:rsidRPr="009F47EA">
        <w:rPr>
          <w:rFonts w:ascii="Arial" w:hAnsi="Arial" w:cs="Arial"/>
          <w:bCs/>
        </w:rPr>
        <w:t xml:space="preserve"> 1032.45, approximate 95% CI 126.08–8459.79; P &lt; .001). However, the wide confidence interval suggests imprecision in the estimated effect size</w:t>
      </w:r>
      <w:r w:rsidR="00FF611E">
        <w:rPr>
          <w:rFonts w:ascii="Arial" w:hAnsi="Arial" w:cs="Arial"/>
          <w:bCs/>
        </w:rPr>
        <w:t xml:space="preserve">. </w:t>
      </w:r>
      <w:r w:rsidRPr="00EF75A9">
        <w:rPr>
          <w:rFonts w:ascii="Arial" w:hAnsi="Arial" w:cs="Arial"/>
          <w:bCs/>
        </w:rPr>
        <w:t>Similarly, CT/MRI-related constraint (OR 10.69, P &lt; .001) and admission on a public holiday (OR 50.98, P &lt; .001) were also significant predictors. Among clinical variables, semi-conscious state, compared with unconscious state, remained statistically significant (OR 0.26, P = .044), whereas other physiological measures and comorbidities were not significant after adjustment. These adjusted predictors are presented in Table 3.</w:t>
      </w:r>
      <w:r>
        <w:rPr>
          <w:rFonts w:ascii="Arial" w:hAnsi="Arial" w:cs="Arial"/>
          <w:bCs/>
        </w:rPr>
        <w:t xml:space="preserve"> </w:t>
      </w:r>
    </w:p>
    <w:p w14:paraId="340B6574" w14:textId="77777777" w:rsidR="00704DAB" w:rsidRDefault="00704DAB" w:rsidP="00704DAB">
      <w:pPr>
        <w:pStyle w:val="Body"/>
        <w:spacing w:after="0"/>
        <w:rPr>
          <w:rFonts w:ascii="Arial" w:hAnsi="Arial" w:cs="Arial"/>
        </w:rPr>
      </w:pPr>
    </w:p>
    <w:p w14:paraId="343FE50A" w14:textId="35B64A89" w:rsidR="00704DAB" w:rsidRDefault="00704DAB" w:rsidP="00704DAB">
      <w:pPr>
        <w:tabs>
          <w:tab w:val="left" w:pos="1080"/>
        </w:tabs>
        <w:jc w:val="both"/>
        <w:rPr>
          <w:rFonts w:ascii="Arial" w:hAnsi="Arial"/>
          <w:b/>
        </w:rPr>
      </w:pPr>
      <w:r>
        <w:rPr>
          <w:rFonts w:ascii="Arial" w:hAnsi="Arial"/>
          <w:b/>
        </w:rPr>
        <w:t xml:space="preserve">Table </w:t>
      </w:r>
      <w:r w:rsidR="00EF75A9">
        <w:rPr>
          <w:rFonts w:ascii="Arial" w:hAnsi="Arial"/>
          <w:b/>
        </w:rPr>
        <w:t>3</w:t>
      </w:r>
      <w:r>
        <w:rPr>
          <w:rFonts w:ascii="Arial" w:hAnsi="Arial"/>
          <w:b/>
        </w:rPr>
        <w:t xml:space="preserve">. </w:t>
      </w:r>
      <w:r w:rsidR="00EF75A9" w:rsidRPr="00EF75A9">
        <w:rPr>
          <w:rFonts w:ascii="Arial" w:hAnsi="Arial"/>
          <w:b/>
        </w:rPr>
        <w:t>Adjusted predictors of inter-hospital transfer</w:t>
      </w:r>
    </w:p>
    <w:p w14:paraId="12427891" w14:textId="77777777" w:rsidR="00704DAB" w:rsidRDefault="00704DAB" w:rsidP="00704DAB">
      <w:pPr>
        <w:pStyle w:val="Body"/>
        <w:spacing w:after="0"/>
        <w:rPr>
          <w:rFonts w:ascii="Arial" w:hAnsi="Arial" w:cs="Arial"/>
        </w:rPr>
      </w:pPr>
    </w:p>
    <w:tbl>
      <w:tblPr>
        <w:tblW w:w="769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063"/>
        <w:gridCol w:w="1921"/>
        <w:gridCol w:w="1710"/>
      </w:tblGrid>
      <w:tr w:rsidR="00EF75A9" w:rsidRPr="00DC3180" w14:paraId="626C8C62" w14:textId="77777777" w:rsidTr="00676ED1">
        <w:trPr>
          <w:trHeight w:val="305"/>
          <w:jc w:val="center"/>
        </w:trPr>
        <w:tc>
          <w:tcPr>
            <w:tcW w:w="4063" w:type="dxa"/>
            <w:tcBorders>
              <w:bottom w:val="single" w:sz="4" w:space="0" w:color="auto"/>
            </w:tcBorders>
          </w:tcPr>
          <w:p w14:paraId="1B18148A" w14:textId="5CC0BB4A" w:rsidR="00EF75A9" w:rsidRPr="00DC3180" w:rsidRDefault="00EF75A9" w:rsidP="00740874">
            <w:pPr>
              <w:spacing w:line="276" w:lineRule="auto"/>
              <w:jc w:val="center"/>
              <w:rPr>
                <w:rFonts w:ascii="Arial" w:hAnsi="Arial"/>
                <w:b/>
                <w:bCs/>
              </w:rPr>
            </w:pPr>
            <w:r>
              <w:rPr>
                <w:rFonts w:ascii="Arial" w:hAnsi="Arial"/>
                <w:b/>
                <w:bCs/>
              </w:rPr>
              <w:t xml:space="preserve">Predictor </w:t>
            </w:r>
          </w:p>
        </w:tc>
        <w:tc>
          <w:tcPr>
            <w:tcW w:w="1921" w:type="dxa"/>
            <w:tcBorders>
              <w:bottom w:val="single" w:sz="4" w:space="0" w:color="auto"/>
            </w:tcBorders>
          </w:tcPr>
          <w:p w14:paraId="05D8BF03" w14:textId="47D77563" w:rsidR="00EF75A9" w:rsidRPr="00DC3180" w:rsidRDefault="00EF75A9" w:rsidP="00740874">
            <w:pPr>
              <w:spacing w:line="276" w:lineRule="auto"/>
              <w:jc w:val="center"/>
              <w:rPr>
                <w:rFonts w:ascii="Arial" w:hAnsi="Arial"/>
                <w:b/>
                <w:bCs/>
              </w:rPr>
            </w:pPr>
            <w:r>
              <w:rPr>
                <w:rFonts w:ascii="Arial" w:hAnsi="Arial"/>
                <w:b/>
                <w:bCs/>
              </w:rPr>
              <w:t xml:space="preserve">Adjusted odds ratio </w:t>
            </w:r>
          </w:p>
        </w:tc>
        <w:tc>
          <w:tcPr>
            <w:tcW w:w="1710" w:type="dxa"/>
            <w:tcBorders>
              <w:bottom w:val="single" w:sz="4" w:space="0" w:color="auto"/>
            </w:tcBorders>
          </w:tcPr>
          <w:p w14:paraId="67249780" w14:textId="77777777" w:rsidR="00EF75A9" w:rsidRDefault="00EF75A9" w:rsidP="00740874">
            <w:pPr>
              <w:spacing w:line="276" w:lineRule="auto"/>
              <w:jc w:val="center"/>
              <w:rPr>
                <w:rFonts w:ascii="Arial" w:hAnsi="Arial"/>
                <w:b/>
                <w:bCs/>
              </w:rPr>
            </w:pPr>
            <w:r>
              <w:rPr>
                <w:rFonts w:ascii="Arial" w:hAnsi="Arial"/>
                <w:b/>
                <w:bCs/>
              </w:rPr>
              <w:t xml:space="preserve">P value </w:t>
            </w:r>
          </w:p>
        </w:tc>
      </w:tr>
      <w:tr w:rsidR="00EF75A9" w:rsidRPr="00DC3180" w14:paraId="17284730" w14:textId="77777777" w:rsidTr="00676ED1">
        <w:trPr>
          <w:trHeight w:val="286"/>
          <w:jc w:val="center"/>
        </w:trPr>
        <w:tc>
          <w:tcPr>
            <w:tcW w:w="4063" w:type="dxa"/>
            <w:tcBorders>
              <w:bottom w:val="nil"/>
            </w:tcBorders>
          </w:tcPr>
          <w:p w14:paraId="6BFE86B6" w14:textId="28ABF8D1" w:rsidR="00EF75A9" w:rsidRPr="00DC3180" w:rsidRDefault="00EF75A9" w:rsidP="00740874">
            <w:pPr>
              <w:spacing w:line="276" w:lineRule="auto"/>
              <w:jc w:val="both"/>
              <w:rPr>
                <w:rFonts w:ascii="Arial" w:hAnsi="Arial"/>
                <w:b/>
                <w:bCs/>
              </w:rPr>
            </w:pPr>
            <w:r w:rsidRPr="00EF75A9">
              <w:rPr>
                <w:rFonts w:ascii="Arial" w:hAnsi="Arial"/>
              </w:rPr>
              <w:t>Semi-</w:t>
            </w:r>
            <w:r w:rsidR="00676ED1" w:rsidRPr="00676ED1">
              <w:rPr>
                <w:rFonts w:ascii="Arial" w:hAnsi="Arial"/>
              </w:rPr>
              <w:t>conscious</w:t>
            </w:r>
            <w:r w:rsidRPr="00EF75A9">
              <w:rPr>
                <w:rFonts w:ascii="Arial" w:hAnsi="Arial"/>
              </w:rPr>
              <w:t xml:space="preserve"> vs un</w:t>
            </w:r>
            <w:r w:rsidR="00676ED1" w:rsidRPr="00676ED1">
              <w:rPr>
                <w:rFonts w:ascii="Arial" w:hAnsi="Arial"/>
              </w:rPr>
              <w:t>conscious</w:t>
            </w:r>
            <w:r w:rsidRPr="00EF75A9">
              <w:rPr>
                <w:rFonts w:ascii="Arial" w:hAnsi="Arial"/>
                <w:vanish/>
              </w:rPr>
              <w:t>Semi-conscious vs unconscious</w:t>
            </w:r>
          </w:p>
        </w:tc>
        <w:tc>
          <w:tcPr>
            <w:tcW w:w="1921" w:type="dxa"/>
            <w:tcBorders>
              <w:bottom w:val="nil"/>
            </w:tcBorders>
          </w:tcPr>
          <w:p w14:paraId="1E82E124" w14:textId="7CA91AAD" w:rsidR="00EF75A9" w:rsidRPr="006A6BC8" w:rsidRDefault="00EF75A9" w:rsidP="00740874">
            <w:pPr>
              <w:spacing w:line="276" w:lineRule="auto"/>
              <w:jc w:val="both"/>
              <w:rPr>
                <w:rFonts w:ascii="Arial" w:hAnsi="Arial"/>
              </w:rPr>
            </w:pPr>
            <w:r>
              <w:rPr>
                <w:rFonts w:ascii="Arial" w:hAnsi="Arial"/>
              </w:rPr>
              <w:t>0.26</w:t>
            </w:r>
          </w:p>
        </w:tc>
        <w:tc>
          <w:tcPr>
            <w:tcW w:w="1710" w:type="dxa"/>
            <w:tcBorders>
              <w:bottom w:val="nil"/>
            </w:tcBorders>
          </w:tcPr>
          <w:p w14:paraId="1E03E0A5" w14:textId="5770E3AB" w:rsidR="00EF75A9" w:rsidRPr="006A6BC8" w:rsidRDefault="00EF75A9" w:rsidP="00740874">
            <w:pPr>
              <w:spacing w:line="276" w:lineRule="auto"/>
              <w:jc w:val="both"/>
              <w:rPr>
                <w:rFonts w:ascii="Arial" w:hAnsi="Arial"/>
              </w:rPr>
            </w:pPr>
            <w:r>
              <w:rPr>
                <w:rFonts w:ascii="Arial" w:hAnsi="Arial"/>
              </w:rPr>
              <w:t>0.044</w:t>
            </w:r>
          </w:p>
        </w:tc>
      </w:tr>
      <w:tr w:rsidR="00EF75A9" w:rsidRPr="00DC3180" w14:paraId="5419D89C" w14:textId="77777777" w:rsidTr="00676ED1">
        <w:trPr>
          <w:trHeight w:val="305"/>
          <w:jc w:val="center"/>
        </w:trPr>
        <w:tc>
          <w:tcPr>
            <w:tcW w:w="4063" w:type="dxa"/>
            <w:tcBorders>
              <w:top w:val="nil"/>
              <w:bottom w:val="nil"/>
            </w:tcBorders>
          </w:tcPr>
          <w:p w14:paraId="4A1E4C3D" w14:textId="3B140CA8" w:rsidR="00EF75A9" w:rsidRPr="00DC3180" w:rsidRDefault="00EF75A9" w:rsidP="00740874">
            <w:pPr>
              <w:spacing w:line="276" w:lineRule="auto"/>
              <w:jc w:val="both"/>
              <w:rPr>
                <w:rFonts w:ascii="Arial" w:hAnsi="Arial" w:cs="Arial"/>
              </w:rPr>
            </w:pPr>
            <w:r w:rsidRPr="00EF75A9">
              <w:rPr>
                <w:rFonts w:ascii="Arial" w:hAnsi="Arial" w:cs="Arial"/>
              </w:rPr>
              <w:t xml:space="preserve">Specialist-related service </w:t>
            </w:r>
            <w:r w:rsidR="00F82220">
              <w:rPr>
                <w:rFonts w:ascii="Arial" w:hAnsi="Arial" w:cs="Arial"/>
              </w:rPr>
              <w:t xml:space="preserve">constraint </w:t>
            </w:r>
          </w:p>
        </w:tc>
        <w:tc>
          <w:tcPr>
            <w:tcW w:w="1921" w:type="dxa"/>
            <w:tcBorders>
              <w:top w:val="nil"/>
              <w:bottom w:val="nil"/>
            </w:tcBorders>
          </w:tcPr>
          <w:p w14:paraId="075F9FB3" w14:textId="3C180980" w:rsidR="00EF75A9" w:rsidRPr="00DC3180" w:rsidRDefault="00EF75A9" w:rsidP="00740874">
            <w:pPr>
              <w:spacing w:line="276" w:lineRule="auto"/>
              <w:jc w:val="both"/>
              <w:rPr>
                <w:rFonts w:ascii="Arial" w:hAnsi="Arial" w:cs="Arial"/>
                <w:vanish/>
              </w:rPr>
            </w:pPr>
            <w:r>
              <w:rPr>
                <w:rFonts w:ascii="Arial" w:hAnsi="Arial" w:cs="Arial"/>
              </w:rPr>
              <w:t>1032.45</w:t>
            </w:r>
            <w:r w:rsidR="00FF611E">
              <w:rPr>
                <w:rFonts w:ascii="Arial" w:hAnsi="Arial" w:cs="Arial"/>
              </w:rPr>
              <w:t>; 95% CI 126.08 – 8459.79</w:t>
            </w:r>
          </w:p>
          <w:p w14:paraId="7A7E39D7" w14:textId="77777777" w:rsidR="00EF75A9" w:rsidRPr="00DC3180" w:rsidRDefault="00EF75A9" w:rsidP="00740874">
            <w:pPr>
              <w:spacing w:line="276" w:lineRule="auto"/>
              <w:jc w:val="both"/>
              <w:rPr>
                <w:rFonts w:ascii="Arial" w:hAnsi="Arial"/>
              </w:rPr>
            </w:pPr>
          </w:p>
        </w:tc>
        <w:tc>
          <w:tcPr>
            <w:tcW w:w="1710" w:type="dxa"/>
            <w:tcBorders>
              <w:top w:val="nil"/>
              <w:bottom w:val="nil"/>
            </w:tcBorders>
          </w:tcPr>
          <w:p w14:paraId="577DE690" w14:textId="47F5857C" w:rsidR="00EF75A9" w:rsidRDefault="00EF75A9" w:rsidP="00740874">
            <w:pPr>
              <w:spacing w:line="276" w:lineRule="auto"/>
              <w:jc w:val="both"/>
              <w:rPr>
                <w:rFonts w:ascii="Arial" w:hAnsi="Arial" w:cs="Arial"/>
              </w:rPr>
            </w:pPr>
            <w:r w:rsidRPr="00EF75A9">
              <w:rPr>
                <w:rFonts w:ascii="Arial" w:hAnsi="Arial" w:cs="Arial"/>
              </w:rPr>
              <w:t>&lt; 0.001</w:t>
            </w:r>
          </w:p>
        </w:tc>
      </w:tr>
      <w:tr w:rsidR="00EF75A9" w:rsidRPr="00DC3180" w14:paraId="261ECEBF" w14:textId="77777777" w:rsidTr="00676ED1">
        <w:trPr>
          <w:trHeight w:val="305"/>
          <w:jc w:val="center"/>
        </w:trPr>
        <w:tc>
          <w:tcPr>
            <w:tcW w:w="4063" w:type="dxa"/>
            <w:tcBorders>
              <w:top w:val="nil"/>
              <w:bottom w:val="nil"/>
            </w:tcBorders>
          </w:tcPr>
          <w:p w14:paraId="7E97CDC8" w14:textId="2EB59D08" w:rsidR="00EF75A9" w:rsidRPr="00DC3180" w:rsidRDefault="00EF75A9" w:rsidP="00740874">
            <w:pPr>
              <w:spacing w:line="276" w:lineRule="auto"/>
              <w:jc w:val="both"/>
              <w:rPr>
                <w:rFonts w:ascii="Arial" w:hAnsi="Arial"/>
              </w:rPr>
            </w:pPr>
            <w:r w:rsidRPr="00EF75A9">
              <w:rPr>
                <w:rFonts w:ascii="Arial" w:hAnsi="Arial"/>
              </w:rPr>
              <w:t>CT/MRI-related constraint</w:t>
            </w:r>
          </w:p>
        </w:tc>
        <w:tc>
          <w:tcPr>
            <w:tcW w:w="1921" w:type="dxa"/>
            <w:tcBorders>
              <w:top w:val="nil"/>
              <w:bottom w:val="nil"/>
            </w:tcBorders>
          </w:tcPr>
          <w:p w14:paraId="20BE6E30" w14:textId="20B55883" w:rsidR="00EF75A9" w:rsidRPr="00DC3180" w:rsidRDefault="00EF75A9" w:rsidP="00740874">
            <w:pPr>
              <w:spacing w:line="276" w:lineRule="auto"/>
              <w:jc w:val="both"/>
              <w:rPr>
                <w:rFonts w:ascii="Arial" w:hAnsi="Arial" w:cs="Arial"/>
              </w:rPr>
            </w:pPr>
            <w:r>
              <w:rPr>
                <w:rFonts w:ascii="Arial" w:hAnsi="Arial" w:cs="Arial"/>
              </w:rPr>
              <w:t>10.69</w:t>
            </w:r>
          </w:p>
        </w:tc>
        <w:tc>
          <w:tcPr>
            <w:tcW w:w="1710" w:type="dxa"/>
            <w:tcBorders>
              <w:top w:val="nil"/>
              <w:bottom w:val="nil"/>
            </w:tcBorders>
          </w:tcPr>
          <w:p w14:paraId="4495FD15" w14:textId="77777777" w:rsidR="00EF75A9" w:rsidRDefault="00EF75A9" w:rsidP="00740874">
            <w:pPr>
              <w:spacing w:line="276" w:lineRule="auto"/>
              <w:jc w:val="both"/>
              <w:rPr>
                <w:rFonts w:ascii="Arial" w:hAnsi="Arial" w:cs="Arial"/>
              </w:rPr>
            </w:pPr>
            <w:r>
              <w:rPr>
                <w:rFonts w:ascii="Arial" w:hAnsi="Arial" w:cs="Arial"/>
              </w:rPr>
              <w:t>&lt; 0.001</w:t>
            </w:r>
          </w:p>
        </w:tc>
      </w:tr>
      <w:tr w:rsidR="00EF75A9" w:rsidRPr="00DC3180" w14:paraId="5BBB1D47" w14:textId="77777777" w:rsidTr="00676ED1">
        <w:trPr>
          <w:trHeight w:val="305"/>
          <w:jc w:val="center"/>
        </w:trPr>
        <w:tc>
          <w:tcPr>
            <w:tcW w:w="4063" w:type="dxa"/>
            <w:tcBorders>
              <w:top w:val="nil"/>
              <w:bottom w:val="nil"/>
            </w:tcBorders>
          </w:tcPr>
          <w:p w14:paraId="06EE2EA3" w14:textId="65E1BDD8" w:rsidR="00EF75A9" w:rsidRPr="00DC3180" w:rsidRDefault="00EF75A9" w:rsidP="00740874">
            <w:pPr>
              <w:spacing w:line="276" w:lineRule="auto"/>
              <w:jc w:val="both"/>
              <w:rPr>
                <w:rFonts w:ascii="Arial" w:hAnsi="Arial"/>
              </w:rPr>
            </w:pPr>
            <w:r w:rsidRPr="00EF75A9">
              <w:rPr>
                <w:rFonts w:ascii="Arial" w:hAnsi="Arial"/>
              </w:rPr>
              <w:t xml:space="preserve">Admission </w:t>
            </w:r>
            <w:r w:rsidR="00FF611E">
              <w:rPr>
                <w:rFonts w:ascii="Arial" w:hAnsi="Arial"/>
              </w:rPr>
              <w:t>during</w:t>
            </w:r>
            <w:r w:rsidRPr="00EF75A9">
              <w:rPr>
                <w:rFonts w:ascii="Arial" w:hAnsi="Arial"/>
              </w:rPr>
              <w:t xml:space="preserve"> public holidays</w:t>
            </w:r>
          </w:p>
        </w:tc>
        <w:tc>
          <w:tcPr>
            <w:tcW w:w="1921" w:type="dxa"/>
            <w:tcBorders>
              <w:top w:val="nil"/>
              <w:bottom w:val="nil"/>
            </w:tcBorders>
          </w:tcPr>
          <w:p w14:paraId="7A7FCDFF" w14:textId="7684C408" w:rsidR="00EF75A9" w:rsidRPr="00DC3180" w:rsidRDefault="00EF75A9" w:rsidP="00740874">
            <w:pPr>
              <w:spacing w:line="276" w:lineRule="auto"/>
              <w:jc w:val="both"/>
              <w:rPr>
                <w:rFonts w:ascii="Arial" w:hAnsi="Arial" w:cs="Arial"/>
              </w:rPr>
            </w:pPr>
            <w:r>
              <w:rPr>
                <w:rFonts w:ascii="Arial" w:hAnsi="Arial" w:cs="Arial"/>
              </w:rPr>
              <w:t>50.98</w:t>
            </w:r>
          </w:p>
        </w:tc>
        <w:tc>
          <w:tcPr>
            <w:tcW w:w="1710" w:type="dxa"/>
            <w:tcBorders>
              <w:top w:val="nil"/>
              <w:bottom w:val="nil"/>
            </w:tcBorders>
          </w:tcPr>
          <w:p w14:paraId="140EA4FA" w14:textId="77777777" w:rsidR="00EF75A9" w:rsidRDefault="00EF75A9" w:rsidP="00740874">
            <w:pPr>
              <w:spacing w:line="276" w:lineRule="auto"/>
              <w:jc w:val="both"/>
              <w:rPr>
                <w:rFonts w:ascii="Arial" w:hAnsi="Arial" w:cs="Arial"/>
              </w:rPr>
            </w:pPr>
            <w:r w:rsidRPr="00704DAB">
              <w:rPr>
                <w:rFonts w:ascii="Arial" w:hAnsi="Arial" w:cs="Arial"/>
              </w:rPr>
              <w:t>&lt; 0.001</w:t>
            </w:r>
          </w:p>
        </w:tc>
      </w:tr>
    </w:tbl>
    <w:p w14:paraId="63E4F3CC" w14:textId="77777777" w:rsidR="00704DAB" w:rsidRDefault="00704DAB" w:rsidP="00704DAB">
      <w:pPr>
        <w:pStyle w:val="Body"/>
        <w:spacing w:after="0"/>
        <w:rPr>
          <w:rFonts w:ascii="Arial" w:hAnsi="Arial" w:cs="Arial"/>
        </w:rPr>
      </w:pPr>
    </w:p>
    <w:p w14:paraId="7DF9520E" w14:textId="77777777" w:rsidR="006A6BC8" w:rsidRDefault="006A6BC8" w:rsidP="00441B6F">
      <w:pPr>
        <w:pStyle w:val="Body"/>
        <w:spacing w:after="0"/>
        <w:rPr>
          <w:rFonts w:ascii="Arial" w:hAnsi="Arial" w:cs="Arial"/>
        </w:rPr>
      </w:pPr>
    </w:p>
    <w:p w14:paraId="59D30590" w14:textId="3AABFF69" w:rsidR="006A6BC8" w:rsidRDefault="00EF75A9" w:rsidP="00441B6F">
      <w:pPr>
        <w:pStyle w:val="Body"/>
        <w:spacing w:after="0"/>
        <w:rPr>
          <w:rFonts w:ascii="Arial" w:hAnsi="Arial" w:cs="Arial"/>
          <w:bCs/>
        </w:rPr>
      </w:pPr>
      <w:r w:rsidRPr="00EF75A9">
        <w:rPr>
          <w:rFonts w:ascii="Arial" w:hAnsi="Arial" w:cs="Arial"/>
          <w:bCs/>
        </w:rPr>
        <w:t>The classification performance of the final model is presented in Table 4. The model correctly identified 94.4% of non-transferred patients and 80.3% of transferred patients. The overall accuracy of the model was 91.3%, while precision, recall, and F1 score were each 80.3%, indicating good overall predictive performance.</w:t>
      </w:r>
    </w:p>
    <w:p w14:paraId="04E64DBF" w14:textId="77777777" w:rsidR="00EF75A9" w:rsidRDefault="00EF75A9" w:rsidP="00441B6F">
      <w:pPr>
        <w:pStyle w:val="Body"/>
        <w:spacing w:after="0"/>
        <w:rPr>
          <w:rFonts w:ascii="Arial" w:hAnsi="Arial" w:cs="Arial"/>
        </w:rPr>
      </w:pPr>
    </w:p>
    <w:p w14:paraId="03E07FCA" w14:textId="77777777" w:rsidR="006A6BC8" w:rsidRDefault="006A6BC8" w:rsidP="00441B6F">
      <w:pPr>
        <w:pStyle w:val="Body"/>
        <w:spacing w:after="0"/>
        <w:rPr>
          <w:rFonts w:ascii="Arial" w:hAnsi="Arial" w:cs="Arial"/>
        </w:rPr>
      </w:pPr>
    </w:p>
    <w:p w14:paraId="4631C11C" w14:textId="77777777" w:rsidR="007B7069" w:rsidRDefault="007B7069" w:rsidP="001E000F">
      <w:pPr>
        <w:tabs>
          <w:tab w:val="left" w:pos="1080"/>
        </w:tabs>
        <w:jc w:val="both"/>
        <w:rPr>
          <w:rFonts w:ascii="Arial" w:hAnsi="Arial"/>
          <w:b/>
        </w:rPr>
      </w:pPr>
    </w:p>
    <w:p w14:paraId="760B0FAD" w14:textId="77777777" w:rsidR="007B7069" w:rsidRDefault="007B7069" w:rsidP="001E000F">
      <w:pPr>
        <w:tabs>
          <w:tab w:val="left" w:pos="1080"/>
        </w:tabs>
        <w:jc w:val="both"/>
        <w:rPr>
          <w:rFonts w:ascii="Arial" w:hAnsi="Arial"/>
          <w:b/>
        </w:rPr>
      </w:pPr>
    </w:p>
    <w:p w14:paraId="70C424C8" w14:textId="06B20233" w:rsidR="006A6BC8" w:rsidRDefault="00EF75A9" w:rsidP="001E000F">
      <w:pPr>
        <w:tabs>
          <w:tab w:val="left" w:pos="1080"/>
        </w:tabs>
        <w:jc w:val="both"/>
        <w:rPr>
          <w:rFonts w:ascii="Arial" w:hAnsi="Arial"/>
          <w:b/>
        </w:rPr>
      </w:pPr>
      <w:r>
        <w:rPr>
          <w:rFonts w:ascii="Arial" w:hAnsi="Arial"/>
          <w:b/>
        </w:rPr>
        <w:t xml:space="preserve">Table </w:t>
      </w:r>
      <w:r w:rsidR="001E000F">
        <w:rPr>
          <w:rFonts w:ascii="Arial" w:hAnsi="Arial"/>
          <w:b/>
        </w:rPr>
        <w:t>4</w:t>
      </w:r>
      <w:r>
        <w:rPr>
          <w:rFonts w:ascii="Arial" w:hAnsi="Arial"/>
          <w:b/>
        </w:rPr>
        <w:t xml:space="preserve">. </w:t>
      </w:r>
      <w:r w:rsidR="001E000F" w:rsidRPr="001E000F">
        <w:rPr>
          <w:rFonts w:ascii="Arial" w:hAnsi="Arial"/>
          <w:b/>
        </w:rPr>
        <w:t>Predictive model performance</w:t>
      </w:r>
    </w:p>
    <w:p w14:paraId="1DA26A5A" w14:textId="77777777" w:rsidR="001E000F" w:rsidRDefault="001E000F" w:rsidP="001E000F">
      <w:pPr>
        <w:tabs>
          <w:tab w:val="left" w:pos="1080"/>
        </w:tabs>
        <w:jc w:val="both"/>
        <w:rPr>
          <w:rFonts w:ascii="Arial" w:hAnsi="Arial" w:cs="Arial"/>
        </w:rPr>
      </w:pPr>
    </w:p>
    <w:tbl>
      <w:tblPr>
        <w:tblW w:w="7607"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5227"/>
        <w:gridCol w:w="2380"/>
      </w:tblGrid>
      <w:tr w:rsidR="001E000F" w:rsidRPr="00DC3180" w14:paraId="1B679619" w14:textId="77777777" w:rsidTr="001E000F">
        <w:trPr>
          <w:trHeight w:val="305"/>
          <w:jc w:val="center"/>
        </w:trPr>
        <w:tc>
          <w:tcPr>
            <w:tcW w:w="5227" w:type="dxa"/>
            <w:tcBorders>
              <w:bottom w:val="single" w:sz="4" w:space="0" w:color="auto"/>
            </w:tcBorders>
          </w:tcPr>
          <w:p w14:paraId="0FCB6646" w14:textId="7FE508FB" w:rsidR="001E000F" w:rsidRPr="00DC3180" w:rsidRDefault="001E000F" w:rsidP="00740874">
            <w:pPr>
              <w:spacing w:line="276" w:lineRule="auto"/>
              <w:jc w:val="center"/>
              <w:rPr>
                <w:rFonts w:ascii="Arial" w:hAnsi="Arial"/>
                <w:b/>
                <w:bCs/>
              </w:rPr>
            </w:pPr>
            <w:r>
              <w:rPr>
                <w:rFonts w:ascii="Arial" w:hAnsi="Arial"/>
                <w:b/>
                <w:bCs/>
              </w:rPr>
              <w:t xml:space="preserve">Performance measure </w:t>
            </w:r>
          </w:p>
        </w:tc>
        <w:tc>
          <w:tcPr>
            <w:tcW w:w="2380" w:type="dxa"/>
            <w:tcBorders>
              <w:bottom w:val="single" w:sz="4" w:space="0" w:color="auto"/>
            </w:tcBorders>
          </w:tcPr>
          <w:p w14:paraId="091F4667" w14:textId="3E6944ED" w:rsidR="001E000F" w:rsidRPr="00DC3180" w:rsidRDefault="001E000F" w:rsidP="00740874">
            <w:pPr>
              <w:spacing w:line="276" w:lineRule="auto"/>
              <w:jc w:val="center"/>
              <w:rPr>
                <w:rFonts w:ascii="Arial" w:hAnsi="Arial"/>
                <w:b/>
                <w:bCs/>
              </w:rPr>
            </w:pPr>
            <w:r>
              <w:rPr>
                <w:rFonts w:ascii="Arial" w:hAnsi="Arial"/>
                <w:b/>
                <w:bCs/>
              </w:rPr>
              <w:t>Percentage (%)</w:t>
            </w:r>
          </w:p>
        </w:tc>
      </w:tr>
      <w:tr w:rsidR="001E000F" w:rsidRPr="00DC3180" w14:paraId="15A29C39" w14:textId="77777777" w:rsidTr="001E000F">
        <w:trPr>
          <w:trHeight w:val="286"/>
          <w:jc w:val="center"/>
        </w:trPr>
        <w:tc>
          <w:tcPr>
            <w:tcW w:w="5227" w:type="dxa"/>
            <w:tcBorders>
              <w:bottom w:val="nil"/>
            </w:tcBorders>
          </w:tcPr>
          <w:p w14:paraId="6FF60A68" w14:textId="2A14F03B" w:rsidR="001E000F" w:rsidRPr="00DC3180" w:rsidRDefault="001E000F" w:rsidP="00740874">
            <w:pPr>
              <w:spacing w:line="276" w:lineRule="auto"/>
              <w:jc w:val="both"/>
              <w:rPr>
                <w:rFonts w:ascii="Arial" w:hAnsi="Arial"/>
                <w:b/>
                <w:bCs/>
              </w:rPr>
            </w:pPr>
            <w:r>
              <w:rPr>
                <w:rFonts w:ascii="Arial" w:hAnsi="Arial"/>
              </w:rPr>
              <w:t xml:space="preserve">Accuracy </w:t>
            </w:r>
            <w:r w:rsidRPr="00EF75A9">
              <w:rPr>
                <w:rFonts w:ascii="Arial" w:hAnsi="Arial"/>
                <w:vanish/>
              </w:rPr>
              <w:t>Semi-conscious vs unconscious</w:t>
            </w:r>
          </w:p>
        </w:tc>
        <w:tc>
          <w:tcPr>
            <w:tcW w:w="2380" w:type="dxa"/>
            <w:tcBorders>
              <w:bottom w:val="nil"/>
            </w:tcBorders>
          </w:tcPr>
          <w:p w14:paraId="4CFA2301" w14:textId="0CB2C9AD" w:rsidR="001E000F" w:rsidRPr="006A6BC8" w:rsidRDefault="001E000F" w:rsidP="00740874">
            <w:pPr>
              <w:spacing w:line="276" w:lineRule="auto"/>
              <w:jc w:val="both"/>
              <w:rPr>
                <w:rFonts w:ascii="Arial" w:hAnsi="Arial"/>
              </w:rPr>
            </w:pPr>
            <w:r>
              <w:rPr>
                <w:rFonts w:ascii="Arial" w:hAnsi="Arial"/>
              </w:rPr>
              <w:t>91.3</w:t>
            </w:r>
          </w:p>
        </w:tc>
      </w:tr>
      <w:tr w:rsidR="001E000F" w:rsidRPr="00DC3180" w14:paraId="1DAD26C4" w14:textId="77777777" w:rsidTr="001E000F">
        <w:trPr>
          <w:trHeight w:val="305"/>
          <w:jc w:val="center"/>
        </w:trPr>
        <w:tc>
          <w:tcPr>
            <w:tcW w:w="5227" w:type="dxa"/>
            <w:tcBorders>
              <w:top w:val="nil"/>
              <w:bottom w:val="nil"/>
            </w:tcBorders>
          </w:tcPr>
          <w:p w14:paraId="1A4FE4A4" w14:textId="72E3A0FB" w:rsidR="001E000F" w:rsidRPr="00DC3180" w:rsidRDefault="001E000F" w:rsidP="00740874">
            <w:pPr>
              <w:spacing w:line="276" w:lineRule="auto"/>
              <w:jc w:val="both"/>
              <w:rPr>
                <w:rFonts w:ascii="Arial" w:hAnsi="Arial" w:cs="Arial"/>
              </w:rPr>
            </w:pPr>
            <w:r>
              <w:rPr>
                <w:rFonts w:ascii="Arial" w:hAnsi="Arial" w:cs="Arial"/>
              </w:rPr>
              <w:t xml:space="preserve">Precision </w:t>
            </w:r>
          </w:p>
        </w:tc>
        <w:tc>
          <w:tcPr>
            <w:tcW w:w="2380" w:type="dxa"/>
            <w:tcBorders>
              <w:top w:val="nil"/>
              <w:bottom w:val="nil"/>
            </w:tcBorders>
          </w:tcPr>
          <w:p w14:paraId="06032852" w14:textId="22FBE111" w:rsidR="001E000F" w:rsidRPr="00DC3180" w:rsidRDefault="001E000F" w:rsidP="00740874">
            <w:pPr>
              <w:spacing w:line="276" w:lineRule="auto"/>
              <w:jc w:val="both"/>
              <w:rPr>
                <w:rFonts w:ascii="Arial" w:hAnsi="Arial" w:cs="Arial"/>
                <w:vanish/>
              </w:rPr>
            </w:pPr>
            <w:r>
              <w:rPr>
                <w:rFonts w:ascii="Arial" w:hAnsi="Arial" w:cs="Arial"/>
              </w:rPr>
              <w:t>80.3</w:t>
            </w:r>
          </w:p>
          <w:p w14:paraId="422E82DE" w14:textId="77777777" w:rsidR="001E000F" w:rsidRPr="00DC3180" w:rsidRDefault="001E000F" w:rsidP="00740874">
            <w:pPr>
              <w:spacing w:line="276" w:lineRule="auto"/>
              <w:jc w:val="both"/>
              <w:rPr>
                <w:rFonts w:ascii="Arial" w:hAnsi="Arial"/>
              </w:rPr>
            </w:pPr>
          </w:p>
        </w:tc>
      </w:tr>
      <w:tr w:rsidR="001E000F" w:rsidRPr="00DC3180" w14:paraId="786146F1" w14:textId="77777777" w:rsidTr="001E000F">
        <w:trPr>
          <w:trHeight w:val="305"/>
          <w:jc w:val="center"/>
        </w:trPr>
        <w:tc>
          <w:tcPr>
            <w:tcW w:w="5227" w:type="dxa"/>
            <w:tcBorders>
              <w:top w:val="nil"/>
              <w:bottom w:val="nil"/>
            </w:tcBorders>
          </w:tcPr>
          <w:p w14:paraId="16B4EF71" w14:textId="3D02F380" w:rsidR="001E000F" w:rsidRPr="00DC3180" w:rsidRDefault="001E000F" w:rsidP="00740874">
            <w:pPr>
              <w:spacing w:line="276" w:lineRule="auto"/>
              <w:jc w:val="both"/>
              <w:rPr>
                <w:rFonts w:ascii="Arial" w:hAnsi="Arial"/>
              </w:rPr>
            </w:pPr>
            <w:r>
              <w:rPr>
                <w:rFonts w:ascii="Arial" w:hAnsi="Arial"/>
              </w:rPr>
              <w:t xml:space="preserve">Recall </w:t>
            </w:r>
          </w:p>
        </w:tc>
        <w:tc>
          <w:tcPr>
            <w:tcW w:w="2380" w:type="dxa"/>
            <w:tcBorders>
              <w:top w:val="nil"/>
              <w:bottom w:val="nil"/>
            </w:tcBorders>
          </w:tcPr>
          <w:p w14:paraId="36528B68" w14:textId="143E55AD" w:rsidR="001E000F" w:rsidRPr="00DC3180" w:rsidRDefault="001E000F" w:rsidP="00740874">
            <w:pPr>
              <w:spacing w:line="276" w:lineRule="auto"/>
              <w:jc w:val="both"/>
              <w:rPr>
                <w:rFonts w:ascii="Arial" w:hAnsi="Arial" w:cs="Arial"/>
              </w:rPr>
            </w:pPr>
            <w:r w:rsidRPr="001E000F">
              <w:rPr>
                <w:rFonts w:ascii="Arial" w:hAnsi="Arial" w:cs="Arial"/>
              </w:rPr>
              <w:t>80.3</w:t>
            </w:r>
          </w:p>
        </w:tc>
      </w:tr>
      <w:tr w:rsidR="001E000F" w:rsidRPr="00DC3180" w14:paraId="002C5F89" w14:textId="77777777" w:rsidTr="001E000F">
        <w:trPr>
          <w:trHeight w:val="73"/>
          <w:jc w:val="center"/>
        </w:trPr>
        <w:tc>
          <w:tcPr>
            <w:tcW w:w="5227" w:type="dxa"/>
            <w:tcBorders>
              <w:top w:val="nil"/>
              <w:bottom w:val="nil"/>
            </w:tcBorders>
          </w:tcPr>
          <w:p w14:paraId="46EB7A72" w14:textId="0977FC70" w:rsidR="001E000F" w:rsidRPr="00DC3180" w:rsidRDefault="001E000F" w:rsidP="00740874">
            <w:pPr>
              <w:spacing w:line="276" w:lineRule="auto"/>
              <w:jc w:val="both"/>
              <w:rPr>
                <w:rFonts w:ascii="Arial" w:hAnsi="Arial"/>
              </w:rPr>
            </w:pPr>
            <w:r>
              <w:rPr>
                <w:rFonts w:ascii="Arial" w:hAnsi="Arial"/>
              </w:rPr>
              <w:t xml:space="preserve">F1 score </w:t>
            </w:r>
          </w:p>
        </w:tc>
        <w:tc>
          <w:tcPr>
            <w:tcW w:w="2380" w:type="dxa"/>
            <w:tcBorders>
              <w:top w:val="nil"/>
              <w:bottom w:val="nil"/>
            </w:tcBorders>
          </w:tcPr>
          <w:p w14:paraId="52C53AA9" w14:textId="76CE2E45" w:rsidR="001E000F" w:rsidRPr="00DC3180" w:rsidRDefault="001E000F" w:rsidP="00740874">
            <w:pPr>
              <w:spacing w:line="276" w:lineRule="auto"/>
              <w:jc w:val="both"/>
              <w:rPr>
                <w:rFonts w:ascii="Arial" w:hAnsi="Arial" w:cs="Arial"/>
              </w:rPr>
            </w:pPr>
            <w:r w:rsidRPr="001E000F">
              <w:rPr>
                <w:rFonts w:ascii="Arial" w:hAnsi="Arial" w:cs="Arial"/>
              </w:rPr>
              <w:t>80.3</w:t>
            </w:r>
          </w:p>
        </w:tc>
      </w:tr>
    </w:tbl>
    <w:p w14:paraId="2E6DAD85" w14:textId="77777777" w:rsidR="001F12E3" w:rsidRDefault="001F12E3" w:rsidP="001E000F">
      <w:pPr>
        <w:pStyle w:val="Body"/>
        <w:spacing w:after="0"/>
        <w:rPr>
          <w:rFonts w:ascii="Arial" w:hAnsi="Arial" w:cs="Arial"/>
          <w:b/>
          <w:caps/>
          <w:sz w:val="22"/>
        </w:rPr>
      </w:pPr>
    </w:p>
    <w:p w14:paraId="490B266B" w14:textId="77777777" w:rsidR="001F12E3" w:rsidRDefault="001F12E3" w:rsidP="001E000F">
      <w:pPr>
        <w:pStyle w:val="Body"/>
        <w:spacing w:after="0"/>
        <w:rPr>
          <w:rFonts w:ascii="Arial" w:hAnsi="Arial" w:cs="Arial"/>
          <w:b/>
          <w:caps/>
          <w:sz w:val="22"/>
        </w:rPr>
      </w:pPr>
    </w:p>
    <w:p w14:paraId="59F1BA96" w14:textId="57BB5726" w:rsidR="001E000F" w:rsidRDefault="001E000F" w:rsidP="001E000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1E000F">
        <w:rPr>
          <w:rFonts w:ascii="Arial" w:hAnsi="Arial" w:cs="Arial"/>
          <w:b/>
          <w:sz w:val="22"/>
        </w:rPr>
        <w:t>Qualitative insights</w:t>
      </w:r>
    </w:p>
    <w:p w14:paraId="29900115" w14:textId="77777777" w:rsidR="001E000F" w:rsidRDefault="001E000F" w:rsidP="001E000F">
      <w:pPr>
        <w:pStyle w:val="Body"/>
        <w:spacing w:after="0"/>
        <w:rPr>
          <w:rFonts w:ascii="Arial" w:hAnsi="Arial" w:cs="Arial"/>
          <w:b/>
          <w:sz w:val="22"/>
        </w:rPr>
      </w:pPr>
    </w:p>
    <w:p w14:paraId="2D8023AF" w14:textId="2C96F806" w:rsidR="006A6BC8" w:rsidRDefault="001E000F" w:rsidP="00441B6F">
      <w:pPr>
        <w:pStyle w:val="Body"/>
        <w:spacing w:after="0"/>
        <w:rPr>
          <w:rFonts w:ascii="Arial" w:hAnsi="Arial" w:cs="Arial"/>
        </w:rPr>
      </w:pPr>
      <w:r w:rsidRPr="001E000F">
        <w:rPr>
          <w:rFonts w:ascii="Arial" w:hAnsi="Arial" w:cs="Arial"/>
          <w:bCs/>
        </w:rPr>
        <w:t>Interview respondents repeatedly described advanced imaging, specialist access, and holiday coverage as the most important operational drivers of transfer. They emphasized that definitive diagnosis was often difficult without CT or MRI and that limited consultant availability during holidays reduced the hospital’s capacity to continue care safely. These accounts were consistent with the quantitative findings and suggest that transfer decisions were strongly shaped by service limitations rather than by demographic characteristics alone.</w:t>
      </w:r>
    </w:p>
    <w:p w14:paraId="550DC5A5" w14:textId="763D684A" w:rsidR="00927834" w:rsidRDefault="00927834" w:rsidP="00441B6F">
      <w:pPr>
        <w:autoSpaceDE w:val="0"/>
        <w:autoSpaceDN w:val="0"/>
        <w:adjustRightInd w:val="0"/>
        <w:jc w:val="both"/>
        <w:rPr>
          <w:rFonts w:ascii="Arial" w:hAnsi="Arial" w:cs="Arial"/>
          <w:b/>
          <w:bCs/>
          <w:sz w:val="22"/>
          <w:szCs w:val="22"/>
        </w:rPr>
      </w:pPr>
    </w:p>
    <w:p w14:paraId="0B18B2B0" w14:textId="62815856" w:rsidR="001E000F" w:rsidRDefault="001E000F" w:rsidP="00441B6F">
      <w:pPr>
        <w:autoSpaceDE w:val="0"/>
        <w:autoSpaceDN w:val="0"/>
        <w:adjustRightInd w:val="0"/>
        <w:jc w:val="both"/>
        <w:rPr>
          <w:rFonts w:ascii="Arial" w:hAnsi="Arial" w:cs="Arial"/>
          <w:b/>
          <w:bCs/>
          <w:sz w:val="22"/>
          <w:szCs w:val="22"/>
        </w:rPr>
      </w:pPr>
    </w:p>
    <w:p w14:paraId="3ED7E56B" w14:textId="77777777" w:rsidR="001E000F" w:rsidRDefault="001E000F" w:rsidP="00441B6F">
      <w:pPr>
        <w:autoSpaceDE w:val="0"/>
        <w:autoSpaceDN w:val="0"/>
        <w:adjustRightInd w:val="0"/>
        <w:jc w:val="both"/>
        <w:rPr>
          <w:rFonts w:ascii="Arial" w:hAnsi="Arial" w:cs="Arial"/>
          <w:b/>
          <w:bCs/>
          <w:sz w:val="22"/>
          <w:szCs w:val="22"/>
        </w:rPr>
      </w:pPr>
    </w:p>
    <w:p w14:paraId="0595521C" w14:textId="3A4D58CC" w:rsidR="001E000F" w:rsidRDefault="001E000F" w:rsidP="001E000F">
      <w:pPr>
        <w:pStyle w:val="Head1"/>
        <w:spacing w:after="0"/>
        <w:jc w:val="both"/>
        <w:rPr>
          <w:rFonts w:ascii="Arial" w:hAnsi="Arial" w:cs="Arial"/>
        </w:rPr>
      </w:pPr>
      <w:r>
        <w:rPr>
          <w:rFonts w:ascii="Arial" w:hAnsi="Arial" w:cs="Arial"/>
        </w:rPr>
        <w:t xml:space="preserve">4. </w:t>
      </w:r>
      <w:r w:rsidR="00A7518E">
        <w:rPr>
          <w:rFonts w:ascii="Arial" w:hAnsi="Arial" w:cs="Arial"/>
        </w:rPr>
        <w:t>Discussion</w:t>
      </w:r>
    </w:p>
    <w:p w14:paraId="2DEF87B3" w14:textId="77777777" w:rsidR="001E000F" w:rsidRDefault="001E000F" w:rsidP="00441B6F">
      <w:pPr>
        <w:autoSpaceDE w:val="0"/>
        <w:autoSpaceDN w:val="0"/>
        <w:adjustRightInd w:val="0"/>
        <w:jc w:val="both"/>
        <w:rPr>
          <w:rFonts w:ascii="Arial" w:hAnsi="Arial" w:cs="Arial"/>
          <w:b/>
          <w:bCs/>
          <w:sz w:val="22"/>
          <w:szCs w:val="22"/>
        </w:rPr>
      </w:pPr>
    </w:p>
    <w:p w14:paraId="0C642648" w14:textId="77777777" w:rsidR="00927834" w:rsidRDefault="00927834" w:rsidP="00441B6F">
      <w:pPr>
        <w:autoSpaceDE w:val="0"/>
        <w:autoSpaceDN w:val="0"/>
        <w:adjustRightInd w:val="0"/>
        <w:jc w:val="both"/>
        <w:rPr>
          <w:rFonts w:ascii="Arial" w:hAnsi="Arial" w:cs="Arial"/>
          <w:b/>
          <w:bCs/>
          <w:szCs w:val="22"/>
        </w:rPr>
      </w:pPr>
    </w:p>
    <w:p w14:paraId="51575C2E" w14:textId="5655A904" w:rsidR="0067457C" w:rsidRPr="0067457C" w:rsidRDefault="0067457C" w:rsidP="0067457C">
      <w:pPr>
        <w:pStyle w:val="Body"/>
        <w:rPr>
          <w:rFonts w:ascii="Arial" w:hAnsi="Arial" w:cs="Arial"/>
          <w:bCs/>
        </w:rPr>
      </w:pPr>
      <w:r w:rsidRPr="0067457C">
        <w:rPr>
          <w:rFonts w:ascii="Arial" w:hAnsi="Arial" w:cs="Arial"/>
          <w:bCs/>
        </w:rPr>
        <w:t>This study showed that inter-hospital transfer from a secondary-level public hospital in Sri Lanka was influenced mainly by institutional service constraints. Limited specialist cover, restricted CT/MRI access, and admission on public holidays were the strongest predictors, whereas most demographic variables and comorbidities were not independently associated with transfer. The model showed high overall accuracy with a reasonable balance between precision and recall.</w:t>
      </w:r>
    </w:p>
    <w:p w14:paraId="60FC69C5" w14:textId="50B045C7" w:rsidR="0067457C" w:rsidRPr="0067457C" w:rsidRDefault="0067457C" w:rsidP="0067457C">
      <w:pPr>
        <w:pStyle w:val="Body"/>
        <w:rPr>
          <w:rFonts w:ascii="Arial" w:hAnsi="Arial" w:cs="Arial"/>
          <w:bCs/>
        </w:rPr>
      </w:pPr>
      <w:r w:rsidRPr="0067457C">
        <w:rPr>
          <w:rFonts w:ascii="Arial" w:hAnsi="Arial" w:cs="Arial"/>
          <w:bCs/>
        </w:rPr>
        <w:t>The demographic findings were broadly consistent with previous literature, in which transferred patients tended to be slightly older, although age did not remain significant after adjustment. Sex also showed no independent effect. In this setting, the hospital’s ability to provide the required service at the required time appeared to matter more than demographic characteristics alone.</w:t>
      </w:r>
    </w:p>
    <w:p w14:paraId="1E9E29CB" w14:textId="5F1D4D31" w:rsidR="0067457C" w:rsidRPr="0067457C" w:rsidRDefault="0067457C" w:rsidP="0067457C">
      <w:pPr>
        <w:pStyle w:val="Body"/>
        <w:rPr>
          <w:rFonts w:ascii="Arial" w:hAnsi="Arial" w:cs="Arial"/>
          <w:bCs/>
        </w:rPr>
      </w:pPr>
      <w:r w:rsidRPr="0067457C">
        <w:rPr>
          <w:rFonts w:ascii="Arial" w:hAnsi="Arial" w:cs="Arial"/>
          <w:bCs/>
        </w:rPr>
        <w:t>Clinical condition still had some relevance. Level of consciousness was associated with transfer, and semi-conscious state remained significant in the adjusted model. This is clinically plausible because altered consciousness often increases the need for closer monitoring, advanced imaging, and specialist input. However, most physiological variables lost significance after adjustment, suggesting that bedside clinical instability alone did not fully explain transfer decisions.</w:t>
      </w:r>
    </w:p>
    <w:p w14:paraId="4A0B5F7E" w14:textId="37238B34" w:rsidR="0067457C" w:rsidRPr="0067457C" w:rsidRDefault="0067457C" w:rsidP="0067457C">
      <w:pPr>
        <w:pStyle w:val="Body"/>
        <w:rPr>
          <w:rFonts w:ascii="Arial" w:hAnsi="Arial" w:cs="Arial"/>
          <w:bCs/>
        </w:rPr>
      </w:pPr>
      <w:r w:rsidRPr="0067457C">
        <w:rPr>
          <w:rFonts w:ascii="Arial" w:hAnsi="Arial" w:cs="Arial"/>
          <w:bCs/>
        </w:rPr>
        <w:t xml:space="preserve">The strongest finding was the effect of specialist-related service limitation. This supports previous evidence showing that lack of specialist access is a common reason for referrals from lower-level hospitals (Wright et al., 2024). In the present setting, interview respondents also described difficulty in maintaining uninterrupted specialist cover, especially during </w:t>
      </w:r>
      <w:r w:rsidRPr="0067457C">
        <w:rPr>
          <w:rFonts w:ascii="Arial" w:hAnsi="Arial" w:cs="Arial"/>
          <w:bCs/>
        </w:rPr>
        <w:lastRenderedPageBreak/>
        <w:t xml:space="preserve">holidays. However, the very large odds ratio and wide confidence interval suggest that the magnitude of this effect should be interpreted cautiously. This may reflect sparse-data bias, instability related to low cell counts or separation in some categories, and possible overfitting due to the number of predictors relative to the number of transfer events (Devika et al., 2016; </w:t>
      </w:r>
      <w:proofErr w:type="spellStart"/>
      <w:r w:rsidRPr="0067457C">
        <w:rPr>
          <w:rFonts w:ascii="Arial" w:hAnsi="Arial" w:cs="Arial"/>
          <w:bCs/>
        </w:rPr>
        <w:t>Mansournia</w:t>
      </w:r>
      <w:proofErr w:type="spellEnd"/>
      <w:r w:rsidRPr="0067457C">
        <w:rPr>
          <w:rFonts w:ascii="Arial" w:hAnsi="Arial" w:cs="Arial"/>
          <w:bCs/>
        </w:rPr>
        <w:t xml:space="preserve"> et al., 2018). Therefore, this result should be interpreted as evidence of a strong association rather than a precise estimate of effect size.</w:t>
      </w:r>
    </w:p>
    <w:p w14:paraId="16B1455D" w14:textId="438BF810" w:rsidR="0067457C" w:rsidRPr="0067457C" w:rsidRDefault="0067457C" w:rsidP="0067457C">
      <w:pPr>
        <w:pStyle w:val="Body"/>
        <w:rPr>
          <w:rFonts w:ascii="Arial" w:hAnsi="Arial" w:cs="Arial"/>
          <w:bCs/>
        </w:rPr>
      </w:pPr>
      <w:r w:rsidRPr="0067457C">
        <w:rPr>
          <w:rFonts w:ascii="Arial" w:hAnsi="Arial" w:cs="Arial"/>
          <w:bCs/>
        </w:rPr>
        <w:t>Restricted access to CT/MRI was another major determinant of transfer. This finding is important because advanced imaging is often essential for definitive diagnosis and further management. Similarly, the strong association with public holiday admission suggests that transfer activity was shaped by fluctuations in service readiness across the week. This is a practical systems issue for hospital managers. Strengthening duty rosters, formalizing on-call arrangements, or using telehealth-guided provider-to-provider communication during holidays may reduce avoidable transfer while maintaining patient safety, particularly in lower-resource or geographically constrained settings (Totten et al., 2024). Communication is also central to safe transfer processes, and recent systematic review evidence has highlighted continuing interfacility communication challenges that may affect transfer quality (</w:t>
      </w:r>
      <w:proofErr w:type="spellStart"/>
      <w:r w:rsidRPr="0067457C">
        <w:rPr>
          <w:rFonts w:ascii="Arial" w:hAnsi="Arial" w:cs="Arial"/>
          <w:bCs/>
        </w:rPr>
        <w:t>Galatzan</w:t>
      </w:r>
      <w:proofErr w:type="spellEnd"/>
      <w:r w:rsidRPr="0067457C">
        <w:rPr>
          <w:rFonts w:ascii="Arial" w:hAnsi="Arial" w:cs="Arial"/>
          <w:bCs/>
        </w:rPr>
        <w:t xml:space="preserve"> et al., 2024).</w:t>
      </w:r>
    </w:p>
    <w:p w14:paraId="13B48469" w14:textId="20A1F0EA" w:rsidR="0067457C" w:rsidRPr="0067457C" w:rsidRDefault="0067457C" w:rsidP="0067457C">
      <w:pPr>
        <w:pStyle w:val="Body"/>
        <w:rPr>
          <w:rFonts w:ascii="Arial" w:hAnsi="Arial" w:cs="Arial"/>
          <w:bCs/>
        </w:rPr>
      </w:pPr>
      <w:r w:rsidRPr="0067457C">
        <w:rPr>
          <w:rFonts w:ascii="Arial" w:hAnsi="Arial" w:cs="Arial"/>
          <w:bCs/>
        </w:rPr>
        <w:t>From a policy perspective, the findings suggest that efforts to reduce unnecessary transfer should focus first on service readiness in secondary hospitals. Even modest improvements in specialist availability, diagnostic access, referral coordination, and holiday cover may reduce avoidable transfer if they address the same operational barriers identified in this study.</w:t>
      </w:r>
    </w:p>
    <w:p w14:paraId="116CFD3E" w14:textId="0F487C33" w:rsidR="007B7069" w:rsidRDefault="0067457C" w:rsidP="0067457C">
      <w:pPr>
        <w:pStyle w:val="Body"/>
        <w:rPr>
          <w:rFonts w:ascii="Arial" w:hAnsi="Arial" w:cs="Arial"/>
          <w:bCs/>
        </w:rPr>
      </w:pPr>
      <w:r w:rsidRPr="0067457C">
        <w:rPr>
          <w:rFonts w:ascii="Arial" w:hAnsi="Arial" w:cs="Arial"/>
          <w:bCs/>
        </w:rPr>
        <w:t xml:space="preserve">This study has limitations. It relied on retrospective routine records and is therefore subject to incomplete documentation and possible coding inconsistencies. It was conducted in a single hospital, which limits generalizability, and external validation of the predictive model has not yet been performed, although such validation is important before wider use of prediction models (Collins et al., 2024). Some predictor categories were sparse, which may have produced unstable regression coefficients and inflated odds ratios. In addition, the number of predictors in the multivariable model may have been high relative to the number of transfer events, increasing the possibility of overfitting and reducing the stability of out-of-sample performance (Austin and </w:t>
      </w:r>
      <w:proofErr w:type="spellStart"/>
      <w:r w:rsidRPr="0067457C">
        <w:rPr>
          <w:rFonts w:ascii="Arial" w:hAnsi="Arial" w:cs="Arial"/>
          <w:bCs/>
        </w:rPr>
        <w:t>Steyerberg</w:t>
      </w:r>
      <w:proofErr w:type="spellEnd"/>
      <w:r w:rsidRPr="0067457C">
        <w:rPr>
          <w:rFonts w:ascii="Arial" w:hAnsi="Arial" w:cs="Arial"/>
          <w:bCs/>
        </w:rPr>
        <w:t>, 2017). Transfer appropriateness was also inferred from recorded factors and operational context rather than judged against an external gold standard.</w:t>
      </w:r>
    </w:p>
    <w:p w14:paraId="2700B76E" w14:textId="77777777" w:rsidR="0067457C" w:rsidRDefault="0067457C" w:rsidP="0067457C">
      <w:pPr>
        <w:pStyle w:val="Body"/>
        <w:rPr>
          <w:rFonts w:ascii="Arial" w:hAnsi="Arial" w:cs="Arial"/>
          <w:bCs/>
        </w:rPr>
      </w:pPr>
    </w:p>
    <w:p w14:paraId="709863C8" w14:textId="71E2BC69" w:rsidR="00A7518E" w:rsidRDefault="00A7518E" w:rsidP="00A7518E">
      <w:pPr>
        <w:pStyle w:val="Head1"/>
        <w:spacing w:after="0"/>
        <w:jc w:val="both"/>
        <w:rPr>
          <w:rFonts w:ascii="Arial" w:hAnsi="Arial" w:cs="Arial"/>
        </w:rPr>
      </w:pPr>
      <w:r>
        <w:rPr>
          <w:rFonts w:ascii="Arial" w:hAnsi="Arial" w:cs="Arial"/>
        </w:rPr>
        <w:t xml:space="preserve">5. Conclusion </w:t>
      </w:r>
    </w:p>
    <w:p w14:paraId="2DFE92A6" w14:textId="77777777" w:rsidR="00790ADA" w:rsidRPr="00FB3A86" w:rsidRDefault="00790ADA" w:rsidP="00441B6F">
      <w:pPr>
        <w:pStyle w:val="ConcHead"/>
        <w:spacing w:after="0"/>
        <w:jc w:val="both"/>
        <w:rPr>
          <w:rFonts w:ascii="Arial" w:hAnsi="Arial" w:cs="Arial"/>
        </w:rPr>
      </w:pPr>
    </w:p>
    <w:p w14:paraId="1A4CC2B9" w14:textId="705B8D17" w:rsidR="00B01FCD" w:rsidRDefault="001E000F" w:rsidP="00441B6F">
      <w:pPr>
        <w:pStyle w:val="Body"/>
        <w:spacing w:after="0"/>
        <w:rPr>
          <w:rFonts w:ascii="Arial" w:hAnsi="Arial" w:cs="Arial"/>
        </w:rPr>
      </w:pPr>
      <w:r w:rsidRPr="001E000F">
        <w:rPr>
          <w:rFonts w:ascii="Arial" w:hAnsi="Arial" w:cs="Arial"/>
        </w:rPr>
        <w:t>Inter-hospital transfer from this secondary-level hospital was driven mainly by institutional service constraints. Specialist-related limitations, restricted CT/MRI access, and admission on public holidays were the most important predictors, while most demographic and comorbidity variables were not independently predictive. The final model showed strong performance and may help administrators anticipate transfer demand, target scarce resources more effectively, and identify modifiable system barriers. Strengthening specialist coverage, diagnostic capacity, and holiday service arrangements may reduce avoidable transfers and improve continuity of care.</w:t>
      </w:r>
    </w:p>
    <w:p w14:paraId="0EB78C19" w14:textId="77777777" w:rsidR="001E000F" w:rsidRDefault="001E000F" w:rsidP="00441B6F">
      <w:pPr>
        <w:pStyle w:val="Body"/>
        <w:spacing w:after="0"/>
        <w:rPr>
          <w:rFonts w:ascii="Arial" w:hAnsi="Arial" w:cs="Arial"/>
        </w:rPr>
      </w:pPr>
    </w:p>
    <w:p w14:paraId="0DD6F393" w14:textId="77777777" w:rsidR="00790ADA" w:rsidRPr="00FB3A86" w:rsidRDefault="00790ADA" w:rsidP="00441B6F">
      <w:pPr>
        <w:pStyle w:val="Body"/>
        <w:spacing w:after="0"/>
        <w:rPr>
          <w:rFonts w:ascii="Arial" w:hAnsi="Arial" w:cs="Arial"/>
        </w:rPr>
      </w:pPr>
    </w:p>
    <w:p w14:paraId="0A4B0301" w14:textId="77777777" w:rsidR="00B01FCD" w:rsidRDefault="00B01FCD" w:rsidP="00441B6F">
      <w:pPr>
        <w:pStyle w:val="AcknHead"/>
        <w:spacing w:after="0"/>
        <w:jc w:val="both"/>
        <w:rPr>
          <w:rFonts w:ascii="Arial" w:hAnsi="Arial" w:cs="Arial"/>
        </w:rPr>
      </w:pPr>
      <w:r w:rsidRPr="00FB3A86">
        <w:rPr>
          <w:rFonts w:ascii="Arial" w:hAnsi="Arial" w:cs="Arial"/>
        </w:rPr>
        <w:lastRenderedPageBreak/>
        <w:t>Acknowledg</w:t>
      </w:r>
      <w:r w:rsidR="003E2904">
        <w:rPr>
          <w:rFonts w:ascii="Arial" w:hAnsi="Arial" w:cs="Arial"/>
        </w:rPr>
        <w:t>E</w:t>
      </w:r>
      <w:r w:rsidRPr="00FB3A86">
        <w:rPr>
          <w:rFonts w:ascii="Arial" w:hAnsi="Arial" w:cs="Arial"/>
        </w:rPr>
        <w:t>ments</w:t>
      </w:r>
    </w:p>
    <w:p w14:paraId="7ABF0478" w14:textId="77777777" w:rsidR="00790ADA" w:rsidRPr="00FB3A86" w:rsidRDefault="00790ADA" w:rsidP="00441B6F">
      <w:pPr>
        <w:pStyle w:val="AcknHead"/>
        <w:spacing w:after="0"/>
        <w:jc w:val="both"/>
        <w:rPr>
          <w:rFonts w:ascii="Arial" w:hAnsi="Arial" w:cs="Arial"/>
        </w:rPr>
      </w:pPr>
    </w:p>
    <w:p w14:paraId="6D07C009" w14:textId="5FFE16D3" w:rsidR="00315186" w:rsidRPr="00315186" w:rsidRDefault="001E000F" w:rsidP="00441B6F">
      <w:r w:rsidRPr="001E000F">
        <w:rPr>
          <w:rFonts w:ascii="Arial" w:hAnsi="Arial" w:cs="Arial"/>
        </w:rPr>
        <w:t xml:space="preserve">The author acknowledges the medical administrator, clinical specialists, and staff of Base Hospital </w:t>
      </w:r>
      <w:proofErr w:type="spellStart"/>
      <w:r w:rsidRPr="001E000F">
        <w:rPr>
          <w:rFonts w:ascii="Arial" w:hAnsi="Arial" w:cs="Arial"/>
        </w:rPr>
        <w:t>Kanthale</w:t>
      </w:r>
      <w:proofErr w:type="spellEnd"/>
      <w:r w:rsidRPr="001E000F">
        <w:rPr>
          <w:rFonts w:ascii="Arial" w:hAnsi="Arial" w:cs="Arial"/>
        </w:rPr>
        <w:t xml:space="preserve"> for facilitating record access and providing operational insights for this study.</w:t>
      </w:r>
    </w:p>
    <w:p w14:paraId="2019DA0E" w14:textId="77777777" w:rsidR="00315186" w:rsidRPr="00315186" w:rsidRDefault="00315186" w:rsidP="00441B6F"/>
    <w:p w14:paraId="76CD4E7E" w14:textId="77777777" w:rsidR="001E000F" w:rsidRDefault="001E000F" w:rsidP="00441B6F">
      <w:pPr>
        <w:pStyle w:val="ReferHead"/>
        <w:spacing w:after="0"/>
        <w:jc w:val="both"/>
        <w:rPr>
          <w:rFonts w:ascii="Arial" w:hAnsi="Arial" w:cs="Arial"/>
          <w:b w:val="0"/>
          <w:caps w:val="0"/>
          <w:sz w:val="20"/>
        </w:rPr>
      </w:pPr>
    </w:p>
    <w:p w14:paraId="424B2013" w14:textId="77777777" w:rsidR="001E000F" w:rsidRDefault="001E000F" w:rsidP="00441B6F">
      <w:pPr>
        <w:pStyle w:val="ReferHead"/>
        <w:spacing w:after="0"/>
        <w:jc w:val="both"/>
        <w:rPr>
          <w:rFonts w:ascii="Arial" w:hAnsi="Arial" w:cs="Arial"/>
          <w:b w:val="0"/>
          <w:caps w:val="0"/>
          <w:sz w:val="20"/>
        </w:rPr>
      </w:pPr>
    </w:p>
    <w:p w14:paraId="38EEC017"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3A4BFA23" w14:textId="77777777" w:rsidR="00371FB6" w:rsidRPr="001E000F" w:rsidRDefault="00371FB6" w:rsidP="00441B6F">
      <w:pPr>
        <w:pStyle w:val="ReferHead"/>
        <w:spacing w:after="0"/>
        <w:jc w:val="both"/>
        <w:rPr>
          <w:rFonts w:ascii="Arial" w:hAnsi="Arial" w:cs="Arial"/>
          <w:bCs/>
        </w:rPr>
      </w:pPr>
    </w:p>
    <w:p w14:paraId="038F5A7C" w14:textId="434C7A42" w:rsidR="002B685A" w:rsidRDefault="001E000F" w:rsidP="00441B6F">
      <w:pPr>
        <w:pStyle w:val="ReferHead"/>
        <w:spacing w:after="0"/>
        <w:jc w:val="both"/>
        <w:rPr>
          <w:rFonts w:ascii="Arial" w:hAnsi="Arial" w:cs="Arial"/>
          <w:b w:val="0"/>
          <w:caps w:val="0"/>
          <w:sz w:val="20"/>
        </w:rPr>
      </w:pPr>
      <w:r w:rsidRPr="001E000F">
        <w:rPr>
          <w:rFonts w:ascii="Arial" w:hAnsi="Arial" w:cs="Arial"/>
          <w:b w:val="0"/>
          <w:caps w:val="0"/>
          <w:sz w:val="20"/>
        </w:rPr>
        <w:t>PE conceived the study, designed the protocol, coordinated data collection, interpreted the findings, prepared the manuscript, and approved the final version.</w:t>
      </w:r>
    </w:p>
    <w:p w14:paraId="602625B4" w14:textId="77777777" w:rsidR="00053208" w:rsidRPr="001E000F" w:rsidRDefault="00053208" w:rsidP="00441B6F">
      <w:pPr>
        <w:pStyle w:val="ReferHead"/>
        <w:spacing w:after="0"/>
        <w:jc w:val="both"/>
        <w:rPr>
          <w:rFonts w:ascii="Arial" w:hAnsi="Arial" w:cs="Arial"/>
          <w:b w:val="0"/>
          <w:caps w:val="0"/>
          <w:sz w:val="20"/>
        </w:rPr>
      </w:pPr>
    </w:p>
    <w:p w14:paraId="1BFDDD38" w14:textId="77777777" w:rsidR="001E000F" w:rsidRDefault="001E000F" w:rsidP="00441B6F">
      <w:pPr>
        <w:pStyle w:val="ReferHead"/>
        <w:spacing w:after="0"/>
        <w:jc w:val="both"/>
        <w:rPr>
          <w:rFonts w:ascii="Arial" w:hAnsi="Arial" w:cs="Arial"/>
          <w:b w:val="0"/>
          <w:caps w:val="0"/>
          <w:sz w:val="20"/>
        </w:rPr>
      </w:pPr>
    </w:p>
    <w:p w14:paraId="2D8F07B6" w14:textId="00938814"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6327A197" w14:textId="77777777" w:rsidR="002B685A" w:rsidRPr="002B685A" w:rsidRDefault="002B685A" w:rsidP="00441B6F">
      <w:pPr>
        <w:pStyle w:val="ReferHead"/>
        <w:spacing w:after="0"/>
        <w:jc w:val="both"/>
        <w:rPr>
          <w:rFonts w:ascii="Arial" w:hAnsi="Arial" w:cs="Arial"/>
          <w:bCs/>
        </w:rPr>
      </w:pPr>
    </w:p>
    <w:p w14:paraId="0B2ED10C" w14:textId="086A4CED" w:rsidR="00A347C0" w:rsidRDefault="001E000F" w:rsidP="00441B6F">
      <w:pPr>
        <w:pStyle w:val="ReferHead"/>
        <w:spacing w:after="0"/>
        <w:jc w:val="both"/>
        <w:rPr>
          <w:rFonts w:ascii="Arial" w:hAnsi="Arial" w:cs="Arial"/>
          <w:b w:val="0"/>
          <w:caps w:val="0"/>
          <w:sz w:val="20"/>
        </w:rPr>
      </w:pPr>
      <w:r w:rsidRPr="001E000F">
        <w:rPr>
          <w:rFonts w:ascii="Arial" w:hAnsi="Arial" w:cs="Arial"/>
          <w:b w:val="0"/>
          <w:caps w:val="0"/>
          <w:sz w:val="20"/>
        </w:rPr>
        <w:t xml:space="preserve">Individual patient consent for publication was not applicable because no identifiable patient information is presented. Written informed consent was obtained from all key informant interview participants before </w:t>
      </w:r>
      <w:r>
        <w:rPr>
          <w:rFonts w:ascii="Arial" w:hAnsi="Arial" w:cs="Arial"/>
          <w:b w:val="0"/>
          <w:caps w:val="0"/>
          <w:sz w:val="20"/>
        </w:rPr>
        <w:t xml:space="preserve">the </w:t>
      </w:r>
      <w:r w:rsidRPr="001E000F">
        <w:rPr>
          <w:rFonts w:ascii="Arial" w:hAnsi="Arial" w:cs="Arial"/>
          <w:b w:val="0"/>
          <w:caps w:val="0"/>
          <w:sz w:val="20"/>
        </w:rPr>
        <w:t>interview and audio recording.</w:t>
      </w:r>
    </w:p>
    <w:p w14:paraId="1394AB29" w14:textId="77777777" w:rsidR="001A29D8" w:rsidRDefault="001A29D8" w:rsidP="00441B6F">
      <w:pPr>
        <w:pStyle w:val="ReferHead"/>
        <w:spacing w:after="0"/>
        <w:jc w:val="both"/>
        <w:rPr>
          <w:rFonts w:ascii="Arial" w:hAnsi="Arial" w:cs="Arial"/>
          <w:b w:val="0"/>
          <w:caps w:val="0"/>
          <w:sz w:val="20"/>
        </w:rPr>
      </w:pPr>
    </w:p>
    <w:p w14:paraId="4976F1FA" w14:textId="77777777" w:rsidR="005C784C" w:rsidRDefault="005C784C" w:rsidP="00441B6F">
      <w:pPr>
        <w:pStyle w:val="ReferHead"/>
        <w:spacing w:after="0"/>
        <w:jc w:val="both"/>
        <w:rPr>
          <w:rFonts w:ascii="Arial" w:hAnsi="Arial" w:cs="Arial"/>
          <w:b w:val="0"/>
          <w:caps w:val="0"/>
          <w:sz w:val="20"/>
        </w:rPr>
      </w:pPr>
    </w:p>
    <w:p w14:paraId="732DD27E" w14:textId="17B078C6"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3FF12156" w14:textId="77777777" w:rsidR="005C784C" w:rsidRPr="002B685A" w:rsidRDefault="005C784C" w:rsidP="00441B6F">
      <w:pPr>
        <w:pStyle w:val="ReferHead"/>
        <w:spacing w:after="0"/>
        <w:jc w:val="both"/>
        <w:rPr>
          <w:rFonts w:ascii="Arial" w:hAnsi="Arial" w:cs="Arial"/>
          <w:bCs/>
        </w:rPr>
      </w:pPr>
    </w:p>
    <w:p w14:paraId="05D2F43E" w14:textId="77777777" w:rsidR="001E000F" w:rsidRDefault="001E000F" w:rsidP="00441B6F">
      <w:pPr>
        <w:pStyle w:val="ReferHead"/>
        <w:spacing w:after="0"/>
        <w:jc w:val="both"/>
        <w:rPr>
          <w:rFonts w:ascii="Arial" w:hAnsi="Arial" w:cs="Arial"/>
          <w:b w:val="0"/>
          <w:caps w:val="0"/>
          <w:sz w:val="20"/>
        </w:rPr>
      </w:pPr>
      <w:r w:rsidRPr="001E000F">
        <w:rPr>
          <w:rFonts w:ascii="Arial" w:hAnsi="Arial" w:cs="Arial"/>
          <w:b w:val="0"/>
          <w:caps w:val="0"/>
          <w:sz w:val="20"/>
        </w:rPr>
        <w:t xml:space="preserve">The study documents indicate that ethical approval was obtained from Cardiff Metropolitan University and that institutional clearance was granted by Base Hospital </w:t>
      </w:r>
      <w:proofErr w:type="spellStart"/>
      <w:r w:rsidRPr="001E000F">
        <w:rPr>
          <w:rFonts w:ascii="Arial" w:hAnsi="Arial" w:cs="Arial"/>
          <w:b w:val="0"/>
          <w:caps w:val="0"/>
          <w:sz w:val="20"/>
        </w:rPr>
        <w:t>Kanthale</w:t>
      </w:r>
      <w:proofErr w:type="spellEnd"/>
      <w:r w:rsidRPr="001E000F">
        <w:rPr>
          <w:rFonts w:ascii="Arial" w:hAnsi="Arial" w:cs="Arial"/>
          <w:b w:val="0"/>
          <w:caps w:val="0"/>
          <w:sz w:val="20"/>
        </w:rPr>
        <w:t xml:space="preserve"> before data collection. Patient records were anonymized before analysis, and confidentiality was maintained throughout. The exact ethics approval number should be inserted from the approval letter before submission.</w:t>
      </w:r>
    </w:p>
    <w:p w14:paraId="52FA477D" w14:textId="77777777" w:rsidR="00053208" w:rsidRDefault="00053208" w:rsidP="00441B6F">
      <w:pPr>
        <w:pStyle w:val="ReferHead"/>
        <w:spacing w:after="0"/>
        <w:jc w:val="both"/>
        <w:rPr>
          <w:rFonts w:ascii="Arial" w:hAnsi="Arial" w:cs="Arial"/>
          <w:b w:val="0"/>
          <w:caps w:val="0"/>
          <w:sz w:val="20"/>
        </w:rPr>
      </w:pPr>
    </w:p>
    <w:p w14:paraId="25943410" w14:textId="77777777" w:rsidR="00053208" w:rsidRDefault="00053208" w:rsidP="00441B6F">
      <w:pPr>
        <w:pStyle w:val="ReferHead"/>
        <w:spacing w:after="0"/>
        <w:jc w:val="both"/>
        <w:rPr>
          <w:rFonts w:ascii="Arial" w:hAnsi="Arial" w:cs="Arial"/>
          <w:b w:val="0"/>
          <w:caps w:val="0"/>
          <w:sz w:val="20"/>
        </w:rPr>
      </w:pPr>
    </w:p>
    <w:p w14:paraId="409B36B1" w14:textId="7DBCDAB3" w:rsidR="00053208" w:rsidRDefault="0070396F" w:rsidP="00053208">
      <w:pPr>
        <w:pStyle w:val="ReferHead"/>
        <w:spacing w:after="0"/>
        <w:jc w:val="both"/>
        <w:rPr>
          <w:rFonts w:ascii="Arial" w:hAnsi="Arial" w:cs="Arial"/>
          <w:bCs/>
        </w:rPr>
      </w:pPr>
      <w:r w:rsidRPr="0070396F">
        <w:rPr>
          <w:rFonts w:ascii="Arial" w:hAnsi="Arial" w:cs="Arial"/>
          <w:bCs/>
        </w:rPr>
        <w:t>Disclaimer (Artificial intelligence)</w:t>
      </w:r>
    </w:p>
    <w:p w14:paraId="50308AB9" w14:textId="77777777" w:rsidR="0070396F" w:rsidRPr="002B685A" w:rsidRDefault="0070396F" w:rsidP="00053208">
      <w:pPr>
        <w:pStyle w:val="ReferHead"/>
        <w:spacing w:after="0"/>
        <w:jc w:val="both"/>
        <w:rPr>
          <w:rFonts w:ascii="Arial" w:hAnsi="Arial" w:cs="Arial"/>
          <w:bCs/>
        </w:rPr>
      </w:pPr>
    </w:p>
    <w:p w14:paraId="2A26E763" w14:textId="1A87F43D" w:rsidR="00A7518E" w:rsidRDefault="00053208" w:rsidP="00441B6F">
      <w:pPr>
        <w:pStyle w:val="ReferHead"/>
        <w:spacing w:after="0"/>
        <w:jc w:val="both"/>
        <w:rPr>
          <w:rFonts w:ascii="Arial" w:hAnsi="Arial" w:cs="Arial"/>
          <w:b w:val="0"/>
          <w:caps w:val="0"/>
          <w:sz w:val="20"/>
        </w:rPr>
      </w:pPr>
      <w:r w:rsidRPr="00053208">
        <w:rPr>
          <w:rFonts w:ascii="Arial" w:hAnsi="Arial" w:cs="Arial"/>
          <w:b w:val="0"/>
          <w:caps w:val="0"/>
          <w:sz w:val="20"/>
        </w:rPr>
        <w:t>Generative AI was used only to support language refinement and improve the structured presentation of the manuscript. All study design, data interpretation, and final decisions remained the responsibility of the author.</w:t>
      </w:r>
    </w:p>
    <w:p w14:paraId="657B9B14" w14:textId="77777777" w:rsidR="00053208" w:rsidRDefault="00053208" w:rsidP="00441B6F">
      <w:pPr>
        <w:pStyle w:val="ReferHead"/>
        <w:spacing w:after="0"/>
        <w:jc w:val="both"/>
        <w:rPr>
          <w:rFonts w:ascii="Arial" w:hAnsi="Arial" w:cs="Arial"/>
          <w:b w:val="0"/>
          <w:caps w:val="0"/>
          <w:sz w:val="20"/>
        </w:rPr>
      </w:pPr>
    </w:p>
    <w:p w14:paraId="7DAAA289" w14:textId="77777777" w:rsidR="001E000F" w:rsidRDefault="001E000F" w:rsidP="00441B6F">
      <w:pPr>
        <w:pStyle w:val="ReferHead"/>
        <w:spacing w:after="0"/>
        <w:jc w:val="both"/>
        <w:rPr>
          <w:rFonts w:ascii="Arial" w:hAnsi="Arial" w:cs="Arial"/>
          <w:b w:val="0"/>
          <w:caps w:val="0"/>
          <w:sz w:val="20"/>
        </w:rPr>
      </w:pPr>
    </w:p>
    <w:p w14:paraId="684CEA61" w14:textId="097C6FA0" w:rsidR="00B01FCD" w:rsidRDefault="00B01FCD" w:rsidP="00441B6F">
      <w:pPr>
        <w:pStyle w:val="ReferHead"/>
        <w:spacing w:after="0"/>
        <w:jc w:val="both"/>
        <w:rPr>
          <w:rFonts w:ascii="Arial" w:hAnsi="Arial" w:cs="Arial"/>
        </w:rPr>
      </w:pPr>
      <w:r w:rsidRPr="00FB3A86">
        <w:rPr>
          <w:rFonts w:ascii="Arial" w:hAnsi="Arial" w:cs="Arial"/>
        </w:rPr>
        <w:t>References</w:t>
      </w:r>
    </w:p>
    <w:p w14:paraId="69C87FE6" w14:textId="77777777" w:rsidR="00790ADA" w:rsidRPr="00FB3A86" w:rsidRDefault="00790ADA" w:rsidP="00441B6F">
      <w:pPr>
        <w:pStyle w:val="ReferHead"/>
        <w:spacing w:after="0"/>
        <w:jc w:val="both"/>
        <w:rPr>
          <w:rFonts w:ascii="Arial" w:hAnsi="Arial" w:cs="Arial"/>
        </w:rPr>
      </w:pPr>
    </w:p>
    <w:p w14:paraId="01458E02" w14:textId="21FE014F" w:rsidR="00A7518E" w:rsidRPr="00A7518E" w:rsidRDefault="00A7518E" w:rsidP="00A7518E">
      <w:pPr>
        <w:pStyle w:val="ListParagraph"/>
        <w:numPr>
          <w:ilvl w:val="0"/>
          <w:numId w:val="31"/>
        </w:numPr>
        <w:ind w:left="450"/>
        <w:jc w:val="both"/>
        <w:rPr>
          <w:rFonts w:ascii="Times New Roman" w:hAnsi="Times New Roman"/>
          <w:sz w:val="24"/>
          <w:szCs w:val="24"/>
        </w:rPr>
      </w:pPr>
      <w:r w:rsidRPr="00A7518E">
        <w:rPr>
          <w:rFonts w:ascii="Times New Roman" w:hAnsi="Times New Roman"/>
          <w:sz w:val="24"/>
          <w:szCs w:val="24"/>
        </w:rPr>
        <w:t xml:space="preserve">Fernandes-Taylor, S., Yang, D. Y., Schumacher, J., Ljumani, F., Fertel, B. S., et al. (2021). Factors associated with interhospital transfers of emergency general surgery patients from emergency departments. </w:t>
      </w:r>
      <w:r w:rsidRPr="00A7518E">
        <w:rPr>
          <w:rFonts w:ascii="Times New Roman" w:hAnsi="Times New Roman"/>
          <w:i/>
          <w:iCs/>
          <w:sz w:val="24"/>
          <w:szCs w:val="24"/>
        </w:rPr>
        <w:t>The American Journal of Emergency Medicine, 40</w:t>
      </w:r>
      <w:r w:rsidRPr="00A7518E">
        <w:rPr>
          <w:rFonts w:ascii="Times New Roman" w:hAnsi="Times New Roman"/>
          <w:sz w:val="24"/>
          <w:szCs w:val="24"/>
        </w:rPr>
        <w:t xml:space="preserve">, 83–88. </w:t>
      </w:r>
    </w:p>
    <w:p w14:paraId="752268AE" w14:textId="77777777" w:rsidR="00A7518E" w:rsidRDefault="00A7518E" w:rsidP="00A7518E">
      <w:pPr>
        <w:pStyle w:val="ListParagraph"/>
        <w:numPr>
          <w:ilvl w:val="0"/>
          <w:numId w:val="31"/>
        </w:numPr>
        <w:ind w:left="450"/>
        <w:jc w:val="both"/>
        <w:rPr>
          <w:rFonts w:ascii="Times New Roman" w:hAnsi="Times New Roman"/>
          <w:sz w:val="24"/>
          <w:szCs w:val="24"/>
        </w:rPr>
      </w:pPr>
      <w:proofErr w:type="spellStart"/>
      <w:r w:rsidRPr="00A7518E">
        <w:rPr>
          <w:rFonts w:ascii="Times New Roman" w:hAnsi="Times New Roman"/>
          <w:sz w:val="24"/>
          <w:szCs w:val="24"/>
        </w:rPr>
        <w:t>Azizkhanian</w:t>
      </w:r>
      <w:proofErr w:type="spellEnd"/>
      <w:r w:rsidRPr="00A7518E">
        <w:rPr>
          <w:rFonts w:ascii="Times New Roman" w:hAnsi="Times New Roman"/>
          <w:sz w:val="24"/>
          <w:szCs w:val="24"/>
        </w:rPr>
        <w:t xml:space="preserve">, I., </w:t>
      </w:r>
      <w:proofErr w:type="spellStart"/>
      <w:r w:rsidRPr="00A7518E">
        <w:rPr>
          <w:rFonts w:ascii="Times New Roman" w:hAnsi="Times New Roman"/>
          <w:sz w:val="24"/>
          <w:szCs w:val="24"/>
        </w:rPr>
        <w:t>Matluck</w:t>
      </w:r>
      <w:proofErr w:type="spellEnd"/>
      <w:r w:rsidRPr="00A7518E">
        <w:rPr>
          <w:rFonts w:ascii="Times New Roman" w:hAnsi="Times New Roman"/>
          <w:sz w:val="24"/>
          <w:szCs w:val="24"/>
        </w:rPr>
        <w:t xml:space="preserve">, N., </w:t>
      </w:r>
      <w:proofErr w:type="spellStart"/>
      <w:r w:rsidRPr="00A7518E">
        <w:rPr>
          <w:rFonts w:ascii="Times New Roman" w:hAnsi="Times New Roman"/>
          <w:sz w:val="24"/>
          <w:szCs w:val="24"/>
        </w:rPr>
        <w:t>Ogulnick</w:t>
      </w:r>
      <w:proofErr w:type="spellEnd"/>
      <w:r w:rsidRPr="00A7518E">
        <w:rPr>
          <w:rFonts w:ascii="Times New Roman" w:hAnsi="Times New Roman"/>
          <w:sz w:val="24"/>
          <w:szCs w:val="24"/>
        </w:rPr>
        <w:t xml:space="preserve">, J. V., Dore, S., </w:t>
      </w:r>
      <w:proofErr w:type="spellStart"/>
      <w:r w:rsidRPr="00A7518E">
        <w:rPr>
          <w:rFonts w:ascii="Times New Roman" w:hAnsi="Times New Roman"/>
          <w:sz w:val="24"/>
          <w:szCs w:val="24"/>
        </w:rPr>
        <w:t>Gatzofilas</w:t>
      </w:r>
      <w:proofErr w:type="spellEnd"/>
      <w:r w:rsidRPr="00A7518E">
        <w:rPr>
          <w:rFonts w:ascii="Times New Roman" w:hAnsi="Times New Roman"/>
          <w:sz w:val="24"/>
          <w:szCs w:val="24"/>
        </w:rPr>
        <w:t xml:space="preserve">, S., Hossain, R. H., et al. (2021). Demographics and outcomes of interhospital transfer patients undergoing intracranial tumor resection: A retrospective cohort analysis. </w:t>
      </w:r>
      <w:r w:rsidRPr="00A7518E">
        <w:rPr>
          <w:rFonts w:ascii="Times New Roman" w:hAnsi="Times New Roman"/>
          <w:i/>
          <w:iCs/>
          <w:sz w:val="24"/>
          <w:szCs w:val="24"/>
        </w:rPr>
        <w:t>Cureus, 13</w:t>
      </w:r>
      <w:r w:rsidRPr="00A7518E">
        <w:rPr>
          <w:rFonts w:ascii="Times New Roman" w:hAnsi="Times New Roman"/>
          <w:sz w:val="24"/>
          <w:szCs w:val="24"/>
        </w:rPr>
        <w:t xml:space="preserve">(9). </w:t>
      </w:r>
    </w:p>
    <w:p w14:paraId="7764B2D1" w14:textId="77777777" w:rsidR="00A7518E" w:rsidRDefault="00A7518E" w:rsidP="00A7518E">
      <w:pPr>
        <w:pStyle w:val="ListParagraph"/>
        <w:numPr>
          <w:ilvl w:val="0"/>
          <w:numId w:val="31"/>
        </w:numPr>
        <w:ind w:left="450"/>
        <w:jc w:val="both"/>
        <w:rPr>
          <w:rFonts w:ascii="Times New Roman" w:hAnsi="Times New Roman"/>
          <w:sz w:val="24"/>
          <w:szCs w:val="24"/>
        </w:rPr>
      </w:pPr>
      <w:r w:rsidRPr="00A7518E">
        <w:rPr>
          <w:rFonts w:ascii="Times New Roman" w:hAnsi="Times New Roman"/>
          <w:sz w:val="24"/>
          <w:szCs w:val="24"/>
        </w:rPr>
        <w:t xml:space="preserve">Wright, B., Baker, T., Lennox, A., Waxman, B., &amp; Bragge, P. (2024). </w:t>
      </w:r>
      <w:proofErr w:type="spellStart"/>
      <w:r w:rsidRPr="00A7518E">
        <w:rPr>
          <w:rFonts w:ascii="Times New Roman" w:hAnsi="Times New Roman"/>
          <w:sz w:val="24"/>
          <w:szCs w:val="24"/>
        </w:rPr>
        <w:t>Optimising</w:t>
      </w:r>
      <w:proofErr w:type="spellEnd"/>
      <w:r w:rsidRPr="00A7518E">
        <w:rPr>
          <w:rFonts w:ascii="Times New Roman" w:hAnsi="Times New Roman"/>
          <w:sz w:val="24"/>
          <w:szCs w:val="24"/>
        </w:rPr>
        <w:t xml:space="preserve"> acute non-critical inter-hospital transfers: A review of evidence, </w:t>
      </w:r>
      <w:r w:rsidRPr="00A7518E">
        <w:rPr>
          <w:rFonts w:ascii="Times New Roman" w:hAnsi="Times New Roman"/>
          <w:sz w:val="24"/>
          <w:szCs w:val="24"/>
        </w:rPr>
        <w:lastRenderedPageBreak/>
        <w:t xml:space="preserve">practice and patient perspectives. </w:t>
      </w:r>
      <w:r w:rsidRPr="00A7518E">
        <w:rPr>
          <w:rFonts w:ascii="Times New Roman" w:hAnsi="Times New Roman"/>
          <w:i/>
          <w:iCs/>
          <w:sz w:val="24"/>
          <w:szCs w:val="24"/>
        </w:rPr>
        <w:t>Australian Journal of Rural Health, 32</w:t>
      </w:r>
      <w:r w:rsidRPr="00A7518E">
        <w:rPr>
          <w:rFonts w:ascii="Times New Roman" w:hAnsi="Times New Roman"/>
          <w:sz w:val="24"/>
          <w:szCs w:val="24"/>
        </w:rPr>
        <w:t xml:space="preserve">(1), 5–16. </w:t>
      </w:r>
    </w:p>
    <w:p w14:paraId="643031DF" w14:textId="77777777" w:rsidR="00A7518E" w:rsidRDefault="00A7518E" w:rsidP="00A7518E">
      <w:pPr>
        <w:pStyle w:val="ListParagraph"/>
        <w:numPr>
          <w:ilvl w:val="0"/>
          <w:numId w:val="31"/>
        </w:numPr>
        <w:ind w:left="450"/>
        <w:jc w:val="both"/>
        <w:rPr>
          <w:rFonts w:ascii="Times New Roman" w:hAnsi="Times New Roman"/>
          <w:sz w:val="24"/>
          <w:szCs w:val="24"/>
        </w:rPr>
      </w:pPr>
      <w:r w:rsidRPr="00A7518E">
        <w:rPr>
          <w:rFonts w:ascii="Times New Roman" w:hAnsi="Times New Roman"/>
          <w:sz w:val="24"/>
          <w:szCs w:val="24"/>
        </w:rPr>
        <w:t xml:space="preserve">Kulshrestha, A., &amp; Singh, J. (2016). Inter-hospital and intra-hospital patient transfer: Recent concepts. </w:t>
      </w:r>
      <w:r w:rsidRPr="00A7518E">
        <w:rPr>
          <w:rFonts w:ascii="Times New Roman" w:hAnsi="Times New Roman"/>
          <w:i/>
          <w:iCs/>
          <w:sz w:val="24"/>
          <w:szCs w:val="24"/>
        </w:rPr>
        <w:t xml:space="preserve">Indian Journal of </w:t>
      </w:r>
      <w:proofErr w:type="spellStart"/>
      <w:r w:rsidRPr="00A7518E">
        <w:rPr>
          <w:rFonts w:ascii="Times New Roman" w:hAnsi="Times New Roman"/>
          <w:i/>
          <w:iCs/>
          <w:sz w:val="24"/>
          <w:szCs w:val="24"/>
        </w:rPr>
        <w:t>Anaesthesia</w:t>
      </w:r>
      <w:proofErr w:type="spellEnd"/>
      <w:r w:rsidRPr="00A7518E">
        <w:rPr>
          <w:rFonts w:ascii="Times New Roman" w:hAnsi="Times New Roman"/>
          <w:i/>
          <w:iCs/>
          <w:sz w:val="24"/>
          <w:szCs w:val="24"/>
        </w:rPr>
        <w:t>, 60</w:t>
      </w:r>
      <w:r w:rsidRPr="00A7518E">
        <w:rPr>
          <w:rFonts w:ascii="Times New Roman" w:hAnsi="Times New Roman"/>
          <w:sz w:val="24"/>
          <w:szCs w:val="24"/>
        </w:rPr>
        <w:t xml:space="preserve">(7), 451–457. </w:t>
      </w:r>
    </w:p>
    <w:p w14:paraId="1004C3FD" w14:textId="77777777" w:rsidR="00A7518E" w:rsidRDefault="00A7518E" w:rsidP="00A7518E">
      <w:pPr>
        <w:pStyle w:val="ListParagraph"/>
        <w:numPr>
          <w:ilvl w:val="0"/>
          <w:numId w:val="31"/>
        </w:numPr>
        <w:ind w:left="450"/>
        <w:jc w:val="both"/>
        <w:rPr>
          <w:rFonts w:ascii="Times New Roman" w:hAnsi="Times New Roman"/>
          <w:sz w:val="24"/>
          <w:szCs w:val="24"/>
        </w:rPr>
      </w:pPr>
      <w:r w:rsidRPr="00A7518E">
        <w:rPr>
          <w:rFonts w:ascii="Times New Roman" w:hAnsi="Times New Roman"/>
          <w:sz w:val="24"/>
          <w:szCs w:val="24"/>
        </w:rPr>
        <w:t xml:space="preserve">Gavigan, M., Hadi, H., Sahni, R., &amp; Shackelford, D. P. (2002). Frequency of perinatal transfer by day of the week and holidays. </w:t>
      </w:r>
      <w:r w:rsidRPr="00A7518E">
        <w:rPr>
          <w:rFonts w:ascii="Times New Roman" w:hAnsi="Times New Roman"/>
          <w:i/>
          <w:iCs/>
          <w:sz w:val="24"/>
          <w:szCs w:val="24"/>
        </w:rPr>
        <w:t>The Journal of Maternal-Fetal &amp; Neonatal Medicine, 11</w:t>
      </w:r>
      <w:r w:rsidRPr="00A7518E">
        <w:rPr>
          <w:rFonts w:ascii="Times New Roman" w:hAnsi="Times New Roman"/>
          <w:sz w:val="24"/>
          <w:szCs w:val="24"/>
        </w:rPr>
        <w:t xml:space="preserve">(1), 60–62. </w:t>
      </w:r>
    </w:p>
    <w:p w14:paraId="7416BE17" w14:textId="77777777" w:rsidR="00A7518E" w:rsidRDefault="00A7518E" w:rsidP="00A7518E">
      <w:pPr>
        <w:pStyle w:val="ListParagraph"/>
        <w:numPr>
          <w:ilvl w:val="0"/>
          <w:numId w:val="31"/>
        </w:numPr>
        <w:ind w:left="450"/>
        <w:jc w:val="both"/>
        <w:rPr>
          <w:rFonts w:ascii="Times New Roman" w:hAnsi="Times New Roman"/>
          <w:sz w:val="24"/>
          <w:szCs w:val="24"/>
        </w:rPr>
      </w:pPr>
      <w:r w:rsidRPr="00A7518E">
        <w:rPr>
          <w:rFonts w:ascii="Times New Roman" w:hAnsi="Times New Roman"/>
          <w:sz w:val="24"/>
          <w:szCs w:val="24"/>
        </w:rPr>
        <w:t xml:space="preserve">Moore III, A., Waxman, M. J., Reid, S., Wu, A., Ata, A., et al. (2023). Trends in interfacility transfer volume by season, day of week, time of day, and federal holiday status. </w:t>
      </w:r>
      <w:r w:rsidRPr="00A7518E">
        <w:rPr>
          <w:rFonts w:ascii="Times New Roman" w:hAnsi="Times New Roman"/>
          <w:i/>
          <w:iCs/>
          <w:sz w:val="24"/>
          <w:szCs w:val="24"/>
        </w:rPr>
        <w:t>JEM Reports, 2</w:t>
      </w:r>
      <w:r w:rsidRPr="00A7518E">
        <w:rPr>
          <w:rFonts w:ascii="Times New Roman" w:hAnsi="Times New Roman"/>
          <w:sz w:val="24"/>
          <w:szCs w:val="24"/>
        </w:rPr>
        <w:t xml:space="preserve">(2), 100026. </w:t>
      </w:r>
    </w:p>
    <w:p w14:paraId="42BA18BC" w14:textId="77777777" w:rsidR="00A7518E" w:rsidRDefault="00A7518E" w:rsidP="00A7518E">
      <w:pPr>
        <w:pStyle w:val="ListParagraph"/>
        <w:numPr>
          <w:ilvl w:val="0"/>
          <w:numId w:val="31"/>
        </w:numPr>
        <w:ind w:left="450"/>
        <w:jc w:val="both"/>
        <w:rPr>
          <w:rFonts w:ascii="Times New Roman" w:hAnsi="Times New Roman"/>
          <w:sz w:val="24"/>
          <w:szCs w:val="24"/>
        </w:rPr>
      </w:pPr>
      <w:r w:rsidRPr="00A7518E">
        <w:rPr>
          <w:rFonts w:ascii="Times New Roman" w:hAnsi="Times New Roman"/>
          <w:sz w:val="24"/>
          <w:szCs w:val="24"/>
        </w:rPr>
        <w:t xml:space="preserve">Silva, R. D., &amp; Amante, L. N. (2015). Checklist for the intrahospital transport of patients admitted to the intensive care unit. </w:t>
      </w:r>
      <w:proofErr w:type="spellStart"/>
      <w:r w:rsidRPr="00A7518E">
        <w:rPr>
          <w:rFonts w:ascii="Times New Roman" w:hAnsi="Times New Roman"/>
          <w:i/>
          <w:iCs/>
          <w:sz w:val="24"/>
          <w:szCs w:val="24"/>
        </w:rPr>
        <w:t>Texto</w:t>
      </w:r>
      <w:proofErr w:type="spellEnd"/>
      <w:r w:rsidRPr="00A7518E">
        <w:rPr>
          <w:rFonts w:ascii="Times New Roman" w:hAnsi="Times New Roman"/>
          <w:i/>
          <w:iCs/>
          <w:sz w:val="24"/>
          <w:szCs w:val="24"/>
        </w:rPr>
        <w:t xml:space="preserve"> &amp; </w:t>
      </w:r>
      <w:proofErr w:type="spellStart"/>
      <w:r w:rsidRPr="00A7518E">
        <w:rPr>
          <w:rFonts w:ascii="Times New Roman" w:hAnsi="Times New Roman"/>
          <w:i/>
          <w:iCs/>
          <w:sz w:val="24"/>
          <w:szCs w:val="24"/>
        </w:rPr>
        <w:t>Contexto</w:t>
      </w:r>
      <w:proofErr w:type="spellEnd"/>
      <w:r w:rsidRPr="00A7518E">
        <w:rPr>
          <w:rFonts w:ascii="Times New Roman" w:hAnsi="Times New Roman"/>
          <w:i/>
          <w:iCs/>
          <w:sz w:val="24"/>
          <w:szCs w:val="24"/>
        </w:rPr>
        <w:t>-Enfermagem, 24</w:t>
      </w:r>
      <w:r w:rsidRPr="00A7518E">
        <w:rPr>
          <w:rFonts w:ascii="Times New Roman" w:hAnsi="Times New Roman"/>
          <w:sz w:val="24"/>
          <w:szCs w:val="24"/>
        </w:rPr>
        <w:t xml:space="preserve">, 539–547. </w:t>
      </w:r>
    </w:p>
    <w:p w14:paraId="1088E608" w14:textId="77777777" w:rsidR="00A7518E" w:rsidRDefault="00A7518E" w:rsidP="00A7518E">
      <w:pPr>
        <w:pStyle w:val="ListParagraph"/>
        <w:numPr>
          <w:ilvl w:val="0"/>
          <w:numId w:val="31"/>
        </w:numPr>
        <w:ind w:left="450"/>
        <w:jc w:val="both"/>
        <w:rPr>
          <w:rFonts w:ascii="Times New Roman" w:hAnsi="Times New Roman"/>
          <w:sz w:val="24"/>
          <w:szCs w:val="24"/>
        </w:rPr>
      </w:pPr>
      <w:r w:rsidRPr="00A7518E">
        <w:rPr>
          <w:rFonts w:ascii="Times New Roman" w:hAnsi="Times New Roman"/>
          <w:sz w:val="24"/>
          <w:szCs w:val="24"/>
        </w:rPr>
        <w:t xml:space="preserve">Hicks, K. G., Downey, L., </w:t>
      </w:r>
      <w:proofErr w:type="spellStart"/>
      <w:r w:rsidRPr="00A7518E">
        <w:rPr>
          <w:rFonts w:ascii="Times New Roman" w:hAnsi="Times New Roman"/>
          <w:sz w:val="24"/>
          <w:szCs w:val="24"/>
        </w:rPr>
        <w:t>Elketami</w:t>
      </w:r>
      <w:proofErr w:type="spellEnd"/>
      <w:r w:rsidRPr="00A7518E">
        <w:rPr>
          <w:rFonts w:ascii="Times New Roman" w:hAnsi="Times New Roman"/>
          <w:sz w:val="24"/>
          <w:szCs w:val="24"/>
        </w:rPr>
        <w:t xml:space="preserve">, A., Nielsen, E. L., Engelberg, R. A., &amp; Jennerich, A. L. (2023). Before-after study of a checklist to improve acute care to ICU handoffs. </w:t>
      </w:r>
      <w:r w:rsidRPr="00A7518E">
        <w:rPr>
          <w:rFonts w:ascii="Times New Roman" w:hAnsi="Times New Roman"/>
          <w:i/>
          <w:iCs/>
          <w:sz w:val="24"/>
          <w:szCs w:val="24"/>
        </w:rPr>
        <w:t>American Journal of Medical Quality, 38</w:t>
      </w:r>
      <w:r w:rsidRPr="00A7518E">
        <w:rPr>
          <w:rFonts w:ascii="Times New Roman" w:hAnsi="Times New Roman"/>
          <w:sz w:val="24"/>
          <w:szCs w:val="24"/>
        </w:rPr>
        <w:t xml:space="preserve">(1), 37–46. </w:t>
      </w:r>
    </w:p>
    <w:p w14:paraId="4AE8540A" w14:textId="77777777" w:rsidR="00A7518E" w:rsidRDefault="00A7518E" w:rsidP="00A7518E">
      <w:pPr>
        <w:pStyle w:val="ListParagraph"/>
        <w:numPr>
          <w:ilvl w:val="0"/>
          <w:numId w:val="31"/>
        </w:numPr>
        <w:ind w:left="450"/>
        <w:jc w:val="both"/>
        <w:rPr>
          <w:rFonts w:ascii="Times New Roman" w:hAnsi="Times New Roman"/>
          <w:sz w:val="24"/>
          <w:szCs w:val="24"/>
        </w:rPr>
      </w:pPr>
      <w:r w:rsidRPr="00A7518E">
        <w:rPr>
          <w:rFonts w:ascii="Times New Roman" w:hAnsi="Times New Roman"/>
          <w:sz w:val="24"/>
          <w:szCs w:val="24"/>
        </w:rPr>
        <w:t xml:space="preserve">Kunz, S. N., Dukhovny, D., Profit, J., Mao, W., Miedema, D., &amp; Zupancic, J. A. (2019). Predicting successful neonatal retro-transfer to a lower level of care. </w:t>
      </w:r>
      <w:r w:rsidRPr="00A7518E">
        <w:rPr>
          <w:rFonts w:ascii="Times New Roman" w:hAnsi="Times New Roman"/>
          <w:i/>
          <w:iCs/>
          <w:sz w:val="24"/>
          <w:szCs w:val="24"/>
        </w:rPr>
        <w:t>The Journal of Pediatrics, 205</w:t>
      </w:r>
      <w:r w:rsidRPr="00A7518E">
        <w:rPr>
          <w:rFonts w:ascii="Times New Roman" w:hAnsi="Times New Roman"/>
          <w:sz w:val="24"/>
          <w:szCs w:val="24"/>
        </w:rPr>
        <w:t xml:space="preserve">, 272–276. </w:t>
      </w:r>
    </w:p>
    <w:p w14:paraId="62230941" w14:textId="77777777" w:rsidR="00A7518E" w:rsidRDefault="00A7518E" w:rsidP="00A7518E">
      <w:pPr>
        <w:pStyle w:val="ListParagraph"/>
        <w:numPr>
          <w:ilvl w:val="0"/>
          <w:numId w:val="31"/>
        </w:numPr>
        <w:ind w:left="450"/>
        <w:jc w:val="both"/>
        <w:rPr>
          <w:rFonts w:ascii="Times New Roman" w:hAnsi="Times New Roman"/>
          <w:sz w:val="24"/>
          <w:szCs w:val="24"/>
        </w:rPr>
      </w:pPr>
      <w:r w:rsidRPr="00A7518E">
        <w:rPr>
          <w:rFonts w:ascii="Times New Roman" w:hAnsi="Times New Roman"/>
          <w:sz w:val="24"/>
          <w:szCs w:val="24"/>
        </w:rPr>
        <w:t xml:space="preserve">Kim, J. H., Kim, B., Kim, M. J., Hyun, H., Kim, H. C., &amp; Chang, H. J. (2023). Prediction of inappropriate pre-hospital transfer of patients with suspected cardiovascular emergency diseases using machine learning: A retrospective observational study. </w:t>
      </w:r>
      <w:r w:rsidRPr="00A7518E">
        <w:rPr>
          <w:rFonts w:ascii="Times New Roman" w:hAnsi="Times New Roman"/>
          <w:i/>
          <w:iCs/>
          <w:sz w:val="24"/>
          <w:szCs w:val="24"/>
        </w:rPr>
        <w:t>BMC Medical Informatics and Decision Making, 23</w:t>
      </w:r>
      <w:r w:rsidRPr="00A7518E">
        <w:rPr>
          <w:rFonts w:ascii="Times New Roman" w:hAnsi="Times New Roman"/>
          <w:sz w:val="24"/>
          <w:szCs w:val="24"/>
        </w:rPr>
        <w:t xml:space="preserve">(1), 56. </w:t>
      </w:r>
    </w:p>
    <w:p w14:paraId="0F7607E3" w14:textId="77777777" w:rsidR="00DB6A67" w:rsidRDefault="00A7518E" w:rsidP="00DB6A67">
      <w:pPr>
        <w:pStyle w:val="ListParagraph"/>
        <w:numPr>
          <w:ilvl w:val="0"/>
          <w:numId w:val="31"/>
        </w:numPr>
        <w:ind w:left="450"/>
        <w:jc w:val="both"/>
        <w:rPr>
          <w:rFonts w:ascii="Times New Roman" w:hAnsi="Times New Roman"/>
          <w:sz w:val="24"/>
          <w:szCs w:val="24"/>
        </w:rPr>
      </w:pPr>
      <w:r w:rsidRPr="00A7518E">
        <w:rPr>
          <w:rFonts w:ascii="Times New Roman" w:hAnsi="Times New Roman"/>
          <w:sz w:val="24"/>
          <w:szCs w:val="24"/>
        </w:rPr>
        <w:t xml:space="preserve">Bosk, E. A., Veinot, T., &amp; </w:t>
      </w:r>
      <w:proofErr w:type="spellStart"/>
      <w:r w:rsidRPr="00A7518E">
        <w:rPr>
          <w:rFonts w:ascii="Times New Roman" w:hAnsi="Times New Roman"/>
          <w:sz w:val="24"/>
          <w:szCs w:val="24"/>
        </w:rPr>
        <w:t>Iwashyna</w:t>
      </w:r>
      <w:proofErr w:type="spellEnd"/>
      <w:r w:rsidRPr="00A7518E">
        <w:rPr>
          <w:rFonts w:ascii="Times New Roman" w:hAnsi="Times New Roman"/>
          <w:sz w:val="24"/>
          <w:szCs w:val="24"/>
        </w:rPr>
        <w:t xml:space="preserve">, T. J. (2011). Which patients and where: A qualitative study of patient transfers from community hospitals. </w:t>
      </w:r>
      <w:r w:rsidRPr="00A7518E">
        <w:rPr>
          <w:rFonts w:ascii="Times New Roman" w:hAnsi="Times New Roman"/>
          <w:i/>
          <w:iCs/>
          <w:sz w:val="24"/>
          <w:szCs w:val="24"/>
        </w:rPr>
        <w:t>Medical Care, 49</w:t>
      </w:r>
      <w:r w:rsidRPr="00A7518E">
        <w:rPr>
          <w:rFonts w:ascii="Times New Roman" w:hAnsi="Times New Roman"/>
          <w:sz w:val="24"/>
          <w:szCs w:val="24"/>
        </w:rPr>
        <w:t>(6), 592–598.</w:t>
      </w:r>
    </w:p>
    <w:p w14:paraId="52087559" w14:textId="77777777" w:rsidR="00DB6A67" w:rsidRDefault="00DB6A67" w:rsidP="00DB6A67">
      <w:pPr>
        <w:pStyle w:val="ListParagraph"/>
        <w:numPr>
          <w:ilvl w:val="0"/>
          <w:numId w:val="31"/>
        </w:numPr>
        <w:ind w:left="450"/>
        <w:jc w:val="both"/>
        <w:rPr>
          <w:rFonts w:ascii="Times New Roman" w:hAnsi="Times New Roman"/>
          <w:sz w:val="24"/>
          <w:szCs w:val="24"/>
        </w:rPr>
      </w:pPr>
      <w:r w:rsidRPr="00DB6A67">
        <w:rPr>
          <w:rFonts w:ascii="Times New Roman" w:hAnsi="Times New Roman"/>
          <w:sz w:val="24"/>
          <w:szCs w:val="24"/>
        </w:rPr>
        <w:t xml:space="preserve">Devika, S., Jeyaseelan, L., &amp; Sebastian, G. (2016). Analysis of sparse data in logistic regression in medical research: A newer approach. </w:t>
      </w:r>
      <w:r w:rsidRPr="00DB6A67">
        <w:rPr>
          <w:rFonts w:ascii="Times New Roman" w:hAnsi="Times New Roman"/>
          <w:i/>
          <w:iCs/>
          <w:sz w:val="24"/>
          <w:szCs w:val="24"/>
        </w:rPr>
        <w:t>Journal of Postgraduate Medicine</w:t>
      </w:r>
      <w:r w:rsidRPr="00DB6A67">
        <w:rPr>
          <w:rFonts w:ascii="Times New Roman" w:hAnsi="Times New Roman"/>
          <w:sz w:val="24"/>
          <w:szCs w:val="24"/>
        </w:rPr>
        <w:t xml:space="preserve">, 62(1), 26–31. </w:t>
      </w:r>
    </w:p>
    <w:p w14:paraId="2B0FF85D" w14:textId="77777777" w:rsidR="00DB6A67" w:rsidRDefault="00DB6A67" w:rsidP="00DB6A67">
      <w:pPr>
        <w:pStyle w:val="ListParagraph"/>
        <w:numPr>
          <w:ilvl w:val="0"/>
          <w:numId w:val="31"/>
        </w:numPr>
        <w:ind w:left="450"/>
        <w:jc w:val="both"/>
        <w:rPr>
          <w:rFonts w:ascii="Times New Roman" w:hAnsi="Times New Roman"/>
          <w:sz w:val="24"/>
          <w:szCs w:val="24"/>
        </w:rPr>
      </w:pPr>
      <w:proofErr w:type="spellStart"/>
      <w:r w:rsidRPr="00DB6A67">
        <w:rPr>
          <w:rFonts w:ascii="Times New Roman" w:hAnsi="Times New Roman"/>
          <w:sz w:val="24"/>
          <w:szCs w:val="24"/>
        </w:rPr>
        <w:t>Mansournia</w:t>
      </w:r>
      <w:proofErr w:type="spellEnd"/>
      <w:r w:rsidRPr="00DB6A67">
        <w:rPr>
          <w:rFonts w:ascii="Times New Roman" w:hAnsi="Times New Roman"/>
          <w:sz w:val="24"/>
          <w:szCs w:val="24"/>
        </w:rPr>
        <w:t xml:space="preserve">, M. A., </w:t>
      </w:r>
      <w:proofErr w:type="spellStart"/>
      <w:r w:rsidRPr="00DB6A67">
        <w:rPr>
          <w:rFonts w:ascii="Times New Roman" w:hAnsi="Times New Roman"/>
          <w:sz w:val="24"/>
          <w:szCs w:val="24"/>
        </w:rPr>
        <w:t>Geroldinger</w:t>
      </w:r>
      <w:proofErr w:type="spellEnd"/>
      <w:r w:rsidRPr="00DB6A67">
        <w:rPr>
          <w:rFonts w:ascii="Times New Roman" w:hAnsi="Times New Roman"/>
          <w:sz w:val="24"/>
          <w:szCs w:val="24"/>
        </w:rPr>
        <w:t xml:space="preserve">, A., Greenland, S., &amp; Heinze, G. (2018). Separation in logistic regression: Causes, consequences, and control. </w:t>
      </w:r>
      <w:r w:rsidRPr="00DB6A67">
        <w:rPr>
          <w:rFonts w:ascii="Times New Roman" w:hAnsi="Times New Roman"/>
          <w:i/>
          <w:iCs/>
          <w:sz w:val="24"/>
          <w:szCs w:val="24"/>
        </w:rPr>
        <w:t>American Journal of Epidemiology</w:t>
      </w:r>
      <w:r w:rsidRPr="00DB6A67">
        <w:rPr>
          <w:rFonts w:ascii="Times New Roman" w:hAnsi="Times New Roman"/>
          <w:sz w:val="24"/>
          <w:szCs w:val="24"/>
        </w:rPr>
        <w:t xml:space="preserve">, 187(4), 864–870. </w:t>
      </w:r>
    </w:p>
    <w:p w14:paraId="0F4F74B6" w14:textId="77777777" w:rsidR="00DB6A67" w:rsidRDefault="00DB6A67" w:rsidP="00DB6A67">
      <w:pPr>
        <w:pStyle w:val="ListParagraph"/>
        <w:numPr>
          <w:ilvl w:val="0"/>
          <w:numId w:val="31"/>
        </w:numPr>
        <w:ind w:left="450"/>
        <w:jc w:val="both"/>
        <w:rPr>
          <w:rFonts w:ascii="Times New Roman" w:hAnsi="Times New Roman"/>
          <w:sz w:val="24"/>
          <w:szCs w:val="24"/>
        </w:rPr>
      </w:pPr>
      <w:r w:rsidRPr="00DB6A67">
        <w:rPr>
          <w:rFonts w:ascii="Times New Roman" w:hAnsi="Times New Roman"/>
          <w:sz w:val="24"/>
          <w:szCs w:val="24"/>
        </w:rPr>
        <w:t xml:space="preserve">Austin, P. C., &amp; </w:t>
      </w:r>
      <w:proofErr w:type="spellStart"/>
      <w:r w:rsidRPr="00DB6A67">
        <w:rPr>
          <w:rFonts w:ascii="Times New Roman" w:hAnsi="Times New Roman"/>
          <w:sz w:val="24"/>
          <w:szCs w:val="24"/>
        </w:rPr>
        <w:t>Steyerberg</w:t>
      </w:r>
      <w:proofErr w:type="spellEnd"/>
      <w:r w:rsidRPr="00DB6A67">
        <w:rPr>
          <w:rFonts w:ascii="Times New Roman" w:hAnsi="Times New Roman"/>
          <w:sz w:val="24"/>
          <w:szCs w:val="24"/>
        </w:rPr>
        <w:t xml:space="preserve">, E. W. (2017). Events per variable (EPV) and the relative performance of different strategies for estimating the out-of-sample validity of logistic regression models. </w:t>
      </w:r>
      <w:r w:rsidRPr="00DB6A67">
        <w:rPr>
          <w:rFonts w:ascii="Times New Roman" w:hAnsi="Times New Roman"/>
          <w:i/>
          <w:iCs/>
          <w:sz w:val="24"/>
          <w:szCs w:val="24"/>
        </w:rPr>
        <w:t>Statistical Methods in Medical Research</w:t>
      </w:r>
      <w:r w:rsidRPr="00DB6A67">
        <w:rPr>
          <w:rFonts w:ascii="Times New Roman" w:hAnsi="Times New Roman"/>
          <w:sz w:val="24"/>
          <w:szCs w:val="24"/>
        </w:rPr>
        <w:t xml:space="preserve">, 26(2), 796–808. </w:t>
      </w:r>
    </w:p>
    <w:p w14:paraId="1B464A2E" w14:textId="77777777" w:rsidR="0067457C" w:rsidRDefault="00DB6A67" w:rsidP="0067457C">
      <w:pPr>
        <w:pStyle w:val="ListParagraph"/>
        <w:numPr>
          <w:ilvl w:val="0"/>
          <w:numId w:val="31"/>
        </w:numPr>
        <w:ind w:left="450"/>
        <w:jc w:val="both"/>
        <w:rPr>
          <w:rFonts w:ascii="Times New Roman" w:hAnsi="Times New Roman"/>
          <w:sz w:val="24"/>
          <w:szCs w:val="24"/>
        </w:rPr>
      </w:pPr>
      <w:r w:rsidRPr="00DB6A67">
        <w:rPr>
          <w:rFonts w:ascii="Times New Roman" w:hAnsi="Times New Roman"/>
          <w:sz w:val="24"/>
          <w:szCs w:val="24"/>
        </w:rPr>
        <w:t xml:space="preserve">Collins, G. S., Dhiman, P., Ma, J., Schlussel, M. M., Archer, L., Van Calster, B., Harrell, F. E., Martin, G. P., Moons, K. G. M., van Smeden, M., Sperrin, M., Bullock, G. S., &amp; Riley, R. D. (2024). Evaluation of clinical prediction models (part 1): from development to external validation. </w:t>
      </w:r>
      <w:r w:rsidRPr="00DB6A67">
        <w:rPr>
          <w:rFonts w:ascii="Times New Roman" w:hAnsi="Times New Roman"/>
          <w:i/>
          <w:iCs/>
          <w:sz w:val="24"/>
          <w:szCs w:val="24"/>
        </w:rPr>
        <w:t>BMJ</w:t>
      </w:r>
      <w:r w:rsidRPr="00DB6A67">
        <w:rPr>
          <w:rFonts w:ascii="Times New Roman" w:hAnsi="Times New Roman"/>
          <w:sz w:val="24"/>
          <w:szCs w:val="24"/>
        </w:rPr>
        <w:t>, 384, e074819</w:t>
      </w:r>
    </w:p>
    <w:p w14:paraId="5B1AA7AD" w14:textId="77777777" w:rsidR="0067457C" w:rsidRPr="0067457C" w:rsidRDefault="0067457C" w:rsidP="0067457C">
      <w:pPr>
        <w:pStyle w:val="ListParagraph"/>
        <w:numPr>
          <w:ilvl w:val="0"/>
          <w:numId w:val="31"/>
        </w:numPr>
        <w:ind w:left="450"/>
        <w:jc w:val="both"/>
        <w:rPr>
          <w:rFonts w:ascii="Times New Roman" w:hAnsi="Times New Roman"/>
          <w:sz w:val="24"/>
          <w:szCs w:val="24"/>
        </w:rPr>
      </w:pPr>
      <w:proofErr w:type="spellStart"/>
      <w:r>
        <w:t>Galatzan</w:t>
      </w:r>
      <w:proofErr w:type="spellEnd"/>
      <w:r>
        <w:t xml:space="preserve">, B. J., Johnson, E., &amp; Judson, T. (2024). Issues and Challenges of Communicating Interfacility Transfer Patient Information in the United States: A Systematic Review. </w:t>
      </w:r>
      <w:r>
        <w:rPr>
          <w:rStyle w:val="Emphasis"/>
        </w:rPr>
        <w:t>Research and Theory for Nursing Practice</w:t>
      </w:r>
      <w:r>
        <w:t xml:space="preserve">. </w:t>
      </w:r>
    </w:p>
    <w:p w14:paraId="01EF949B" w14:textId="2B93AB2D" w:rsidR="0067457C" w:rsidRPr="0067457C" w:rsidRDefault="0067457C" w:rsidP="0067457C">
      <w:pPr>
        <w:pStyle w:val="ListParagraph"/>
        <w:numPr>
          <w:ilvl w:val="0"/>
          <w:numId w:val="31"/>
        </w:numPr>
        <w:ind w:left="450"/>
        <w:jc w:val="both"/>
        <w:rPr>
          <w:rFonts w:ascii="Times New Roman" w:hAnsi="Times New Roman"/>
          <w:sz w:val="24"/>
          <w:szCs w:val="24"/>
        </w:rPr>
      </w:pPr>
      <w:r>
        <w:t xml:space="preserve">Totten, A. M., Womack, D. M., Griffin, J. C., McDonagh, M. S., Davis-O’Reilly, C., Blazina, I., </w:t>
      </w:r>
      <w:proofErr w:type="spellStart"/>
      <w:r>
        <w:t>Grusing</w:t>
      </w:r>
      <w:proofErr w:type="spellEnd"/>
      <w:r>
        <w:t xml:space="preserve">, S., &amp; Elder, N. (2024). Telehealth-guided provider-to-provider </w:t>
      </w:r>
      <w:r>
        <w:lastRenderedPageBreak/>
        <w:t xml:space="preserve">communication to improve rural health: A systematic review. </w:t>
      </w:r>
      <w:r>
        <w:rPr>
          <w:rStyle w:val="Emphasis"/>
        </w:rPr>
        <w:t>Journal of Telemedicine and Telecare</w:t>
      </w:r>
      <w:r>
        <w:t>, 30(8), 1209–1229</w:t>
      </w:r>
    </w:p>
    <w:p w14:paraId="2C342075" w14:textId="77777777" w:rsidR="003763C1" w:rsidRPr="0067457C" w:rsidRDefault="003763C1" w:rsidP="0067457C">
      <w:pPr>
        <w:pStyle w:val="ListParagraph"/>
        <w:ind w:left="450"/>
        <w:jc w:val="both"/>
        <w:rPr>
          <w:rFonts w:ascii="Times New Roman" w:hAnsi="Times New Roman"/>
          <w:sz w:val="24"/>
          <w:szCs w:val="24"/>
        </w:rPr>
      </w:pPr>
    </w:p>
    <w:p w14:paraId="5FE6529D" w14:textId="77777777" w:rsidR="00790ADA" w:rsidRPr="00FB3A86" w:rsidRDefault="00790ADA" w:rsidP="00441B6F">
      <w:pPr>
        <w:pStyle w:val="Body"/>
        <w:spacing w:after="0"/>
        <w:rPr>
          <w:rFonts w:ascii="Arial" w:hAnsi="Arial" w:cs="Arial"/>
        </w:rPr>
      </w:pPr>
    </w:p>
    <w:p w14:paraId="21FC3E1D" w14:textId="385FD9A5" w:rsidR="004D4277" w:rsidRPr="00FB3A86" w:rsidRDefault="004D4277" w:rsidP="00441B6F">
      <w:pPr>
        <w:pStyle w:val="Appendix"/>
        <w:spacing w:after="0"/>
        <w:jc w:val="both"/>
        <w:rPr>
          <w:rFonts w:ascii="Arial" w:hAnsi="Arial" w:cs="Arial"/>
          <w:b w:val="0"/>
        </w:rPr>
        <w:sectPr w:rsidR="004D4277" w:rsidRPr="00FB3A86" w:rsidSect="000B1E33">
          <w:footerReference w:type="default" r:id="rId10"/>
          <w:type w:val="continuous"/>
          <w:pgSz w:w="12240" w:h="15840"/>
          <w:pgMar w:top="1440" w:right="2016" w:bottom="2016" w:left="2016" w:header="720" w:footer="1123" w:gutter="0"/>
          <w:lnNumType w:countBy="1" w:restart="continuous"/>
          <w:cols w:space="720"/>
          <w:docGrid w:linePitch="272"/>
        </w:sectPr>
      </w:pPr>
    </w:p>
    <w:p w14:paraId="64E7ABDC" w14:textId="77777777"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C75F4" w14:textId="77777777" w:rsidR="00512D6F" w:rsidRDefault="00512D6F" w:rsidP="00C37E61">
      <w:r>
        <w:separator/>
      </w:r>
    </w:p>
  </w:endnote>
  <w:endnote w:type="continuationSeparator" w:id="0">
    <w:p w14:paraId="51383897" w14:textId="77777777" w:rsidR="00512D6F" w:rsidRDefault="00512D6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2560" w14:textId="77777777" w:rsidR="009E048A" w:rsidRDefault="009E048A">
    <w:pPr>
      <w:pStyle w:val="Footer"/>
      <w:rPr>
        <w:rFonts w:ascii="Arial" w:hAnsi="Arial" w:cs="Arial"/>
        <w:sz w:val="16"/>
      </w:rPr>
    </w:pPr>
  </w:p>
  <w:p w14:paraId="6BC27F6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F9EA714" w14:textId="77777777" w:rsidR="009E048A" w:rsidRDefault="009E048A">
    <w:pPr>
      <w:pStyle w:val="Footer"/>
      <w:rPr>
        <w:rFonts w:ascii="Arial" w:hAnsi="Arial" w:cs="Arial"/>
        <w:sz w:val="16"/>
      </w:rPr>
    </w:pPr>
  </w:p>
  <w:p w14:paraId="247C6C2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D81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E4EDC" w14:textId="77777777" w:rsidR="00512D6F" w:rsidRDefault="00512D6F" w:rsidP="00C37E61">
      <w:r>
        <w:separator/>
      </w:r>
    </w:p>
  </w:footnote>
  <w:footnote w:type="continuationSeparator" w:id="0">
    <w:p w14:paraId="3F46F85B" w14:textId="77777777" w:rsidR="00512D6F" w:rsidRDefault="00512D6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830F" w14:textId="77777777" w:rsidR="00296529" w:rsidRPr="00296529" w:rsidRDefault="00296529" w:rsidP="00296529">
    <w:pPr>
      <w:ind w:left="2160"/>
      <w:jc w:val="center"/>
      <w:rPr>
        <w:rFonts w:ascii="Times New Roman" w:eastAsia="Calibri" w:hAnsi="Times New Roman"/>
        <w:i/>
        <w:sz w:val="18"/>
        <w:szCs w:val="22"/>
      </w:rPr>
    </w:pPr>
  </w:p>
  <w:p w14:paraId="4D03ADA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12A3D1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761EC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8885F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878F4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903BA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73B01CB"/>
    <w:multiLevelType w:val="hybridMultilevel"/>
    <w:tmpl w:val="00FE475C"/>
    <w:lvl w:ilvl="0" w:tplc="2D9C1CE0">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009372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62176871">
    <w:abstractNumId w:val="15"/>
  </w:num>
  <w:num w:numId="3" w16cid:durableId="355468260">
    <w:abstractNumId w:val="24"/>
  </w:num>
  <w:num w:numId="4" w16cid:durableId="61768191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97800207">
    <w:abstractNumId w:val="7"/>
  </w:num>
  <w:num w:numId="6" w16cid:durableId="1665040014">
    <w:abstractNumId w:val="6"/>
  </w:num>
  <w:num w:numId="7" w16cid:durableId="1815024178">
    <w:abstractNumId w:val="1"/>
  </w:num>
  <w:num w:numId="8" w16cid:durableId="843012577">
    <w:abstractNumId w:val="12"/>
  </w:num>
  <w:num w:numId="9" w16cid:durableId="171914881">
    <w:abstractNumId w:val="26"/>
  </w:num>
  <w:num w:numId="10" w16cid:durableId="1080714938">
    <w:abstractNumId w:val="2"/>
  </w:num>
  <w:num w:numId="11" w16cid:durableId="613907093">
    <w:abstractNumId w:val="19"/>
  </w:num>
  <w:num w:numId="12" w16cid:durableId="68620107">
    <w:abstractNumId w:val="3"/>
  </w:num>
  <w:num w:numId="13" w16cid:durableId="66735978">
    <w:abstractNumId w:val="17"/>
  </w:num>
  <w:num w:numId="14" w16cid:durableId="1722636996">
    <w:abstractNumId w:val="8"/>
  </w:num>
  <w:num w:numId="15" w16cid:durableId="215898873">
    <w:abstractNumId w:val="22"/>
  </w:num>
  <w:num w:numId="16" w16cid:durableId="430198860">
    <w:abstractNumId w:val="5"/>
  </w:num>
  <w:num w:numId="17" w16cid:durableId="104228739">
    <w:abstractNumId w:val="23"/>
  </w:num>
  <w:num w:numId="18" w16cid:durableId="602736434">
    <w:abstractNumId w:val="14"/>
  </w:num>
  <w:num w:numId="19" w16cid:durableId="974526028">
    <w:abstractNumId w:val="29"/>
  </w:num>
  <w:num w:numId="20" w16cid:durableId="588272644">
    <w:abstractNumId w:val="11"/>
  </w:num>
  <w:num w:numId="21" w16cid:durableId="1896163113">
    <w:abstractNumId w:val="9"/>
  </w:num>
  <w:num w:numId="22" w16cid:durableId="1463957129">
    <w:abstractNumId w:val="13"/>
  </w:num>
  <w:num w:numId="23" w16cid:durableId="249046899">
    <w:abstractNumId w:val="20"/>
  </w:num>
  <w:num w:numId="24" w16cid:durableId="193928167">
    <w:abstractNumId w:val="27"/>
  </w:num>
  <w:num w:numId="25" w16cid:durableId="1085496216">
    <w:abstractNumId w:val="4"/>
  </w:num>
  <w:num w:numId="26" w16cid:durableId="1564482744">
    <w:abstractNumId w:val="16"/>
  </w:num>
  <w:num w:numId="27" w16cid:durableId="1894461099">
    <w:abstractNumId w:val="21"/>
  </w:num>
  <w:num w:numId="28" w16cid:durableId="2086760139">
    <w:abstractNumId w:val="28"/>
  </w:num>
  <w:num w:numId="29" w16cid:durableId="344334062">
    <w:abstractNumId w:val="25"/>
  </w:num>
  <w:num w:numId="30" w16cid:durableId="1770389764">
    <w:abstractNumId w:val="10"/>
  </w:num>
  <w:num w:numId="31" w16cid:durableId="19828028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81C"/>
    <w:rsid w:val="00030174"/>
    <w:rsid w:val="0004579C"/>
    <w:rsid w:val="00053208"/>
    <w:rsid w:val="000636CF"/>
    <w:rsid w:val="00094A73"/>
    <w:rsid w:val="000A47FA"/>
    <w:rsid w:val="000A65D3"/>
    <w:rsid w:val="000B1E33"/>
    <w:rsid w:val="000D689F"/>
    <w:rsid w:val="000E7B7B"/>
    <w:rsid w:val="000E7D62"/>
    <w:rsid w:val="00103357"/>
    <w:rsid w:val="00123C9F"/>
    <w:rsid w:val="00126190"/>
    <w:rsid w:val="00130F17"/>
    <w:rsid w:val="001320BF"/>
    <w:rsid w:val="00163BC4"/>
    <w:rsid w:val="00170AF2"/>
    <w:rsid w:val="0017739D"/>
    <w:rsid w:val="00191062"/>
    <w:rsid w:val="00192B72"/>
    <w:rsid w:val="001A29D8"/>
    <w:rsid w:val="001A5CAA"/>
    <w:rsid w:val="001A7C58"/>
    <w:rsid w:val="001B0427"/>
    <w:rsid w:val="001D3A51"/>
    <w:rsid w:val="001E000F"/>
    <w:rsid w:val="001E10D2"/>
    <w:rsid w:val="001E25B4"/>
    <w:rsid w:val="001E44FE"/>
    <w:rsid w:val="001F12E3"/>
    <w:rsid w:val="00200595"/>
    <w:rsid w:val="00204835"/>
    <w:rsid w:val="00231920"/>
    <w:rsid w:val="0023195C"/>
    <w:rsid w:val="0024282C"/>
    <w:rsid w:val="00245ADA"/>
    <w:rsid w:val="002460DC"/>
    <w:rsid w:val="00250985"/>
    <w:rsid w:val="002556F6"/>
    <w:rsid w:val="00283105"/>
    <w:rsid w:val="00284C4C"/>
    <w:rsid w:val="00287E68"/>
    <w:rsid w:val="00296529"/>
    <w:rsid w:val="002B27FB"/>
    <w:rsid w:val="002B685A"/>
    <w:rsid w:val="002C57D2"/>
    <w:rsid w:val="002E0D56"/>
    <w:rsid w:val="002F06F9"/>
    <w:rsid w:val="002F4238"/>
    <w:rsid w:val="002F43CA"/>
    <w:rsid w:val="00315186"/>
    <w:rsid w:val="00324B82"/>
    <w:rsid w:val="0033343E"/>
    <w:rsid w:val="003512C2"/>
    <w:rsid w:val="00371FB6"/>
    <w:rsid w:val="0037393B"/>
    <w:rsid w:val="003763C1"/>
    <w:rsid w:val="00376BBE"/>
    <w:rsid w:val="0039224F"/>
    <w:rsid w:val="003A43A4"/>
    <w:rsid w:val="003A7E18"/>
    <w:rsid w:val="003C4C86"/>
    <w:rsid w:val="003C6258"/>
    <w:rsid w:val="003E2904"/>
    <w:rsid w:val="003E7371"/>
    <w:rsid w:val="00401927"/>
    <w:rsid w:val="00407CB6"/>
    <w:rsid w:val="0041027F"/>
    <w:rsid w:val="00412475"/>
    <w:rsid w:val="00423789"/>
    <w:rsid w:val="00426D28"/>
    <w:rsid w:val="00440F43"/>
    <w:rsid w:val="00441B6F"/>
    <w:rsid w:val="00446221"/>
    <w:rsid w:val="00450E62"/>
    <w:rsid w:val="004539DB"/>
    <w:rsid w:val="00471A80"/>
    <w:rsid w:val="004A0505"/>
    <w:rsid w:val="004D305E"/>
    <w:rsid w:val="004D4277"/>
    <w:rsid w:val="00502516"/>
    <w:rsid w:val="00505F06"/>
    <w:rsid w:val="00506828"/>
    <w:rsid w:val="00512D6F"/>
    <w:rsid w:val="0053056E"/>
    <w:rsid w:val="00554FDA"/>
    <w:rsid w:val="005C784C"/>
    <w:rsid w:val="005D17F6"/>
    <w:rsid w:val="005E5539"/>
    <w:rsid w:val="00602BF5"/>
    <w:rsid w:val="0060508C"/>
    <w:rsid w:val="006147F1"/>
    <w:rsid w:val="00617FDD"/>
    <w:rsid w:val="00633614"/>
    <w:rsid w:val="00633F68"/>
    <w:rsid w:val="00636EB2"/>
    <w:rsid w:val="006375B8"/>
    <w:rsid w:val="0066510A"/>
    <w:rsid w:val="00673F9F"/>
    <w:rsid w:val="0067457C"/>
    <w:rsid w:val="00676ED1"/>
    <w:rsid w:val="00686953"/>
    <w:rsid w:val="00687DEA"/>
    <w:rsid w:val="00687E67"/>
    <w:rsid w:val="006967F7"/>
    <w:rsid w:val="006A250C"/>
    <w:rsid w:val="006A6BC8"/>
    <w:rsid w:val="006B21D3"/>
    <w:rsid w:val="006B57D0"/>
    <w:rsid w:val="006C5C42"/>
    <w:rsid w:val="006D30FF"/>
    <w:rsid w:val="006D6940"/>
    <w:rsid w:val="006F11EC"/>
    <w:rsid w:val="0070082C"/>
    <w:rsid w:val="0070396F"/>
    <w:rsid w:val="00704DAB"/>
    <w:rsid w:val="007369E6"/>
    <w:rsid w:val="00746E59"/>
    <w:rsid w:val="00754C9A"/>
    <w:rsid w:val="0075599A"/>
    <w:rsid w:val="00761D52"/>
    <w:rsid w:val="007770F1"/>
    <w:rsid w:val="0077749E"/>
    <w:rsid w:val="00790ADA"/>
    <w:rsid w:val="007B7069"/>
    <w:rsid w:val="007D2288"/>
    <w:rsid w:val="007D2DCD"/>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27A6"/>
    <w:rsid w:val="00915CA6"/>
    <w:rsid w:val="00927834"/>
    <w:rsid w:val="009500A6"/>
    <w:rsid w:val="00957C18"/>
    <w:rsid w:val="009659BA"/>
    <w:rsid w:val="00983040"/>
    <w:rsid w:val="00993DB7"/>
    <w:rsid w:val="009B3FB9"/>
    <w:rsid w:val="009C2465"/>
    <w:rsid w:val="009D35A0"/>
    <w:rsid w:val="009D7EB7"/>
    <w:rsid w:val="009E048A"/>
    <w:rsid w:val="009E08E9"/>
    <w:rsid w:val="009E3DB9"/>
    <w:rsid w:val="009E6E35"/>
    <w:rsid w:val="009F0EDA"/>
    <w:rsid w:val="009F47EA"/>
    <w:rsid w:val="00A03B96"/>
    <w:rsid w:val="00A05B19"/>
    <w:rsid w:val="00A1134E"/>
    <w:rsid w:val="00A24E7E"/>
    <w:rsid w:val="00A258C3"/>
    <w:rsid w:val="00A347C0"/>
    <w:rsid w:val="00A51431"/>
    <w:rsid w:val="00A539AD"/>
    <w:rsid w:val="00A7518E"/>
    <w:rsid w:val="00A91CF3"/>
    <w:rsid w:val="00A94063"/>
    <w:rsid w:val="00AA6219"/>
    <w:rsid w:val="00AA74E0"/>
    <w:rsid w:val="00AB703F"/>
    <w:rsid w:val="00AC6BB8"/>
    <w:rsid w:val="00AE008F"/>
    <w:rsid w:val="00AE31A1"/>
    <w:rsid w:val="00B01FCD"/>
    <w:rsid w:val="00B1776C"/>
    <w:rsid w:val="00B52583"/>
    <w:rsid w:val="00B52896"/>
    <w:rsid w:val="00B95236"/>
    <w:rsid w:val="00B96BD9"/>
    <w:rsid w:val="00BA1B01"/>
    <w:rsid w:val="00BA2641"/>
    <w:rsid w:val="00BB37AA"/>
    <w:rsid w:val="00BC53A0"/>
    <w:rsid w:val="00BE5DD0"/>
    <w:rsid w:val="00BE62AD"/>
    <w:rsid w:val="00BF121F"/>
    <w:rsid w:val="00BF1F80"/>
    <w:rsid w:val="00C10671"/>
    <w:rsid w:val="00C166EF"/>
    <w:rsid w:val="00C17EB0"/>
    <w:rsid w:val="00C27F5F"/>
    <w:rsid w:val="00C30A0F"/>
    <w:rsid w:val="00C37E61"/>
    <w:rsid w:val="00C45906"/>
    <w:rsid w:val="00C70F1B"/>
    <w:rsid w:val="00C71A47"/>
    <w:rsid w:val="00C7464C"/>
    <w:rsid w:val="00C771D1"/>
    <w:rsid w:val="00C85588"/>
    <w:rsid w:val="00CD6755"/>
    <w:rsid w:val="00CD6856"/>
    <w:rsid w:val="00CE0089"/>
    <w:rsid w:val="00CE793C"/>
    <w:rsid w:val="00CF193C"/>
    <w:rsid w:val="00D173F1"/>
    <w:rsid w:val="00D61F08"/>
    <w:rsid w:val="00D74CB0"/>
    <w:rsid w:val="00D8295D"/>
    <w:rsid w:val="00DB6A67"/>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5A9"/>
    <w:rsid w:val="00EF7FD8"/>
    <w:rsid w:val="00F06F59"/>
    <w:rsid w:val="00F17988"/>
    <w:rsid w:val="00F469F0"/>
    <w:rsid w:val="00F53273"/>
    <w:rsid w:val="00F60E82"/>
    <w:rsid w:val="00F755E4"/>
    <w:rsid w:val="00F77D02"/>
    <w:rsid w:val="00F82220"/>
    <w:rsid w:val="00FB3A86"/>
    <w:rsid w:val="00FD36C8"/>
    <w:rsid w:val="00FF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8AD7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C58"/>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59"/>
    <w:rsid w:val="001A7C58"/>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18E"/>
    <w:pPr>
      <w:ind w:left="720"/>
      <w:contextualSpacing/>
    </w:pPr>
  </w:style>
  <w:style w:type="paragraph" w:styleId="NormalWeb">
    <w:name w:val="Normal (Web)"/>
    <w:basedOn w:val="Normal"/>
    <w:uiPriority w:val="99"/>
    <w:semiHidden/>
    <w:unhideWhenUsed/>
    <w:rsid w:val="0067457C"/>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745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134D4-3A0E-4DD6-A799-BE16A7F29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291</TotalTime>
  <Pages>11</Pages>
  <Words>4096</Words>
  <Characters>23353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27395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25</cp:revision>
  <cp:lastPrinted>1999-07-06T11:00:00Z</cp:lastPrinted>
  <dcterms:created xsi:type="dcterms:W3CDTF">2014-10-25T14:34:00Z</dcterms:created>
  <dcterms:modified xsi:type="dcterms:W3CDTF">2026-04-22T10:21:00Z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ecd34607-ff80-40d1-b4e2-29fd537d45f5</vt:lpwstr>
  </property>
</Properties>
</file>