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5A460" w14:textId="495FB2D1" w:rsidR="00533559" w:rsidRDefault="00533559" w:rsidP="000B1B4B">
      <w:pPr>
        <w:spacing w:line="240" w:lineRule="auto"/>
        <w:jc w:val="right"/>
        <w:rPr>
          <w:rFonts w:ascii="Arial" w:hAnsi="Arial" w:cs="Arial"/>
          <w:b/>
        </w:rPr>
      </w:pPr>
      <w:r w:rsidRPr="007B1647">
        <w:rPr>
          <w:rFonts w:ascii="Times New Roman" w:hAnsi="Times New Roman" w:cs="Times New Roman"/>
          <w:sz w:val="20"/>
          <w:szCs w:val="20"/>
        </w:rPr>
        <w:t>Original Research Article</w:t>
      </w:r>
    </w:p>
    <w:p w14:paraId="6CF70405" w14:textId="1F5C2AAB" w:rsidR="00283B46" w:rsidRPr="006D780B" w:rsidRDefault="004F7E4C" w:rsidP="000B1B4B">
      <w:pPr>
        <w:spacing w:line="240" w:lineRule="auto"/>
        <w:jc w:val="right"/>
        <w:rPr>
          <w:rFonts w:ascii="Arial" w:hAnsi="Arial" w:cs="Arial"/>
          <w:b/>
        </w:rPr>
      </w:pPr>
      <w:r w:rsidRPr="006D780B">
        <w:rPr>
          <w:rFonts w:ascii="Arial" w:hAnsi="Arial" w:cs="Arial"/>
          <w:b/>
        </w:rPr>
        <w:t xml:space="preserve">Association between digit ratio and onset of menopause among women in port </w:t>
      </w:r>
      <w:proofErr w:type="spellStart"/>
      <w:r w:rsidRPr="006D780B">
        <w:rPr>
          <w:rFonts w:ascii="Arial" w:hAnsi="Arial" w:cs="Arial"/>
          <w:b/>
        </w:rPr>
        <w:t>harcourt</w:t>
      </w:r>
      <w:proofErr w:type="spellEnd"/>
      <w:r w:rsidRPr="006D780B">
        <w:rPr>
          <w:rFonts w:ascii="Arial" w:hAnsi="Arial" w:cs="Arial"/>
          <w:b/>
        </w:rPr>
        <w:t>, rivers state</w:t>
      </w:r>
      <w:r w:rsidR="00F46123">
        <w:rPr>
          <w:rFonts w:ascii="Arial" w:hAnsi="Arial" w:cs="Arial"/>
          <w:b/>
        </w:rPr>
        <w:t>, Nigeria</w:t>
      </w:r>
    </w:p>
    <w:p w14:paraId="3268D438" w14:textId="77777777" w:rsidR="00533559" w:rsidRPr="00282B46" w:rsidRDefault="00533559" w:rsidP="000B1B4B">
      <w:pPr>
        <w:spacing w:line="240" w:lineRule="auto"/>
        <w:jc w:val="right"/>
        <w:rPr>
          <w:rFonts w:ascii="Times New Roman" w:hAnsi="Times New Roman" w:cs="Times New Roman"/>
          <w:b/>
          <w:sz w:val="24"/>
          <w:szCs w:val="24"/>
        </w:rPr>
      </w:pPr>
    </w:p>
    <w:p w14:paraId="22CD80F1" w14:textId="77777777" w:rsidR="00282B46" w:rsidRDefault="00282B46" w:rsidP="000B1B4B">
      <w:pPr>
        <w:spacing w:line="240" w:lineRule="auto"/>
        <w:jc w:val="both"/>
        <w:rPr>
          <w:rFonts w:ascii="Times New Roman" w:hAnsi="Times New Roman" w:cs="Times New Roman"/>
          <w:b/>
          <w:sz w:val="28"/>
          <w:szCs w:val="24"/>
        </w:rPr>
      </w:pPr>
    </w:p>
    <w:p w14:paraId="40D853F3" w14:textId="77777777" w:rsidR="00283B46" w:rsidRPr="000B1B4B" w:rsidRDefault="00E265FF" w:rsidP="000B1B4B">
      <w:pPr>
        <w:spacing w:line="240" w:lineRule="auto"/>
        <w:rPr>
          <w:rFonts w:ascii="Arial" w:hAnsi="Arial" w:cs="Arial"/>
          <w:b/>
        </w:rPr>
      </w:pPr>
      <w:r w:rsidRPr="000B1B4B">
        <w:rPr>
          <w:rFonts w:ascii="Arial" w:hAnsi="Arial" w:cs="Arial"/>
          <w:b/>
        </w:rPr>
        <w:t>ABSTRACT</w:t>
      </w:r>
    </w:p>
    <w:p w14:paraId="5A97E3D7" w14:textId="398E72BF" w:rsidR="00F46123" w:rsidRDefault="00F46123" w:rsidP="000B1B4B">
      <w:pPr>
        <w:spacing w:line="240" w:lineRule="auto"/>
        <w:jc w:val="both"/>
        <w:rPr>
          <w:rFonts w:ascii="Arial" w:hAnsi="Arial" w:cs="Arial"/>
          <w:b/>
          <w:sz w:val="20"/>
          <w:szCs w:val="20"/>
        </w:rPr>
      </w:pPr>
      <w:r>
        <w:rPr>
          <w:rFonts w:ascii="Arial" w:hAnsi="Arial" w:cs="Arial"/>
          <w:b/>
          <w:sz w:val="20"/>
          <w:szCs w:val="20"/>
        </w:rPr>
        <w:t xml:space="preserve">Background: </w:t>
      </w:r>
      <w:r w:rsidRPr="00F32588">
        <w:rPr>
          <w:rFonts w:ascii="Arial" w:hAnsi="Arial" w:cs="Arial"/>
          <w:sz w:val="20"/>
          <w:szCs w:val="20"/>
        </w:rPr>
        <w:t>Menopause marks a critical transition in female life history and is defined as the permanent cessation of menstruation for at least 12 consecutive months, reflecting irreversible reproductive senescence</w:t>
      </w:r>
      <w:r>
        <w:rPr>
          <w:rFonts w:ascii="Arial" w:hAnsi="Arial" w:cs="Arial"/>
          <w:sz w:val="20"/>
          <w:szCs w:val="20"/>
        </w:rPr>
        <w:t>.</w:t>
      </w:r>
      <w:r w:rsidRPr="00F46123">
        <w:rPr>
          <w:rFonts w:ascii="Arial" w:hAnsi="Arial" w:cs="Arial"/>
          <w:sz w:val="20"/>
          <w:szCs w:val="20"/>
        </w:rPr>
        <w:t xml:space="preserve"> </w:t>
      </w:r>
      <w:r w:rsidR="0091298B">
        <w:rPr>
          <w:rFonts w:ascii="Arial" w:hAnsi="Arial" w:cs="Arial"/>
          <w:sz w:val="20"/>
          <w:szCs w:val="20"/>
        </w:rPr>
        <w:t>W</w:t>
      </w:r>
      <w:r w:rsidRPr="00F32588">
        <w:rPr>
          <w:rFonts w:ascii="Arial" w:hAnsi="Arial" w:cs="Arial"/>
          <w:sz w:val="20"/>
          <w:szCs w:val="20"/>
        </w:rPr>
        <w:t>omen with more feminine (higher) 2D:4D ratios have been reported to have longer reproductive lifespans and higher numbers of offspring</w:t>
      </w:r>
    </w:p>
    <w:p w14:paraId="4619662C" w14:textId="70287185" w:rsidR="000B1B4B" w:rsidRPr="00F32588" w:rsidRDefault="000B1B4B" w:rsidP="000B1B4B">
      <w:pPr>
        <w:spacing w:line="240" w:lineRule="auto"/>
        <w:jc w:val="both"/>
        <w:rPr>
          <w:rFonts w:ascii="Arial" w:hAnsi="Arial" w:cs="Arial"/>
          <w:sz w:val="20"/>
          <w:szCs w:val="20"/>
        </w:rPr>
      </w:pPr>
      <w:r w:rsidRPr="00F32588">
        <w:rPr>
          <w:rFonts w:ascii="Arial" w:hAnsi="Arial" w:cs="Arial"/>
          <w:b/>
          <w:sz w:val="20"/>
          <w:szCs w:val="20"/>
        </w:rPr>
        <w:t xml:space="preserve">Aim: </w:t>
      </w:r>
      <w:r w:rsidR="008B2BF2" w:rsidRPr="00F32588">
        <w:rPr>
          <w:rFonts w:ascii="Arial" w:hAnsi="Arial" w:cs="Arial"/>
          <w:sz w:val="20"/>
          <w:szCs w:val="20"/>
        </w:rPr>
        <w:t>Th</w:t>
      </w:r>
      <w:r w:rsidRPr="00F32588">
        <w:rPr>
          <w:rFonts w:ascii="Arial" w:hAnsi="Arial" w:cs="Arial"/>
          <w:sz w:val="20"/>
          <w:szCs w:val="20"/>
        </w:rPr>
        <w:t xml:space="preserve">e aim of this </w:t>
      </w:r>
      <w:r w:rsidR="008B2BF2" w:rsidRPr="00F32588">
        <w:rPr>
          <w:rFonts w:ascii="Arial" w:hAnsi="Arial" w:cs="Arial"/>
          <w:sz w:val="20"/>
          <w:szCs w:val="20"/>
        </w:rPr>
        <w:t xml:space="preserve">study </w:t>
      </w:r>
      <w:r w:rsidRPr="00F32588">
        <w:rPr>
          <w:rFonts w:ascii="Arial" w:hAnsi="Arial" w:cs="Arial"/>
          <w:sz w:val="20"/>
          <w:szCs w:val="20"/>
        </w:rPr>
        <w:t xml:space="preserve">was to </w:t>
      </w:r>
      <w:r w:rsidR="008B2BF2" w:rsidRPr="00F32588">
        <w:rPr>
          <w:rFonts w:ascii="Arial" w:hAnsi="Arial" w:cs="Arial"/>
          <w:sz w:val="20"/>
          <w:szCs w:val="20"/>
        </w:rPr>
        <w:t xml:space="preserve">investigate the relationship between digit ratio and age at menopause among women residing in Port Harcourt, Rivers State, Nigeria. </w:t>
      </w:r>
    </w:p>
    <w:p w14:paraId="5771781B" w14:textId="77777777" w:rsidR="000B1B4B" w:rsidRPr="00F32588" w:rsidRDefault="000B1B4B" w:rsidP="000B1B4B">
      <w:pPr>
        <w:spacing w:line="240" w:lineRule="auto"/>
        <w:jc w:val="both"/>
        <w:rPr>
          <w:rFonts w:ascii="Arial" w:hAnsi="Arial" w:cs="Arial"/>
          <w:sz w:val="20"/>
          <w:szCs w:val="20"/>
        </w:rPr>
      </w:pPr>
      <w:r w:rsidRPr="00F32588">
        <w:rPr>
          <w:rFonts w:ascii="Arial" w:hAnsi="Arial" w:cs="Arial"/>
          <w:b/>
          <w:sz w:val="20"/>
          <w:szCs w:val="20"/>
        </w:rPr>
        <w:t>Study Design:</w:t>
      </w:r>
      <w:r w:rsidRPr="00F32588">
        <w:rPr>
          <w:rFonts w:ascii="Arial" w:hAnsi="Arial" w:cs="Arial"/>
          <w:sz w:val="20"/>
          <w:szCs w:val="20"/>
        </w:rPr>
        <w:t xml:space="preserve"> </w:t>
      </w:r>
      <w:r w:rsidR="008B2BF2" w:rsidRPr="00F32588">
        <w:rPr>
          <w:rFonts w:ascii="Arial" w:hAnsi="Arial" w:cs="Arial"/>
          <w:sz w:val="20"/>
          <w:szCs w:val="20"/>
        </w:rPr>
        <w:t xml:space="preserve">A cross-sectional correlational research design was employed. </w:t>
      </w:r>
    </w:p>
    <w:p w14:paraId="371980A5" w14:textId="77777777" w:rsidR="000B1B4B" w:rsidRPr="00F32588" w:rsidRDefault="000B1B4B" w:rsidP="000B1B4B">
      <w:pPr>
        <w:spacing w:line="240" w:lineRule="auto"/>
        <w:jc w:val="both"/>
        <w:rPr>
          <w:rFonts w:ascii="Arial" w:hAnsi="Arial" w:cs="Arial"/>
          <w:sz w:val="20"/>
          <w:szCs w:val="20"/>
        </w:rPr>
      </w:pPr>
      <w:r w:rsidRPr="00F32588">
        <w:rPr>
          <w:rFonts w:ascii="Arial" w:hAnsi="Arial" w:cs="Arial"/>
          <w:b/>
          <w:sz w:val="20"/>
          <w:szCs w:val="20"/>
        </w:rPr>
        <w:t>Place of Study:</w:t>
      </w:r>
      <w:r w:rsidRPr="00F32588">
        <w:rPr>
          <w:rFonts w:ascii="Arial" w:hAnsi="Arial" w:cs="Arial"/>
          <w:sz w:val="20"/>
          <w:szCs w:val="20"/>
        </w:rPr>
        <w:t xml:space="preserve"> The study was carried out in Port Harcourt, Rivers State.</w:t>
      </w:r>
    </w:p>
    <w:p w14:paraId="686915CD" w14:textId="273366BC" w:rsidR="00F32588" w:rsidRPr="00F32588" w:rsidRDefault="000B1B4B" w:rsidP="000B1B4B">
      <w:pPr>
        <w:spacing w:line="240" w:lineRule="auto"/>
        <w:jc w:val="both"/>
        <w:rPr>
          <w:rFonts w:ascii="Arial" w:hAnsi="Arial" w:cs="Arial"/>
          <w:sz w:val="20"/>
          <w:szCs w:val="20"/>
        </w:rPr>
      </w:pPr>
      <w:r w:rsidRPr="00F32588">
        <w:rPr>
          <w:rFonts w:ascii="Arial" w:hAnsi="Arial" w:cs="Arial"/>
          <w:b/>
          <w:sz w:val="20"/>
          <w:szCs w:val="20"/>
        </w:rPr>
        <w:t>Methodology:</w:t>
      </w:r>
      <w:r w:rsidRPr="00F32588">
        <w:rPr>
          <w:rFonts w:ascii="Arial" w:hAnsi="Arial" w:cs="Arial"/>
          <w:sz w:val="20"/>
          <w:szCs w:val="20"/>
        </w:rPr>
        <w:t xml:space="preserve"> </w:t>
      </w:r>
      <w:r w:rsidR="008B2BF2" w:rsidRPr="00F32588">
        <w:rPr>
          <w:rFonts w:ascii="Arial" w:hAnsi="Arial" w:cs="Arial"/>
          <w:sz w:val="20"/>
          <w:szCs w:val="20"/>
        </w:rPr>
        <w:t xml:space="preserve">Although </w:t>
      </w:r>
      <w:r w:rsidR="00381DC1" w:rsidRPr="00F32588">
        <w:rPr>
          <w:rFonts w:ascii="Arial" w:hAnsi="Arial" w:cs="Arial"/>
          <w:sz w:val="20"/>
          <w:szCs w:val="20"/>
        </w:rPr>
        <w:t xml:space="preserve">402 </w:t>
      </w:r>
      <w:r w:rsidR="008B2BF2" w:rsidRPr="00F32588">
        <w:rPr>
          <w:rFonts w:ascii="Arial" w:hAnsi="Arial" w:cs="Arial"/>
          <w:sz w:val="20"/>
          <w:szCs w:val="20"/>
        </w:rPr>
        <w:t xml:space="preserve">women were initially recruited, only </w:t>
      </w:r>
      <w:r w:rsidR="00381DC1" w:rsidRPr="00F32588">
        <w:rPr>
          <w:rFonts w:ascii="Arial" w:hAnsi="Arial" w:cs="Arial"/>
          <w:sz w:val="20"/>
          <w:szCs w:val="20"/>
        </w:rPr>
        <w:t>191</w:t>
      </w:r>
      <w:r w:rsidR="008B2BF2" w:rsidRPr="00F32588">
        <w:rPr>
          <w:rFonts w:ascii="Arial" w:hAnsi="Arial" w:cs="Arial"/>
          <w:sz w:val="20"/>
          <w:szCs w:val="20"/>
        </w:rPr>
        <w:t xml:space="preserve"> participants were able to accurately report their age at menopause and were included in the final analysis. Participants were selected using a simple random sampling technique. Anthropometric measurements were obtained using a digital Vernier caliper, while demographic information was collected using a structured questionnaire. </w:t>
      </w:r>
      <w:r w:rsidR="00A84390" w:rsidRPr="00E96D0C">
        <w:rPr>
          <w:rFonts w:ascii="Arial" w:hAnsi="Arial" w:cs="Arial"/>
          <w:sz w:val="20"/>
          <w:szCs w:val="20"/>
          <w:highlight w:val="yellow"/>
        </w:rPr>
        <w:t>The study participants gave their informed consent. Descriptive statistics was used to summarize the data, Chi-square test was used to test for the association between digit ratio and onset of menopause. A confidence level of 95% was used, and p&lt;0.05 was considered to be statistically significant.</w:t>
      </w:r>
    </w:p>
    <w:p w14:paraId="22764DD7" w14:textId="2D671807" w:rsidR="00F32588" w:rsidRPr="00F32588" w:rsidRDefault="00F32588" w:rsidP="000B1B4B">
      <w:pPr>
        <w:spacing w:line="240" w:lineRule="auto"/>
        <w:jc w:val="both"/>
        <w:rPr>
          <w:rFonts w:ascii="Arial" w:hAnsi="Arial" w:cs="Arial"/>
          <w:sz w:val="20"/>
          <w:szCs w:val="20"/>
        </w:rPr>
      </w:pPr>
      <w:r w:rsidRPr="00F32588">
        <w:rPr>
          <w:rFonts w:ascii="Arial" w:hAnsi="Arial" w:cs="Arial"/>
          <w:b/>
          <w:sz w:val="20"/>
          <w:szCs w:val="20"/>
        </w:rPr>
        <w:t>Results:</w:t>
      </w:r>
      <w:r w:rsidRPr="00F32588">
        <w:rPr>
          <w:rFonts w:ascii="Arial" w:hAnsi="Arial" w:cs="Arial"/>
          <w:sz w:val="20"/>
          <w:szCs w:val="20"/>
        </w:rPr>
        <w:t xml:space="preserve"> </w:t>
      </w:r>
      <w:r w:rsidR="008B2BF2" w:rsidRPr="00F32588">
        <w:rPr>
          <w:rFonts w:ascii="Arial" w:hAnsi="Arial" w:cs="Arial"/>
          <w:sz w:val="20"/>
          <w:szCs w:val="20"/>
        </w:rPr>
        <w:t xml:space="preserve">The results revealed a mean menopausal age of 45.63 ± 5.55 years, with mean digit ratios of 0.96 ± 0.04 for the right hand and 0.97 ± 0.04 for the left hand. A statistically significant association was observed between digit ratio and age at menopause, as indicated by the chi-square test of independence (chi-square value = 13.324, degrees of freedom = 4, </w:t>
      </w:r>
      <w:r w:rsidR="008B2BF2" w:rsidRPr="00AA2DE4">
        <w:rPr>
          <w:rFonts w:ascii="Arial" w:hAnsi="Arial" w:cs="Arial"/>
          <w:sz w:val="20"/>
          <w:szCs w:val="20"/>
          <w:highlight w:val="yellow"/>
        </w:rPr>
        <w:t>p</w:t>
      </w:r>
      <w:r w:rsidR="00381DC1" w:rsidRPr="00AA2DE4">
        <w:rPr>
          <w:rFonts w:ascii="Arial" w:hAnsi="Arial" w:cs="Arial"/>
          <w:sz w:val="20"/>
          <w:szCs w:val="20"/>
          <w:highlight w:val="yellow"/>
        </w:rPr>
        <w:t>&lt;0.0</w:t>
      </w:r>
      <w:r w:rsidR="00AA2DE4" w:rsidRPr="00AA2DE4">
        <w:rPr>
          <w:rFonts w:ascii="Arial" w:hAnsi="Arial" w:cs="Arial"/>
          <w:sz w:val="20"/>
          <w:szCs w:val="20"/>
          <w:highlight w:val="yellow"/>
        </w:rPr>
        <w:t>5</w:t>
      </w:r>
      <w:r w:rsidR="008B2BF2" w:rsidRPr="00F32588">
        <w:rPr>
          <w:rFonts w:ascii="Arial" w:hAnsi="Arial" w:cs="Arial"/>
          <w:sz w:val="20"/>
          <w:szCs w:val="20"/>
        </w:rPr>
        <w:t xml:space="preserve">). Women with higher digit ratios demonstrated fewer cases of early menopause and were the only group in which late menopause was recorded. </w:t>
      </w:r>
    </w:p>
    <w:p w14:paraId="2F94E7F4" w14:textId="77777777" w:rsidR="008B2BF2" w:rsidRPr="00F32588" w:rsidRDefault="00F32588" w:rsidP="000B1B4B">
      <w:pPr>
        <w:spacing w:line="240" w:lineRule="auto"/>
        <w:jc w:val="both"/>
        <w:rPr>
          <w:rFonts w:ascii="Arial" w:hAnsi="Arial" w:cs="Arial"/>
          <w:sz w:val="20"/>
          <w:szCs w:val="20"/>
        </w:rPr>
      </w:pPr>
      <w:r w:rsidRPr="00F32588">
        <w:rPr>
          <w:rFonts w:ascii="Arial" w:hAnsi="Arial" w:cs="Arial"/>
          <w:b/>
          <w:sz w:val="20"/>
          <w:szCs w:val="20"/>
        </w:rPr>
        <w:t>Conclusion:</w:t>
      </w:r>
      <w:r w:rsidRPr="00F32588">
        <w:rPr>
          <w:rFonts w:ascii="Arial" w:hAnsi="Arial" w:cs="Arial"/>
          <w:sz w:val="20"/>
          <w:szCs w:val="20"/>
        </w:rPr>
        <w:t xml:space="preserve"> T</w:t>
      </w:r>
      <w:r w:rsidR="008B2BF2" w:rsidRPr="00F32588">
        <w:rPr>
          <w:rFonts w:ascii="Arial" w:hAnsi="Arial" w:cs="Arial"/>
          <w:sz w:val="20"/>
          <w:szCs w:val="20"/>
        </w:rPr>
        <w:t>he findings suggest that a low digit ratio is associated with an increased likelihood of early menopause, whereas higher digit ratios are more commonly associated with normal or delayed onset of menopause.</w:t>
      </w:r>
    </w:p>
    <w:p w14:paraId="7E9353FA" w14:textId="77777777" w:rsidR="005B0CAD" w:rsidRPr="00F32588" w:rsidRDefault="00146247" w:rsidP="00F32588">
      <w:pPr>
        <w:spacing w:line="240" w:lineRule="auto"/>
        <w:rPr>
          <w:rFonts w:ascii="Arial" w:hAnsi="Arial" w:cs="Arial"/>
          <w:i/>
          <w:sz w:val="20"/>
          <w:szCs w:val="20"/>
        </w:rPr>
      </w:pPr>
      <w:r w:rsidRPr="00F32588">
        <w:rPr>
          <w:rFonts w:ascii="Arial" w:hAnsi="Arial" w:cs="Arial"/>
          <w:b/>
          <w:i/>
          <w:sz w:val="20"/>
          <w:szCs w:val="20"/>
        </w:rPr>
        <w:t>Keywords:</w:t>
      </w:r>
      <w:r w:rsidRPr="00F32588">
        <w:rPr>
          <w:rFonts w:ascii="Arial" w:hAnsi="Arial" w:cs="Arial"/>
          <w:i/>
          <w:sz w:val="20"/>
          <w:szCs w:val="20"/>
        </w:rPr>
        <w:t xml:space="preserve"> </w:t>
      </w:r>
      <w:r w:rsidR="00F32588" w:rsidRPr="00F32588">
        <w:rPr>
          <w:rFonts w:ascii="Arial" w:hAnsi="Arial" w:cs="Arial"/>
          <w:i/>
          <w:sz w:val="20"/>
          <w:szCs w:val="20"/>
        </w:rPr>
        <w:t xml:space="preserve">Anthropometry, </w:t>
      </w:r>
      <w:r w:rsidRPr="00F32588">
        <w:rPr>
          <w:rFonts w:ascii="Arial" w:hAnsi="Arial" w:cs="Arial"/>
          <w:i/>
          <w:sz w:val="20"/>
          <w:szCs w:val="20"/>
        </w:rPr>
        <w:t>Digit ratio, Menopause, Port Harcourt.</w:t>
      </w:r>
    </w:p>
    <w:p w14:paraId="1D804D1C" w14:textId="77777777" w:rsidR="00283B46" w:rsidRDefault="00283B46" w:rsidP="000B1B4B">
      <w:pPr>
        <w:spacing w:line="240" w:lineRule="auto"/>
        <w:jc w:val="both"/>
        <w:rPr>
          <w:rFonts w:ascii="Times New Roman" w:hAnsi="Times New Roman" w:cs="Times New Roman"/>
          <w:sz w:val="24"/>
          <w:szCs w:val="24"/>
        </w:rPr>
      </w:pPr>
    </w:p>
    <w:p w14:paraId="5E1B0037" w14:textId="77777777" w:rsidR="00282B46" w:rsidRDefault="00282B46" w:rsidP="000B1B4B">
      <w:pPr>
        <w:spacing w:line="240" w:lineRule="auto"/>
        <w:jc w:val="both"/>
        <w:rPr>
          <w:rFonts w:ascii="Times New Roman" w:hAnsi="Times New Roman" w:cs="Times New Roman"/>
          <w:sz w:val="24"/>
          <w:szCs w:val="24"/>
        </w:rPr>
      </w:pPr>
    </w:p>
    <w:p w14:paraId="4CE41E0A" w14:textId="77777777" w:rsidR="00283B46" w:rsidRPr="00F32588" w:rsidRDefault="00F32588" w:rsidP="000B1B4B">
      <w:pPr>
        <w:spacing w:line="240" w:lineRule="auto"/>
        <w:jc w:val="both"/>
        <w:rPr>
          <w:rFonts w:ascii="Arial" w:hAnsi="Arial" w:cs="Arial"/>
          <w:b/>
        </w:rPr>
      </w:pPr>
      <w:r w:rsidRPr="00F32588">
        <w:rPr>
          <w:rFonts w:ascii="Arial" w:hAnsi="Arial" w:cs="Arial"/>
          <w:b/>
        </w:rPr>
        <w:t xml:space="preserve">1. </w:t>
      </w:r>
      <w:r w:rsidR="00283B46" w:rsidRPr="00F32588">
        <w:rPr>
          <w:rFonts w:ascii="Arial" w:hAnsi="Arial" w:cs="Arial"/>
          <w:b/>
        </w:rPr>
        <w:t>INTRODUCTION</w:t>
      </w:r>
    </w:p>
    <w:p w14:paraId="66613A3A" w14:textId="77777777" w:rsidR="00255854" w:rsidRPr="00F32588" w:rsidRDefault="00255854" w:rsidP="000B1B4B">
      <w:pPr>
        <w:spacing w:line="240" w:lineRule="auto"/>
        <w:jc w:val="both"/>
        <w:rPr>
          <w:rFonts w:ascii="Arial" w:hAnsi="Arial" w:cs="Arial"/>
          <w:sz w:val="20"/>
          <w:szCs w:val="20"/>
        </w:rPr>
      </w:pPr>
      <w:r w:rsidRPr="00F32588">
        <w:rPr>
          <w:rFonts w:ascii="Arial" w:hAnsi="Arial" w:cs="Arial"/>
          <w:sz w:val="20"/>
          <w:szCs w:val="20"/>
        </w:rPr>
        <w:t>The ratio of the lengths of the human digits, commonly referred to as the digit ratio, has attracted increasing scientific interest, with the second-to-fourth digit ratio (2D:4D) being the most widely studied. The 2D:4D ratio is calculated by dividing the length of the index finger by that of the ring finger, measured from the midpoint of the basal crease to the fingertip (</w:t>
      </w:r>
      <w:proofErr w:type="spellStart"/>
      <w:r w:rsidRPr="00F32588">
        <w:rPr>
          <w:rFonts w:ascii="Arial" w:hAnsi="Arial" w:cs="Arial"/>
          <w:sz w:val="20"/>
          <w:szCs w:val="20"/>
        </w:rPr>
        <w:t>Alperovitch-Najenson</w:t>
      </w:r>
      <w:proofErr w:type="spellEnd"/>
      <w:r w:rsidRPr="00F32588">
        <w:rPr>
          <w:rFonts w:ascii="Arial" w:hAnsi="Arial" w:cs="Arial"/>
          <w:sz w:val="20"/>
          <w:szCs w:val="20"/>
        </w:rPr>
        <w:t xml:space="preserve"> et al., 2004; </w:t>
      </w:r>
      <w:proofErr w:type="spellStart"/>
      <w:r w:rsidRPr="00F32588">
        <w:rPr>
          <w:rFonts w:ascii="Arial" w:hAnsi="Arial" w:cs="Arial"/>
          <w:sz w:val="20"/>
          <w:szCs w:val="20"/>
        </w:rPr>
        <w:t>Gwunireama</w:t>
      </w:r>
      <w:proofErr w:type="spellEnd"/>
      <w:r w:rsidRPr="00F32588">
        <w:rPr>
          <w:rFonts w:ascii="Arial" w:hAnsi="Arial" w:cs="Arial"/>
          <w:sz w:val="20"/>
          <w:szCs w:val="20"/>
        </w:rPr>
        <w:t xml:space="preserve"> and Collins, 2025). Although early views regarded digit ratio research as pseudoscientific, accumulating empirical evidence has established the 2D:4D ratio as a biologically meaningful trait. It is a sexually dimorphic characteristic, with women generally exhibiting higher ratios than men. Men typically have a mean digit ratio of approximately 0.96, while women tend to have ratios closer to 1.0, reflecting nearly equal lengths of the index and ring fingers in females (Manning, 2008; </w:t>
      </w:r>
      <w:proofErr w:type="spellStart"/>
      <w:r w:rsidRPr="00F32588">
        <w:rPr>
          <w:rFonts w:ascii="Arial" w:hAnsi="Arial" w:cs="Arial"/>
          <w:sz w:val="20"/>
          <w:szCs w:val="20"/>
        </w:rPr>
        <w:t>Gwunireama</w:t>
      </w:r>
      <w:proofErr w:type="spellEnd"/>
      <w:r w:rsidRPr="00F32588">
        <w:rPr>
          <w:rFonts w:ascii="Arial" w:hAnsi="Arial" w:cs="Arial"/>
          <w:sz w:val="20"/>
          <w:szCs w:val="20"/>
        </w:rPr>
        <w:t xml:space="preserve"> et al., 2010; </w:t>
      </w:r>
      <w:proofErr w:type="spellStart"/>
      <w:r w:rsidRPr="00F32588">
        <w:rPr>
          <w:rFonts w:ascii="Arial" w:hAnsi="Arial" w:cs="Arial"/>
          <w:sz w:val="20"/>
          <w:szCs w:val="20"/>
        </w:rPr>
        <w:t>Gwunireama</w:t>
      </w:r>
      <w:proofErr w:type="spellEnd"/>
      <w:r w:rsidRPr="00F32588">
        <w:rPr>
          <w:rFonts w:ascii="Arial" w:hAnsi="Arial" w:cs="Arial"/>
          <w:sz w:val="20"/>
          <w:szCs w:val="20"/>
        </w:rPr>
        <w:t xml:space="preserve"> and Collins, 2025).</w:t>
      </w:r>
    </w:p>
    <w:p w14:paraId="3B039FAF" w14:textId="5A33E4A8" w:rsidR="00255854" w:rsidRPr="00F32588" w:rsidRDefault="00255854" w:rsidP="000B1B4B">
      <w:pPr>
        <w:spacing w:line="240" w:lineRule="auto"/>
        <w:jc w:val="both"/>
        <w:rPr>
          <w:rFonts w:ascii="Arial" w:hAnsi="Arial" w:cs="Arial"/>
          <w:sz w:val="20"/>
          <w:szCs w:val="20"/>
        </w:rPr>
      </w:pPr>
      <w:r w:rsidRPr="00F32588">
        <w:rPr>
          <w:rFonts w:ascii="Arial" w:hAnsi="Arial" w:cs="Arial"/>
          <w:sz w:val="20"/>
          <w:szCs w:val="20"/>
        </w:rPr>
        <w:lastRenderedPageBreak/>
        <w:t>The sexual dimorphism observed in the 2D:4D ratio is believed to originate during prenatal development. The ratio is largely fixed in utero between the 13th and 14th weeks of gestation and is influenced by the balance of prenatal testosterone and estrogen exposure (</w:t>
      </w:r>
      <w:proofErr w:type="spellStart"/>
      <w:r w:rsidRPr="00F32588">
        <w:rPr>
          <w:rFonts w:ascii="Arial" w:hAnsi="Arial" w:cs="Arial"/>
          <w:sz w:val="20"/>
          <w:szCs w:val="20"/>
        </w:rPr>
        <w:t>Lutchmaya</w:t>
      </w:r>
      <w:proofErr w:type="spellEnd"/>
      <w:r w:rsidRPr="00F32588">
        <w:rPr>
          <w:rFonts w:ascii="Arial" w:hAnsi="Arial" w:cs="Arial"/>
          <w:sz w:val="20"/>
          <w:szCs w:val="20"/>
        </w:rPr>
        <w:t xml:space="preserve"> et al., 2004; Galis et al., 2010; Ventura et al., 2013; Viveka et al., 2014</w:t>
      </w:r>
      <w:r w:rsidR="00A86604">
        <w:rPr>
          <w:rFonts w:ascii="Arial" w:hAnsi="Arial" w:cs="Arial"/>
          <w:sz w:val="20"/>
          <w:szCs w:val="20"/>
        </w:rPr>
        <w:t xml:space="preserve">; </w:t>
      </w:r>
      <w:r w:rsidR="00A86604" w:rsidRPr="00A86604">
        <w:rPr>
          <w:rFonts w:ascii="Arial" w:hAnsi="Arial" w:cs="Arial"/>
          <w:sz w:val="20"/>
          <w:szCs w:val="20"/>
          <w:highlight w:val="yellow"/>
        </w:rPr>
        <w:t>Mondal and Chakraborty, 2023</w:t>
      </w:r>
      <w:r w:rsidRPr="00F32588">
        <w:rPr>
          <w:rFonts w:ascii="Arial" w:hAnsi="Arial" w:cs="Arial"/>
          <w:sz w:val="20"/>
          <w:szCs w:val="20"/>
        </w:rPr>
        <w:t>). A lower, more masculine 2D:4D ratio is associated with higher prenatal testosterone exposure, whereas a higher, more feminine ratio reflects greater prenatal estrogen exposure (Manning et al., 1998</w:t>
      </w:r>
      <w:r w:rsidR="00A86604">
        <w:rPr>
          <w:rFonts w:ascii="Arial" w:hAnsi="Arial" w:cs="Arial"/>
          <w:sz w:val="20"/>
          <w:szCs w:val="20"/>
        </w:rPr>
        <w:t xml:space="preserve">; </w:t>
      </w:r>
      <w:r w:rsidR="00A86604" w:rsidRPr="00A86604">
        <w:rPr>
          <w:rFonts w:ascii="Arial" w:hAnsi="Arial" w:cs="Arial"/>
          <w:sz w:val="20"/>
          <w:szCs w:val="20"/>
          <w:highlight w:val="yellow"/>
        </w:rPr>
        <w:t>Mondal and Chakraborty, 2023</w:t>
      </w:r>
      <w:r w:rsidRPr="00F32588">
        <w:rPr>
          <w:rFonts w:ascii="Arial" w:hAnsi="Arial" w:cs="Arial"/>
          <w:sz w:val="20"/>
          <w:szCs w:val="20"/>
        </w:rPr>
        <w:t xml:space="preserve">). The development of digit ratios is genetically regulated by Homeobox genes, which also play a role in urogenital system differentiation, suggesting a shared developmental pathway between digit formation and reproductive system development. Once established, the 2D:4D ratio remains largely stable throughout an individual’s lifetime (Ventura et al., 2013; Viveka et al., 2014; </w:t>
      </w:r>
      <w:proofErr w:type="spellStart"/>
      <w:r w:rsidRPr="00F32588">
        <w:rPr>
          <w:rFonts w:ascii="Arial" w:hAnsi="Arial" w:cs="Arial"/>
          <w:sz w:val="20"/>
          <w:szCs w:val="20"/>
        </w:rPr>
        <w:t>Gwunireama</w:t>
      </w:r>
      <w:proofErr w:type="spellEnd"/>
      <w:r w:rsidRPr="00F32588">
        <w:rPr>
          <w:rFonts w:ascii="Arial" w:hAnsi="Arial" w:cs="Arial"/>
          <w:sz w:val="20"/>
          <w:szCs w:val="20"/>
        </w:rPr>
        <w:t xml:space="preserve"> and Collins, 2025).</w:t>
      </w:r>
    </w:p>
    <w:p w14:paraId="1511C389" w14:textId="16657BF9" w:rsidR="00255854" w:rsidRPr="00F32588" w:rsidRDefault="00255854" w:rsidP="000B1B4B">
      <w:pPr>
        <w:spacing w:line="240" w:lineRule="auto"/>
        <w:jc w:val="both"/>
        <w:rPr>
          <w:rFonts w:ascii="Arial" w:hAnsi="Arial" w:cs="Arial"/>
          <w:sz w:val="20"/>
          <w:szCs w:val="20"/>
        </w:rPr>
      </w:pPr>
      <w:r w:rsidRPr="00F32588">
        <w:rPr>
          <w:rFonts w:ascii="Arial" w:hAnsi="Arial" w:cs="Arial"/>
          <w:sz w:val="20"/>
          <w:szCs w:val="20"/>
        </w:rPr>
        <w:t xml:space="preserve">Because of its prenatal origin and lifelong stability, the 2D:4D ratio has been proposed as a non-invasive biomarker of the intrauterine hormonal environment, with long-term implications for physiology, </w:t>
      </w:r>
      <w:proofErr w:type="spellStart"/>
      <w:r w:rsidR="002D683A" w:rsidRPr="00F32588">
        <w:rPr>
          <w:rFonts w:ascii="Arial" w:hAnsi="Arial" w:cs="Arial"/>
          <w:sz w:val="20"/>
          <w:szCs w:val="20"/>
        </w:rPr>
        <w:t>behaviour</w:t>
      </w:r>
      <w:proofErr w:type="spellEnd"/>
      <w:r w:rsidRPr="00F32588">
        <w:rPr>
          <w:rFonts w:ascii="Arial" w:hAnsi="Arial" w:cs="Arial"/>
          <w:sz w:val="20"/>
          <w:szCs w:val="20"/>
        </w:rPr>
        <w:t xml:space="preserve">, cognition, fertility, handedness </w:t>
      </w:r>
      <w:r w:rsidR="001C34CC" w:rsidRPr="001C34CC">
        <w:rPr>
          <w:rFonts w:ascii="Arial" w:hAnsi="Arial" w:cs="Arial"/>
          <w:sz w:val="20"/>
          <w:szCs w:val="20"/>
          <w:highlight w:val="yellow"/>
        </w:rPr>
        <w:t>and health</w:t>
      </w:r>
      <w:r w:rsidR="001C34CC">
        <w:rPr>
          <w:rFonts w:ascii="Arial" w:hAnsi="Arial" w:cs="Arial"/>
          <w:sz w:val="20"/>
          <w:szCs w:val="20"/>
        </w:rPr>
        <w:t xml:space="preserve"> </w:t>
      </w:r>
      <w:r w:rsidRPr="00F32588">
        <w:rPr>
          <w:rFonts w:ascii="Arial" w:hAnsi="Arial" w:cs="Arial"/>
          <w:sz w:val="20"/>
          <w:szCs w:val="20"/>
        </w:rPr>
        <w:t xml:space="preserve">(Manning, 2011; </w:t>
      </w:r>
      <w:r w:rsidR="000528FA" w:rsidRPr="000528FA">
        <w:rPr>
          <w:rFonts w:ascii="Arial" w:hAnsi="Arial" w:cs="Arial"/>
          <w:sz w:val="20"/>
          <w:szCs w:val="20"/>
          <w:highlight w:val="yellow"/>
        </w:rPr>
        <w:t>Lyons &amp; Helle, 2013</w:t>
      </w:r>
      <w:r w:rsidR="000528FA">
        <w:rPr>
          <w:rFonts w:ascii="Arial" w:hAnsi="Arial" w:cs="Arial"/>
          <w:sz w:val="20"/>
          <w:szCs w:val="20"/>
        </w:rPr>
        <w:t xml:space="preserve">; </w:t>
      </w:r>
      <w:r w:rsidRPr="00F32588">
        <w:rPr>
          <w:rFonts w:ascii="Arial" w:hAnsi="Arial" w:cs="Arial"/>
          <w:sz w:val="20"/>
          <w:szCs w:val="20"/>
        </w:rPr>
        <w:t xml:space="preserve">Manning et al., 2014; </w:t>
      </w:r>
      <w:proofErr w:type="spellStart"/>
      <w:r w:rsidRPr="00F32588">
        <w:rPr>
          <w:rFonts w:ascii="Arial" w:hAnsi="Arial" w:cs="Arial"/>
          <w:sz w:val="20"/>
          <w:szCs w:val="20"/>
        </w:rPr>
        <w:t>Jeevanandam</w:t>
      </w:r>
      <w:proofErr w:type="spellEnd"/>
      <w:r w:rsidRPr="00F32588">
        <w:rPr>
          <w:rFonts w:ascii="Arial" w:hAnsi="Arial" w:cs="Arial"/>
          <w:sz w:val="20"/>
          <w:szCs w:val="20"/>
        </w:rPr>
        <w:t xml:space="preserve"> &amp; Muthu, 2016</w:t>
      </w:r>
      <w:r w:rsidR="00AF304B">
        <w:rPr>
          <w:rFonts w:ascii="Arial" w:hAnsi="Arial" w:cs="Arial"/>
          <w:sz w:val="20"/>
          <w:szCs w:val="20"/>
        </w:rPr>
        <w:t>;</w:t>
      </w:r>
      <w:r w:rsidR="002B3F99">
        <w:rPr>
          <w:rFonts w:ascii="Arial" w:hAnsi="Arial" w:cs="Arial"/>
          <w:sz w:val="20"/>
          <w:szCs w:val="20"/>
        </w:rPr>
        <w:t xml:space="preserve"> </w:t>
      </w:r>
      <w:proofErr w:type="spellStart"/>
      <w:r w:rsidR="00AF304B" w:rsidRPr="00AF304B">
        <w:rPr>
          <w:rFonts w:ascii="Arial" w:hAnsi="Arial" w:cs="Arial"/>
          <w:sz w:val="20"/>
          <w:szCs w:val="20"/>
          <w:highlight w:val="yellow"/>
        </w:rPr>
        <w:t>Okoseimiema</w:t>
      </w:r>
      <w:proofErr w:type="spellEnd"/>
      <w:r w:rsidR="00AF304B" w:rsidRPr="00AF304B">
        <w:rPr>
          <w:rFonts w:ascii="Arial" w:hAnsi="Arial" w:cs="Arial"/>
          <w:sz w:val="20"/>
          <w:szCs w:val="20"/>
          <w:highlight w:val="yellow"/>
        </w:rPr>
        <w:t xml:space="preserve"> et al., 2026</w:t>
      </w:r>
      <w:r w:rsidR="001C34CC" w:rsidRPr="001C34CC">
        <w:rPr>
          <w:rFonts w:ascii="Arial" w:hAnsi="Arial" w:cs="Arial"/>
          <w:sz w:val="20"/>
          <w:szCs w:val="20"/>
          <w:highlight w:val="yellow"/>
        </w:rPr>
        <w:t>; Yıldırım et al., 2026</w:t>
      </w:r>
      <w:r w:rsidRPr="00F32588">
        <w:rPr>
          <w:rFonts w:ascii="Arial" w:hAnsi="Arial" w:cs="Arial"/>
          <w:sz w:val="20"/>
          <w:szCs w:val="20"/>
        </w:rPr>
        <w:t xml:space="preserve">). Numerous studies have demonstrated significant associations between digit ratio and somatic features, fertility parameters, behavioral traits, and certain pathologies, including breast cancer risk (Muller et al., 2012; Klimek et al., 2014; Klimek et al., 2016; </w:t>
      </w:r>
      <w:proofErr w:type="spellStart"/>
      <w:r w:rsidRPr="00F32588">
        <w:rPr>
          <w:rFonts w:ascii="Arial" w:hAnsi="Arial" w:cs="Arial"/>
          <w:sz w:val="20"/>
          <w:szCs w:val="20"/>
        </w:rPr>
        <w:t>Kirchengast</w:t>
      </w:r>
      <w:proofErr w:type="spellEnd"/>
      <w:r w:rsidRPr="00F32588">
        <w:rPr>
          <w:rFonts w:ascii="Arial" w:hAnsi="Arial" w:cs="Arial"/>
          <w:sz w:val="20"/>
          <w:szCs w:val="20"/>
        </w:rPr>
        <w:t xml:space="preserve"> et al., 20</w:t>
      </w:r>
      <w:r w:rsidR="00832767">
        <w:rPr>
          <w:rFonts w:ascii="Arial" w:hAnsi="Arial" w:cs="Arial"/>
          <w:sz w:val="20"/>
          <w:szCs w:val="20"/>
        </w:rPr>
        <w:t>20</w:t>
      </w:r>
      <w:r w:rsidRPr="00F32588">
        <w:rPr>
          <w:rFonts w:ascii="Arial" w:hAnsi="Arial" w:cs="Arial"/>
          <w:sz w:val="20"/>
          <w:szCs w:val="20"/>
        </w:rPr>
        <w:t>). In women, earlier research suggests that digit ratio may be linked to reproductive outcomes across the lifespan, including the duration of reproductive life and overall reproductive success. Specifically, women with more feminine (higher) 2D:4D ratios have been reported to have longer reproductive lifespans and higher numbers of offspring (Kalichman et al., 2013; Klimek et al., 2016).</w:t>
      </w:r>
    </w:p>
    <w:p w14:paraId="18154363" w14:textId="60191277" w:rsidR="00EC4933" w:rsidRDefault="00255854" w:rsidP="000B1B4B">
      <w:pPr>
        <w:spacing w:line="240" w:lineRule="auto"/>
        <w:jc w:val="both"/>
        <w:rPr>
          <w:rFonts w:ascii="Arial" w:hAnsi="Arial" w:cs="Arial"/>
          <w:sz w:val="20"/>
          <w:szCs w:val="20"/>
        </w:rPr>
      </w:pPr>
      <w:r w:rsidRPr="00F32588">
        <w:rPr>
          <w:rFonts w:ascii="Arial" w:hAnsi="Arial" w:cs="Arial"/>
          <w:sz w:val="20"/>
          <w:szCs w:val="20"/>
        </w:rPr>
        <w:t xml:space="preserve">Menopause marks a critical transition in female life history and is defined as the permanent cessation of menstruation for at least 12 consecutive months, reflecting irreversible reproductive senescence (Gold, 2011; </w:t>
      </w:r>
      <w:proofErr w:type="spellStart"/>
      <w:r w:rsidRPr="00F32588">
        <w:rPr>
          <w:rFonts w:ascii="Arial" w:hAnsi="Arial" w:cs="Arial"/>
          <w:sz w:val="20"/>
          <w:szCs w:val="20"/>
        </w:rPr>
        <w:t>Kirchengast</w:t>
      </w:r>
      <w:proofErr w:type="spellEnd"/>
      <w:r w:rsidRPr="00F32588">
        <w:rPr>
          <w:rFonts w:ascii="Arial" w:hAnsi="Arial" w:cs="Arial"/>
          <w:sz w:val="20"/>
          <w:szCs w:val="20"/>
        </w:rPr>
        <w:t xml:space="preserve"> et al., 20</w:t>
      </w:r>
      <w:r w:rsidR="001E4300">
        <w:rPr>
          <w:rFonts w:ascii="Arial" w:hAnsi="Arial" w:cs="Arial"/>
          <w:sz w:val="20"/>
          <w:szCs w:val="20"/>
        </w:rPr>
        <w:t>20</w:t>
      </w:r>
      <w:r w:rsidRPr="00F32588">
        <w:rPr>
          <w:rFonts w:ascii="Arial" w:hAnsi="Arial" w:cs="Arial"/>
          <w:sz w:val="20"/>
          <w:szCs w:val="20"/>
        </w:rPr>
        <w:t xml:space="preserve">). It is typically diagnosed retrospectively and results primarily from ovarian oocyte depletion and declining estrogen production, most commonly occurring between the ages of 45 and 56 years (Santoro, 2016; Cappola et al., 2023; Stuenkel, 2024). Age at menopause serves not only as an indicator of reproductive </w:t>
      </w:r>
      <w:r w:rsidR="002D683A" w:rsidRPr="00F32588">
        <w:rPr>
          <w:rFonts w:ascii="Arial" w:hAnsi="Arial" w:cs="Arial"/>
          <w:sz w:val="20"/>
          <w:szCs w:val="20"/>
        </w:rPr>
        <w:t>ageing</w:t>
      </w:r>
      <w:r w:rsidRPr="00F32588">
        <w:rPr>
          <w:rFonts w:ascii="Arial" w:hAnsi="Arial" w:cs="Arial"/>
          <w:sz w:val="20"/>
          <w:szCs w:val="20"/>
        </w:rPr>
        <w:t xml:space="preserve"> but also as a marker of general health, and it is influenced by socioeconomic, lifestyle, ecological, and prenatal factors (Lujan </w:t>
      </w:r>
      <w:r w:rsidR="002D683A" w:rsidRPr="00F32588">
        <w:rPr>
          <w:rFonts w:ascii="Arial" w:hAnsi="Arial" w:cs="Arial"/>
          <w:sz w:val="20"/>
          <w:szCs w:val="20"/>
        </w:rPr>
        <w:t>Barroso et al.</w:t>
      </w:r>
      <w:r w:rsidRPr="00F32588">
        <w:rPr>
          <w:rFonts w:ascii="Arial" w:hAnsi="Arial" w:cs="Arial"/>
          <w:sz w:val="20"/>
          <w:szCs w:val="20"/>
        </w:rPr>
        <w:t xml:space="preserve">,2018; </w:t>
      </w:r>
      <w:proofErr w:type="spellStart"/>
      <w:r w:rsidRPr="00F32588">
        <w:rPr>
          <w:rFonts w:ascii="Arial" w:hAnsi="Arial" w:cs="Arial"/>
          <w:sz w:val="20"/>
          <w:szCs w:val="20"/>
        </w:rPr>
        <w:t>Kirchengast</w:t>
      </w:r>
      <w:proofErr w:type="spellEnd"/>
      <w:r w:rsidRPr="00F32588">
        <w:rPr>
          <w:rFonts w:ascii="Arial" w:hAnsi="Arial" w:cs="Arial"/>
          <w:sz w:val="20"/>
          <w:szCs w:val="20"/>
        </w:rPr>
        <w:t xml:space="preserve"> et al., 20</w:t>
      </w:r>
      <w:r w:rsidR="001E4300">
        <w:rPr>
          <w:rFonts w:ascii="Arial" w:hAnsi="Arial" w:cs="Arial"/>
          <w:sz w:val="20"/>
          <w:szCs w:val="20"/>
        </w:rPr>
        <w:t>20</w:t>
      </w:r>
      <w:r w:rsidR="005F2FD6">
        <w:rPr>
          <w:rFonts w:ascii="Arial" w:hAnsi="Arial" w:cs="Arial"/>
          <w:sz w:val="20"/>
          <w:szCs w:val="20"/>
        </w:rPr>
        <w:t xml:space="preserve">; </w:t>
      </w:r>
      <w:r w:rsidR="005F2FD6" w:rsidRPr="002B3F99">
        <w:rPr>
          <w:rFonts w:ascii="Arial" w:hAnsi="Arial" w:cs="Arial"/>
          <w:sz w:val="20"/>
          <w:szCs w:val="20"/>
          <w:highlight w:val="yellow"/>
        </w:rPr>
        <w:t>Hu et al., 2025</w:t>
      </w:r>
      <w:r w:rsidRPr="00F32588">
        <w:rPr>
          <w:rFonts w:ascii="Arial" w:hAnsi="Arial" w:cs="Arial"/>
          <w:sz w:val="20"/>
          <w:szCs w:val="20"/>
        </w:rPr>
        <w:t xml:space="preserve">). </w:t>
      </w:r>
    </w:p>
    <w:p w14:paraId="658712C5" w14:textId="3637C4B4" w:rsidR="00255854" w:rsidRPr="00F32588" w:rsidRDefault="00832767" w:rsidP="000B1B4B">
      <w:pPr>
        <w:spacing w:line="240" w:lineRule="auto"/>
        <w:jc w:val="both"/>
        <w:rPr>
          <w:rFonts w:ascii="Arial" w:hAnsi="Arial" w:cs="Arial"/>
          <w:sz w:val="20"/>
          <w:szCs w:val="20"/>
        </w:rPr>
      </w:pPr>
      <w:r w:rsidRPr="00A86604">
        <w:rPr>
          <w:rFonts w:ascii="Arial" w:hAnsi="Arial" w:cs="Arial"/>
          <w:sz w:val="20"/>
          <w:szCs w:val="20"/>
          <w:highlight w:val="yellow"/>
        </w:rPr>
        <w:t xml:space="preserve">A study by </w:t>
      </w:r>
      <w:proofErr w:type="spellStart"/>
      <w:r w:rsidRPr="00A86604">
        <w:rPr>
          <w:rFonts w:ascii="Arial" w:hAnsi="Arial" w:cs="Arial"/>
          <w:sz w:val="20"/>
          <w:szCs w:val="20"/>
          <w:highlight w:val="yellow"/>
        </w:rPr>
        <w:t>Kirchengast</w:t>
      </w:r>
      <w:proofErr w:type="spellEnd"/>
      <w:r w:rsidRPr="00A86604">
        <w:rPr>
          <w:rFonts w:ascii="Arial" w:hAnsi="Arial" w:cs="Arial"/>
          <w:sz w:val="20"/>
          <w:szCs w:val="20"/>
          <w:highlight w:val="yellow"/>
        </w:rPr>
        <w:t xml:space="preserve"> et al. (2020) among Austrian individuals of Central European origin found a significant positive relationship between digit ratio and age at menopause. Women with higher, more feminine digit ratios tended to experience menopause later, whereas lower digit ratios were associated with earlier menopause.</w:t>
      </w:r>
      <w:r w:rsidR="00A86604">
        <w:rPr>
          <w:rFonts w:ascii="Arial" w:hAnsi="Arial" w:cs="Arial"/>
          <w:sz w:val="20"/>
          <w:szCs w:val="20"/>
        </w:rPr>
        <w:t xml:space="preserve"> </w:t>
      </w:r>
      <w:r w:rsidR="00255854" w:rsidRPr="00F32588">
        <w:rPr>
          <w:rFonts w:ascii="Arial" w:hAnsi="Arial" w:cs="Arial"/>
          <w:sz w:val="20"/>
          <w:szCs w:val="20"/>
        </w:rPr>
        <w:t xml:space="preserve">Emerging evidence suggests that lower 2D:4D ratios, indicative of higher prenatal androgen exposure, may be associated with earlier puberty and earlier natural menopause (Manning et al., 2001; </w:t>
      </w:r>
      <w:proofErr w:type="spellStart"/>
      <w:r w:rsidR="00255854" w:rsidRPr="00F32588">
        <w:rPr>
          <w:rFonts w:ascii="Arial" w:hAnsi="Arial" w:cs="Arial"/>
          <w:sz w:val="20"/>
          <w:szCs w:val="20"/>
        </w:rPr>
        <w:t>Jeevanandam</w:t>
      </w:r>
      <w:proofErr w:type="spellEnd"/>
      <w:r w:rsidR="00255854" w:rsidRPr="00F32588">
        <w:rPr>
          <w:rFonts w:ascii="Arial" w:hAnsi="Arial" w:cs="Arial"/>
          <w:sz w:val="20"/>
          <w:szCs w:val="20"/>
        </w:rPr>
        <w:t xml:space="preserve"> &amp; Muthu, 2016</w:t>
      </w:r>
      <w:r w:rsidR="00A86604">
        <w:rPr>
          <w:rFonts w:ascii="Arial" w:hAnsi="Arial" w:cs="Arial"/>
          <w:sz w:val="20"/>
          <w:szCs w:val="20"/>
        </w:rPr>
        <w:t xml:space="preserve">; </w:t>
      </w:r>
      <w:r w:rsidR="00A86604" w:rsidRPr="00A86604">
        <w:rPr>
          <w:rFonts w:ascii="Arial" w:hAnsi="Arial" w:cs="Arial"/>
          <w:sz w:val="20"/>
          <w:szCs w:val="20"/>
          <w:highlight w:val="yellow"/>
        </w:rPr>
        <w:t>Mondal and Chakraborty, 2023</w:t>
      </w:r>
      <w:r w:rsidR="00255854" w:rsidRPr="00F32588">
        <w:rPr>
          <w:rFonts w:ascii="Arial" w:hAnsi="Arial" w:cs="Arial"/>
          <w:sz w:val="20"/>
          <w:szCs w:val="20"/>
        </w:rPr>
        <w:t>). However, in Rivers State, Nigeria, factors influencing menopause timing remain poorly understood, and no study has specifically examined the association between digit ratio and menopause in this population. This study</w:t>
      </w:r>
      <w:r w:rsidR="002D683A" w:rsidRPr="00F32588">
        <w:rPr>
          <w:rFonts w:ascii="Arial" w:hAnsi="Arial" w:cs="Arial"/>
          <w:sz w:val="20"/>
          <w:szCs w:val="20"/>
        </w:rPr>
        <w:t>,</w:t>
      </w:r>
      <w:r w:rsidR="00255854" w:rsidRPr="00F32588">
        <w:rPr>
          <w:rFonts w:ascii="Arial" w:hAnsi="Arial" w:cs="Arial"/>
          <w:sz w:val="20"/>
          <w:szCs w:val="20"/>
        </w:rPr>
        <w:t xml:space="preserve"> therefore</w:t>
      </w:r>
      <w:r w:rsidR="002D683A" w:rsidRPr="00F32588">
        <w:rPr>
          <w:rFonts w:ascii="Arial" w:hAnsi="Arial" w:cs="Arial"/>
          <w:sz w:val="20"/>
          <w:szCs w:val="20"/>
        </w:rPr>
        <w:t>,</w:t>
      </w:r>
      <w:r w:rsidR="00255854" w:rsidRPr="00F32588">
        <w:rPr>
          <w:rFonts w:ascii="Arial" w:hAnsi="Arial" w:cs="Arial"/>
          <w:sz w:val="20"/>
          <w:szCs w:val="20"/>
        </w:rPr>
        <w:t xml:space="preserve"> aims to investigate whether women in Rivers State with lower 2D:4D ratios experience earlier menopause compared to those with higher ratios, thereby contributing to a better understanding of reproductive </w:t>
      </w:r>
      <w:r w:rsidR="002D683A" w:rsidRPr="00F32588">
        <w:rPr>
          <w:rFonts w:ascii="Arial" w:hAnsi="Arial" w:cs="Arial"/>
          <w:sz w:val="20"/>
          <w:szCs w:val="20"/>
        </w:rPr>
        <w:t>ageing</w:t>
      </w:r>
      <w:r w:rsidR="00255854" w:rsidRPr="00F32588">
        <w:rPr>
          <w:rFonts w:ascii="Arial" w:hAnsi="Arial" w:cs="Arial"/>
          <w:sz w:val="20"/>
          <w:szCs w:val="20"/>
        </w:rPr>
        <w:t xml:space="preserve"> in this specific population.</w:t>
      </w:r>
    </w:p>
    <w:p w14:paraId="09E7EBA8" w14:textId="77777777" w:rsidR="00344EE9" w:rsidRPr="00F32588" w:rsidRDefault="00F32588" w:rsidP="000B1B4B">
      <w:pPr>
        <w:spacing w:line="240" w:lineRule="auto"/>
        <w:jc w:val="both"/>
        <w:rPr>
          <w:rFonts w:ascii="Arial" w:hAnsi="Arial" w:cs="Arial"/>
          <w:b/>
        </w:rPr>
      </w:pPr>
      <w:r w:rsidRPr="00F32588">
        <w:rPr>
          <w:rFonts w:ascii="Arial" w:hAnsi="Arial" w:cs="Arial"/>
          <w:b/>
        </w:rPr>
        <w:t xml:space="preserve">2. </w:t>
      </w:r>
      <w:r w:rsidR="00E265FF" w:rsidRPr="00F32588">
        <w:rPr>
          <w:rFonts w:ascii="Arial" w:hAnsi="Arial" w:cs="Arial"/>
          <w:b/>
        </w:rPr>
        <w:t>MATERIALS AND METHODS</w:t>
      </w:r>
    </w:p>
    <w:p w14:paraId="21484893" w14:textId="77777777" w:rsidR="00344EE9" w:rsidRPr="00F32588" w:rsidRDefault="00F32588" w:rsidP="000B1B4B">
      <w:pPr>
        <w:spacing w:line="240" w:lineRule="auto"/>
        <w:jc w:val="both"/>
        <w:rPr>
          <w:rFonts w:ascii="Arial" w:hAnsi="Arial" w:cs="Arial"/>
          <w:b/>
        </w:rPr>
      </w:pPr>
      <w:r w:rsidRPr="00F32588">
        <w:rPr>
          <w:rFonts w:ascii="Arial" w:hAnsi="Arial" w:cs="Arial"/>
          <w:b/>
        </w:rPr>
        <w:t xml:space="preserve">2.1 </w:t>
      </w:r>
      <w:r w:rsidR="00344EE9" w:rsidRPr="00F32588">
        <w:rPr>
          <w:rFonts w:ascii="Arial" w:hAnsi="Arial" w:cs="Arial"/>
          <w:b/>
        </w:rPr>
        <w:t>Research Design</w:t>
      </w:r>
    </w:p>
    <w:p w14:paraId="6D15003F" w14:textId="77777777" w:rsidR="00AF15F0" w:rsidRPr="00F32588" w:rsidRDefault="00AF15F0" w:rsidP="000B1B4B">
      <w:pPr>
        <w:spacing w:line="240" w:lineRule="auto"/>
        <w:jc w:val="both"/>
        <w:rPr>
          <w:rFonts w:ascii="Arial" w:hAnsi="Arial" w:cs="Arial"/>
          <w:sz w:val="20"/>
          <w:szCs w:val="20"/>
        </w:rPr>
      </w:pPr>
      <w:bookmarkStart w:id="0" w:name="_Toc182999623"/>
      <w:r w:rsidRPr="00F32588">
        <w:rPr>
          <w:rFonts w:ascii="Arial" w:hAnsi="Arial" w:cs="Arial"/>
          <w:sz w:val="20"/>
          <w:szCs w:val="20"/>
        </w:rPr>
        <w:t xml:space="preserve">This study employs a cross-sectional correlational research design to investigate the relationship between the second-to-fourth digit ratio (2D:4D) and age at menopause among women in Port Harcourt, Rivers State, Nigeria. Structured questionnaires are </w:t>
      </w:r>
      <w:proofErr w:type="spellStart"/>
      <w:r w:rsidR="002D683A" w:rsidRPr="00F32588">
        <w:rPr>
          <w:rFonts w:ascii="Arial" w:hAnsi="Arial" w:cs="Arial"/>
          <w:sz w:val="20"/>
          <w:szCs w:val="20"/>
        </w:rPr>
        <w:t>utilised</w:t>
      </w:r>
      <w:proofErr w:type="spellEnd"/>
      <w:r w:rsidRPr="00F32588">
        <w:rPr>
          <w:rFonts w:ascii="Arial" w:hAnsi="Arial" w:cs="Arial"/>
          <w:sz w:val="20"/>
          <w:szCs w:val="20"/>
        </w:rPr>
        <w:t xml:space="preserve"> to collect relevant demographic data from the study participants.</w:t>
      </w:r>
    </w:p>
    <w:p w14:paraId="59B770B7" w14:textId="77777777" w:rsidR="00344EE9" w:rsidRPr="00F32588" w:rsidRDefault="00F32588" w:rsidP="00F32588">
      <w:pPr>
        <w:spacing w:line="240" w:lineRule="auto"/>
        <w:rPr>
          <w:rFonts w:ascii="Arial" w:hAnsi="Arial" w:cs="Arial"/>
        </w:rPr>
      </w:pPr>
      <w:r w:rsidRPr="00F32588">
        <w:rPr>
          <w:rFonts w:ascii="Arial" w:hAnsi="Arial" w:cs="Arial"/>
          <w:b/>
          <w:bCs/>
        </w:rPr>
        <w:t xml:space="preserve">2.2 </w:t>
      </w:r>
      <w:r w:rsidR="00344EE9" w:rsidRPr="00F32588">
        <w:rPr>
          <w:rFonts w:ascii="Arial" w:hAnsi="Arial" w:cs="Arial"/>
          <w:b/>
          <w:bCs/>
        </w:rPr>
        <w:t>Study Area</w:t>
      </w:r>
      <w:bookmarkEnd w:id="0"/>
      <w:r w:rsidR="005B03F3" w:rsidRPr="00F32588">
        <w:rPr>
          <w:rFonts w:ascii="Arial" w:hAnsi="Arial" w:cs="Arial"/>
          <w:b/>
          <w:bCs/>
        </w:rPr>
        <w:t xml:space="preserve"> and Population</w:t>
      </w:r>
    </w:p>
    <w:p w14:paraId="6D6BF1D2" w14:textId="77777777" w:rsidR="00AF15F0" w:rsidRPr="00F32588" w:rsidRDefault="00AF15F0" w:rsidP="000B1B4B">
      <w:pPr>
        <w:spacing w:line="240" w:lineRule="auto"/>
        <w:jc w:val="both"/>
        <w:rPr>
          <w:rFonts w:ascii="Arial" w:hAnsi="Arial" w:cs="Arial"/>
          <w:sz w:val="20"/>
          <w:szCs w:val="20"/>
        </w:rPr>
      </w:pPr>
      <w:r w:rsidRPr="00F32588">
        <w:rPr>
          <w:rFonts w:ascii="Arial" w:hAnsi="Arial" w:cs="Arial"/>
          <w:sz w:val="20"/>
          <w:szCs w:val="20"/>
        </w:rPr>
        <w:t xml:space="preserve">The study was conducted in Port Harcourt, the capital city of Rivers State in southern Nigeria, located within the Niger Delta region and </w:t>
      </w:r>
      <w:proofErr w:type="spellStart"/>
      <w:r w:rsidR="002D683A" w:rsidRPr="00F32588">
        <w:rPr>
          <w:rFonts w:ascii="Arial" w:hAnsi="Arial" w:cs="Arial"/>
          <w:sz w:val="20"/>
          <w:szCs w:val="20"/>
        </w:rPr>
        <w:t>characterised</w:t>
      </w:r>
      <w:proofErr w:type="spellEnd"/>
      <w:r w:rsidRPr="00F32588">
        <w:rPr>
          <w:rFonts w:ascii="Arial" w:hAnsi="Arial" w:cs="Arial"/>
          <w:sz w:val="20"/>
          <w:szCs w:val="20"/>
        </w:rPr>
        <w:t xml:space="preserve"> by a tropical climate with high humidity and substantial rainfall, particularly during the wet season. Rivers State has a diverse population and varying socio-economic </w:t>
      </w:r>
      <w:r w:rsidRPr="00F32588">
        <w:rPr>
          <w:rFonts w:ascii="Arial" w:hAnsi="Arial" w:cs="Arial"/>
          <w:sz w:val="20"/>
          <w:szCs w:val="20"/>
        </w:rPr>
        <w:lastRenderedPageBreak/>
        <w:t>conditions, providing a suitable context for health-related research, including studies on reproductive health and its association with anthropometric markers such as digit ratio. The study population comprised women a</w:t>
      </w:r>
      <w:r w:rsidR="00D32CA9" w:rsidRPr="00F32588">
        <w:rPr>
          <w:rFonts w:ascii="Arial" w:hAnsi="Arial" w:cs="Arial"/>
          <w:sz w:val="20"/>
          <w:szCs w:val="20"/>
        </w:rPr>
        <w:t>ged 28</w:t>
      </w:r>
      <w:r w:rsidRPr="00F32588">
        <w:rPr>
          <w:rFonts w:ascii="Arial" w:hAnsi="Arial" w:cs="Arial"/>
          <w:sz w:val="20"/>
          <w:szCs w:val="20"/>
        </w:rPr>
        <w:t xml:space="preserve"> years and above who reside in Port Harcourt, Rivers State, Nigeria, and who had already attained natural menopause.</w:t>
      </w:r>
    </w:p>
    <w:p w14:paraId="61290138" w14:textId="77777777" w:rsidR="00344EE9" w:rsidRPr="00F32588" w:rsidRDefault="00F32588" w:rsidP="00F32588">
      <w:pPr>
        <w:spacing w:line="240" w:lineRule="auto"/>
        <w:rPr>
          <w:rFonts w:ascii="Arial" w:hAnsi="Arial" w:cs="Arial"/>
          <w:b/>
        </w:rPr>
      </w:pPr>
      <w:r w:rsidRPr="00F32588">
        <w:rPr>
          <w:rFonts w:ascii="Arial" w:hAnsi="Arial" w:cs="Arial"/>
          <w:b/>
        </w:rPr>
        <w:t xml:space="preserve">2.3 </w:t>
      </w:r>
      <w:r w:rsidR="00F43441" w:rsidRPr="00F32588">
        <w:rPr>
          <w:rFonts w:ascii="Arial" w:hAnsi="Arial" w:cs="Arial"/>
          <w:b/>
        </w:rPr>
        <w:t>Selection Criteria</w:t>
      </w:r>
    </w:p>
    <w:p w14:paraId="7D20ABF7" w14:textId="77777777" w:rsidR="00AF15F0" w:rsidRPr="00F32588" w:rsidRDefault="00AF15F0" w:rsidP="000B1B4B">
      <w:pPr>
        <w:spacing w:line="240" w:lineRule="auto"/>
        <w:jc w:val="both"/>
        <w:rPr>
          <w:rFonts w:ascii="Arial" w:hAnsi="Arial" w:cs="Arial"/>
          <w:sz w:val="20"/>
          <w:szCs w:val="20"/>
        </w:rPr>
      </w:pPr>
      <w:r w:rsidRPr="00F32588">
        <w:rPr>
          <w:rFonts w:ascii="Arial" w:hAnsi="Arial" w:cs="Arial"/>
          <w:sz w:val="20"/>
          <w:szCs w:val="20"/>
        </w:rPr>
        <w:t>The study excluded women who had undergone surgical procedures affecting their reproductive health, those currently receiving hormone replacement therapy, and individuals with severe chronic health conditions that could potentially influence the timing of menopause. Women with abnormalities of the second or fourth digits were also excluded. Only participants who had experienced natural menopause, whose spouses were alive at least until the time of menopause, and who had normal second and fourth digits were included in the study.</w:t>
      </w:r>
    </w:p>
    <w:p w14:paraId="69720EC6" w14:textId="77777777" w:rsidR="00F43441" w:rsidRPr="00F32588" w:rsidRDefault="00F32588" w:rsidP="00F32588">
      <w:pPr>
        <w:spacing w:line="240" w:lineRule="auto"/>
        <w:rPr>
          <w:rFonts w:ascii="Arial" w:hAnsi="Arial" w:cs="Arial"/>
          <w:b/>
        </w:rPr>
      </w:pPr>
      <w:r w:rsidRPr="00F32588">
        <w:rPr>
          <w:rFonts w:ascii="Arial" w:hAnsi="Arial" w:cs="Arial"/>
          <w:b/>
        </w:rPr>
        <w:t xml:space="preserve">2.4 </w:t>
      </w:r>
      <w:r w:rsidR="00FF0DC8" w:rsidRPr="00F32588">
        <w:rPr>
          <w:rFonts w:ascii="Arial" w:hAnsi="Arial" w:cs="Arial"/>
          <w:b/>
        </w:rPr>
        <w:t xml:space="preserve">Sampling </w:t>
      </w:r>
    </w:p>
    <w:p w14:paraId="57ADBF6F" w14:textId="77777777" w:rsidR="00AF15F0" w:rsidRPr="00F32588" w:rsidRDefault="00AF15F0" w:rsidP="000B1B4B">
      <w:pPr>
        <w:spacing w:line="240" w:lineRule="auto"/>
        <w:jc w:val="both"/>
        <w:rPr>
          <w:rFonts w:ascii="Arial" w:hAnsi="Arial" w:cs="Arial"/>
          <w:sz w:val="20"/>
          <w:szCs w:val="20"/>
        </w:rPr>
      </w:pPr>
      <w:r w:rsidRPr="00F32588">
        <w:rPr>
          <w:rFonts w:ascii="Arial" w:hAnsi="Arial" w:cs="Arial"/>
          <w:sz w:val="20"/>
          <w:szCs w:val="20"/>
        </w:rPr>
        <w:t xml:space="preserve">A total of 402 women were initially selected for the study; however, only 191 participants were able to accurately report their age at menopause. Participants were chosen using a simple random sampling technique, which ensured that each eligible woman within the target age range had an equal probability of selection. This approach was employed to minimize selection bias and enhance the generalizability of the findings to the broader population of women in Rivers State. For analysis, age at menopause was </w:t>
      </w:r>
      <w:proofErr w:type="spellStart"/>
      <w:r w:rsidR="002D683A" w:rsidRPr="00F32588">
        <w:rPr>
          <w:rFonts w:ascii="Arial" w:hAnsi="Arial" w:cs="Arial"/>
          <w:sz w:val="20"/>
          <w:szCs w:val="20"/>
        </w:rPr>
        <w:t>categorised</w:t>
      </w:r>
      <w:proofErr w:type="spellEnd"/>
      <w:r w:rsidRPr="00F32588">
        <w:rPr>
          <w:rFonts w:ascii="Arial" w:hAnsi="Arial" w:cs="Arial"/>
          <w:sz w:val="20"/>
          <w:szCs w:val="20"/>
        </w:rPr>
        <w:t xml:space="preserve"> as early (&lt;45 years), normal (45–55 years), and late (&gt;55 years), while digit ratios were classified as low (&lt;0.95), normal (0.95–1.00), and high (&gt;1.00).</w:t>
      </w:r>
    </w:p>
    <w:p w14:paraId="3F95E8AE" w14:textId="77777777" w:rsidR="004209D3" w:rsidRPr="00F32588" w:rsidRDefault="00F32588" w:rsidP="00F32588">
      <w:pPr>
        <w:spacing w:line="240" w:lineRule="auto"/>
        <w:rPr>
          <w:rFonts w:ascii="Arial" w:hAnsi="Arial" w:cs="Arial"/>
          <w:b/>
        </w:rPr>
      </w:pPr>
      <w:r w:rsidRPr="00F32588">
        <w:rPr>
          <w:rFonts w:ascii="Arial" w:hAnsi="Arial" w:cs="Arial"/>
          <w:b/>
        </w:rPr>
        <w:t xml:space="preserve">2.5 </w:t>
      </w:r>
      <w:r w:rsidR="004209D3" w:rsidRPr="00F32588">
        <w:rPr>
          <w:rFonts w:ascii="Arial" w:hAnsi="Arial" w:cs="Arial"/>
          <w:b/>
        </w:rPr>
        <w:t>Data Collection</w:t>
      </w:r>
    </w:p>
    <w:p w14:paraId="750C2F81" w14:textId="77777777" w:rsidR="004209D3" w:rsidRPr="00F32588" w:rsidRDefault="004209D3" w:rsidP="000B1B4B">
      <w:pPr>
        <w:spacing w:line="240" w:lineRule="auto"/>
        <w:jc w:val="both"/>
        <w:rPr>
          <w:rFonts w:ascii="Arial" w:hAnsi="Arial" w:cs="Arial"/>
          <w:sz w:val="20"/>
          <w:szCs w:val="20"/>
        </w:rPr>
      </w:pPr>
      <w:r w:rsidRPr="00F32588">
        <w:rPr>
          <w:rFonts w:ascii="Arial" w:hAnsi="Arial" w:cs="Arial"/>
          <w:sz w:val="20"/>
          <w:szCs w:val="20"/>
        </w:rPr>
        <w:t xml:space="preserve">The digit length of the index (2D) and ring (4D) fingers were measure from the tip of the fingers to the basal crease, for the right and left fingers. A digital Vernier caliper with </w:t>
      </w:r>
      <w:r w:rsidR="002D683A" w:rsidRPr="00F32588">
        <w:rPr>
          <w:rFonts w:ascii="Arial" w:hAnsi="Arial" w:cs="Arial"/>
          <w:sz w:val="20"/>
          <w:szCs w:val="20"/>
        </w:rPr>
        <w:t xml:space="preserve">an </w:t>
      </w:r>
      <w:r w:rsidRPr="00F32588">
        <w:rPr>
          <w:rFonts w:ascii="Arial" w:hAnsi="Arial" w:cs="Arial"/>
          <w:sz w:val="20"/>
          <w:szCs w:val="20"/>
        </w:rPr>
        <w:t xml:space="preserve">accurate reading of 0.01 mm was used to take </w:t>
      </w:r>
      <w:r w:rsidR="002D683A" w:rsidRPr="00F32588">
        <w:rPr>
          <w:rFonts w:ascii="Arial" w:hAnsi="Arial" w:cs="Arial"/>
          <w:sz w:val="20"/>
          <w:szCs w:val="20"/>
        </w:rPr>
        <w:t>measurements</w:t>
      </w:r>
      <w:r w:rsidRPr="00F32588">
        <w:rPr>
          <w:rFonts w:ascii="Arial" w:hAnsi="Arial" w:cs="Arial"/>
          <w:sz w:val="20"/>
          <w:szCs w:val="20"/>
        </w:rPr>
        <w:t>. All parameters were measured three times</w:t>
      </w:r>
      <w:r w:rsidR="002D683A" w:rsidRPr="00F32588">
        <w:rPr>
          <w:rFonts w:ascii="Arial" w:hAnsi="Arial" w:cs="Arial"/>
          <w:sz w:val="20"/>
          <w:szCs w:val="20"/>
        </w:rPr>
        <w:t>,</w:t>
      </w:r>
      <w:r w:rsidRPr="00F32588">
        <w:rPr>
          <w:rFonts w:ascii="Arial" w:hAnsi="Arial" w:cs="Arial"/>
          <w:sz w:val="20"/>
          <w:szCs w:val="20"/>
        </w:rPr>
        <w:t xml:space="preserve"> and the average was used as the measured value. Structured questionnaires are </w:t>
      </w:r>
      <w:proofErr w:type="spellStart"/>
      <w:r w:rsidR="002D683A" w:rsidRPr="00F32588">
        <w:rPr>
          <w:rFonts w:ascii="Arial" w:hAnsi="Arial" w:cs="Arial"/>
          <w:sz w:val="20"/>
          <w:szCs w:val="20"/>
        </w:rPr>
        <w:t>utilised</w:t>
      </w:r>
      <w:proofErr w:type="spellEnd"/>
      <w:r w:rsidRPr="00F32588">
        <w:rPr>
          <w:rFonts w:ascii="Arial" w:hAnsi="Arial" w:cs="Arial"/>
          <w:sz w:val="20"/>
          <w:szCs w:val="20"/>
        </w:rPr>
        <w:t xml:space="preserve"> to collect relevant demographic data from the study participants.</w:t>
      </w:r>
    </w:p>
    <w:p w14:paraId="6F874EF6" w14:textId="77777777" w:rsidR="00FF0DC8" w:rsidRPr="00F32588" w:rsidRDefault="00F32588" w:rsidP="000B1B4B">
      <w:pPr>
        <w:spacing w:line="240" w:lineRule="auto"/>
        <w:jc w:val="both"/>
        <w:rPr>
          <w:rFonts w:ascii="Arial" w:hAnsi="Arial" w:cs="Arial"/>
          <w:b/>
        </w:rPr>
      </w:pPr>
      <w:r w:rsidRPr="00F32588">
        <w:rPr>
          <w:rFonts w:ascii="Arial" w:hAnsi="Arial" w:cs="Arial"/>
          <w:b/>
        </w:rPr>
        <w:t xml:space="preserve">2.6 </w:t>
      </w:r>
      <w:r w:rsidR="006A5F93" w:rsidRPr="00F32588">
        <w:rPr>
          <w:rFonts w:ascii="Arial" w:hAnsi="Arial" w:cs="Arial"/>
          <w:b/>
        </w:rPr>
        <w:t>Data Analysis</w:t>
      </w:r>
    </w:p>
    <w:p w14:paraId="34ED312C" w14:textId="0A77B3FD" w:rsidR="00AF15F0" w:rsidRDefault="00AF15F0" w:rsidP="000B1B4B">
      <w:pPr>
        <w:spacing w:line="240" w:lineRule="auto"/>
        <w:jc w:val="both"/>
        <w:rPr>
          <w:rFonts w:ascii="Arial" w:hAnsi="Arial" w:cs="Arial"/>
          <w:sz w:val="20"/>
          <w:szCs w:val="20"/>
        </w:rPr>
      </w:pPr>
      <w:r w:rsidRPr="002C19C9">
        <w:rPr>
          <w:rFonts w:ascii="Arial" w:hAnsi="Arial" w:cs="Arial"/>
          <w:sz w:val="20"/>
          <w:szCs w:val="20"/>
        </w:rPr>
        <w:t xml:space="preserve">The study data were </w:t>
      </w:r>
      <w:proofErr w:type="spellStart"/>
      <w:r w:rsidR="002D683A" w:rsidRPr="002C19C9">
        <w:rPr>
          <w:rFonts w:ascii="Arial" w:hAnsi="Arial" w:cs="Arial"/>
          <w:sz w:val="20"/>
          <w:szCs w:val="20"/>
        </w:rPr>
        <w:t>analysed</w:t>
      </w:r>
      <w:proofErr w:type="spellEnd"/>
      <w:r w:rsidRPr="002C19C9">
        <w:rPr>
          <w:rFonts w:ascii="Arial" w:hAnsi="Arial" w:cs="Arial"/>
          <w:sz w:val="20"/>
          <w:szCs w:val="20"/>
        </w:rPr>
        <w:t xml:space="preserve"> using IBM SPSS (Statistical Package for the Social Sciences) version 25 to perform both descriptive and inferential statistical analyses. Descriptive statistics, including mean, standard deviation, range, frequency, and percentage, were used to </w:t>
      </w:r>
      <w:proofErr w:type="spellStart"/>
      <w:r w:rsidR="002D683A" w:rsidRPr="002C19C9">
        <w:rPr>
          <w:rFonts w:ascii="Arial" w:hAnsi="Arial" w:cs="Arial"/>
          <w:sz w:val="20"/>
          <w:szCs w:val="20"/>
        </w:rPr>
        <w:t>summarise</w:t>
      </w:r>
      <w:proofErr w:type="spellEnd"/>
      <w:r w:rsidRPr="002C19C9">
        <w:rPr>
          <w:rFonts w:ascii="Arial" w:hAnsi="Arial" w:cs="Arial"/>
          <w:sz w:val="20"/>
          <w:szCs w:val="20"/>
        </w:rPr>
        <w:t xml:space="preserve"> the data. The Chi-square test of independence was employed to assess the association between age at menopause and digit ratio among the participants. A significance level of 0.05 was adopted, with p-values less than 0.05 considered statistically significant.</w:t>
      </w:r>
    </w:p>
    <w:p w14:paraId="2D40AFAA" w14:textId="6BE9E579" w:rsidR="008C0F62" w:rsidRPr="002C19C9" w:rsidRDefault="008C0F62" w:rsidP="000B1B4B">
      <w:pPr>
        <w:spacing w:line="240" w:lineRule="auto"/>
        <w:jc w:val="both"/>
        <w:rPr>
          <w:rFonts w:ascii="Arial" w:hAnsi="Arial" w:cs="Arial"/>
          <w:sz w:val="20"/>
          <w:szCs w:val="20"/>
        </w:rPr>
      </w:pPr>
      <w:r>
        <w:rPr>
          <w:rFonts w:ascii="Arial" w:hAnsi="Arial" w:cs="Arial"/>
          <w:sz w:val="20"/>
          <w:szCs w:val="20"/>
        </w:rPr>
        <w:t xml:space="preserve"> </w:t>
      </w:r>
    </w:p>
    <w:p w14:paraId="0A843DEE" w14:textId="77777777" w:rsidR="00A467B4" w:rsidRPr="002C19C9" w:rsidRDefault="002C19C9" w:rsidP="002C19C9">
      <w:pPr>
        <w:spacing w:line="240" w:lineRule="auto"/>
        <w:rPr>
          <w:rFonts w:ascii="Arial" w:hAnsi="Arial" w:cs="Arial"/>
          <w:b/>
        </w:rPr>
      </w:pPr>
      <w:r w:rsidRPr="002C19C9">
        <w:rPr>
          <w:rFonts w:ascii="Arial" w:hAnsi="Arial" w:cs="Arial"/>
          <w:b/>
        </w:rPr>
        <w:t xml:space="preserve">3. </w:t>
      </w:r>
      <w:r w:rsidR="001F7C79" w:rsidRPr="002C19C9">
        <w:rPr>
          <w:rFonts w:ascii="Arial" w:hAnsi="Arial" w:cs="Arial"/>
          <w:b/>
        </w:rPr>
        <w:t>RESULTS</w:t>
      </w:r>
      <w:r w:rsidRPr="002C19C9">
        <w:rPr>
          <w:rFonts w:ascii="Arial" w:hAnsi="Arial" w:cs="Arial"/>
          <w:b/>
        </w:rPr>
        <w:t xml:space="preserve"> AND DISCUSSION</w:t>
      </w:r>
    </w:p>
    <w:p w14:paraId="0E4877E1" w14:textId="77777777" w:rsidR="001F7C79" w:rsidRPr="002C19C9" w:rsidRDefault="005C022F" w:rsidP="002C19C9">
      <w:pPr>
        <w:spacing w:line="240" w:lineRule="auto"/>
        <w:jc w:val="both"/>
        <w:rPr>
          <w:rFonts w:ascii="Arial" w:hAnsi="Arial" w:cs="Arial"/>
          <w:sz w:val="20"/>
          <w:szCs w:val="20"/>
        </w:rPr>
      </w:pPr>
      <w:r w:rsidRPr="002C19C9">
        <w:rPr>
          <w:rFonts w:ascii="Arial" w:hAnsi="Arial" w:cs="Arial"/>
          <w:sz w:val="20"/>
          <w:szCs w:val="20"/>
        </w:rPr>
        <w:t>The results were presented in tables and figures.</w:t>
      </w:r>
    </w:p>
    <w:p w14:paraId="0D2BB0DB" w14:textId="77777777" w:rsidR="005C022F" w:rsidRPr="002C19C9" w:rsidRDefault="005C022F" w:rsidP="002C19C9">
      <w:pPr>
        <w:spacing w:line="240" w:lineRule="auto"/>
        <w:jc w:val="both"/>
        <w:rPr>
          <w:rFonts w:ascii="Arial" w:hAnsi="Arial" w:cs="Arial"/>
          <w:sz w:val="20"/>
          <w:szCs w:val="20"/>
        </w:rPr>
      </w:pPr>
    </w:p>
    <w:p w14:paraId="602C8B49" w14:textId="77777777" w:rsidR="005C022F" w:rsidRPr="002C19C9" w:rsidRDefault="005C022F" w:rsidP="002C19C9">
      <w:pPr>
        <w:spacing w:line="240" w:lineRule="auto"/>
        <w:jc w:val="both"/>
        <w:rPr>
          <w:rFonts w:ascii="Arial" w:hAnsi="Arial" w:cs="Arial"/>
          <w:sz w:val="20"/>
          <w:szCs w:val="20"/>
        </w:rPr>
      </w:pPr>
      <w:r w:rsidRPr="002C19C9">
        <w:rPr>
          <w:rFonts w:ascii="Arial" w:hAnsi="Arial" w:cs="Arial"/>
          <w:b/>
          <w:sz w:val="20"/>
          <w:szCs w:val="20"/>
        </w:rPr>
        <w:t>Table 1:</w:t>
      </w:r>
      <w:r w:rsidRPr="002C19C9">
        <w:rPr>
          <w:rFonts w:ascii="Arial" w:hAnsi="Arial" w:cs="Arial"/>
          <w:sz w:val="20"/>
          <w:szCs w:val="20"/>
        </w:rPr>
        <w:t xml:space="preserve"> Descriptive statistics of the study.</w:t>
      </w:r>
    </w:p>
    <w:tbl>
      <w:tblPr>
        <w:tblW w:w="8627"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695"/>
        <w:gridCol w:w="990"/>
        <w:gridCol w:w="1260"/>
        <w:gridCol w:w="1080"/>
        <w:gridCol w:w="1260"/>
        <w:gridCol w:w="1342"/>
      </w:tblGrid>
      <w:tr w:rsidR="005C022F" w:rsidRPr="002C19C9" w14:paraId="00632C4F" w14:textId="77777777" w:rsidTr="005B65B4">
        <w:trPr>
          <w:cantSplit/>
          <w:trHeight w:val="494"/>
        </w:trPr>
        <w:tc>
          <w:tcPr>
            <w:tcW w:w="2695" w:type="dxa"/>
            <w:tcBorders>
              <w:bottom w:val="single" w:sz="4" w:space="0" w:color="auto"/>
            </w:tcBorders>
            <w:shd w:val="clear" w:color="auto" w:fill="FFFFFF"/>
            <w:vAlign w:val="bottom"/>
          </w:tcPr>
          <w:p w14:paraId="27E86589"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Variables</w:t>
            </w:r>
          </w:p>
        </w:tc>
        <w:tc>
          <w:tcPr>
            <w:tcW w:w="990" w:type="dxa"/>
            <w:tcBorders>
              <w:bottom w:val="single" w:sz="4" w:space="0" w:color="auto"/>
            </w:tcBorders>
            <w:shd w:val="clear" w:color="auto" w:fill="FFFFFF"/>
            <w:vAlign w:val="bottom"/>
          </w:tcPr>
          <w:p w14:paraId="198BEF78"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N</w:t>
            </w:r>
          </w:p>
        </w:tc>
        <w:tc>
          <w:tcPr>
            <w:tcW w:w="1260" w:type="dxa"/>
            <w:tcBorders>
              <w:bottom w:val="single" w:sz="4" w:space="0" w:color="auto"/>
            </w:tcBorders>
            <w:shd w:val="clear" w:color="auto" w:fill="FFFFFF"/>
            <w:vAlign w:val="bottom"/>
          </w:tcPr>
          <w:p w14:paraId="286E9900"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Range</w:t>
            </w:r>
          </w:p>
        </w:tc>
        <w:tc>
          <w:tcPr>
            <w:tcW w:w="1080" w:type="dxa"/>
            <w:tcBorders>
              <w:bottom w:val="single" w:sz="4" w:space="0" w:color="auto"/>
            </w:tcBorders>
            <w:shd w:val="clear" w:color="auto" w:fill="FFFFFF"/>
            <w:vAlign w:val="bottom"/>
          </w:tcPr>
          <w:p w14:paraId="35F056A3"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Min.</w:t>
            </w:r>
          </w:p>
        </w:tc>
        <w:tc>
          <w:tcPr>
            <w:tcW w:w="1260" w:type="dxa"/>
            <w:tcBorders>
              <w:bottom w:val="single" w:sz="4" w:space="0" w:color="auto"/>
            </w:tcBorders>
            <w:shd w:val="clear" w:color="auto" w:fill="FFFFFF"/>
            <w:vAlign w:val="bottom"/>
          </w:tcPr>
          <w:p w14:paraId="6038898C" w14:textId="77777777" w:rsidR="005C022F" w:rsidRPr="002C19C9" w:rsidRDefault="005C022F" w:rsidP="002C19C9">
            <w:pPr>
              <w:spacing w:after="0" w:line="240" w:lineRule="auto"/>
              <w:jc w:val="both"/>
              <w:rPr>
                <w:rFonts w:ascii="Arial" w:hAnsi="Arial" w:cs="Arial"/>
                <w:b/>
                <w:sz w:val="20"/>
                <w:szCs w:val="20"/>
              </w:rPr>
            </w:pPr>
            <w:r w:rsidRPr="002C19C9">
              <w:rPr>
                <w:rFonts w:ascii="Arial" w:hAnsi="Arial" w:cs="Arial"/>
                <w:b/>
                <w:sz w:val="20"/>
                <w:szCs w:val="20"/>
              </w:rPr>
              <w:t>Max.</w:t>
            </w:r>
          </w:p>
        </w:tc>
        <w:tc>
          <w:tcPr>
            <w:tcW w:w="1342" w:type="dxa"/>
            <w:tcBorders>
              <w:bottom w:val="single" w:sz="4" w:space="0" w:color="auto"/>
            </w:tcBorders>
            <w:shd w:val="clear" w:color="auto" w:fill="FFFFFF"/>
            <w:vAlign w:val="bottom"/>
          </w:tcPr>
          <w:p w14:paraId="7401B3FF" w14:textId="77777777" w:rsidR="005C022F" w:rsidRPr="002C19C9" w:rsidRDefault="005C022F" w:rsidP="002C19C9">
            <w:pPr>
              <w:spacing w:after="0" w:line="240" w:lineRule="auto"/>
              <w:jc w:val="both"/>
              <w:rPr>
                <w:rFonts w:ascii="Arial" w:hAnsi="Arial" w:cs="Arial"/>
                <w:b/>
                <w:sz w:val="20"/>
                <w:szCs w:val="20"/>
              </w:rPr>
            </w:pPr>
            <w:proofErr w:type="spellStart"/>
            <w:r w:rsidRPr="002C19C9">
              <w:rPr>
                <w:rFonts w:ascii="Arial" w:hAnsi="Arial" w:cs="Arial"/>
                <w:b/>
                <w:sz w:val="20"/>
                <w:szCs w:val="20"/>
              </w:rPr>
              <w:t>Mean±SD</w:t>
            </w:r>
            <w:proofErr w:type="spellEnd"/>
          </w:p>
        </w:tc>
      </w:tr>
      <w:tr w:rsidR="005C022F" w:rsidRPr="002C19C9" w14:paraId="3758203E" w14:textId="77777777" w:rsidTr="005B65B4">
        <w:trPr>
          <w:cantSplit/>
        </w:trPr>
        <w:tc>
          <w:tcPr>
            <w:tcW w:w="2695" w:type="dxa"/>
            <w:tcBorders>
              <w:top w:val="single" w:sz="4" w:space="0" w:color="auto"/>
              <w:bottom w:val="nil"/>
            </w:tcBorders>
            <w:shd w:val="clear" w:color="auto" w:fill="E0E0E0"/>
          </w:tcPr>
          <w:p w14:paraId="77A7911D"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Right Digit Ratio</w:t>
            </w:r>
          </w:p>
        </w:tc>
        <w:tc>
          <w:tcPr>
            <w:tcW w:w="990" w:type="dxa"/>
            <w:tcBorders>
              <w:top w:val="single" w:sz="4" w:space="0" w:color="auto"/>
              <w:bottom w:val="nil"/>
            </w:tcBorders>
            <w:shd w:val="clear" w:color="auto" w:fill="FFFFFF"/>
          </w:tcPr>
          <w:p w14:paraId="7276EB2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402</w:t>
            </w:r>
          </w:p>
        </w:tc>
        <w:tc>
          <w:tcPr>
            <w:tcW w:w="1260" w:type="dxa"/>
            <w:tcBorders>
              <w:top w:val="single" w:sz="4" w:space="0" w:color="auto"/>
              <w:bottom w:val="nil"/>
            </w:tcBorders>
            <w:shd w:val="clear" w:color="auto" w:fill="FFFFFF"/>
          </w:tcPr>
          <w:p w14:paraId="572791A1"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0.23</w:t>
            </w:r>
          </w:p>
        </w:tc>
        <w:tc>
          <w:tcPr>
            <w:tcW w:w="1080" w:type="dxa"/>
            <w:tcBorders>
              <w:top w:val="single" w:sz="4" w:space="0" w:color="auto"/>
              <w:bottom w:val="nil"/>
            </w:tcBorders>
            <w:shd w:val="clear" w:color="auto" w:fill="FFFFFF"/>
          </w:tcPr>
          <w:p w14:paraId="240AA754"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0.84</w:t>
            </w:r>
          </w:p>
        </w:tc>
        <w:tc>
          <w:tcPr>
            <w:tcW w:w="1260" w:type="dxa"/>
            <w:tcBorders>
              <w:top w:val="single" w:sz="4" w:space="0" w:color="auto"/>
              <w:bottom w:val="nil"/>
            </w:tcBorders>
            <w:shd w:val="clear" w:color="auto" w:fill="FFFFFF"/>
          </w:tcPr>
          <w:p w14:paraId="47C21330"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1.07</w:t>
            </w:r>
          </w:p>
        </w:tc>
        <w:tc>
          <w:tcPr>
            <w:tcW w:w="1342" w:type="dxa"/>
            <w:tcBorders>
              <w:top w:val="single" w:sz="4" w:space="0" w:color="auto"/>
              <w:bottom w:val="nil"/>
            </w:tcBorders>
            <w:shd w:val="clear" w:color="auto" w:fill="FFFFFF"/>
          </w:tcPr>
          <w:p w14:paraId="7B66F1D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0.96±0.04</w:t>
            </w:r>
          </w:p>
        </w:tc>
      </w:tr>
      <w:tr w:rsidR="005C022F" w:rsidRPr="002C19C9" w14:paraId="27B6A871" w14:textId="77777777" w:rsidTr="005B65B4">
        <w:trPr>
          <w:cantSplit/>
        </w:trPr>
        <w:tc>
          <w:tcPr>
            <w:tcW w:w="2695" w:type="dxa"/>
            <w:tcBorders>
              <w:top w:val="nil"/>
            </w:tcBorders>
            <w:shd w:val="clear" w:color="auto" w:fill="E0E0E0"/>
          </w:tcPr>
          <w:p w14:paraId="4AD9B647"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Left Digit Ratio</w:t>
            </w:r>
          </w:p>
        </w:tc>
        <w:tc>
          <w:tcPr>
            <w:tcW w:w="990" w:type="dxa"/>
            <w:tcBorders>
              <w:top w:val="nil"/>
            </w:tcBorders>
            <w:shd w:val="clear" w:color="auto" w:fill="FFFFFF"/>
          </w:tcPr>
          <w:p w14:paraId="1D328DC6"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402</w:t>
            </w:r>
          </w:p>
        </w:tc>
        <w:tc>
          <w:tcPr>
            <w:tcW w:w="1260" w:type="dxa"/>
            <w:tcBorders>
              <w:top w:val="nil"/>
            </w:tcBorders>
            <w:shd w:val="clear" w:color="auto" w:fill="FFFFFF"/>
          </w:tcPr>
          <w:p w14:paraId="37759F7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0.24</w:t>
            </w:r>
          </w:p>
        </w:tc>
        <w:tc>
          <w:tcPr>
            <w:tcW w:w="1080" w:type="dxa"/>
            <w:tcBorders>
              <w:top w:val="nil"/>
            </w:tcBorders>
            <w:shd w:val="clear" w:color="auto" w:fill="FFFFFF"/>
          </w:tcPr>
          <w:p w14:paraId="3672D34C"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0.85</w:t>
            </w:r>
          </w:p>
        </w:tc>
        <w:tc>
          <w:tcPr>
            <w:tcW w:w="1260" w:type="dxa"/>
            <w:tcBorders>
              <w:top w:val="nil"/>
            </w:tcBorders>
            <w:shd w:val="clear" w:color="auto" w:fill="FFFFFF"/>
          </w:tcPr>
          <w:p w14:paraId="6E20E040"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1.09</w:t>
            </w:r>
          </w:p>
        </w:tc>
        <w:tc>
          <w:tcPr>
            <w:tcW w:w="1342" w:type="dxa"/>
            <w:tcBorders>
              <w:top w:val="nil"/>
            </w:tcBorders>
            <w:shd w:val="clear" w:color="auto" w:fill="FFFFFF"/>
          </w:tcPr>
          <w:p w14:paraId="7E47E8B0"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0.97±0.04</w:t>
            </w:r>
          </w:p>
        </w:tc>
      </w:tr>
      <w:tr w:rsidR="005C022F" w:rsidRPr="002C19C9" w14:paraId="77228834" w14:textId="77777777" w:rsidTr="005B65B4">
        <w:trPr>
          <w:cantSplit/>
        </w:trPr>
        <w:tc>
          <w:tcPr>
            <w:tcW w:w="2695" w:type="dxa"/>
            <w:shd w:val="clear" w:color="auto" w:fill="E0E0E0"/>
          </w:tcPr>
          <w:p w14:paraId="2568BE4F"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Average Digit Ratio</w:t>
            </w:r>
          </w:p>
        </w:tc>
        <w:tc>
          <w:tcPr>
            <w:tcW w:w="990" w:type="dxa"/>
            <w:shd w:val="clear" w:color="auto" w:fill="FFFFFF"/>
          </w:tcPr>
          <w:p w14:paraId="3E59AC9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402</w:t>
            </w:r>
          </w:p>
        </w:tc>
        <w:tc>
          <w:tcPr>
            <w:tcW w:w="1260" w:type="dxa"/>
            <w:shd w:val="clear" w:color="auto" w:fill="FFFFFF"/>
          </w:tcPr>
          <w:p w14:paraId="113E4F02"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0.20</w:t>
            </w:r>
          </w:p>
        </w:tc>
        <w:tc>
          <w:tcPr>
            <w:tcW w:w="1080" w:type="dxa"/>
            <w:shd w:val="clear" w:color="auto" w:fill="FFFFFF"/>
          </w:tcPr>
          <w:p w14:paraId="1E69BDC5"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0.87</w:t>
            </w:r>
          </w:p>
        </w:tc>
        <w:tc>
          <w:tcPr>
            <w:tcW w:w="1260" w:type="dxa"/>
            <w:shd w:val="clear" w:color="auto" w:fill="FFFFFF"/>
          </w:tcPr>
          <w:p w14:paraId="59A1F154"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1.07</w:t>
            </w:r>
          </w:p>
        </w:tc>
        <w:tc>
          <w:tcPr>
            <w:tcW w:w="1342" w:type="dxa"/>
            <w:shd w:val="clear" w:color="auto" w:fill="FFFFFF"/>
          </w:tcPr>
          <w:p w14:paraId="34B3F749"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0.97±0.04</w:t>
            </w:r>
          </w:p>
        </w:tc>
      </w:tr>
      <w:tr w:rsidR="005C022F" w:rsidRPr="002C19C9" w14:paraId="5000698C" w14:textId="77777777" w:rsidTr="005B65B4">
        <w:trPr>
          <w:cantSplit/>
        </w:trPr>
        <w:tc>
          <w:tcPr>
            <w:tcW w:w="2695" w:type="dxa"/>
            <w:shd w:val="clear" w:color="auto" w:fill="E0E0E0"/>
          </w:tcPr>
          <w:p w14:paraId="02D0272F"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Age</w:t>
            </w:r>
          </w:p>
        </w:tc>
        <w:tc>
          <w:tcPr>
            <w:tcW w:w="990" w:type="dxa"/>
            <w:shd w:val="clear" w:color="auto" w:fill="FFFFFF"/>
          </w:tcPr>
          <w:p w14:paraId="067BE5F5"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402</w:t>
            </w:r>
          </w:p>
        </w:tc>
        <w:tc>
          <w:tcPr>
            <w:tcW w:w="1260" w:type="dxa"/>
            <w:shd w:val="clear" w:color="auto" w:fill="FFFFFF"/>
          </w:tcPr>
          <w:p w14:paraId="5A319E1A"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41.00</w:t>
            </w:r>
          </w:p>
        </w:tc>
        <w:tc>
          <w:tcPr>
            <w:tcW w:w="1080" w:type="dxa"/>
            <w:shd w:val="clear" w:color="auto" w:fill="FFFFFF"/>
          </w:tcPr>
          <w:p w14:paraId="3C8B41D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34.00</w:t>
            </w:r>
          </w:p>
        </w:tc>
        <w:tc>
          <w:tcPr>
            <w:tcW w:w="1260" w:type="dxa"/>
            <w:shd w:val="clear" w:color="auto" w:fill="FFFFFF"/>
          </w:tcPr>
          <w:p w14:paraId="456905E8"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75.00</w:t>
            </w:r>
          </w:p>
        </w:tc>
        <w:tc>
          <w:tcPr>
            <w:tcW w:w="1342" w:type="dxa"/>
            <w:shd w:val="clear" w:color="auto" w:fill="FFFFFF"/>
          </w:tcPr>
          <w:p w14:paraId="69146F58"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47.76±7.79</w:t>
            </w:r>
          </w:p>
        </w:tc>
      </w:tr>
      <w:tr w:rsidR="005C022F" w:rsidRPr="002C19C9" w14:paraId="741D20B7" w14:textId="77777777" w:rsidTr="005B65B4">
        <w:trPr>
          <w:cantSplit/>
        </w:trPr>
        <w:tc>
          <w:tcPr>
            <w:tcW w:w="2695" w:type="dxa"/>
            <w:shd w:val="clear" w:color="auto" w:fill="E0E0E0"/>
          </w:tcPr>
          <w:p w14:paraId="3ADDECE3"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Age at Menopause</w:t>
            </w:r>
          </w:p>
        </w:tc>
        <w:tc>
          <w:tcPr>
            <w:tcW w:w="990" w:type="dxa"/>
            <w:shd w:val="clear" w:color="auto" w:fill="FFFFFF"/>
          </w:tcPr>
          <w:p w14:paraId="6ED58FD0"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191</w:t>
            </w:r>
          </w:p>
        </w:tc>
        <w:tc>
          <w:tcPr>
            <w:tcW w:w="1260" w:type="dxa"/>
            <w:shd w:val="clear" w:color="auto" w:fill="FFFFFF"/>
          </w:tcPr>
          <w:p w14:paraId="11FB061E"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32.00</w:t>
            </w:r>
          </w:p>
        </w:tc>
        <w:tc>
          <w:tcPr>
            <w:tcW w:w="1080" w:type="dxa"/>
            <w:shd w:val="clear" w:color="auto" w:fill="FFFFFF"/>
          </w:tcPr>
          <w:p w14:paraId="66266192"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28.00</w:t>
            </w:r>
          </w:p>
        </w:tc>
        <w:tc>
          <w:tcPr>
            <w:tcW w:w="1260" w:type="dxa"/>
            <w:shd w:val="clear" w:color="auto" w:fill="FFFFFF"/>
          </w:tcPr>
          <w:p w14:paraId="697A127A"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60.00</w:t>
            </w:r>
          </w:p>
        </w:tc>
        <w:tc>
          <w:tcPr>
            <w:tcW w:w="1342" w:type="dxa"/>
            <w:shd w:val="clear" w:color="auto" w:fill="FFFFFF"/>
          </w:tcPr>
          <w:p w14:paraId="0B23B681"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45.63±5.55</w:t>
            </w:r>
          </w:p>
        </w:tc>
      </w:tr>
      <w:tr w:rsidR="005C022F" w:rsidRPr="002C19C9" w14:paraId="4477C537" w14:textId="77777777" w:rsidTr="005B65B4">
        <w:trPr>
          <w:cantSplit/>
        </w:trPr>
        <w:tc>
          <w:tcPr>
            <w:tcW w:w="2695" w:type="dxa"/>
            <w:shd w:val="clear" w:color="auto" w:fill="E0E0E0"/>
          </w:tcPr>
          <w:p w14:paraId="1C7D12FB"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Number of Children</w:t>
            </w:r>
          </w:p>
        </w:tc>
        <w:tc>
          <w:tcPr>
            <w:tcW w:w="990" w:type="dxa"/>
            <w:shd w:val="clear" w:color="auto" w:fill="FFFFFF"/>
          </w:tcPr>
          <w:p w14:paraId="054DDC76"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370</w:t>
            </w:r>
          </w:p>
        </w:tc>
        <w:tc>
          <w:tcPr>
            <w:tcW w:w="1260" w:type="dxa"/>
            <w:shd w:val="clear" w:color="auto" w:fill="FFFFFF"/>
          </w:tcPr>
          <w:p w14:paraId="170F53F7"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12.00</w:t>
            </w:r>
          </w:p>
        </w:tc>
        <w:tc>
          <w:tcPr>
            <w:tcW w:w="1080" w:type="dxa"/>
            <w:shd w:val="clear" w:color="auto" w:fill="FFFFFF"/>
          </w:tcPr>
          <w:p w14:paraId="4214EDF1"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1.00</w:t>
            </w:r>
          </w:p>
        </w:tc>
        <w:tc>
          <w:tcPr>
            <w:tcW w:w="1260" w:type="dxa"/>
            <w:shd w:val="clear" w:color="auto" w:fill="FFFFFF"/>
          </w:tcPr>
          <w:p w14:paraId="37F90DC5"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13.00</w:t>
            </w:r>
          </w:p>
        </w:tc>
        <w:tc>
          <w:tcPr>
            <w:tcW w:w="1342" w:type="dxa"/>
            <w:shd w:val="clear" w:color="auto" w:fill="FFFFFF"/>
          </w:tcPr>
          <w:p w14:paraId="68920286" w14:textId="77777777" w:rsidR="005C022F" w:rsidRPr="002C19C9" w:rsidRDefault="005C022F" w:rsidP="002C19C9">
            <w:pPr>
              <w:spacing w:after="0" w:line="240" w:lineRule="auto"/>
              <w:jc w:val="both"/>
              <w:rPr>
                <w:rFonts w:ascii="Arial" w:hAnsi="Arial" w:cs="Arial"/>
                <w:sz w:val="20"/>
                <w:szCs w:val="20"/>
              </w:rPr>
            </w:pPr>
            <w:r w:rsidRPr="002C19C9">
              <w:rPr>
                <w:rFonts w:ascii="Arial" w:hAnsi="Arial" w:cs="Arial"/>
                <w:sz w:val="20"/>
                <w:szCs w:val="20"/>
              </w:rPr>
              <w:t>4.08±1.92</w:t>
            </w:r>
          </w:p>
        </w:tc>
      </w:tr>
    </w:tbl>
    <w:p w14:paraId="41D5B675" w14:textId="77777777" w:rsidR="005C022F" w:rsidRPr="002C19C9" w:rsidRDefault="005C022F" w:rsidP="002C19C9">
      <w:pPr>
        <w:spacing w:line="240" w:lineRule="auto"/>
        <w:jc w:val="both"/>
        <w:rPr>
          <w:rFonts w:ascii="Arial" w:hAnsi="Arial" w:cs="Arial"/>
          <w:sz w:val="20"/>
          <w:szCs w:val="20"/>
        </w:rPr>
      </w:pPr>
    </w:p>
    <w:p w14:paraId="3EC57A6D" w14:textId="77777777" w:rsidR="005C022F" w:rsidRPr="002C19C9" w:rsidRDefault="005C022F" w:rsidP="002C19C9">
      <w:pPr>
        <w:spacing w:line="240" w:lineRule="auto"/>
        <w:jc w:val="both"/>
        <w:rPr>
          <w:rFonts w:ascii="Arial" w:hAnsi="Arial" w:cs="Arial"/>
          <w:sz w:val="20"/>
          <w:szCs w:val="20"/>
        </w:rPr>
      </w:pPr>
    </w:p>
    <w:p w14:paraId="38F66BDC" w14:textId="77777777" w:rsidR="00254704" w:rsidRPr="002C19C9" w:rsidRDefault="00254704" w:rsidP="002C19C9">
      <w:pPr>
        <w:spacing w:line="240" w:lineRule="auto"/>
        <w:jc w:val="both"/>
        <w:rPr>
          <w:rFonts w:ascii="Arial" w:hAnsi="Arial" w:cs="Arial"/>
          <w:sz w:val="20"/>
          <w:szCs w:val="20"/>
        </w:rPr>
      </w:pPr>
      <w:r w:rsidRPr="002C19C9">
        <w:rPr>
          <w:rFonts w:ascii="Arial" w:hAnsi="Arial" w:cs="Arial"/>
          <w:noProof/>
          <w:sz w:val="20"/>
          <w:szCs w:val="20"/>
        </w:rPr>
        <w:drawing>
          <wp:inline distT="0" distB="0" distL="0" distR="0" wp14:anchorId="2607406D" wp14:editId="7F3F5D60">
            <wp:extent cx="5647690" cy="4291965"/>
            <wp:effectExtent l="0" t="0" r="10160" b="1333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949C9B" w14:textId="77777777" w:rsidR="00254704" w:rsidRPr="002C19C9" w:rsidRDefault="00254704" w:rsidP="002C19C9">
      <w:pPr>
        <w:spacing w:after="0" w:line="240" w:lineRule="auto"/>
        <w:jc w:val="both"/>
        <w:rPr>
          <w:rFonts w:ascii="Arial" w:hAnsi="Arial" w:cs="Arial"/>
          <w:bCs/>
          <w:sz w:val="20"/>
          <w:szCs w:val="20"/>
        </w:rPr>
      </w:pPr>
      <w:bookmarkStart w:id="1" w:name="_Toc182999481"/>
      <w:r w:rsidRPr="002C19C9">
        <w:rPr>
          <w:rFonts w:ascii="Arial" w:hAnsi="Arial" w:cs="Arial"/>
          <w:b/>
          <w:bCs/>
          <w:sz w:val="20"/>
          <w:szCs w:val="20"/>
        </w:rPr>
        <w:t xml:space="preserve">Figure 1. </w:t>
      </w:r>
      <w:r w:rsidRPr="002C19C9">
        <w:rPr>
          <w:rFonts w:ascii="Arial" w:hAnsi="Arial" w:cs="Arial"/>
          <w:bCs/>
          <w:sz w:val="20"/>
          <w:szCs w:val="20"/>
        </w:rPr>
        <w:t>Age at Menopause demographics of the study sample</w:t>
      </w:r>
      <w:bookmarkEnd w:id="1"/>
    </w:p>
    <w:p w14:paraId="4048BD4D" w14:textId="77777777" w:rsidR="00254704" w:rsidRPr="002C19C9" w:rsidRDefault="00254704" w:rsidP="002C19C9">
      <w:pPr>
        <w:spacing w:after="0" w:line="240" w:lineRule="auto"/>
        <w:jc w:val="both"/>
        <w:rPr>
          <w:rFonts w:ascii="Arial" w:hAnsi="Arial" w:cs="Arial"/>
          <w:sz w:val="20"/>
          <w:szCs w:val="20"/>
        </w:rPr>
      </w:pPr>
      <w:r w:rsidRPr="002C19C9">
        <w:rPr>
          <w:rFonts w:ascii="Arial" w:hAnsi="Arial" w:cs="Arial"/>
          <w:b/>
          <w:i/>
          <w:sz w:val="20"/>
          <w:szCs w:val="20"/>
        </w:rPr>
        <w:t>EM</w:t>
      </w:r>
      <w:r w:rsidRPr="002C19C9">
        <w:rPr>
          <w:rFonts w:ascii="Arial" w:hAnsi="Arial" w:cs="Arial"/>
          <w:i/>
          <w:sz w:val="20"/>
          <w:szCs w:val="20"/>
        </w:rPr>
        <w:t>= Early Menopause</w:t>
      </w:r>
      <w:r w:rsidRPr="002C19C9">
        <w:rPr>
          <w:rFonts w:ascii="Arial" w:hAnsi="Arial" w:cs="Arial"/>
          <w:b/>
          <w:i/>
          <w:sz w:val="20"/>
          <w:szCs w:val="20"/>
        </w:rPr>
        <w:t>, NM</w:t>
      </w:r>
      <w:r w:rsidRPr="002C19C9">
        <w:rPr>
          <w:rFonts w:ascii="Arial" w:hAnsi="Arial" w:cs="Arial"/>
          <w:i/>
          <w:sz w:val="20"/>
          <w:szCs w:val="20"/>
        </w:rPr>
        <w:t xml:space="preserve">= Normal Menopause, </w:t>
      </w:r>
      <w:r w:rsidRPr="002C19C9">
        <w:rPr>
          <w:rFonts w:ascii="Arial" w:hAnsi="Arial" w:cs="Arial"/>
          <w:b/>
          <w:i/>
          <w:sz w:val="20"/>
          <w:szCs w:val="20"/>
        </w:rPr>
        <w:t>LM</w:t>
      </w:r>
      <w:r w:rsidRPr="002C19C9">
        <w:rPr>
          <w:rFonts w:ascii="Arial" w:hAnsi="Arial" w:cs="Arial"/>
          <w:i/>
          <w:sz w:val="20"/>
          <w:szCs w:val="20"/>
        </w:rPr>
        <w:t>= Late Menopause</w:t>
      </w:r>
    </w:p>
    <w:p w14:paraId="41930864" w14:textId="77777777" w:rsidR="00254704" w:rsidRPr="002C19C9" w:rsidRDefault="00254704" w:rsidP="002C19C9">
      <w:pPr>
        <w:spacing w:line="240" w:lineRule="auto"/>
        <w:jc w:val="both"/>
        <w:rPr>
          <w:rFonts w:ascii="Arial" w:hAnsi="Arial" w:cs="Arial"/>
          <w:sz w:val="20"/>
          <w:szCs w:val="20"/>
        </w:rPr>
      </w:pPr>
    </w:p>
    <w:p w14:paraId="40B5C0DD" w14:textId="77777777" w:rsidR="00254704" w:rsidRPr="002C19C9" w:rsidRDefault="004575A2" w:rsidP="002C19C9">
      <w:pPr>
        <w:spacing w:line="240" w:lineRule="auto"/>
        <w:jc w:val="both"/>
        <w:rPr>
          <w:rFonts w:ascii="Arial" w:hAnsi="Arial" w:cs="Arial"/>
          <w:sz w:val="20"/>
          <w:szCs w:val="20"/>
        </w:rPr>
      </w:pPr>
      <w:r w:rsidRPr="002C19C9">
        <w:rPr>
          <w:rFonts w:ascii="Arial" w:hAnsi="Arial" w:cs="Arial"/>
          <w:noProof/>
          <w:sz w:val="20"/>
          <w:szCs w:val="20"/>
        </w:rPr>
        <w:lastRenderedPageBreak/>
        <w:drawing>
          <wp:inline distT="0" distB="0" distL="0" distR="0" wp14:anchorId="3CEE2C87" wp14:editId="182F0C3D">
            <wp:extent cx="5627370" cy="481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7370" cy="4810125"/>
                    </a:xfrm>
                    <a:prstGeom prst="rect">
                      <a:avLst/>
                    </a:prstGeom>
                    <a:noFill/>
                  </pic:spPr>
                </pic:pic>
              </a:graphicData>
            </a:graphic>
          </wp:inline>
        </w:drawing>
      </w:r>
    </w:p>
    <w:p w14:paraId="17B4C4A4" w14:textId="77777777" w:rsidR="004575A2" w:rsidRPr="002C19C9" w:rsidRDefault="004575A2" w:rsidP="002C19C9">
      <w:pPr>
        <w:spacing w:after="0" w:line="240" w:lineRule="auto"/>
        <w:jc w:val="both"/>
        <w:rPr>
          <w:rFonts w:ascii="Arial" w:hAnsi="Arial" w:cs="Arial"/>
          <w:b/>
          <w:bCs/>
          <w:sz w:val="20"/>
          <w:szCs w:val="20"/>
        </w:rPr>
      </w:pPr>
      <w:bookmarkStart w:id="2" w:name="_Toc182999482"/>
      <w:r w:rsidRPr="002C19C9">
        <w:rPr>
          <w:rFonts w:ascii="Arial" w:hAnsi="Arial" w:cs="Arial"/>
          <w:b/>
          <w:bCs/>
          <w:sz w:val="20"/>
          <w:szCs w:val="20"/>
        </w:rPr>
        <w:t xml:space="preserve">Figure 2. </w:t>
      </w:r>
      <w:r w:rsidRPr="002C19C9">
        <w:rPr>
          <w:rFonts w:ascii="Arial" w:hAnsi="Arial" w:cs="Arial"/>
          <w:bCs/>
          <w:sz w:val="20"/>
          <w:szCs w:val="20"/>
        </w:rPr>
        <w:t>Digit ratio groups demographics of the study sample.</w:t>
      </w:r>
      <w:bookmarkEnd w:id="2"/>
    </w:p>
    <w:p w14:paraId="0CE87FB4" w14:textId="77777777" w:rsidR="004575A2" w:rsidRPr="002C19C9" w:rsidRDefault="004575A2" w:rsidP="002C19C9">
      <w:pPr>
        <w:spacing w:after="0" w:line="240" w:lineRule="auto"/>
        <w:jc w:val="both"/>
        <w:rPr>
          <w:rFonts w:ascii="Arial" w:hAnsi="Arial" w:cs="Arial"/>
          <w:i/>
          <w:sz w:val="20"/>
          <w:szCs w:val="20"/>
        </w:rPr>
      </w:pPr>
      <w:r w:rsidRPr="002C19C9">
        <w:rPr>
          <w:rFonts w:ascii="Arial" w:hAnsi="Arial" w:cs="Arial"/>
          <w:b/>
          <w:i/>
          <w:sz w:val="20"/>
          <w:szCs w:val="20"/>
        </w:rPr>
        <w:t>LDR</w:t>
      </w:r>
      <w:r w:rsidRPr="002C19C9">
        <w:rPr>
          <w:rFonts w:ascii="Arial" w:hAnsi="Arial" w:cs="Arial"/>
          <w:i/>
          <w:sz w:val="20"/>
          <w:szCs w:val="20"/>
        </w:rPr>
        <w:t xml:space="preserve">= Low Digit Ratio, </w:t>
      </w:r>
      <w:r w:rsidRPr="002C19C9">
        <w:rPr>
          <w:rFonts w:ascii="Arial" w:hAnsi="Arial" w:cs="Arial"/>
          <w:b/>
          <w:i/>
          <w:sz w:val="20"/>
          <w:szCs w:val="20"/>
        </w:rPr>
        <w:t>NDR</w:t>
      </w:r>
      <w:r w:rsidRPr="002C19C9">
        <w:rPr>
          <w:rFonts w:ascii="Arial" w:hAnsi="Arial" w:cs="Arial"/>
          <w:i/>
          <w:sz w:val="20"/>
          <w:szCs w:val="20"/>
        </w:rPr>
        <w:t xml:space="preserve">= Normal Digit Ratio, </w:t>
      </w:r>
      <w:r w:rsidRPr="002C19C9">
        <w:rPr>
          <w:rFonts w:ascii="Arial" w:hAnsi="Arial" w:cs="Arial"/>
          <w:b/>
          <w:i/>
          <w:sz w:val="20"/>
          <w:szCs w:val="20"/>
        </w:rPr>
        <w:t>HDR</w:t>
      </w:r>
      <w:r w:rsidRPr="002C19C9">
        <w:rPr>
          <w:rFonts w:ascii="Arial" w:hAnsi="Arial" w:cs="Arial"/>
          <w:i/>
          <w:sz w:val="20"/>
          <w:szCs w:val="20"/>
        </w:rPr>
        <w:t>= High Digit Ratio</w:t>
      </w:r>
    </w:p>
    <w:p w14:paraId="4E77D1BD" w14:textId="77777777" w:rsidR="004575A2" w:rsidRPr="002C19C9" w:rsidRDefault="004575A2" w:rsidP="002C19C9">
      <w:pPr>
        <w:spacing w:after="0" w:line="240" w:lineRule="auto"/>
        <w:jc w:val="both"/>
        <w:rPr>
          <w:rFonts w:ascii="Arial" w:hAnsi="Arial" w:cs="Arial"/>
          <w:i/>
          <w:sz w:val="20"/>
          <w:szCs w:val="20"/>
        </w:rPr>
      </w:pPr>
    </w:p>
    <w:p w14:paraId="65B62616" w14:textId="77777777" w:rsidR="004575A2" w:rsidRPr="002C19C9" w:rsidRDefault="004575A2" w:rsidP="002C19C9">
      <w:pPr>
        <w:spacing w:after="0" w:line="240" w:lineRule="auto"/>
        <w:jc w:val="both"/>
        <w:rPr>
          <w:rFonts w:ascii="Arial" w:hAnsi="Arial" w:cs="Arial"/>
          <w:i/>
          <w:sz w:val="20"/>
          <w:szCs w:val="20"/>
        </w:rPr>
      </w:pPr>
    </w:p>
    <w:p w14:paraId="17DFFF73" w14:textId="77777777" w:rsidR="004575A2" w:rsidRPr="002C19C9" w:rsidRDefault="004575A2" w:rsidP="002C19C9">
      <w:pPr>
        <w:spacing w:after="0" w:line="240" w:lineRule="auto"/>
        <w:jc w:val="both"/>
        <w:rPr>
          <w:rFonts w:ascii="Arial" w:hAnsi="Arial" w:cs="Arial"/>
          <w:i/>
          <w:sz w:val="20"/>
          <w:szCs w:val="20"/>
        </w:rPr>
      </w:pPr>
    </w:p>
    <w:p w14:paraId="07579002" w14:textId="77777777" w:rsidR="004575A2" w:rsidRPr="002C19C9" w:rsidRDefault="004575A2" w:rsidP="002C19C9">
      <w:pPr>
        <w:spacing w:after="0" w:line="240" w:lineRule="auto"/>
        <w:jc w:val="both"/>
        <w:rPr>
          <w:rFonts w:ascii="Arial" w:hAnsi="Arial" w:cs="Arial"/>
          <w:i/>
          <w:sz w:val="20"/>
          <w:szCs w:val="20"/>
        </w:rPr>
      </w:pPr>
    </w:p>
    <w:p w14:paraId="453C5D2A" w14:textId="77777777" w:rsidR="004575A2" w:rsidRPr="002C19C9" w:rsidRDefault="004575A2" w:rsidP="002C19C9">
      <w:pPr>
        <w:spacing w:after="0" w:line="240" w:lineRule="auto"/>
        <w:jc w:val="both"/>
        <w:rPr>
          <w:rFonts w:ascii="Arial" w:hAnsi="Arial" w:cs="Arial"/>
          <w:i/>
          <w:sz w:val="20"/>
          <w:szCs w:val="20"/>
        </w:rPr>
      </w:pPr>
    </w:p>
    <w:p w14:paraId="37CEF631" w14:textId="77777777" w:rsidR="004575A2" w:rsidRPr="002C19C9" w:rsidRDefault="004575A2" w:rsidP="002C19C9">
      <w:pPr>
        <w:spacing w:after="0" w:line="240" w:lineRule="auto"/>
        <w:jc w:val="both"/>
        <w:rPr>
          <w:rFonts w:ascii="Arial" w:hAnsi="Arial" w:cs="Arial"/>
          <w:i/>
          <w:sz w:val="20"/>
          <w:szCs w:val="20"/>
        </w:rPr>
      </w:pPr>
    </w:p>
    <w:p w14:paraId="19C778CA" w14:textId="1D1B083E" w:rsidR="004575A2" w:rsidRDefault="004575A2" w:rsidP="002C19C9">
      <w:pPr>
        <w:spacing w:after="0" w:line="240" w:lineRule="auto"/>
        <w:jc w:val="both"/>
        <w:rPr>
          <w:rFonts w:ascii="Arial" w:hAnsi="Arial" w:cs="Arial"/>
          <w:i/>
          <w:sz w:val="20"/>
          <w:szCs w:val="20"/>
        </w:rPr>
      </w:pPr>
    </w:p>
    <w:p w14:paraId="3117E600" w14:textId="7CDF5FAB" w:rsidR="00C20821" w:rsidRDefault="00C20821" w:rsidP="002C19C9">
      <w:pPr>
        <w:spacing w:after="0" w:line="240" w:lineRule="auto"/>
        <w:jc w:val="both"/>
        <w:rPr>
          <w:rFonts w:ascii="Arial" w:hAnsi="Arial" w:cs="Arial"/>
          <w:i/>
          <w:sz w:val="20"/>
          <w:szCs w:val="20"/>
        </w:rPr>
      </w:pPr>
    </w:p>
    <w:p w14:paraId="206622E0" w14:textId="0954B9AE" w:rsidR="00C20821" w:rsidRDefault="00C20821" w:rsidP="002C19C9">
      <w:pPr>
        <w:spacing w:after="0" w:line="240" w:lineRule="auto"/>
        <w:jc w:val="both"/>
        <w:rPr>
          <w:rFonts w:ascii="Arial" w:hAnsi="Arial" w:cs="Arial"/>
          <w:i/>
          <w:sz w:val="20"/>
          <w:szCs w:val="20"/>
        </w:rPr>
      </w:pPr>
    </w:p>
    <w:p w14:paraId="1263F492" w14:textId="1FAA4CE6" w:rsidR="00C20821" w:rsidRDefault="00C20821" w:rsidP="002C19C9">
      <w:pPr>
        <w:spacing w:after="0" w:line="240" w:lineRule="auto"/>
        <w:jc w:val="both"/>
        <w:rPr>
          <w:rFonts w:ascii="Arial" w:hAnsi="Arial" w:cs="Arial"/>
          <w:i/>
          <w:sz w:val="20"/>
          <w:szCs w:val="20"/>
        </w:rPr>
      </w:pPr>
    </w:p>
    <w:p w14:paraId="6354CE72" w14:textId="77777777" w:rsidR="00C20821" w:rsidRPr="002C19C9" w:rsidRDefault="00C20821" w:rsidP="002C19C9">
      <w:pPr>
        <w:spacing w:after="0" w:line="240" w:lineRule="auto"/>
        <w:jc w:val="both"/>
        <w:rPr>
          <w:rFonts w:ascii="Arial" w:hAnsi="Arial" w:cs="Arial"/>
          <w:i/>
          <w:sz w:val="20"/>
          <w:szCs w:val="20"/>
        </w:rPr>
      </w:pPr>
    </w:p>
    <w:p w14:paraId="14719FB3" w14:textId="77777777" w:rsidR="004575A2" w:rsidRPr="002C19C9" w:rsidRDefault="004575A2" w:rsidP="002C19C9">
      <w:pPr>
        <w:spacing w:after="0" w:line="240" w:lineRule="auto"/>
        <w:jc w:val="both"/>
        <w:rPr>
          <w:rFonts w:ascii="Arial" w:hAnsi="Arial" w:cs="Arial"/>
          <w:i/>
          <w:sz w:val="20"/>
          <w:szCs w:val="20"/>
        </w:rPr>
      </w:pPr>
    </w:p>
    <w:p w14:paraId="66083FFC" w14:textId="77777777" w:rsidR="004575A2" w:rsidRPr="002C19C9" w:rsidRDefault="004575A2" w:rsidP="002C19C9">
      <w:pPr>
        <w:spacing w:after="0" w:line="240" w:lineRule="auto"/>
        <w:jc w:val="both"/>
        <w:rPr>
          <w:rFonts w:ascii="Arial" w:hAnsi="Arial" w:cs="Arial"/>
          <w:i/>
          <w:sz w:val="20"/>
          <w:szCs w:val="20"/>
        </w:rPr>
      </w:pPr>
    </w:p>
    <w:p w14:paraId="658B9BF5" w14:textId="77777777" w:rsidR="004575A2" w:rsidRPr="002C19C9" w:rsidRDefault="004575A2" w:rsidP="002C19C9">
      <w:pPr>
        <w:spacing w:after="0" w:line="240" w:lineRule="auto"/>
        <w:jc w:val="both"/>
        <w:rPr>
          <w:rFonts w:ascii="Arial" w:hAnsi="Arial" w:cs="Arial"/>
          <w:i/>
          <w:sz w:val="20"/>
          <w:szCs w:val="20"/>
        </w:rPr>
      </w:pPr>
    </w:p>
    <w:p w14:paraId="37EAF80C" w14:textId="77777777" w:rsidR="004575A2" w:rsidRPr="002C19C9" w:rsidRDefault="004575A2" w:rsidP="002C19C9">
      <w:pPr>
        <w:spacing w:after="0" w:line="240" w:lineRule="auto"/>
        <w:jc w:val="both"/>
        <w:rPr>
          <w:rFonts w:ascii="Arial" w:hAnsi="Arial" w:cs="Arial"/>
          <w:i/>
          <w:sz w:val="20"/>
          <w:szCs w:val="20"/>
        </w:rPr>
      </w:pPr>
    </w:p>
    <w:p w14:paraId="4C3AA95E" w14:textId="77777777" w:rsidR="004575A2" w:rsidRPr="002C19C9" w:rsidRDefault="004575A2" w:rsidP="002C19C9">
      <w:pPr>
        <w:spacing w:after="0" w:line="240" w:lineRule="auto"/>
        <w:jc w:val="both"/>
        <w:rPr>
          <w:rFonts w:ascii="Arial" w:hAnsi="Arial" w:cs="Arial"/>
          <w:i/>
          <w:sz w:val="20"/>
          <w:szCs w:val="20"/>
        </w:rPr>
      </w:pPr>
    </w:p>
    <w:p w14:paraId="01806028" w14:textId="77777777" w:rsidR="004575A2" w:rsidRPr="002C19C9" w:rsidRDefault="004575A2" w:rsidP="002C19C9">
      <w:pPr>
        <w:spacing w:after="0" w:line="240" w:lineRule="auto"/>
        <w:jc w:val="both"/>
        <w:rPr>
          <w:rFonts w:ascii="Arial" w:hAnsi="Arial" w:cs="Arial"/>
          <w:i/>
          <w:sz w:val="20"/>
          <w:szCs w:val="20"/>
        </w:rPr>
      </w:pPr>
    </w:p>
    <w:p w14:paraId="34F58C50" w14:textId="77777777" w:rsidR="004575A2" w:rsidRPr="002C19C9" w:rsidRDefault="004575A2" w:rsidP="002C19C9">
      <w:pPr>
        <w:spacing w:after="0" w:line="240" w:lineRule="auto"/>
        <w:jc w:val="both"/>
        <w:rPr>
          <w:rFonts w:ascii="Arial" w:hAnsi="Arial" w:cs="Arial"/>
          <w:i/>
          <w:sz w:val="20"/>
          <w:szCs w:val="20"/>
        </w:rPr>
      </w:pPr>
    </w:p>
    <w:p w14:paraId="4B14B23A" w14:textId="77777777" w:rsidR="004575A2" w:rsidRPr="002C19C9" w:rsidRDefault="004575A2" w:rsidP="002C19C9">
      <w:pPr>
        <w:spacing w:after="0" w:line="240" w:lineRule="auto"/>
        <w:jc w:val="both"/>
        <w:rPr>
          <w:rFonts w:ascii="Arial" w:hAnsi="Arial" w:cs="Arial"/>
          <w:i/>
          <w:sz w:val="20"/>
          <w:szCs w:val="20"/>
        </w:rPr>
      </w:pPr>
    </w:p>
    <w:p w14:paraId="74064641" w14:textId="77777777" w:rsidR="004575A2" w:rsidRPr="002C19C9" w:rsidRDefault="004575A2" w:rsidP="002C19C9">
      <w:pPr>
        <w:spacing w:after="0" w:line="240" w:lineRule="auto"/>
        <w:jc w:val="both"/>
        <w:rPr>
          <w:rFonts w:ascii="Arial" w:hAnsi="Arial" w:cs="Arial"/>
          <w:i/>
          <w:sz w:val="20"/>
          <w:szCs w:val="20"/>
        </w:rPr>
      </w:pPr>
    </w:p>
    <w:p w14:paraId="2FC2126B" w14:textId="77777777" w:rsidR="004575A2" w:rsidRPr="002C19C9" w:rsidRDefault="004575A2" w:rsidP="002C19C9">
      <w:pPr>
        <w:spacing w:line="240" w:lineRule="auto"/>
        <w:jc w:val="both"/>
        <w:rPr>
          <w:rFonts w:ascii="Arial" w:hAnsi="Arial" w:cs="Arial"/>
          <w:sz w:val="20"/>
          <w:szCs w:val="20"/>
        </w:rPr>
      </w:pPr>
    </w:p>
    <w:p w14:paraId="43494E70" w14:textId="77777777" w:rsidR="004575A2" w:rsidRPr="002C19C9" w:rsidRDefault="004575A2" w:rsidP="002C19C9">
      <w:pPr>
        <w:spacing w:line="240" w:lineRule="auto"/>
        <w:jc w:val="both"/>
        <w:rPr>
          <w:rFonts w:ascii="Arial" w:hAnsi="Arial" w:cs="Arial"/>
          <w:b/>
          <w:bCs/>
          <w:sz w:val="20"/>
          <w:szCs w:val="20"/>
        </w:rPr>
      </w:pPr>
      <w:bookmarkStart w:id="3" w:name="_Toc182999400"/>
      <w:r w:rsidRPr="002C19C9">
        <w:rPr>
          <w:rFonts w:ascii="Arial" w:hAnsi="Arial" w:cs="Arial"/>
          <w:b/>
          <w:bCs/>
          <w:sz w:val="20"/>
          <w:szCs w:val="20"/>
        </w:rPr>
        <w:t xml:space="preserve">Table 2. </w:t>
      </w:r>
      <w:r w:rsidRPr="002C19C9">
        <w:rPr>
          <w:rFonts w:ascii="Arial" w:hAnsi="Arial" w:cs="Arial"/>
          <w:bCs/>
          <w:sz w:val="20"/>
          <w:szCs w:val="20"/>
        </w:rPr>
        <w:t>Chi-Square test of independence between digit ratio groups and age at menopause</w:t>
      </w:r>
      <w:bookmarkEnd w:id="3"/>
    </w:p>
    <w:tbl>
      <w:tblPr>
        <w:tblW w:w="10350" w:type="dxa"/>
        <w:tblInd w:w="-36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980"/>
        <w:gridCol w:w="1260"/>
        <w:gridCol w:w="1414"/>
        <w:gridCol w:w="1251"/>
        <w:gridCol w:w="873"/>
        <w:gridCol w:w="873"/>
        <w:gridCol w:w="719"/>
        <w:gridCol w:w="900"/>
        <w:gridCol w:w="1080"/>
      </w:tblGrid>
      <w:tr w:rsidR="000A3DB2" w:rsidRPr="002C19C9" w14:paraId="55D3CDEC" w14:textId="77777777" w:rsidTr="000A3DB2">
        <w:trPr>
          <w:cantSplit/>
          <w:trHeight w:val="455"/>
        </w:trPr>
        <w:tc>
          <w:tcPr>
            <w:tcW w:w="1980" w:type="dxa"/>
            <w:vMerge w:val="restart"/>
            <w:shd w:val="clear" w:color="auto" w:fill="FFFFFF"/>
            <w:vAlign w:val="bottom"/>
          </w:tcPr>
          <w:p w14:paraId="6E530809"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Digit Ratio Groups</w:t>
            </w:r>
          </w:p>
        </w:tc>
        <w:tc>
          <w:tcPr>
            <w:tcW w:w="3925" w:type="dxa"/>
            <w:gridSpan w:val="3"/>
            <w:shd w:val="clear" w:color="auto" w:fill="FFFFFF"/>
            <w:vAlign w:val="bottom"/>
          </w:tcPr>
          <w:p w14:paraId="026829F3"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Age at Menopause</w:t>
            </w:r>
          </w:p>
        </w:tc>
        <w:tc>
          <w:tcPr>
            <w:tcW w:w="873" w:type="dxa"/>
            <w:vMerge w:val="restart"/>
            <w:shd w:val="clear" w:color="auto" w:fill="FFFFFF"/>
            <w:vAlign w:val="bottom"/>
          </w:tcPr>
          <w:p w14:paraId="711DF94F"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Total</w:t>
            </w:r>
          </w:p>
        </w:tc>
        <w:tc>
          <w:tcPr>
            <w:tcW w:w="873" w:type="dxa"/>
            <w:vMerge w:val="restart"/>
            <w:shd w:val="clear" w:color="auto" w:fill="FFFFFF"/>
            <w:vAlign w:val="bottom"/>
          </w:tcPr>
          <w:p w14:paraId="25F24816"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X</w:t>
            </w:r>
            <w:r w:rsidRPr="002C19C9">
              <w:rPr>
                <w:rFonts w:ascii="Arial" w:hAnsi="Arial" w:cs="Arial"/>
                <w:b/>
                <w:sz w:val="20"/>
                <w:szCs w:val="20"/>
                <w:vertAlign w:val="superscript"/>
              </w:rPr>
              <w:t>2</w:t>
            </w:r>
          </w:p>
        </w:tc>
        <w:tc>
          <w:tcPr>
            <w:tcW w:w="719" w:type="dxa"/>
            <w:vMerge w:val="restart"/>
            <w:shd w:val="clear" w:color="auto" w:fill="FFFFFF"/>
            <w:vAlign w:val="bottom"/>
          </w:tcPr>
          <w:p w14:paraId="5AC42C43"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df</w:t>
            </w:r>
          </w:p>
        </w:tc>
        <w:tc>
          <w:tcPr>
            <w:tcW w:w="900" w:type="dxa"/>
            <w:vMerge w:val="restart"/>
            <w:shd w:val="clear" w:color="auto" w:fill="FFFFFF"/>
            <w:vAlign w:val="bottom"/>
          </w:tcPr>
          <w:p w14:paraId="32E2EFFD"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p-value</w:t>
            </w:r>
          </w:p>
        </w:tc>
        <w:tc>
          <w:tcPr>
            <w:tcW w:w="1080" w:type="dxa"/>
            <w:vMerge w:val="restart"/>
            <w:shd w:val="clear" w:color="auto" w:fill="FFFFFF"/>
            <w:vAlign w:val="bottom"/>
          </w:tcPr>
          <w:p w14:paraId="471D9B18" w14:textId="77777777" w:rsidR="000A3DB2" w:rsidRPr="002C19C9" w:rsidRDefault="000A3DB2" w:rsidP="002C19C9">
            <w:pPr>
              <w:spacing w:after="0" w:line="240" w:lineRule="auto"/>
              <w:jc w:val="both"/>
              <w:rPr>
                <w:rFonts w:ascii="Arial" w:hAnsi="Arial" w:cs="Arial"/>
                <w:b/>
                <w:sz w:val="20"/>
                <w:szCs w:val="20"/>
              </w:rPr>
            </w:pPr>
            <w:r w:rsidRPr="002C19C9">
              <w:rPr>
                <w:rFonts w:ascii="Arial" w:hAnsi="Arial" w:cs="Arial"/>
                <w:b/>
                <w:sz w:val="20"/>
                <w:szCs w:val="20"/>
              </w:rPr>
              <w:t>Inference</w:t>
            </w:r>
          </w:p>
        </w:tc>
      </w:tr>
      <w:tr w:rsidR="000A3DB2" w:rsidRPr="002C19C9" w14:paraId="697F3364" w14:textId="77777777" w:rsidTr="000A3DB2">
        <w:trPr>
          <w:cantSplit/>
          <w:trHeight w:val="748"/>
        </w:trPr>
        <w:tc>
          <w:tcPr>
            <w:tcW w:w="1980" w:type="dxa"/>
            <w:vMerge/>
            <w:tcBorders>
              <w:bottom w:val="single" w:sz="4" w:space="0" w:color="auto"/>
            </w:tcBorders>
            <w:shd w:val="clear" w:color="auto" w:fill="FFFFFF"/>
            <w:vAlign w:val="bottom"/>
          </w:tcPr>
          <w:p w14:paraId="398FA748" w14:textId="77777777" w:rsidR="000A3DB2" w:rsidRPr="002C19C9" w:rsidRDefault="000A3DB2" w:rsidP="002C19C9">
            <w:pPr>
              <w:spacing w:after="0" w:line="240" w:lineRule="auto"/>
              <w:jc w:val="both"/>
              <w:rPr>
                <w:rFonts w:ascii="Arial" w:hAnsi="Arial" w:cs="Arial"/>
                <w:sz w:val="20"/>
                <w:szCs w:val="20"/>
              </w:rPr>
            </w:pPr>
          </w:p>
        </w:tc>
        <w:tc>
          <w:tcPr>
            <w:tcW w:w="1260" w:type="dxa"/>
            <w:tcBorders>
              <w:bottom w:val="single" w:sz="4" w:space="0" w:color="auto"/>
            </w:tcBorders>
            <w:shd w:val="clear" w:color="auto" w:fill="FFFFFF"/>
            <w:vAlign w:val="bottom"/>
          </w:tcPr>
          <w:p w14:paraId="5711591C" w14:textId="77777777" w:rsidR="000A3DB2"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Early Menopause</w:t>
            </w:r>
          </w:p>
        </w:tc>
        <w:tc>
          <w:tcPr>
            <w:tcW w:w="1414" w:type="dxa"/>
            <w:tcBorders>
              <w:bottom w:val="single" w:sz="4" w:space="0" w:color="auto"/>
            </w:tcBorders>
            <w:shd w:val="clear" w:color="auto" w:fill="FFFFFF"/>
            <w:vAlign w:val="bottom"/>
          </w:tcPr>
          <w:p w14:paraId="4F946CD9" w14:textId="77777777" w:rsidR="000A3DB2"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Normal Menopause</w:t>
            </w:r>
          </w:p>
        </w:tc>
        <w:tc>
          <w:tcPr>
            <w:tcW w:w="1251" w:type="dxa"/>
            <w:tcBorders>
              <w:bottom w:val="single" w:sz="4" w:space="0" w:color="auto"/>
            </w:tcBorders>
            <w:shd w:val="clear" w:color="auto" w:fill="FFFFFF"/>
            <w:vAlign w:val="bottom"/>
          </w:tcPr>
          <w:p w14:paraId="0C20AD55" w14:textId="77777777" w:rsidR="000A3DB2"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Late Menopause</w:t>
            </w:r>
          </w:p>
        </w:tc>
        <w:tc>
          <w:tcPr>
            <w:tcW w:w="873" w:type="dxa"/>
            <w:vMerge/>
            <w:tcBorders>
              <w:bottom w:val="single" w:sz="4" w:space="0" w:color="auto"/>
            </w:tcBorders>
            <w:shd w:val="clear" w:color="auto" w:fill="FFFFFF"/>
            <w:vAlign w:val="bottom"/>
          </w:tcPr>
          <w:p w14:paraId="5CA649F4" w14:textId="77777777" w:rsidR="000A3DB2" w:rsidRPr="002C19C9" w:rsidRDefault="000A3DB2" w:rsidP="002C19C9">
            <w:pPr>
              <w:spacing w:after="0" w:line="240" w:lineRule="auto"/>
              <w:jc w:val="both"/>
              <w:rPr>
                <w:rFonts w:ascii="Arial" w:hAnsi="Arial" w:cs="Arial"/>
                <w:b/>
                <w:sz w:val="20"/>
                <w:szCs w:val="20"/>
              </w:rPr>
            </w:pPr>
          </w:p>
        </w:tc>
        <w:tc>
          <w:tcPr>
            <w:tcW w:w="873" w:type="dxa"/>
            <w:vMerge/>
            <w:tcBorders>
              <w:bottom w:val="single" w:sz="4" w:space="0" w:color="auto"/>
            </w:tcBorders>
            <w:shd w:val="clear" w:color="auto" w:fill="FFFFFF"/>
          </w:tcPr>
          <w:p w14:paraId="726FF8B1" w14:textId="77777777" w:rsidR="000A3DB2" w:rsidRPr="002C19C9" w:rsidRDefault="000A3DB2" w:rsidP="002C19C9">
            <w:pPr>
              <w:spacing w:after="0" w:line="240" w:lineRule="auto"/>
              <w:jc w:val="both"/>
              <w:rPr>
                <w:rFonts w:ascii="Arial" w:hAnsi="Arial" w:cs="Arial"/>
                <w:b/>
                <w:sz w:val="20"/>
                <w:szCs w:val="20"/>
              </w:rPr>
            </w:pPr>
          </w:p>
        </w:tc>
        <w:tc>
          <w:tcPr>
            <w:tcW w:w="719" w:type="dxa"/>
            <w:vMerge/>
            <w:tcBorders>
              <w:bottom w:val="single" w:sz="4" w:space="0" w:color="auto"/>
            </w:tcBorders>
            <w:shd w:val="clear" w:color="auto" w:fill="FFFFFF"/>
          </w:tcPr>
          <w:p w14:paraId="4CA4A373" w14:textId="77777777" w:rsidR="000A3DB2" w:rsidRPr="002C19C9" w:rsidRDefault="000A3DB2" w:rsidP="002C19C9">
            <w:pPr>
              <w:spacing w:after="0" w:line="240" w:lineRule="auto"/>
              <w:jc w:val="both"/>
              <w:rPr>
                <w:rFonts w:ascii="Arial" w:hAnsi="Arial" w:cs="Arial"/>
                <w:b/>
                <w:sz w:val="20"/>
                <w:szCs w:val="20"/>
              </w:rPr>
            </w:pPr>
          </w:p>
        </w:tc>
        <w:tc>
          <w:tcPr>
            <w:tcW w:w="900" w:type="dxa"/>
            <w:vMerge/>
            <w:tcBorders>
              <w:bottom w:val="single" w:sz="4" w:space="0" w:color="auto"/>
            </w:tcBorders>
            <w:shd w:val="clear" w:color="auto" w:fill="FFFFFF"/>
          </w:tcPr>
          <w:p w14:paraId="631F4413" w14:textId="77777777" w:rsidR="000A3DB2" w:rsidRPr="002C19C9" w:rsidRDefault="000A3DB2" w:rsidP="002C19C9">
            <w:pPr>
              <w:spacing w:after="0" w:line="240" w:lineRule="auto"/>
              <w:jc w:val="both"/>
              <w:rPr>
                <w:rFonts w:ascii="Arial" w:hAnsi="Arial" w:cs="Arial"/>
                <w:b/>
                <w:sz w:val="20"/>
                <w:szCs w:val="20"/>
              </w:rPr>
            </w:pPr>
          </w:p>
        </w:tc>
        <w:tc>
          <w:tcPr>
            <w:tcW w:w="1080" w:type="dxa"/>
            <w:vMerge/>
            <w:tcBorders>
              <w:bottom w:val="single" w:sz="4" w:space="0" w:color="auto"/>
            </w:tcBorders>
            <w:shd w:val="clear" w:color="auto" w:fill="FFFFFF"/>
          </w:tcPr>
          <w:p w14:paraId="418369D0" w14:textId="77777777" w:rsidR="000A3DB2" w:rsidRPr="002C19C9" w:rsidRDefault="000A3DB2" w:rsidP="002C19C9">
            <w:pPr>
              <w:spacing w:after="0" w:line="240" w:lineRule="auto"/>
              <w:jc w:val="both"/>
              <w:rPr>
                <w:rFonts w:ascii="Arial" w:hAnsi="Arial" w:cs="Arial"/>
                <w:b/>
                <w:sz w:val="20"/>
                <w:szCs w:val="20"/>
              </w:rPr>
            </w:pPr>
          </w:p>
        </w:tc>
      </w:tr>
      <w:tr w:rsidR="008C09D9" w:rsidRPr="002C19C9" w14:paraId="05452CD3" w14:textId="77777777" w:rsidTr="000A3DB2">
        <w:trPr>
          <w:cantSplit/>
          <w:trHeight w:val="455"/>
        </w:trPr>
        <w:tc>
          <w:tcPr>
            <w:tcW w:w="1980" w:type="dxa"/>
            <w:tcBorders>
              <w:top w:val="single" w:sz="4" w:space="0" w:color="auto"/>
              <w:bottom w:val="nil"/>
            </w:tcBorders>
            <w:shd w:val="clear" w:color="auto" w:fill="E0E0E0"/>
          </w:tcPr>
          <w:p w14:paraId="4FE3739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Low Digit Ratio</w:t>
            </w:r>
          </w:p>
        </w:tc>
        <w:tc>
          <w:tcPr>
            <w:tcW w:w="1260" w:type="dxa"/>
            <w:tcBorders>
              <w:top w:val="single" w:sz="4" w:space="0" w:color="auto"/>
              <w:bottom w:val="nil"/>
            </w:tcBorders>
            <w:shd w:val="clear" w:color="auto" w:fill="FFFFFF"/>
          </w:tcPr>
          <w:p w14:paraId="63D5859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31</w:t>
            </w:r>
          </w:p>
        </w:tc>
        <w:tc>
          <w:tcPr>
            <w:tcW w:w="1414" w:type="dxa"/>
            <w:tcBorders>
              <w:top w:val="single" w:sz="4" w:space="0" w:color="auto"/>
              <w:bottom w:val="nil"/>
            </w:tcBorders>
            <w:shd w:val="clear" w:color="auto" w:fill="FFFFFF"/>
          </w:tcPr>
          <w:p w14:paraId="11741FF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34</w:t>
            </w:r>
          </w:p>
        </w:tc>
        <w:tc>
          <w:tcPr>
            <w:tcW w:w="1251" w:type="dxa"/>
            <w:tcBorders>
              <w:top w:val="single" w:sz="4" w:space="0" w:color="auto"/>
              <w:bottom w:val="nil"/>
            </w:tcBorders>
            <w:shd w:val="clear" w:color="auto" w:fill="FFFFFF"/>
          </w:tcPr>
          <w:p w14:paraId="2EFA521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0</w:t>
            </w:r>
          </w:p>
        </w:tc>
        <w:tc>
          <w:tcPr>
            <w:tcW w:w="873" w:type="dxa"/>
            <w:tcBorders>
              <w:top w:val="single" w:sz="4" w:space="0" w:color="auto"/>
              <w:bottom w:val="nil"/>
            </w:tcBorders>
            <w:shd w:val="clear" w:color="auto" w:fill="FFFFFF"/>
          </w:tcPr>
          <w:p w14:paraId="542B372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65</w:t>
            </w:r>
          </w:p>
        </w:tc>
        <w:tc>
          <w:tcPr>
            <w:tcW w:w="873" w:type="dxa"/>
            <w:tcBorders>
              <w:top w:val="single" w:sz="4" w:space="0" w:color="auto"/>
              <w:bottom w:val="nil"/>
            </w:tcBorders>
            <w:shd w:val="clear" w:color="auto" w:fill="FFFFFF"/>
          </w:tcPr>
          <w:p w14:paraId="18EEEED7" w14:textId="77777777" w:rsidR="008C09D9"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13.324</w:t>
            </w:r>
          </w:p>
        </w:tc>
        <w:tc>
          <w:tcPr>
            <w:tcW w:w="719" w:type="dxa"/>
            <w:tcBorders>
              <w:top w:val="single" w:sz="4" w:space="0" w:color="auto"/>
              <w:bottom w:val="nil"/>
            </w:tcBorders>
            <w:shd w:val="clear" w:color="auto" w:fill="FFFFFF"/>
          </w:tcPr>
          <w:p w14:paraId="214D7FA1" w14:textId="77777777" w:rsidR="008C09D9"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4</w:t>
            </w:r>
          </w:p>
        </w:tc>
        <w:tc>
          <w:tcPr>
            <w:tcW w:w="900" w:type="dxa"/>
            <w:tcBorders>
              <w:top w:val="single" w:sz="4" w:space="0" w:color="auto"/>
              <w:bottom w:val="nil"/>
            </w:tcBorders>
            <w:shd w:val="clear" w:color="auto" w:fill="FFFFFF"/>
          </w:tcPr>
          <w:p w14:paraId="35260EF1" w14:textId="77777777" w:rsidR="008C09D9"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0.01</w:t>
            </w:r>
          </w:p>
        </w:tc>
        <w:tc>
          <w:tcPr>
            <w:tcW w:w="1080" w:type="dxa"/>
            <w:tcBorders>
              <w:top w:val="single" w:sz="4" w:space="0" w:color="auto"/>
              <w:bottom w:val="nil"/>
            </w:tcBorders>
            <w:shd w:val="clear" w:color="auto" w:fill="FFFFFF"/>
          </w:tcPr>
          <w:p w14:paraId="10180A05" w14:textId="77777777" w:rsidR="008C09D9" w:rsidRPr="002C19C9" w:rsidRDefault="000A3DB2" w:rsidP="002C19C9">
            <w:pPr>
              <w:spacing w:after="0" w:line="240" w:lineRule="auto"/>
              <w:jc w:val="both"/>
              <w:rPr>
                <w:rFonts w:ascii="Arial" w:hAnsi="Arial" w:cs="Arial"/>
                <w:sz w:val="20"/>
                <w:szCs w:val="20"/>
              </w:rPr>
            </w:pPr>
            <w:r w:rsidRPr="002C19C9">
              <w:rPr>
                <w:rFonts w:ascii="Arial" w:hAnsi="Arial" w:cs="Arial"/>
                <w:sz w:val="20"/>
                <w:szCs w:val="20"/>
              </w:rPr>
              <w:t>Sig</w:t>
            </w:r>
          </w:p>
        </w:tc>
      </w:tr>
      <w:tr w:rsidR="008C09D9" w:rsidRPr="002C19C9" w14:paraId="6FB26386" w14:textId="77777777" w:rsidTr="000A3DB2">
        <w:trPr>
          <w:cantSplit/>
          <w:trHeight w:val="297"/>
        </w:trPr>
        <w:tc>
          <w:tcPr>
            <w:tcW w:w="1980" w:type="dxa"/>
            <w:tcBorders>
              <w:top w:val="nil"/>
            </w:tcBorders>
            <w:shd w:val="clear" w:color="auto" w:fill="E0E0E0"/>
          </w:tcPr>
          <w:p w14:paraId="49D5474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Normal Digit Ratio</w:t>
            </w:r>
          </w:p>
        </w:tc>
        <w:tc>
          <w:tcPr>
            <w:tcW w:w="1260" w:type="dxa"/>
            <w:tcBorders>
              <w:top w:val="nil"/>
            </w:tcBorders>
            <w:shd w:val="clear" w:color="auto" w:fill="FFFFFF"/>
          </w:tcPr>
          <w:p w14:paraId="161D856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46</w:t>
            </w:r>
          </w:p>
        </w:tc>
        <w:tc>
          <w:tcPr>
            <w:tcW w:w="1414" w:type="dxa"/>
            <w:tcBorders>
              <w:top w:val="nil"/>
            </w:tcBorders>
            <w:shd w:val="clear" w:color="auto" w:fill="FFFFFF"/>
          </w:tcPr>
          <w:p w14:paraId="05949DBD"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47</w:t>
            </w:r>
          </w:p>
        </w:tc>
        <w:tc>
          <w:tcPr>
            <w:tcW w:w="1251" w:type="dxa"/>
            <w:tcBorders>
              <w:top w:val="nil"/>
            </w:tcBorders>
            <w:shd w:val="clear" w:color="auto" w:fill="FFFFFF"/>
          </w:tcPr>
          <w:p w14:paraId="317407CB"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0</w:t>
            </w:r>
          </w:p>
        </w:tc>
        <w:tc>
          <w:tcPr>
            <w:tcW w:w="873" w:type="dxa"/>
            <w:tcBorders>
              <w:top w:val="nil"/>
            </w:tcBorders>
            <w:shd w:val="clear" w:color="auto" w:fill="FFFFFF"/>
          </w:tcPr>
          <w:p w14:paraId="4B5BD00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93</w:t>
            </w:r>
          </w:p>
        </w:tc>
        <w:tc>
          <w:tcPr>
            <w:tcW w:w="873" w:type="dxa"/>
            <w:tcBorders>
              <w:top w:val="nil"/>
            </w:tcBorders>
            <w:shd w:val="clear" w:color="auto" w:fill="FFFFFF"/>
          </w:tcPr>
          <w:p w14:paraId="1C49BD12" w14:textId="77777777" w:rsidR="008C09D9" w:rsidRPr="002C19C9" w:rsidRDefault="008C09D9" w:rsidP="002C19C9">
            <w:pPr>
              <w:spacing w:after="0" w:line="240" w:lineRule="auto"/>
              <w:jc w:val="both"/>
              <w:rPr>
                <w:rFonts w:ascii="Arial" w:hAnsi="Arial" w:cs="Arial"/>
                <w:sz w:val="20"/>
                <w:szCs w:val="20"/>
              </w:rPr>
            </w:pPr>
          </w:p>
        </w:tc>
        <w:tc>
          <w:tcPr>
            <w:tcW w:w="719" w:type="dxa"/>
            <w:tcBorders>
              <w:top w:val="nil"/>
            </w:tcBorders>
            <w:shd w:val="clear" w:color="auto" w:fill="FFFFFF"/>
          </w:tcPr>
          <w:p w14:paraId="53E72B69" w14:textId="77777777" w:rsidR="008C09D9" w:rsidRPr="002C19C9" w:rsidRDefault="008C09D9" w:rsidP="002C19C9">
            <w:pPr>
              <w:spacing w:after="0" w:line="240" w:lineRule="auto"/>
              <w:jc w:val="both"/>
              <w:rPr>
                <w:rFonts w:ascii="Arial" w:hAnsi="Arial" w:cs="Arial"/>
                <w:sz w:val="20"/>
                <w:szCs w:val="20"/>
              </w:rPr>
            </w:pPr>
          </w:p>
        </w:tc>
        <w:tc>
          <w:tcPr>
            <w:tcW w:w="900" w:type="dxa"/>
            <w:tcBorders>
              <w:top w:val="nil"/>
            </w:tcBorders>
            <w:shd w:val="clear" w:color="auto" w:fill="FFFFFF"/>
          </w:tcPr>
          <w:p w14:paraId="66794D1C" w14:textId="77777777" w:rsidR="008C09D9" w:rsidRPr="002C19C9" w:rsidRDefault="008C09D9" w:rsidP="002C19C9">
            <w:pPr>
              <w:spacing w:after="0" w:line="240" w:lineRule="auto"/>
              <w:jc w:val="both"/>
              <w:rPr>
                <w:rFonts w:ascii="Arial" w:hAnsi="Arial" w:cs="Arial"/>
                <w:sz w:val="20"/>
                <w:szCs w:val="20"/>
              </w:rPr>
            </w:pPr>
          </w:p>
        </w:tc>
        <w:tc>
          <w:tcPr>
            <w:tcW w:w="1080" w:type="dxa"/>
            <w:tcBorders>
              <w:top w:val="nil"/>
            </w:tcBorders>
            <w:shd w:val="clear" w:color="auto" w:fill="FFFFFF"/>
          </w:tcPr>
          <w:p w14:paraId="56900F93" w14:textId="77777777" w:rsidR="008C09D9" w:rsidRPr="002C19C9" w:rsidRDefault="008C09D9" w:rsidP="002C19C9">
            <w:pPr>
              <w:spacing w:after="0" w:line="240" w:lineRule="auto"/>
              <w:jc w:val="both"/>
              <w:rPr>
                <w:rFonts w:ascii="Arial" w:hAnsi="Arial" w:cs="Arial"/>
                <w:sz w:val="20"/>
                <w:szCs w:val="20"/>
              </w:rPr>
            </w:pPr>
          </w:p>
        </w:tc>
      </w:tr>
      <w:tr w:rsidR="008C09D9" w:rsidRPr="002C19C9" w14:paraId="3A857B0F" w14:textId="77777777" w:rsidTr="000A3DB2">
        <w:trPr>
          <w:cantSplit/>
          <w:trHeight w:val="342"/>
        </w:trPr>
        <w:tc>
          <w:tcPr>
            <w:tcW w:w="1980" w:type="dxa"/>
            <w:shd w:val="clear" w:color="auto" w:fill="E0E0E0"/>
          </w:tcPr>
          <w:p w14:paraId="29A105D1"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High Digit Ratio</w:t>
            </w:r>
          </w:p>
        </w:tc>
        <w:tc>
          <w:tcPr>
            <w:tcW w:w="1260" w:type="dxa"/>
            <w:shd w:val="clear" w:color="auto" w:fill="FFFFFF"/>
          </w:tcPr>
          <w:p w14:paraId="2168D967"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21</w:t>
            </w:r>
          </w:p>
        </w:tc>
        <w:tc>
          <w:tcPr>
            <w:tcW w:w="1414" w:type="dxa"/>
            <w:shd w:val="clear" w:color="auto" w:fill="FFFFFF"/>
          </w:tcPr>
          <w:p w14:paraId="4E68F9EB"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10</w:t>
            </w:r>
          </w:p>
        </w:tc>
        <w:tc>
          <w:tcPr>
            <w:tcW w:w="1251" w:type="dxa"/>
            <w:shd w:val="clear" w:color="auto" w:fill="FFFFFF"/>
          </w:tcPr>
          <w:p w14:paraId="2C487A5F"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2</w:t>
            </w:r>
          </w:p>
        </w:tc>
        <w:tc>
          <w:tcPr>
            <w:tcW w:w="873" w:type="dxa"/>
            <w:shd w:val="clear" w:color="auto" w:fill="FFFFFF"/>
          </w:tcPr>
          <w:p w14:paraId="738B6BB8"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33</w:t>
            </w:r>
          </w:p>
        </w:tc>
        <w:tc>
          <w:tcPr>
            <w:tcW w:w="873" w:type="dxa"/>
            <w:shd w:val="clear" w:color="auto" w:fill="FFFFFF"/>
          </w:tcPr>
          <w:p w14:paraId="46B0708C" w14:textId="77777777" w:rsidR="008C09D9" w:rsidRPr="002C19C9" w:rsidRDefault="008C09D9" w:rsidP="002C19C9">
            <w:pPr>
              <w:spacing w:after="0" w:line="240" w:lineRule="auto"/>
              <w:jc w:val="both"/>
              <w:rPr>
                <w:rFonts w:ascii="Arial" w:hAnsi="Arial" w:cs="Arial"/>
                <w:sz w:val="20"/>
                <w:szCs w:val="20"/>
              </w:rPr>
            </w:pPr>
          </w:p>
        </w:tc>
        <w:tc>
          <w:tcPr>
            <w:tcW w:w="719" w:type="dxa"/>
            <w:shd w:val="clear" w:color="auto" w:fill="FFFFFF"/>
          </w:tcPr>
          <w:p w14:paraId="79DA8AB1" w14:textId="77777777" w:rsidR="008C09D9" w:rsidRPr="002C19C9" w:rsidRDefault="008C09D9" w:rsidP="002C19C9">
            <w:pPr>
              <w:spacing w:after="0" w:line="240" w:lineRule="auto"/>
              <w:jc w:val="both"/>
              <w:rPr>
                <w:rFonts w:ascii="Arial" w:hAnsi="Arial" w:cs="Arial"/>
                <w:sz w:val="20"/>
                <w:szCs w:val="20"/>
              </w:rPr>
            </w:pPr>
          </w:p>
        </w:tc>
        <w:tc>
          <w:tcPr>
            <w:tcW w:w="900" w:type="dxa"/>
            <w:shd w:val="clear" w:color="auto" w:fill="FFFFFF"/>
          </w:tcPr>
          <w:p w14:paraId="50078E5A" w14:textId="77777777" w:rsidR="008C09D9" w:rsidRPr="002C19C9" w:rsidRDefault="008C09D9" w:rsidP="002C19C9">
            <w:pPr>
              <w:spacing w:after="0" w:line="240" w:lineRule="auto"/>
              <w:jc w:val="both"/>
              <w:rPr>
                <w:rFonts w:ascii="Arial" w:hAnsi="Arial" w:cs="Arial"/>
                <w:sz w:val="20"/>
                <w:szCs w:val="20"/>
              </w:rPr>
            </w:pPr>
          </w:p>
        </w:tc>
        <w:tc>
          <w:tcPr>
            <w:tcW w:w="1080" w:type="dxa"/>
            <w:shd w:val="clear" w:color="auto" w:fill="FFFFFF"/>
          </w:tcPr>
          <w:p w14:paraId="4CECFBD2" w14:textId="77777777" w:rsidR="008C09D9" w:rsidRPr="002C19C9" w:rsidRDefault="008C09D9" w:rsidP="002C19C9">
            <w:pPr>
              <w:spacing w:after="0" w:line="240" w:lineRule="auto"/>
              <w:jc w:val="both"/>
              <w:rPr>
                <w:rFonts w:ascii="Arial" w:hAnsi="Arial" w:cs="Arial"/>
                <w:sz w:val="20"/>
                <w:szCs w:val="20"/>
              </w:rPr>
            </w:pPr>
          </w:p>
        </w:tc>
      </w:tr>
      <w:tr w:rsidR="008C09D9" w:rsidRPr="002C19C9" w14:paraId="6D680AE6" w14:textId="77777777" w:rsidTr="000A3DB2">
        <w:trPr>
          <w:cantSplit/>
          <w:trHeight w:val="422"/>
        </w:trPr>
        <w:tc>
          <w:tcPr>
            <w:tcW w:w="1980" w:type="dxa"/>
            <w:shd w:val="clear" w:color="auto" w:fill="E0E0E0"/>
          </w:tcPr>
          <w:p w14:paraId="2DCECB23"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Total</w:t>
            </w:r>
          </w:p>
        </w:tc>
        <w:tc>
          <w:tcPr>
            <w:tcW w:w="1260" w:type="dxa"/>
            <w:shd w:val="clear" w:color="auto" w:fill="FFFFFF"/>
          </w:tcPr>
          <w:p w14:paraId="7153CBA3"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98</w:t>
            </w:r>
          </w:p>
        </w:tc>
        <w:tc>
          <w:tcPr>
            <w:tcW w:w="1414" w:type="dxa"/>
            <w:shd w:val="clear" w:color="auto" w:fill="FFFFFF"/>
          </w:tcPr>
          <w:p w14:paraId="36B828D2"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91</w:t>
            </w:r>
          </w:p>
        </w:tc>
        <w:tc>
          <w:tcPr>
            <w:tcW w:w="1251" w:type="dxa"/>
            <w:shd w:val="clear" w:color="auto" w:fill="FFFFFF"/>
          </w:tcPr>
          <w:p w14:paraId="5202DCD3"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2</w:t>
            </w:r>
          </w:p>
        </w:tc>
        <w:tc>
          <w:tcPr>
            <w:tcW w:w="873" w:type="dxa"/>
            <w:shd w:val="clear" w:color="auto" w:fill="FFFFFF"/>
          </w:tcPr>
          <w:p w14:paraId="52DE7101" w14:textId="77777777" w:rsidR="008C09D9" w:rsidRPr="002C19C9" w:rsidRDefault="008C09D9" w:rsidP="002C19C9">
            <w:pPr>
              <w:spacing w:after="0" w:line="240" w:lineRule="auto"/>
              <w:jc w:val="both"/>
              <w:rPr>
                <w:rFonts w:ascii="Arial" w:hAnsi="Arial" w:cs="Arial"/>
                <w:sz w:val="20"/>
                <w:szCs w:val="20"/>
              </w:rPr>
            </w:pPr>
            <w:r w:rsidRPr="002C19C9">
              <w:rPr>
                <w:rFonts w:ascii="Arial" w:hAnsi="Arial" w:cs="Arial"/>
                <w:sz w:val="20"/>
                <w:szCs w:val="20"/>
              </w:rPr>
              <w:t>191</w:t>
            </w:r>
          </w:p>
        </w:tc>
        <w:tc>
          <w:tcPr>
            <w:tcW w:w="873" w:type="dxa"/>
            <w:shd w:val="clear" w:color="auto" w:fill="FFFFFF"/>
          </w:tcPr>
          <w:p w14:paraId="3AA211D9" w14:textId="77777777" w:rsidR="008C09D9" w:rsidRPr="002C19C9" w:rsidRDefault="008C09D9" w:rsidP="002C19C9">
            <w:pPr>
              <w:spacing w:after="0" w:line="240" w:lineRule="auto"/>
              <w:jc w:val="both"/>
              <w:rPr>
                <w:rFonts w:ascii="Arial" w:hAnsi="Arial" w:cs="Arial"/>
                <w:sz w:val="20"/>
                <w:szCs w:val="20"/>
              </w:rPr>
            </w:pPr>
          </w:p>
        </w:tc>
        <w:tc>
          <w:tcPr>
            <w:tcW w:w="719" w:type="dxa"/>
            <w:shd w:val="clear" w:color="auto" w:fill="FFFFFF"/>
          </w:tcPr>
          <w:p w14:paraId="76938D8B" w14:textId="77777777" w:rsidR="008C09D9" w:rsidRPr="002C19C9" w:rsidRDefault="008C09D9" w:rsidP="002C19C9">
            <w:pPr>
              <w:spacing w:after="0" w:line="240" w:lineRule="auto"/>
              <w:jc w:val="both"/>
              <w:rPr>
                <w:rFonts w:ascii="Arial" w:hAnsi="Arial" w:cs="Arial"/>
                <w:sz w:val="20"/>
                <w:szCs w:val="20"/>
              </w:rPr>
            </w:pPr>
          </w:p>
        </w:tc>
        <w:tc>
          <w:tcPr>
            <w:tcW w:w="900" w:type="dxa"/>
            <w:shd w:val="clear" w:color="auto" w:fill="FFFFFF"/>
          </w:tcPr>
          <w:p w14:paraId="15A9F3ED" w14:textId="77777777" w:rsidR="008C09D9" w:rsidRPr="002C19C9" w:rsidRDefault="008C09D9" w:rsidP="002C19C9">
            <w:pPr>
              <w:spacing w:after="0" w:line="240" w:lineRule="auto"/>
              <w:jc w:val="both"/>
              <w:rPr>
                <w:rFonts w:ascii="Arial" w:hAnsi="Arial" w:cs="Arial"/>
                <w:sz w:val="20"/>
                <w:szCs w:val="20"/>
              </w:rPr>
            </w:pPr>
          </w:p>
        </w:tc>
        <w:tc>
          <w:tcPr>
            <w:tcW w:w="1080" w:type="dxa"/>
            <w:shd w:val="clear" w:color="auto" w:fill="FFFFFF"/>
          </w:tcPr>
          <w:p w14:paraId="33FF8A43" w14:textId="77777777" w:rsidR="008C09D9" w:rsidRPr="002C19C9" w:rsidRDefault="008C09D9" w:rsidP="002C19C9">
            <w:pPr>
              <w:spacing w:after="0" w:line="240" w:lineRule="auto"/>
              <w:jc w:val="both"/>
              <w:rPr>
                <w:rFonts w:ascii="Arial" w:hAnsi="Arial" w:cs="Arial"/>
                <w:sz w:val="20"/>
                <w:szCs w:val="20"/>
              </w:rPr>
            </w:pPr>
          </w:p>
        </w:tc>
      </w:tr>
    </w:tbl>
    <w:p w14:paraId="4B76FC3C" w14:textId="77777777" w:rsidR="000A3DB2" w:rsidRPr="002C19C9" w:rsidRDefault="000A3DB2" w:rsidP="002C19C9">
      <w:pPr>
        <w:spacing w:after="0" w:line="240" w:lineRule="auto"/>
        <w:jc w:val="both"/>
        <w:rPr>
          <w:rFonts w:ascii="Arial" w:hAnsi="Arial" w:cs="Arial"/>
          <w:i/>
          <w:sz w:val="20"/>
          <w:szCs w:val="20"/>
        </w:rPr>
      </w:pPr>
      <w:r w:rsidRPr="002C19C9">
        <w:rPr>
          <w:rFonts w:ascii="Arial" w:hAnsi="Arial" w:cs="Arial"/>
          <w:i/>
          <w:sz w:val="20"/>
          <w:szCs w:val="20"/>
        </w:rPr>
        <w:t>X</w:t>
      </w:r>
      <w:r w:rsidRPr="002C19C9">
        <w:rPr>
          <w:rFonts w:ascii="Arial" w:hAnsi="Arial" w:cs="Arial"/>
          <w:i/>
          <w:sz w:val="20"/>
          <w:szCs w:val="20"/>
          <w:vertAlign w:val="superscript"/>
        </w:rPr>
        <w:t>2</w:t>
      </w:r>
      <w:r w:rsidRPr="002C19C9">
        <w:rPr>
          <w:rFonts w:ascii="Arial" w:hAnsi="Arial" w:cs="Arial"/>
          <w:i/>
          <w:sz w:val="20"/>
          <w:szCs w:val="20"/>
        </w:rPr>
        <w:t xml:space="preserve">= </w:t>
      </w:r>
      <w:r w:rsidRPr="002C19C9">
        <w:rPr>
          <w:rFonts w:ascii="Arial" w:hAnsi="Arial" w:cs="Arial"/>
          <w:bCs/>
          <w:i/>
          <w:sz w:val="20"/>
          <w:szCs w:val="20"/>
        </w:rPr>
        <w:t xml:space="preserve">Chi-Square value, </w:t>
      </w:r>
      <w:r w:rsidRPr="002C19C9">
        <w:rPr>
          <w:rFonts w:ascii="Arial" w:hAnsi="Arial" w:cs="Arial"/>
          <w:i/>
          <w:sz w:val="20"/>
          <w:szCs w:val="20"/>
        </w:rPr>
        <w:t>df= degree of freedom, Sig= Significant</w:t>
      </w:r>
    </w:p>
    <w:p w14:paraId="2EB76C2E" w14:textId="77777777" w:rsidR="004575A2" w:rsidRPr="002C19C9" w:rsidRDefault="004575A2" w:rsidP="002C19C9">
      <w:pPr>
        <w:spacing w:line="240" w:lineRule="auto"/>
        <w:jc w:val="both"/>
        <w:rPr>
          <w:rFonts w:ascii="Arial" w:hAnsi="Arial" w:cs="Arial"/>
          <w:sz w:val="20"/>
          <w:szCs w:val="20"/>
        </w:rPr>
      </w:pPr>
    </w:p>
    <w:p w14:paraId="4DBDE725" w14:textId="77777777" w:rsidR="004575A2" w:rsidRPr="002C19C9" w:rsidRDefault="004575A2" w:rsidP="002C19C9">
      <w:pPr>
        <w:spacing w:line="240" w:lineRule="auto"/>
        <w:jc w:val="both"/>
        <w:rPr>
          <w:rFonts w:ascii="Arial" w:hAnsi="Arial" w:cs="Arial"/>
          <w:sz w:val="20"/>
          <w:szCs w:val="20"/>
        </w:rPr>
      </w:pPr>
    </w:p>
    <w:p w14:paraId="09594665" w14:textId="77777777" w:rsidR="004575A2" w:rsidRPr="002C19C9" w:rsidRDefault="000A3DB2" w:rsidP="002C19C9">
      <w:pPr>
        <w:spacing w:line="240" w:lineRule="auto"/>
        <w:jc w:val="both"/>
        <w:rPr>
          <w:rFonts w:ascii="Arial" w:hAnsi="Arial" w:cs="Arial"/>
          <w:sz w:val="20"/>
          <w:szCs w:val="20"/>
        </w:rPr>
      </w:pPr>
      <w:r w:rsidRPr="002C19C9">
        <w:rPr>
          <w:rFonts w:ascii="Arial" w:hAnsi="Arial" w:cs="Arial"/>
          <w:noProof/>
          <w:sz w:val="20"/>
          <w:szCs w:val="20"/>
        </w:rPr>
        <w:drawing>
          <wp:inline distT="0" distB="0" distL="0" distR="0" wp14:anchorId="5FF547CA" wp14:editId="5FD00319">
            <wp:extent cx="5943600" cy="3854463"/>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9">
                      <a:extLst>
                        <a:ext uri="{28A0092B-C50C-407E-A947-70E740481C1C}">
                          <a14:useLocalDpi xmlns:a14="http://schemas.microsoft.com/office/drawing/2010/main" val="0"/>
                        </a:ext>
                      </a:extLst>
                    </a:blip>
                    <a:srcRect r="9369"/>
                    <a:stretch>
                      <a:fillRect/>
                    </a:stretch>
                  </pic:blipFill>
                  <pic:spPr>
                    <a:xfrm>
                      <a:off x="0" y="0"/>
                      <a:ext cx="5943600" cy="3854463"/>
                    </a:xfrm>
                    <a:prstGeom prst="rect">
                      <a:avLst/>
                    </a:prstGeom>
                    <a:noFill/>
                    <a:ln>
                      <a:noFill/>
                    </a:ln>
                  </pic:spPr>
                </pic:pic>
              </a:graphicData>
            </a:graphic>
          </wp:inline>
        </w:drawing>
      </w:r>
    </w:p>
    <w:p w14:paraId="40EE3CE6" w14:textId="77777777" w:rsidR="004F569D" w:rsidRPr="002C19C9" w:rsidRDefault="000A3DB2" w:rsidP="002C19C9">
      <w:pPr>
        <w:spacing w:line="240" w:lineRule="auto"/>
        <w:jc w:val="both"/>
        <w:rPr>
          <w:rFonts w:ascii="Arial" w:hAnsi="Arial" w:cs="Arial"/>
          <w:bCs/>
          <w:sz w:val="20"/>
          <w:szCs w:val="20"/>
        </w:rPr>
      </w:pPr>
      <w:bookmarkStart w:id="4" w:name="_Toc182999483"/>
      <w:r w:rsidRPr="002C19C9">
        <w:rPr>
          <w:rFonts w:ascii="Arial" w:hAnsi="Arial" w:cs="Arial"/>
          <w:b/>
          <w:bCs/>
          <w:sz w:val="20"/>
          <w:szCs w:val="20"/>
        </w:rPr>
        <w:t xml:space="preserve">Figure 3. </w:t>
      </w:r>
      <w:r w:rsidRPr="002C19C9">
        <w:rPr>
          <w:rFonts w:ascii="Arial" w:hAnsi="Arial" w:cs="Arial"/>
          <w:bCs/>
          <w:sz w:val="20"/>
          <w:szCs w:val="20"/>
        </w:rPr>
        <w:t>Bar chart showing the relationship between digit ratio group and age at menopause.</w:t>
      </w:r>
      <w:bookmarkEnd w:id="4"/>
    </w:p>
    <w:p w14:paraId="0EA323D7" w14:textId="645D48EA"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The present study examined the association between second-to-fourth digit ratio and age at menopause among women in Port Harcourt, Rivers State, Nigeria, and the findings provide important anthropometric and reproductive health insights within a Nigerian population. The mean right-hand digit ratio (0.96 ± 0.04), mean left-hand digit ratio (0.97 ± 0.04), and overall average digit ratio (0.97 ± 0.04) observed in this study fall within the established normal female range, indicating typical sexual dimorphism in digit ratios with minimal variability among participants. These values are comparable to those reported by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w:t>
      </w:r>
      <w:r w:rsidR="001E4300">
        <w:rPr>
          <w:rFonts w:ascii="Arial" w:hAnsi="Arial" w:cs="Arial"/>
          <w:sz w:val="20"/>
          <w:szCs w:val="20"/>
        </w:rPr>
        <w:t>20</w:t>
      </w:r>
      <w:r w:rsidRPr="002C19C9">
        <w:rPr>
          <w:rFonts w:ascii="Arial" w:hAnsi="Arial" w:cs="Arial"/>
          <w:sz w:val="20"/>
          <w:szCs w:val="20"/>
        </w:rPr>
        <w:t xml:space="preserve">), who documented mean right- and left-hand digit ratios of 0.983 ± 0.047 and 0.981 ± 0.050, </w:t>
      </w:r>
      <w:r w:rsidRPr="002C19C9">
        <w:rPr>
          <w:rFonts w:ascii="Arial" w:hAnsi="Arial" w:cs="Arial"/>
          <w:sz w:val="20"/>
          <w:szCs w:val="20"/>
        </w:rPr>
        <w:lastRenderedPageBreak/>
        <w:t>respectively, and similarly found no significant bilateral asymmetry. The absence of marked right–left differences in the present study supports the notion that digit ratio is a relatively stable trait, reflecting prenatal hormonal influences rather than postnatal environmental variation.</w:t>
      </w:r>
    </w:p>
    <w:p w14:paraId="23A2B23E"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The mean age at menopause of 45.63 ± 5.55 years among postmenopausal participants in this study is lower than the mean age reported by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(2019), who observed menopausal onset at 49.8 ± 4.3 years, but closely aligns with the findings of Ghosh et al. (2023), who reported a mean age of 46.78 ± 1.71 years in an Indian population. The wide age range at menopause observed in the present study (28–60 years) indicates the coexistence of early, normal, and late menopause within the population studied, </w:t>
      </w:r>
      <w:proofErr w:type="spellStart"/>
      <w:r w:rsidR="002D683A" w:rsidRPr="002C19C9">
        <w:rPr>
          <w:rFonts w:ascii="Arial" w:hAnsi="Arial" w:cs="Arial"/>
          <w:sz w:val="20"/>
          <w:szCs w:val="20"/>
        </w:rPr>
        <w:t>emphasising</w:t>
      </w:r>
      <w:proofErr w:type="spellEnd"/>
      <w:r w:rsidRPr="002C19C9">
        <w:rPr>
          <w:rFonts w:ascii="Arial" w:hAnsi="Arial" w:cs="Arial"/>
          <w:sz w:val="20"/>
          <w:szCs w:val="20"/>
        </w:rPr>
        <w:t xml:space="preserve"> the influence of both biological and possibly environmental or genetic factors on menopausal timing.</w:t>
      </w:r>
    </w:p>
    <w:p w14:paraId="339CC4C6"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A major finding of this study is the statistically significant association between digit ratio group and age at menopause, as demonstrated by the chi-square analysis (χ² = 13.324, df = 4, p = 0.01). Women with low digit ratios accounted for a substantial proportion of early menopause cases, whereas women with high digit ratios exhibited fewer early menopause cases and were the only group in which late menopause was observed. This pattern strongly supports the hypothesis that a lower digit ratio, indicative of higher prenatal androgen exposure, is associated with an earlier onset of menopause. These findings are in agreement with the report by Ghosh et al. (2023), who found a significant association between low digit ratio and early age at menopause, with women experiencing early menopause showing lower mean digit ratios compared to those with later menopausal onset. The consistency between these studies, despite differences in population and sample characteristics, strengthens the evidence for digit ratio as a potential biomarker of reproductive </w:t>
      </w:r>
      <w:r w:rsidR="002D683A" w:rsidRPr="002C19C9">
        <w:rPr>
          <w:rFonts w:ascii="Arial" w:hAnsi="Arial" w:cs="Arial"/>
          <w:sz w:val="20"/>
          <w:szCs w:val="20"/>
        </w:rPr>
        <w:t>ageing</w:t>
      </w:r>
      <w:r w:rsidRPr="002C19C9">
        <w:rPr>
          <w:rFonts w:ascii="Arial" w:hAnsi="Arial" w:cs="Arial"/>
          <w:sz w:val="20"/>
          <w:szCs w:val="20"/>
        </w:rPr>
        <w:t>.</w:t>
      </w:r>
    </w:p>
    <w:p w14:paraId="2035A803" w14:textId="26D89412"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The present findings also align with the observations of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w:t>
      </w:r>
      <w:r w:rsidR="001E4300">
        <w:rPr>
          <w:rFonts w:ascii="Arial" w:hAnsi="Arial" w:cs="Arial"/>
          <w:sz w:val="20"/>
          <w:szCs w:val="20"/>
        </w:rPr>
        <w:t>20</w:t>
      </w:r>
      <w:r w:rsidRPr="002C19C9">
        <w:rPr>
          <w:rFonts w:ascii="Arial" w:hAnsi="Arial" w:cs="Arial"/>
          <w:sz w:val="20"/>
          <w:szCs w:val="20"/>
        </w:rPr>
        <w:t>), who reported a significant positive correlation between right-hand digit ratio and age at menopause, indicating that women with a more feminine digit ratio experienced menopause at a later age. Although the current study employed a categorical rather than correlational analytical approach, both studies converge on the conclusion that a higher, more feminine digit ratio is associated with delayed menopausal onset. This convergence suggests that prenatal estrogen dominance, reflected in higher digit ratios, may contribute to prolonged ovarian function and extended reproductive lifespan.</w:t>
      </w:r>
    </w:p>
    <w:p w14:paraId="457B4AE3" w14:textId="6B61C2DE"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Furthermore, the association between low digit ratio and early menopause observed in this study is supported by broader evidence linking masculine digit ratios to increased susceptibility to hormonal and chronic disorders. Previous studies have demonstrated that a low second-to-fourth digit ratio may reflect heightened prenatal androgen exposure, which has been associated with various androgen-related traits and health outcomes (Klimek et al., 2016;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w:t>
      </w:r>
      <w:r w:rsidR="001E4300">
        <w:rPr>
          <w:rFonts w:ascii="Arial" w:hAnsi="Arial" w:cs="Arial"/>
          <w:sz w:val="20"/>
          <w:szCs w:val="20"/>
        </w:rPr>
        <w:t>20</w:t>
      </w:r>
      <w:r w:rsidRPr="002C19C9">
        <w:rPr>
          <w:rFonts w:ascii="Arial" w:hAnsi="Arial" w:cs="Arial"/>
          <w:sz w:val="20"/>
          <w:szCs w:val="20"/>
        </w:rPr>
        <w:t>; Mondal and Chakraborty, 2023). The relationship between digit ratio and reproductive milestones such as menarche and menopause has also been well documented, with several studies reporting that women with higher digit ratios tend to have longer reproductive lifespans, higher age at menopause, and greater reproductive success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w:t>
      </w:r>
      <w:r w:rsidR="001E4300">
        <w:rPr>
          <w:rFonts w:ascii="Arial" w:hAnsi="Arial" w:cs="Arial"/>
          <w:sz w:val="20"/>
          <w:szCs w:val="20"/>
        </w:rPr>
        <w:t>20</w:t>
      </w:r>
      <w:r w:rsidRPr="002C19C9">
        <w:rPr>
          <w:rFonts w:ascii="Arial" w:hAnsi="Arial" w:cs="Arial"/>
          <w:sz w:val="20"/>
          <w:szCs w:val="20"/>
        </w:rPr>
        <w:t>; Tabachnik et al., 2020; Mondal and Chakraborty, 2023).</w:t>
      </w:r>
    </w:p>
    <w:p w14:paraId="25F4D177" w14:textId="0CF88729"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The biological mechanism underlying these associations may be rooted in prenatal hormonal programming. Higher prenatal androgen exposure, reflected by lower digit ratios, may accelerate ovarian follicular depletion or influence hypothalamic–pituitary–ovarian axis regulation, thereby predisposing women to earlier reproductive senescence. Conversely, a more feminine digit ratio, indicative of higher prenatal estrogen exposure, may support sustained ovarian reserve and delayed menopausal onset, as suggested by earlier reports linking digit ratio with fertility measures and reproductive outcomes (Klimek et al., 2016; </w:t>
      </w:r>
      <w:proofErr w:type="spellStart"/>
      <w:r w:rsidRPr="002C19C9">
        <w:rPr>
          <w:rFonts w:ascii="Arial" w:hAnsi="Arial" w:cs="Arial"/>
          <w:sz w:val="20"/>
          <w:szCs w:val="20"/>
        </w:rPr>
        <w:t>Kirchengast</w:t>
      </w:r>
      <w:proofErr w:type="spellEnd"/>
      <w:r w:rsidRPr="002C19C9">
        <w:rPr>
          <w:rFonts w:ascii="Arial" w:hAnsi="Arial" w:cs="Arial"/>
          <w:sz w:val="20"/>
          <w:szCs w:val="20"/>
        </w:rPr>
        <w:t xml:space="preserve"> et al., 20</w:t>
      </w:r>
      <w:r w:rsidR="001E4300">
        <w:rPr>
          <w:rFonts w:ascii="Arial" w:hAnsi="Arial" w:cs="Arial"/>
          <w:sz w:val="20"/>
          <w:szCs w:val="20"/>
        </w:rPr>
        <w:t>20</w:t>
      </w:r>
      <w:r w:rsidRPr="002C19C9">
        <w:rPr>
          <w:rFonts w:ascii="Arial" w:hAnsi="Arial" w:cs="Arial"/>
          <w:sz w:val="20"/>
          <w:szCs w:val="20"/>
        </w:rPr>
        <w:t>; Mondal and Chakraborty, 2023).</w:t>
      </w:r>
    </w:p>
    <w:p w14:paraId="3C148465" w14:textId="77777777" w:rsidR="00251F8F" w:rsidRPr="002C19C9" w:rsidRDefault="00251F8F" w:rsidP="002C19C9">
      <w:pPr>
        <w:spacing w:line="240" w:lineRule="auto"/>
        <w:jc w:val="both"/>
        <w:rPr>
          <w:rFonts w:ascii="Arial" w:hAnsi="Arial" w:cs="Arial"/>
          <w:sz w:val="20"/>
          <w:szCs w:val="20"/>
        </w:rPr>
      </w:pPr>
      <w:r w:rsidRPr="002C19C9">
        <w:rPr>
          <w:rFonts w:ascii="Arial" w:hAnsi="Arial" w:cs="Arial"/>
          <w:sz w:val="20"/>
          <w:szCs w:val="20"/>
        </w:rPr>
        <w:t xml:space="preserve">In contrast to the findings of Ghosh et al. (2023), who reported no association between socio-demographic variables and age at natural menopause, the present study did not directly assess these variables. However, the significant association observed between digit ratio and menopausal age in this population suggests that prenatal biological factors may play a more dominant role than postnatal socio-demographic influences in determining menopausal timing. This further highlights the value of digit ratio as a stable, non-invasive anthropometric marker for predicting reproductive </w:t>
      </w:r>
      <w:r w:rsidR="002D683A" w:rsidRPr="002C19C9">
        <w:rPr>
          <w:rFonts w:ascii="Arial" w:hAnsi="Arial" w:cs="Arial"/>
          <w:sz w:val="20"/>
          <w:szCs w:val="20"/>
        </w:rPr>
        <w:t>ageing</w:t>
      </w:r>
      <w:r w:rsidRPr="002C19C9">
        <w:rPr>
          <w:rFonts w:ascii="Arial" w:hAnsi="Arial" w:cs="Arial"/>
          <w:sz w:val="20"/>
          <w:szCs w:val="20"/>
        </w:rPr>
        <w:t>.</w:t>
      </w:r>
    </w:p>
    <w:p w14:paraId="7A27D913" w14:textId="77777777" w:rsidR="000314B4" w:rsidRPr="002C19C9" w:rsidRDefault="002C19C9" w:rsidP="002C19C9">
      <w:pPr>
        <w:spacing w:line="240" w:lineRule="auto"/>
        <w:rPr>
          <w:rFonts w:ascii="Arial" w:hAnsi="Arial" w:cs="Arial"/>
          <w:b/>
        </w:rPr>
      </w:pPr>
      <w:r w:rsidRPr="002C19C9">
        <w:rPr>
          <w:rFonts w:ascii="Arial" w:hAnsi="Arial" w:cs="Arial"/>
          <w:b/>
        </w:rPr>
        <w:t xml:space="preserve">4. </w:t>
      </w:r>
      <w:r w:rsidR="000314B4" w:rsidRPr="002C19C9">
        <w:rPr>
          <w:rFonts w:ascii="Arial" w:hAnsi="Arial" w:cs="Arial"/>
          <w:b/>
        </w:rPr>
        <w:t>CONCLUSION</w:t>
      </w:r>
    </w:p>
    <w:p w14:paraId="65BFAB8E" w14:textId="1FD332A3" w:rsidR="00251F8F" w:rsidRDefault="000314B4" w:rsidP="000B1B4B">
      <w:pPr>
        <w:spacing w:line="240" w:lineRule="auto"/>
        <w:jc w:val="both"/>
        <w:rPr>
          <w:rFonts w:ascii="Arial" w:hAnsi="Arial" w:cs="Arial"/>
          <w:sz w:val="20"/>
          <w:szCs w:val="20"/>
        </w:rPr>
      </w:pPr>
      <w:r w:rsidRPr="002C19C9">
        <w:rPr>
          <w:rFonts w:ascii="Arial" w:hAnsi="Arial" w:cs="Arial"/>
          <w:sz w:val="20"/>
          <w:szCs w:val="20"/>
        </w:rPr>
        <w:lastRenderedPageBreak/>
        <w:t>T</w:t>
      </w:r>
      <w:r w:rsidR="00251F8F" w:rsidRPr="002C19C9">
        <w:rPr>
          <w:rFonts w:ascii="Arial" w:hAnsi="Arial" w:cs="Arial"/>
          <w:sz w:val="20"/>
          <w:szCs w:val="20"/>
        </w:rPr>
        <w:t>he findings of this study contribute novel data from a Nigerian population and corroborate existing evidence that low digit ratio is associated with a higher likelihood of early menopause, whereas higher digit ratios are linked to normal or delayed menopausal onset. By aligning closely with previous studies while addressing a population that has been underrepresented in digit ratio research, this study strengthens the generalizability of the association between prenatal hormonal exposure and menopausal timing. These results underscore the potential utility of digit ratio in reproductive health research and may have implications for early identification of women at risk of premature or early menopause.</w:t>
      </w:r>
    </w:p>
    <w:p w14:paraId="0238D346" w14:textId="77777777" w:rsidR="00E11B3C" w:rsidRDefault="00E11B3C" w:rsidP="000B1B4B">
      <w:pPr>
        <w:spacing w:line="240" w:lineRule="auto"/>
        <w:jc w:val="both"/>
        <w:rPr>
          <w:rFonts w:ascii="Arial" w:hAnsi="Arial" w:cs="Arial"/>
          <w:sz w:val="20"/>
          <w:szCs w:val="20"/>
        </w:rPr>
      </w:pPr>
    </w:p>
    <w:p w14:paraId="144D1264" w14:textId="0BB9792E" w:rsidR="00E11B3C" w:rsidRPr="00E11B3C" w:rsidRDefault="00E11B3C" w:rsidP="00E11B3C">
      <w:pPr>
        <w:spacing w:line="240" w:lineRule="auto"/>
        <w:jc w:val="both"/>
        <w:rPr>
          <w:rFonts w:ascii="Arial" w:hAnsi="Arial" w:cs="Arial"/>
          <w:b/>
          <w:bCs/>
          <w:sz w:val="20"/>
          <w:szCs w:val="20"/>
        </w:rPr>
      </w:pPr>
      <w:r w:rsidRPr="00E11B3C">
        <w:rPr>
          <w:rFonts w:ascii="Arial" w:hAnsi="Arial" w:cs="Arial"/>
          <w:b/>
          <w:bCs/>
          <w:sz w:val="20"/>
          <w:szCs w:val="20"/>
        </w:rPr>
        <w:t xml:space="preserve"> Ethical </w:t>
      </w:r>
      <w:r w:rsidRPr="00E11B3C">
        <w:rPr>
          <w:rFonts w:ascii="Arial" w:hAnsi="Arial" w:cs="Arial"/>
          <w:b/>
          <w:bCs/>
          <w:sz w:val="20"/>
          <w:szCs w:val="20"/>
        </w:rPr>
        <w:t>A</w:t>
      </w:r>
      <w:r w:rsidRPr="00E11B3C">
        <w:rPr>
          <w:rFonts w:ascii="Arial" w:hAnsi="Arial" w:cs="Arial"/>
          <w:b/>
          <w:bCs/>
          <w:sz w:val="20"/>
          <w:szCs w:val="20"/>
        </w:rPr>
        <w:t>pproval</w:t>
      </w:r>
      <w:r w:rsidRPr="00E11B3C">
        <w:rPr>
          <w:rFonts w:ascii="Arial" w:hAnsi="Arial" w:cs="Arial"/>
          <w:b/>
          <w:bCs/>
          <w:sz w:val="20"/>
          <w:szCs w:val="20"/>
        </w:rPr>
        <w:t xml:space="preserve"> and Consent</w:t>
      </w:r>
      <w:r w:rsidRPr="00E11B3C">
        <w:rPr>
          <w:rFonts w:ascii="Arial" w:hAnsi="Arial" w:cs="Arial"/>
          <w:b/>
          <w:bCs/>
          <w:sz w:val="20"/>
          <w:szCs w:val="20"/>
        </w:rPr>
        <w:t xml:space="preserve"> </w:t>
      </w:r>
    </w:p>
    <w:p w14:paraId="00970E30" w14:textId="2BCFE727" w:rsidR="00E11B3C" w:rsidRDefault="00E11B3C" w:rsidP="00E11B3C">
      <w:pPr>
        <w:spacing w:line="240" w:lineRule="auto"/>
        <w:jc w:val="both"/>
        <w:rPr>
          <w:rFonts w:ascii="Arial" w:hAnsi="Arial" w:cs="Arial"/>
          <w:sz w:val="20"/>
          <w:szCs w:val="20"/>
        </w:rPr>
      </w:pPr>
      <w:r w:rsidRPr="00E11B3C">
        <w:rPr>
          <w:rFonts w:ascii="Arial" w:hAnsi="Arial" w:cs="Arial"/>
          <w:sz w:val="20"/>
          <w:szCs w:val="20"/>
        </w:rPr>
        <w:t xml:space="preserve">Ethical approval for this study was obtained from the research ethics committee of the University of Port Harcourt, prior to data collection. All participants were fully informed about the purpose and procedures of the study and provided </w:t>
      </w:r>
      <w:r>
        <w:rPr>
          <w:rFonts w:ascii="Arial" w:hAnsi="Arial" w:cs="Arial"/>
          <w:sz w:val="20"/>
          <w:szCs w:val="20"/>
        </w:rPr>
        <w:t xml:space="preserve">written </w:t>
      </w:r>
      <w:r w:rsidRPr="00E11B3C">
        <w:rPr>
          <w:rFonts w:ascii="Arial" w:hAnsi="Arial" w:cs="Arial"/>
          <w:sz w:val="20"/>
          <w:szCs w:val="20"/>
        </w:rPr>
        <w:t>informed consent before participation. Confidentiality and anonymity of participant information were strictly maintained throughout the research process. Participants were also assured of their right to withdraw from the study at any stage without any penalty.</w:t>
      </w:r>
    </w:p>
    <w:p w14:paraId="608104CA" w14:textId="50A192FF" w:rsidR="006B1100" w:rsidRDefault="006B1100" w:rsidP="000B1B4B">
      <w:pPr>
        <w:spacing w:line="240" w:lineRule="auto"/>
        <w:jc w:val="both"/>
        <w:rPr>
          <w:rFonts w:ascii="Arial" w:hAnsi="Arial" w:cs="Arial"/>
          <w:sz w:val="20"/>
          <w:szCs w:val="20"/>
        </w:rPr>
      </w:pPr>
    </w:p>
    <w:p w14:paraId="1815FBF5" w14:textId="77777777" w:rsidR="006B1100" w:rsidRPr="00005ED1" w:rsidRDefault="006B1100" w:rsidP="006B1100">
      <w:pPr>
        <w:pStyle w:val="NoSpacing"/>
        <w:rPr>
          <w:rFonts w:ascii="Arial" w:hAnsi="Arial" w:cs="Arial"/>
          <w:highlight w:val="yellow"/>
        </w:rPr>
      </w:pPr>
      <w:bookmarkStart w:id="5" w:name="_Hlk198031404"/>
      <w:bookmarkStart w:id="6" w:name="_Hlk221094604"/>
      <w:r w:rsidRPr="00005ED1">
        <w:rPr>
          <w:rFonts w:ascii="Arial" w:hAnsi="Arial" w:cs="Arial"/>
          <w:highlight w:val="yellow"/>
        </w:rPr>
        <w:t>Disclaimer (Artificial intelligence)</w:t>
      </w:r>
    </w:p>
    <w:p w14:paraId="1E6FB31C" w14:textId="77777777" w:rsidR="006B1100" w:rsidRPr="00005ED1" w:rsidRDefault="006B1100" w:rsidP="006B1100">
      <w:pPr>
        <w:pStyle w:val="NoSpacing"/>
        <w:rPr>
          <w:rFonts w:ascii="Arial" w:hAnsi="Arial" w:cs="Arial"/>
          <w:highlight w:val="yellow"/>
        </w:rPr>
      </w:pPr>
    </w:p>
    <w:p w14:paraId="3E36E920" w14:textId="77777777" w:rsidR="006B1100" w:rsidRPr="00005ED1" w:rsidRDefault="006B1100" w:rsidP="006B110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5"/>
    <w:p w14:paraId="5B9A540E" w14:textId="77777777" w:rsidR="006B1100" w:rsidRDefault="006B1100" w:rsidP="006B1100">
      <w:pPr>
        <w:pStyle w:val="NoSpacing"/>
        <w:rPr>
          <w:rFonts w:ascii="Arial" w:hAnsi="Arial" w:cs="Arial"/>
        </w:rPr>
      </w:pPr>
    </w:p>
    <w:bookmarkEnd w:id="6"/>
    <w:p w14:paraId="619123C4" w14:textId="77777777" w:rsidR="006B1100" w:rsidRPr="002C19C9" w:rsidRDefault="006B1100" w:rsidP="000B1B4B">
      <w:pPr>
        <w:spacing w:line="240" w:lineRule="auto"/>
        <w:jc w:val="both"/>
        <w:rPr>
          <w:rFonts w:ascii="Arial" w:hAnsi="Arial" w:cs="Arial"/>
          <w:sz w:val="20"/>
          <w:szCs w:val="20"/>
        </w:rPr>
      </w:pPr>
    </w:p>
    <w:p w14:paraId="3CE39364" w14:textId="77777777" w:rsidR="00282B46" w:rsidRPr="00251F8F" w:rsidRDefault="00282B46" w:rsidP="000B1B4B">
      <w:pPr>
        <w:spacing w:line="240" w:lineRule="auto"/>
        <w:jc w:val="both"/>
        <w:rPr>
          <w:rFonts w:ascii="Times New Roman" w:hAnsi="Times New Roman" w:cs="Times New Roman"/>
          <w:sz w:val="24"/>
          <w:szCs w:val="24"/>
        </w:rPr>
      </w:pPr>
    </w:p>
    <w:p w14:paraId="019A3335" w14:textId="77777777" w:rsidR="00A467B4" w:rsidRPr="002C19C9" w:rsidRDefault="00E265FF" w:rsidP="000B1B4B">
      <w:pPr>
        <w:spacing w:line="240" w:lineRule="auto"/>
        <w:jc w:val="both"/>
        <w:rPr>
          <w:rFonts w:ascii="Arial" w:hAnsi="Arial" w:cs="Arial"/>
          <w:b/>
        </w:rPr>
      </w:pPr>
      <w:r w:rsidRPr="002C19C9">
        <w:rPr>
          <w:rFonts w:ascii="Arial" w:hAnsi="Arial" w:cs="Arial"/>
          <w:b/>
        </w:rPr>
        <w:t>REFERENCE</w:t>
      </w:r>
      <w:r w:rsidR="00282B46" w:rsidRPr="002C19C9">
        <w:rPr>
          <w:rFonts w:ascii="Arial" w:hAnsi="Arial" w:cs="Arial"/>
          <w:b/>
        </w:rPr>
        <w:t>S</w:t>
      </w:r>
    </w:p>
    <w:p w14:paraId="13AB1D7F"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Alperovitch-Najenson, D</w:t>
      </w:r>
      <w:r w:rsidR="00975021" w:rsidRPr="00303725">
        <w:rPr>
          <w:rFonts w:ascii="Arial" w:hAnsi="Arial" w:cs="Arial"/>
          <w:sz w:val="20"/>
          <w:szCs w:val="20"/>
        </w:rPr>
        <w:t>.</w:t>
      </w:r>
      <w:r w:rsidRPr="00303725">
        <w:rPr>
          <w:rFonts w:ascii="Arial" w:hAnsi="Arial" w:cs="Arial"/>
          <w:sz w:val="20"/>
          <w:szCs w:val="20"/>
        </w:rPr>
        <w:t>, Carmeli</w:t>
      </w:r>
      <w:r w:rsidR="00975021" w:rsidRPr="00303725">
        <w:rPr>
          <w:rFonts w:ascii="Arial" w:hAnsi="Arial" w:cs="Arial"/>
          <w:sz w:val="20"/>
          <w:szCs w:val="20"/>
        </w:rPr>
        <w:t>,</w:t>
      </w:r>
      <w:r w:rsidRPr="00303725">
        <w:rPr>
          <w:rFonts w:ascii="Arial" w:hAnsi="Arial" w:cs="Arial"/>
          <w:sz w:val="20"/>
          <w:szCs w:val="20"/>
        </w:rPr>
        <w:t xml:space="preserve"> E</w:t>
      </w:r>
      <w:r w:rsidR="00975021" w:rsidRPr="00303725">
        <w:rPr>
          <w:rFonts w:ascii="Arial" w:hAnsi="Arial" w:cs="Arial"/>
          <w:sz w:val="20"/>
          <w:szCs w:val="20"/>
        </w:rPr>
        <w:t>.</w:t>
      </w:r>
      <w:r w:rsidRPr="00303725">
        <w:rPr>
          <w:rFonts w:ascii="Arial" w:hAnsi="Arial" w:cs="Arial"/>
          <w:sz w:val="20"/>
          <w:szCs w:val="20"/>
        </w:rPr>
        <w:t>, Coleman</w:t>
      </w:r>
      <w:r w:rsidR="00975021" w:rsidRPr="00303725">
        <w:rPr>
          <w:rFonts w:ascii="Arial" w:hAnsi="Arial" w:cs="Arial"/>
          <w:sz w:val="20"/>
          <w:szCs w:val="20"/>
        </w:rPr>
        <w:t>,</w:t>
      </w:r>
      <w:r w:rsidRPr="00303725">
        <w:rPr>
          <w:rFonts w:ascii="Arial" w:hAnsi="Arial" w:cs="Arial"/>
          <w:sz w:val="20"/>
          <w:szCs w:val="20"/>
        </w:rPr>
        <w:t xml:space="preserve"> R</w:t>
      </w:r>
      <w:r w:rsidR="00975021" w:rsidRPr="00303725">
        <w:rPr>
          <w:rFonts w:ascii="Arial" w:hAnsi="Arial" w:cs="Arial"/>
          <w:sz w:val="20"/>
          <w:szCs w:val="20"/>
        </w:rPr>
        <w:t>.</w:t>
      </w:r>
      <w:r w:rsidRPr="00303725">
        <w:rPr>
          <w:rFonts w:ascii="Arial" w:hAnsi="Arial" w:cs="Arial"/>
          <w:sz w:val="20"/>
          <w:szCs w:val="20"/>
        </w:rPr>
        <w:t xml:space="preserve">, </w:t>
      </w:r>
      <w:r w:rsidR="00975021" w:rsidRPr="00303725">
        <w:rPr>
          <w:rFonts w:ascii="Arial" w:hAnsi="Arial" w:cs="Arial"/>
          <w:sz w:val="20"/>
          <w:szCs w:val="20"/>
        </w:rPr>
        <w:t xml:space="preserve">&amp; </w:t>
      </w:r>
      <w:r w:rsidRPr="00303725">
        <w:rPr>
          <w:rFonts w:ascii="Arial" w:hAnsi="Arial" w:cs="Arial"/>
          <w:sz w:val="20"/>
          <w:szCs w:val="20"/>
        </w:rPr>
        <w:t>Ring</w:t>
      </w:r>
      <w:r w:rsidR="00975021" w:rsidRPr="00303725">
        <w:rPr>
          <w:rFonts w:ascii="Arial" w:hAnsi="Arial" w:cs="Arial"/>
          <w:sz w:val="20"/>
          <w:szCs w:val="20"/>
        </w:rPr>
        <w:t>,</w:t>
      </w:r>
      <w:r w:rsidRPr="00303725">
        <w:rPr>
          <w:rFonts w:ascii="Arial" w:hAnsi="Arial" w:cs="Arial"/>
          <w:sz w:val="20"/>
          <w:szCs w:val="20"/>
        </w:rPr>
        <w:t xml:space="preserve"> H. </w:t>
      </w:r>
      <w:r w:rsidR="00975021" w:rsidRPr="00303725">
        <w:rPr>
          <w:rFonts w:ascii="Arial" w:hAnsi="Arial" w:cs="Arial"/>
          <w:sz w:val="20"/>
          <w:szCs w:val="20"/>
        </w:rPr>
        <w:t xml:space="preserve">(2004). </w:t>
      </w:r>
      <w:r w:rsidRPr="00303725">
        <w:rPr>
          <w:rFonts w:ascii="Arial" w:hAnsi="Arial" w:cs="Arial"/>
          <w:sz w:val="20"/>
          <w:szCs w:val="20"/>
        </w:rPr>
        <w:t>Handgrip strength as a diagnostic tool in work-related upper extremity musculoskeletal disorders in wome</w:t>
      </w:r>
      <w:r w:rsidR="00975021" w:rsidRPr="00303725">
        <w:rPr>
          <w:rFonts w:ascii="Arial" w:hAnsi="Arial" w:cs="Arial"/>
          <w:sz w:val="20"/>
          <w:szCs w:val="20"/>
        </w:rPr>
        <w:t xml:space="preserve">n. Scientific World Journal, </w:t>
      </w:r>
      <w:r w:rsidRPr="00303725">
        <w:rPr>
          <w:rFonts w:ascii="Arial" w:hAnsi="Arial" w:cs="Arial"/>
          <w:sz w:val="20"/>
          <w:szCs w:val="20"/>
        </w:rPr>
        <w:t>4:111-7</w:t>
      </w:r>
    </w:p>
    <w:p w14:paraId="26974F2E"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Cappola</w:t>
      </w:r>
      <w:r w:rsidR="00B57CB0" w:rsidRPr="00303725">
        <w:rPr>
          <w:rFonts w:ascii="Arial" w:hAnsi="Arial" w:cs="Arial"/>
          <w:sz w:val="20"/>
          <w:szCs w:val="20"/>
        </w:rPr>
        <w:t>,</w:t>
      </w:r>
      <w:r w:rsidRPr="00303725">
        <w:rPr>
          <w:rFonts w:ascii="Arial" w:hAnsi="Arial" w:cs="Arial"/>
          <w:sz w:val="20"/>
          <w:szCs w:val="20"/>
        </w:rPr>
        <w:t xml:space="preserve"> A</w:t>
      </w:r>
      <w:r w:rsidR="00B57CB0" w:rsidRPr="00303725">
        <w:rPr>
          <w:rFonts w:ascii="Arial" w:hAnsi="Arial" w:cs="Arial"/>
          <w:sz w:val="20"/>
          <w:szCs w:val="20"/>
        </w:rPr>
        <w:t>.</w:t>
      </w:r>
      <w:r w:rsidRPr="00303725">
        <w:rPr>
          <w:rFonts w:ascii="Arial" w:hAnsi="Arial" w:cs="Arial"/>
          <w:sz w:val="20"/>
          <w:szCs w:val="20"/>
        </w:rPr>
        <w:t>R</w:t>
      </w:r>
      <w:r w:rsidR="00B57CB0" w:rsidRPr="00303725">
        <w:rPr>
          <w:rFonts w:ascii="Arial" w:hAnsi="Arial" w:cs="Arial"/>
          <w:sz w:val="20"/>
          <w:szCs w:val="20"/>
        </w:rPr>
        <w:t>.</w:t>
      </w:r>
      <w:r w:rsidRPr="00303725">
        <w:rPr>
          <w:rFonts w:ascii="Arial" w:hAnsi="Arial" w:cs="Arial"/>
          <w:sz w:val="20"/>
          <w:szCs w:val="20"/>
        </w:rPr>
        <w:t xml:space="preserve">, </w:t>
      </w:r>
      <w:proofErr w:type="spellStart"/>
      <w:r w:rsidRPr="00303725">
        <w:rPr>
          <w:rFonts w:ascii="Arial" w:hAnsi="Arial" w:cs="Arial"/>
          <w:sz w:val="20"/>
          <w:szCs w:val="20"/>
        </w:rPr>
        <w:t>Auchus</w:t>
      </w:r>
      <w:proofErr w:type="spellEnd"/>
      <w:r w:rsidR="00B57CB0" w:rsidRPr="00303725">
        <w:rPr>
          <w:rFonts w:ascii="Arial" w:hAnsi="Arial" w:cs="Arial"/>
          <w:sz w:val="20"/>
          <w:szCs w:val="20"/>
        </w:rPr>
        <w:t>,</w:t>
      </w:r>
      <w:r w:rsidRPr="00303725">
        <w:rPr>
          <w:rFonts w:ascii="Arial" w:hAnsi="Arial" w:cs="Arial"/>
          <w:sz w:val="20"/>
          <w:szCs w:val="20"/>
        </w:rPr>
        <w:t xml:space="preserve"> R</w:t>
      </w:r>
      <w:r w:rsidR="00B57CB0" w:rsidRPr="00303725">
        <w:rPr>
          <w:rFonts w:ascii="Arial" w:hAnsi="Arial" w:cs="Arial"/>
          <w:sz w:val="20"/>
          <w:szCs w:val="20"/>
        </w:rPr>
        <w:t>.</w:t>
      </w:r>
      <w:r w:rsidRPr="00303725">
        <w:rPr>
          <w:rFonts w:ascii="Arial" w:hAnsi="Arial" w:cs="Arial"/>
          <w:sz w:val="20"/>
          <w:szCs w:val="20"/>
        </w:rPr>
        <w:t>J</w:t>
      </w:r>
      <w:r w:rsidR="00B57CB0" w:rsidRPr="00303725">
        <w:rPr>
          <w:rFonts w:ascii="Arial" w:hAnsi="Arial" w:cs="Arial"/>
          <w:sz w:val="20"/>
          <w:szCs w:val="20"/>
        </w:rPr>
        <w:t>.</w:t>
      </w:r>
      <w:r w:rsidRPr="00303725">
        <w:rPr>
          <w:rFonts w:ascii="Arial" w:hAnsi="Arial" w:cs="Arial"/>
          <w:sz w:val="20"/>
          <w:szCs w:val="20"/>
        </w:rPr>
        <w:t xml:space="preserve">, El-Hajj Fuleihan G, et al. </w:t>
      </w:r>
      <w:r w:rsidR="00B57CB0" w:rsidRPr="00303725">
        <w:rPr>
          <w:rFonts w:ascii="Arial" w:hAnsi="Arial" w:cs="Arial"/>
          <w:sz w:val="20"/>
          <w:szCs w:val="20"/>
        </w:rPr>
        <w:t>(2023). Hormones</w:t>
      </w:r>
      <w:r w:rsidRPr="00303725">
        <w:rPr>
          <w:rFonts w:ascii="Arial" w:hAnsi="Arial" w:cs="Arial"/>
          <w:sz w:val="20"/>
          <w:szCs w:val="20"/>
        </w:rPr>
        <w:t xml:space="preserve"> and </w:t>
      </w:r>
      <w:r w:rsidR="002D683A" w:rsidRPr="00303725">
        <w:rPr>
          <w:rFonts w:ascii="Arial" w:hAnsi="Arial" w:cs="Arial"/>
          <w:sz w:val="20"/>
          <w:szCs w:val="20"/>
        </w:rPr>
        <w:t>ageing</w:t>
      </w:r>
      <w:r w:rsidRPr="00303725">
        <w:rPr>
          <w:rFonts w:ascii="Arial" w:hAnsi="Arial" w:cs="Arial"/>
          <w:sz w:val="20"/>
          <w:szCs w:val="20"/>
        </w:rPr>
        <w:t xml:space="preserve">: </w:t>
      </w:r>
      <w:r w:rsidR="00B57CB0" w:rsidRPr="00303725">
        <w:rPr>
          <w:rFonts w:ascii="Arial" w:hAnsi="Arial" w:cs="Arial"/>
          <w:sz w:val="20"/>
          <w:szCs w:val="20"/>
        </w:rPr>
        <w:t>An</w:t>
      </w:r>
      <w:r w:rsidRPr="00303725">
        <w:rPr>
          <w:rFonts w:ascii="Arial" w:hAnsi="Arial" w:cs="Arial"/>
          <w:sz w:val="20"/>
          <w:szCs w:val="20"/>
        </w:rPr>
        <w:t xml:space="preserve"> Endocrine Society scientific statemen</w:t>
      </w:r>
      <w:r w:rsidR="00B57CB0" w:rsidRPr="00303725">
        <w:rPr>
          <w:rFonts w:ascii="Arial" w:hAnsi="Arial" w:cs="Arial"/>
          <w:sz w:val="20"/>
          <w:szCs w:val="20"/>
        </w:rPr>
        <w:t xml:space="preserve">t. J Clin Endocrinol </w:t>
      </w:r>
      <w:proofErr w:type="spellStart"/>
      <w:r w:rsidR="00B57CB0" w:rsidRPr="00303725">
        <w:rPr>
          <w:rFonts w:ascii="Arial" w:hAnsi="Arial" w:cs="Arial"/>
          <w:sz w:val="20"/>
          <w:szCs w:val="20"/>
        </w:rPr>
        <w:t>Metab</w:t>
      </w:r>
      <w:proofErr w:type="spellEnd"/>
      <w:r w:rsidR="00B57CB0" w:rsidRPr="00303725">
        <w:rPr>
          <w:rFonts w:ascii="Arial" w:hAnsi="Arial" w:cs="Arial"/>
          <w:sz w:val="20"/>
          <w:szCs w:val="20"/>
        </w:rPr>
        <w:t xml:space="preserve">, </w:t>
      </w:r>
      <w:r w:rsidRPr="00303725">
        <w:rPr>
          <w:rFonts w:ascii="Arial" w:hAnsi="Arial" w:cs="Arial"/>
          <w:sz w:val="20"/>
          <w:szCs w:val="20"/>
        </w:rPr>
        <w:t xml:space="preserve">108:1835-1874. </w:t>
      </w:r>
      <w:proofErr w:type="spellStart"/>
      <w:r w:rsidRPr="00303725">
        <w:rPr>
          <w:rFonts w:ascii="Arial" w:hAnsi="Arial" w:cs="Arial"/>
          <w:sz w:val="20"/>
          <w:szCs w:val="20"/>
        </w:rPr>
        <w:t>doi</w:t>
      </w:r>
      <w:proofErr w:type="spellEnd"/>
      <w:r w:rsidRPr="00303725">
        <w:rPr>
          <w:rFonts w:ascii="Arial" w:hAnsi="Arial" w:cs="Arial"/>
          <w:sz w:val="20"/>
          <w:szCs w:val="20"/>
        </w:rPr>
        <w:t>: 10.1210/</w:t>
      </w:r>
      <w:proofErr w:type="spellStart"/>
      <w:r w:rsidRPr="00303725">
        <w:rPr>
          <w:rFonts w:ascii="Arial" w:hAnsi="Arial" w:cs="Arial"/>
          <w:sz w:val="20"/>
          <w:szCs w:val="20"/>
        </w:rPr>
        <w:t>clinem</w:t>
      </w:r>
      <w:proofErr w:type="spellEnd"/>
      <w:r w:rsidRPr="00303725">
        <w:rPr>
          <w:rFonts w:ascii="Arial" w:hAnsi="Arial" w:cs="Arial"/>
          <w:sz w:val="20"/>
          <w:szCs w:val="20"/>
        </w:rPr>
        <w:t>/dgad225</w:t>
      </w:r>
    </w:p>
    <w:p w14:paraId="15C565FA"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proofErr w:type="spellStart"/>
      <w:r w:rsidRPr="00303725">
        <w:rPr>
          <w:rFonts w:ascii="Arial" w:hAnsi="Arial" w:cs="Arial"/>
          <w:sz w:val="20"/>
          <w:szCs w:val="20"/>
        </w:rPr>
        <w:t>Eresheim</w:t>
      </w:r>
      <w:proofErr w:type="spellEnd"/>
      <w:r w:rsidR="005C5308" w:rsidRPr="00303725">
        <w:rPr>
          <w:rFonts w:ascii="Arial" w:hAnsi="Arial" w:cs="Arial"/>
          <w:sz w:val="20"/>
          <w:szCs w:val="20"/>
        </w:rPr>
        <w:t>,</w:t>
      </w:r>
      <w:r w:rsidRPr="00303725">
        <w:rPr>
          <w:rFonts w:ascii="Arial" w:hAnsi="Arial" w:cs="Arial"/>
          <w:sz w:val="20"/>
          <w:szCs w:val="20"/>
        </w:rPr>
        <w:t xml:space="preserve"> R</w:t>
      </w:r>
      <w:r w:rsidR="005C5308" w:rsidRPr="00303725">
        <w:rPr>
          <w:rFonts w:ascii="Arial" w:hAnsi="Arial" w:cs="Arial"/>
          <w:sz w:val="20"/>
          <w:szCs w:val="20"/>
        </w:rPr>
        <w:t>.</w:t>
      </w:r>
      <w:r w:rsidRPr="00303725">
        <w:rPr>
          <w:rFonts w:ascii="Arial" w:hAnsi="Arial" w:cs="Arial"/>
          <w:sz w:val="20"/>
          <w:szCs w:val="20"/>
        </w:rPr>
        <w:t>, Schaufler</w:t>
      </w:r>
      <w:r w:rsidR="005C5308" w:rsidRPr="00303725">
        <w:rPr>
          <w:rFonts w:ascii="Arial" w:hAnsi="Arial" w:cs="Arial"/>
          <w:sz w:val="20"/>
          <w:szCs w:val="20"/>
        </w:rPr>
        <w:t>,</w:t>
      </w:r>
      <w:r w:rsidRPr="00303725">
        <w:rPr>
          <w:rFonts w:ascii="Arial" w:hAnsi="Arial" w:cs="Arial"/>
          <w:sz w:val="20"/>
          <w:szCs w:val="20"/>
        </w:rPr>
        <w:t xml:space="preserve"> S</w:t>
      </w:r>
      <w:r w:rsidR="005C5308" w:rsidRPr="00303725">
        <w:rPr>
          <w:rFonts w:ascii="Arial" w:hAnsi="Arial" w:cs="Arial"/>
          <w:sz w:val="20"/>
          <w:szCs w:val="20"/>
        </w:rPr>
        <w:t>.</w:t>
      </w:r>
      <w:r w:rsidRPr="00303725">
        <w:rPr>
          <w:rFonts w:ascii="Arial" w:hAnsi="Arial" w:cs="Arial"/>
          <w:sz w:val="20"/>
          <w:szCs w:val="20"/>
        </w:rPr>
        <w:t xml:space="preserve">, </w:t>
      </w:r>
      <w:r w:rsidR="005C5308" w:rsidRPr="00303725">
        <w:rPr>
          <w:rFonts w:ascii="Arial" w:hAnsi="Arial" w:cs="Arial"/>
          <w:sz w:val="20"/>
          <w:szCs w:val="20"/>
        </w:rPr>
        <w:t xml:space="preserve">&amp; </w:t>
      </w:r>
      <w:proofErr w:type="spellStart"/>
      <w:r w:rsidRPr="00303725">
        <w:rPr>
          <w:rFonts w:ascii="Arial" w:hAnsi="Arial" w:cs="Arial"/>
          <w:sz w:val="20"/>
          <w:szCs w:val="20"/>
        </w:rPr>
        <w:t>Kirchengast</w:t>
      </w:r>
      <w:proofErr w:type="spellEnd"/>
      <w:r w:rsidR="005C5308" w:rsidRPr="00303725">
        <w:rPr>
          <w:rFonts w:ascii="Arial" w:hAnsi="Arial" w:cs="Arial"/>
          <w:sz w:val="20"/>
          <w:szCs w:val="20"/>
        </w:rPr>
        <w:t>,</w:t>
      </w:r>
      <w:r w:rsidRPr="00303725">
        <w:rPr>
          <w:rFonts w:ascii="Arial" w:hAnsi="Arial" w:cs="Arial"/>
          <w:sz w:val="20"/>
          <w:szCs w:val="20"/>
        </w:rPr>
        <w:t xml:space="preserve"> S. </w:t>
      </w:r>
      <w:r w:rsidR="005C5308" w:rsidRPr="00303725">
        <w:rPr>
          <w:rFonts w:ascii="Arial" w:hAnsi="Arial" w:cs="Arial"/>
          <w:sz w:val="20"/>
          <w:szCs w:val="20"/>
        </w:rPr>
        <w:t>(</w:t>
      </w:r>
      <w:r w:rsidRPr="00303725">
        <w:rPr>
          <w:rFonts w:ascii="Arial" w:hAnsi="Arial" w:cs="Arial"/>
          <w:sz w:val="20"/>
          <w:szCs w:val="20"/>
        </w:rPr>
        <w:t>2020</w:t>
      </w:r>
      <w:r w:rsidR="005C5308" w:rsidRPr="00303725">
        <w:rPr>
          <w:rFonts w:ascii="Arial" w:hAnsi="Arial" w:cs="Arial"/>
          <w:sz w:val="20"/>
          <w:szCs w:val="20"/>
        </w:rPr>
        <w:t>)</w:t>
      </w:r>
      <w:r w:rsidRPr="00303725">
        <w:rPr>
          <w:rFonts w:ascii="Arial" w:hAnsi="Arial" w:cs="Arial"/>
          <w:sz w:val="20"/>
          <w:szCs w:val="20"/>
        </w:rPr>
        <w:t>. Association patterns between 2D:4D ratio and age at menarche: the impact of methodology. Anthropological Review</w:t>
      </w:r>
      <w:r w:rsidR="005C5308" w:rsidRPr="00303725">
        <w:rPr>
          <w:rFonts w:ascii="Arial" w:hAnsi="Arial" w:cs="Arial"/>
          <w:sz w:val="20"/>
          <w:szCs w:val="20"/>
        </w:rPr>
        <w:t>,</w:t>
      </w:r>
      <w:r w:rsidRPr="00303725">
        <w:rPr>
          <w:rFonts w:ascii="Arial" w:hAnsi="Arial" w:cs="Arial"/>
          <w:sz w:val="20"/>
          <w:szCs w:val="20"/>
        </w:rPr>
        <w:t xml:space="preserve"> 83: 377–386. https://doi.org/10.2478/anre-2020-0026.</w:t>
      </w:r>
    </w:p>
    <w:p w14:paraId="50E5E3E0"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Galis</w:t>
      </w:r>
      <w:r w:rsidR="005C5308" w:rsidRPr="00303725">
        <w:rPr>
          <w:rFonts w:ascii="Arial" w:hAnsi="Arial" w:cs="Arial"/>
          <w:sz w:val="20"/>
          <w:szCs w:val="20"/>
        </w:rPr>
        <w:t>,</w:t>
      </w:r>
      <w:r w:rsidRPr="00303725">
        <w:rPr>
          <w:rFonts w:ascii="Arial" w:hAnsi="Arial" w:cs="Arial"/>
          <w:sz w:val="20"/>
          <w:szCs w:val="20"/>
        </w:rPr>
        <w:t xml:space="preserve"> F</w:t>
      </w:r>
      <w:r w:rsidR="005C5308" w:rsidRPr="00303725">
        <w:rPr>
          <w:rFonts w:ascii="Arial" w:hAnsi="Arial" w:cs="Arial"/>
          <w:sz w:val="20"/>
          <w:szCs w:val="20"/>
        </w:rPr>
        <w:t>.</w:t>
      </w:r>
      <w:r w:rsidRPr="00303725">
        <w:rPr>
          <w:rFonts w:ascii="Arial" w:hAnsi="Arial" w:cs="Arial"/>
          <w:sz w:val="20"/>
          <w:szCs w:val="20"/>
        </w:rPr>
        <w:t>, Ten Broek</w:t>
      </w:r>
      <w:r w:rsidR="005C5308" w:rsidRPr="00303725">
        <w:rPr>
          <w:rFonts w:ascii="Arial" w:hAnsi="Arial" w:cs="Arial"/>
          <w:sz w:val="20"/>
          <w:szCs w:val="20"/>
        </w:rPr>
        <w:t>,</w:t>
      </w:r>
      <w:r w:rsidRPr="00303725">
        <w:rPr>
          <w:rFonts w:ascii="Arial" w:hAnsi="Arial" w:cs="Arial"/>
          <w:sz w:val="20"/>
          <w:szCs w:val="20"/>
        </w:rPr>
        <w:t xml:space="preserve"> C</w:t>
      </w:r>
      <w:r w:rsidR="005C5308" w:rsidRPr="00303725">
        <w:rPr>
          <w:rFonts w:ascii="Arial" w:hAnsi="Arial" w:cs="Arial"/>
          <w:sz w:val="20"/>
          <w:szCs w:val="20"/>
        </w:rPr>
        <w:t>.</w:t>
      </w:r>
      <w:r w:rsidRPr="00303725">
        <w:rPr>
          <w:rFonts w:ascii="Arial" w:hAnsi="Arial" w:cs="Arial"/>
          <w:sz w:val="20"/>
          <w:szCs w:val="20"/>
        </w:rPr>
        <w:t>M</w:t>
      </w:r>
      <w:r w:rsidR="005C5308" w:rsidRPr="00303725">
        <w:rPr>
          <w:rFonts w:ascii="Arial" w:hAnsi="Arial" w:cs="Arial"/>
          <w:sz w:val="20"/>
          <w:szCs w:val="20"/>
        </w:rPr>
        <w:t>.</w:t>
      </w:r>
      <w:r w:rsidRPr="00303725">
        <w:rPr>
          <w:rFonts w:ascii="Arial" w:hAnsi="Arial" w:cs="Arial"/>
          <w:sz w:val="20"/>
          <w:szCs w:val="20"/>
        </w:rPr>
        <w:t>, Van Dongen</w:t>
      </w:r>
      <w:r w:rsidR="005C5308" w:rsidRPr="00303725">
        <w:rPr>
          <w:rFonts w:ascii="Arial" w:hAnsi="Arial" w:cs="Arial"/>
          <w:sz w:val="20"/>
          <w:szCs w:val="20"/>
        </w:rPr>
        <w:t>,</w:t>
      </w:r>
      <w:r w:rsidRPr="00303725">
        <w:rPr>
          <w:rFonts w:ascii="Arial" w:hAnsi="Arial" w:cs="Arial"/>
          <w:sz w:val="20"/>
          <w:szCs w:val="20"/>
        </w:rPr>
        <w:t xml:space="preserve"> S</w:t>
      </w:r>
      <w:r w:rsidR="005C5308" w:rsidRPr="00303725">
        <w:rPr>
          <w:rFonts w:ascii="Arial" w:hAnsi="Arial" w:cs="Arial"/>
          <w:sz w:val="20"/>
          <w:szCs w:val="20"/>
        </w:rPr>
        <w:t>.</w:t>
      </w:r>
      <w:r w:rsidRPr="00303725">
        <w:rPr>
          <w:rFonts w:ascii="Arial" w:hAnsi="Arial" w:cs="Arial"/>
          <w:sz w:val="20"/>
          <w:szCs w:val="20"/>
        </w:rPr>
        <w:t xml:space="preserve">, </w:t>
      </w:r>
      <w:r w:rsidR="005C5308" w:rsidRPr="00303725">
        <w:rPr>
          <w:rFonts w:ascii="Arial" w:hAnsi="Arial" w:cs="Arial"/>
          <w:sz w:val="20"/>
          <w:szCs w:val="20"/>
        </w:rPr>
        <w:t xml:space="preserve">&amp; </w:t>
      </w:r>
      <w:proofErr w:type="spellStart"/>
      <w:r w:rsidRPr="00303725">
        <w:rPr>
          <w:rFonts w:ascii="Arial" w:hAnsi="Arial" w:cs="Arial"/>
          <w:sz w:val="20"/>
          <w:szCs w:val="20"/>
        </w:rPr>
        <w:t>Wijnaendts</w:t>
      </w:r>
      <w:proofErr w:type="spellEnd"/>
      <w:r w:rsidR="005C5308" w:rsidRPr="00303725">
        <w:rPr>
          <w:rFonts w:ascii="Arial" w:hAnsi="Arial" w:cs="Arial"/>
          <w:sz w:val="20"/>
          <w:szCs w:val="20"/>
        </w:rPr>
        <w:t>,</w:t>
      </w:r>
      <w:r w:rsidRPr="00303725">
        <w:rPr>
          <w:rFonts w:ascii="Arial" w:hAnsi="Arial" w:cs="Arial"/>
          <w:sz w:val="20"/>
          <w:szCs w:val="20"/>
        </w:rPr>
        <w:t xml:space="preserve"> L</w:t>
      </w:r>
      <w:r w:rsidR="005C5308" w:rsidRPr="00303725">
        <w:rPr>
          <w:rFonts w:ascii="Arial" w:hAnsi="Arial" w:cs="Arial"/>
          <w:sz w:val="20"/>
          <w:szCs w:val="20"/>
        </w:rPr>
        <w:t>.</w:t>
      </w:r>
      <w:r w:rsidRPr="00303725">
        <w:rPr>
          <w:rFonts w:ascii="Arial" w:hAnsi="Arial" w:cs="Arial"/>
          <w:sz w:val="20"/>
          <w:szCs w:val="20"/>
        </w:rPr>
        <w:t xml:space="preserve">C. </w:t>
      </w:r>
      <w:r w:rsidR="005C5308" w:rsidRPr="00303725">
        <w:rPr>
          <w:rFonts w:ascii="Arial" w:hAnsi="Arial" w:cs="Arial"/>
          <w:sz w:val="20"/>
          <w:szCs w:val="20"/>
        </w:rPr>
        <w:t>(</w:t>
      </w:r>
      <w:r w:rsidRPr="00303725">
        <w:rPr>
          <w:rFonts w:ascii="Arial" w:hAnsi="Arial" w:cs="Arial"/>
          <w:sz w:val="20"/>
          <w:szCs w:val="20"/>
        </w:rPr>
        <w:t>2010</w:t>
      </w:r>
      <w:r w:rsidR="005C5308" w:rsidRPr="00303725">
        <w:rPr>
          <w:rFonts w:ascii="Arial" w:hAnsi="Arial" w:cs="Arial"/>
          <w:sz w:val="20"/>
          <w:szCs w:val="20"/>
        </w:rPr>
        <w:t>)</w:t>
      </w:r>
      <w:r w:rsidRPr="00303725">
        <w:rPr>
          <w:rFonts w:ascii="Arial" w:hAnsi="Arial" w:cs="Arial"/>
          <w:sz w:val="20"/>
          <w:szCs w:val="20"/>
        </w:rPr>
        <w:t xml:space="preserve">. Sexual dimorphism in the prenatal digit ratio (2D: 4D). Arch Sex </w:t>
      </w:r>
      <w:proofErr w:type="spellStart"/>
      <w:r w:rsidRPr="00303725">
        <w:rPr>
          <w:rFonts w:ascii="Arial" w:hAnsi="Arial" w:cs="Arial"/>
          <w:sz w:val="20"/>
          <w:szCs w:val="20"/>
        </w:rPr>
        <w:t>Behav</w:t>
      </w:r>
      <w:proofErr w:type="spellEnd"/>
      <w:r w:rsidR="005C5308" w:rsidRPr="00303725">
        <w:rPr>
          <w:rFonts w:ascii="Arial" w:hAnsi="Arial" w:cs="Arial"/>
          <w:sz w:val="20"/>
          <w:szCs w:val="20"/>
        </w:rPr>
        <w:t>.,</w:t>
      </w:r>
      <w:r w:rsidRPr="00303725">
        <w:rPr>
          <w:rFonts w:ascii="Arial" w:hAnsi="Arial" w:cs="Arial"/>
          <w:sz w:val="20"/>
          <w:szCs w:val="20"/>
        </w:rPr>
        <w:t xml:space="preserve"> 39:57–62.</w:t>
      </w:r>
    </w:p>
    <w:p w14:paraId="1E63E57A"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 xml:space="preserve">Ghosh, K., Chatterjee, D., &amp; Bandyopadhyay, A. R. (2024). </w:t>
      </w:r>
      <w:r w:rsidR="005C5308" w:rsidRPr="00303725">
        <w:rPr>
          <w:rFonts w:ascii="Arial" w:hAnsi="Arial" w:cs="Arial"/>
          <w:sz w:val="20"/>
          <w:szCs w:val="20"/>
        </w:rPr>
        <w:t>Association of digit ratios (2D: 4D) and age at menopause: possibility of an economizing biomarker</w:t>
      </w:r>
      <w:r w:rsidRPr="00303725">
        <w:rPr>
          <w:rFonts w:ascii="Arial" w:hAnsi="Arial" w:cs="Arial"/>
          <w:sz w:val="20"/>
          <w:szCs w:val="20"/>
        </w:rPr>
        <w:t>. </w:t>
      </w:r>
      <w:r w:rsidRPr="00303725">
        <w:rPr>
          <w:rFonts w:ascii="Arial" w:hAnsi="Arial" w:cs="Arial"/>
          <w:iCs/>
          <w:sz w:val="20"/>
          <w:szCs w:val="20"/>
        </w:rPr>
        <w:t>Anthropologie</w:t>
      </w:r>
      <w:r w:rsidRPr="00303725">
        <w:rPr>
          <w:rFonts w:ascii="Arial" w:hAnsi="Arial" w:cs="Arial"/>
          <w:sz w:val="20"/>
          <w:szCs w:val="20"/>
        </w:rPr>
        <w:t>, </w:t>
      </w:r>
      <w:r w:rsidRPr="00303725">
        <w:rPr>
          <w:rFonts w:ascii="Arial" w:hAnsi="Arial" w:cs="Arial"/>
          <w:iCs/>
          <w:sz w:val="20"/>
          <w:szCs w:val="20"/>
        </w:rPr>
        <w:t>62</w:t>
      </w:r>
      <w:r w:rsidRPr="00303725">
        <w:rPr>
          <w:rFonts w:ascii="Arial" w:hAnsi="Arial" w:cs="Arial"/>
          <w:sz w:val="20"/>
          <w:szCs w:val="20"/>
        </w:rPr>
        <w:t>(2), 151-155.</w:t>
      </w:r>
    </w:p>
    <w:p w14:paraId="79673410" w14:textId="77777777" w:rsidR="001B2624" w:rsidRPr="00303725" w:rsidRDefault="005C5308"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Gold, E.</w:t>
      </w:r>
      <w:r w:rsidR="001B2624" w:rsidRPr="00303725">
        <w:rPr>
          <w:rFonts w:ascii="Arial" w:hAnsi="Arial" w:cs="Arial"/>
          <w:sz w:val="20"/>
          <w:szCs w:val="20"/>
        </w:rPr>
        <w:t xml:space="preserve">B. (2011). The timing of the age at which natural menopause occurs. Obstetrics and </w:t>
      </w:r>
      <w:proofErr w:type="spellStart"/>
      <w:r w:rsidR="002D683A" w:rsidRPr="00303725">
        <w:rPr>
          <w:rFonts w:ascii="Arial" w:hAnsi="Arial" w:cs="Arial"/>
          <w:sz w:val="20"/>
          <w:szCs w:val="20"/>
        </w:rPr>
        <w:t>Gynaecology</w:t>
      </w:r>
      <w:proofErr w:type="spellEnd"/>
      <w:r w:rsidRPr="00303725">
        <w:rPr>
          <w:rFonts w:ascii="Arial" w:hAnsi="Arial" w:cs="Arial"/>
          <w:sz w:val="20"/>
          <w:szCs w:val="20"/>
        </w:rPr>
        <w:t xml:space="preserve"> Clinics North America, 38:</w:t>
      </w:r>
      <w:r w:rsidR="001B2624" w:rsidRPr="00303725">
        <w:rPr>
          <w:rFonts w:ascii="Arial" w:hAnsi="Arial" w:cs="Arial"/>
          <w:sz w:val="20"/>
          <w:szCs w:val="20"/>
        </w:rPr>
        <w:t>425–440.</w:t>
      </w:r>
    </w:p>
    <w:p w14:paraId="0745333E"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proofErr w:type="spellStart"/>
      <w:r w:rsidRPr="00303725">
        <w:rPr>
          <w:rFonts w:ascii="Arial" w:hAnsi="Arial" w:cs="Arial"/>
          <w:sz w:val="20"/>
          <w:szCs w:val="20"/>
        </w:rPr>
        <w:t>Gwunireama</w:t>
      </w:r>
      <w:proofErr w:type="spellEnd"/>
      <w:r w:rsidR="005C5308" w:rsidRPr="00303725">
        <w:rPr>
          <w:rFonts w:ascii="Arial" w:hAnsi="Arial" w:cs="Arial"/>
          <w:sz w:val="20"/>
          <w:szCs w:val="20"/>
        </w:rPr>
        <w:t>,</w:t>
      </w:r>
      <w:r w:rsidRPr="00303725">
        <w:rPr>
          <w:rFonts w:ascii="Arial" w:hAnsi="Arial" w:cs="Arial"/>
          <w:sz w:val="20"/>
          <w:szCs w:val="20"/>
        </w:rPr>
        <w:t xml:space="preserve"> I</w:t>
      </w:r>
      <w:r w:rsidR="005C5308" w:rsidRPr="00303725">
        <w:rPr>
          <w:rFonts w:ascii="Arial" w:hAnsi="Arial" w:cs="Arial"/>
          <w:sz w:val="20"/>
          <w:szCs w:val="20"/>
        </w:rPr>
        <w:t>.</w:t>
      </w:r>
      <w:r w:rsidRPr="00303725">
        <w:rPr>
          <w:rFonts w:ascii="Arial" w:hAnsi="Arial" w:cs="Arial"/>
          <w:sz w:val="20"/>
          <w:szCs w:val="20"/>
        </w:rPr>
        <w:t>U</w:t>
      </w:r>
      <w:r w:rsidR="005C5308" w:rsidRPr="00303725">
        <w:rPr>
          <w:rFonts w:ascii="Arial" w:hAnsi="Arial" w:cs="Arial"/>
          <w:sz w:val="20"/>
          <w:szCs w:val="20"/>
        </w:rPr>
        <w:t>.</w:t>
      </w:r>
      <w:r w:rsidRPr="00303725">
        <w:rPr>
          <w:rFonts w:ascii="Arial" w:hAnsi="Arial" w:cs="Arial"/>
          <w:sz w:val="20"/>
          <w:szCs w:val="20"/>
        </w:rPr>
        <w:t xml:space="preserve">, </w:t>
      </w:r>
      <w:r w:rsidR="005C5308" w:rsidRPr="00303725">
        <w:rPr>
          <w:rFonts w:ascii="Arial" w:hAnsi="Arial" w:cs="Arial"/>
          <w:sz w:val="20"/>
          <w:szCs w:val="20"/>
        </w:rPr>
        <w:t xml:space="preserve">&amp; </w:t>
      </w:r>
      <w:r w:rsidRPr="00303725">
        <w:rPr>
          <w:rFonts w:ascii="Arial" w:hAnsi="Arial" w:cs="Arial"/>
          <w:sz w:val="20"/>
          <w:szCs w:val="20"/>
        </w:rPr>
        <w:t>Collins</w:t>
      </w:r>
      <w:r w:rsidR="005C5308" w:rsidRPr="00303725">
        <w:rPr>
          <w:rFonts w:ascii="Arial" w:hAnsi="Arial" w:cs="Arial"/>
          <w:sz w:val="20"/>
          <w:szCs w:val="20"/>
        </w:rPr>
        <w:t>,</w:t>
      </w:r>
      <w:r w:rsidRPr="00303725">
        <w:rPr>
          <w:rFonts w:ascii="Arial" w:hAnsi="Arial" w:cs="Arial"/>
          <w:sz w:val="20"/>
          <w:szCs w:val="20"/>
        </w:rPr>
        <w:t xml:space="preserve"> G</w:t>
      </w:r>
      <w:r w:rsidR="005C5308" w:rsidRPr="00303725">
        <w:rPr>
          <w:rFonts w:ascii="Arial" w:hAnsi="Arial" w:cs="Arial"/>
          <w:sz w:val="20"/>
          <w:szCs w:val="20"/>
        </w:rPr>
        <w:t>.</w:t>
      </w:r>
      <w:r w:rsidRPr="00303725">
        <w:rPr>
          <w:rFonts w:ascii="Arial" w:hAnsi="Arial" w:cs="Arial"/>
          <w:sz w:val="20"/>
          <w:szCs w:val="20"/>
        </w:rPr>
        <w:t xml:space="preserve">U. </w:t>
      </w:r>
      <w:r w:rsidR="005C5308" w:rsidRPr="00303725">
        <w:rPr>
          <w:rFonts w:ascii="Arial" w:hAnsi="Arial" w:cs="Arial"/>
          <w:sz w:val="20"/>
          <w:szCs w:val="20"/>
        </w:rPr>
        <w:t xml:space="preserve">(2025). </w:t>
      </w:r>
      <w:r w:rsidRPr="00303725">
        <w:rPr>
          <w:rFonts w:ascii="Arial" w:hAnsi="Arial" w:cs="Arial"/>
          <w:sz w:val="20"/>
          <w:szCs w:val="20"/>
        </w:rPr>
        <w:t xml:space="preserve">Comparative study of the digit ratio and hand pattern of the Ogoni and </w:t>
      </w:r>
      <w:proofErr w:type="spellStart"/>
      <w:r w:rsidRPr="00303725">
        <w:rPr>
          <w:rFonts w:ascii="Arial" w:hAnsi="Arial" w:cs="Arial"/>
          <w:sz w:val="20"/>
          <w:szCs w:val="20"/>
        </w:rPr>
        <w:t>Ikwerre</w:t>
      </w:r>
      <w:proofErr w:type="spellEnd"/>
      <w:r w:rsidRPr="00303725">
        <w:rPr>
          <w:rFonts w:ascii="Arial" w:hAnsi="Arial" w:cs="Arial"/>
          <w:sz w:val="20"/>
          <w:szCs w:val="20"/>
        </w:rPr>
        <w:t xml:space="preserve"> ethnic groups in Rivers State, Nigeria. J</w:t>
      </w:r>
      <w:r w:rsidR="005C5308" w:rsidRPr="00303725">
        <w:rPr>
          <w:rFonts w:ascii="Arial" w:hAnsi="Arial" w:cs="Arial"/>
          <w:sz w:val="20"/>
          <w:szCs w:val="20"/>
        </w:rPr>
        <w:t xml:space="preserve">orjani Biomedicine Journal, </w:t>
      </w:r>
      <w:r w:rsidRPr="00303725">
        <w:rPr>
          <w:rFonts w:ascii="Arial" w:hAnsi="Arial" w:cs="Arial"/>
          <w:sz w:val="20"/>
          <w:szCs w:val="20"/>
        </w:rPr>
        <w:t>13(X):X. http://dx.doi.org/10.29252/jorjanibiomedj.13.X.X</w:t>
      </w:r>
    </w:p>
    <w:p w14:paraId="04CB7485"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proofErr w:type="spellStart"/>
      <w:r w:rsidRPr="00303725">
        <w:rPr>
          <w:rFonts w:ascii="Arial" w:hAnsi="Arial" w:cs="Arial"/>
          <w:sz w:val="20"/>
          <w:szCs w:val="20"/>
        </w:rPr>
        <w:t>Gwunireama</w:t>
      </w:r>
      <w:proofErr w:type="spellEnd"/>
      <w:r w:rsidR="005C5308" w:rsidRPr="00303725">
        <w:rPr>
          <w:rFonts w:ascii="Arial" w:hAnsi="Arial" w:cs="Arial"/>
          <w:sz w:val="20"/>
          <w:szCs w:val="20"/>
        </w:rPr>
        <w:t>,</w:t>
      </w:r>
      <w:r w:rsidRPr="00303725">
        <w:rPr>
          <w:rFonts w:ascii="Arial" w:hAnsi="Arial" w:cs="Arial"/>
          <w:sz w:val="20"/>
          <w:szCs w:val="20"/>
        </w:rPr>
        <w:t xml:space="preserve"> I</w:t>
      </w:r>
      <w:r w:rsidR="005C5308" w:rsidRPr="00303725">
        <w:rPr>
          <w:rFonts w:ascii="Arial" w:hAnsi="Arial" w:cs="Arial"/>
          <w:sz w:val="20"/>
          <w:szCs w:val="20"/>
        </w:rPr>
        <w:t>.</w:t>
      </w:r>
      <w:r w:rsidRPr="00303725">
        <w:rPr>
          <w:rFonts w:ascii="Arial" w:hAnsi="Arial" w:cs="Arial"/>
          <w:sz w:val="20"/>
          <w:szCs w:val="20"/>
        </w:rPr>
        <w:t>U</w:t>
      </w:r>
      <w:r w:rsidR="005C5308" w:rsidRPr="00303725">
        <w:rPr>
          <w:rFonts w:ascii="Arial" w:hAnsi="Arial" w:cs="Arial"/>
          <w:sz w:val="20"/>
          <w:szCs w:val="20"/>
        </w:rPr>
        <w:t>.</w:t>
      </w:r>
      <w:r w:rsidRPr="00303725">
        <w:rPr>
          <w:rFonts w:ascii="Arial" w:hAnsi="Arial" w:cs="Arial"/>
          <w:sz w:val="20"/>
          <w:szCs w:val="20"/>
        </w:rPr>
        <w:t xml:space="preserve">, </w:t>
      </w:r>
      <w:proofErr w:type="spellStart"/>
      <w:r w:rsidRPr="00303725">
        <w:rPr>
          <w:rFonts w:ascii="Arial" w:hAnsi="Arial" w:cs="Arial"/>
          <w:sz w:val="20"/>
          <w:szCs w:val="20"/>
        </w:rPr>
        <w:t>Osunwoke</w:t>
      </w:r>
      <w:proofErr w:type="spellEnd"/>
      <w:r w:rsidR="005C5308" w:rsidRPr="00303725">
        <w:rPr>
          <w:rFonts w:ascii="Arial" w:hAnsi="Arial" w:cs="Arial"/>
          <w:sz w:val="20"/>
          <w:szCs w:val="20"/>
        </w:rPr>
        <w:t>,</w:t>
      </w:r>
      <w:r w:rsidRPr="00303725">
        <w:rPr>
          <w:rFonts w:ascii="Arial" w:hAnsi="Arial" w:cs="Arial"/>
          <w:sz w:val="20"/>
          <w:szCs w:val="20"/>
        </w:rPr>
        <w:t xml:space="preserve"> E</w:t>
      </w:r>
      <w:r w:rsidR="005C5308" w:rsidRPr="00303725">
        <w:rPr>
          <w:rFonts w:ascii="Arial" w:hAnsi="Arial" w:cs="Arial"/>
          <w:sz w:val="20"/>
          <w:szCs w:val="20"/>
        </w:rPr>
        <w:t>.</w:t>
      </w:r>
      <w:r w:rsidRPr="00303725">
        <w:rPr>
          <w:rFonts w:ascii="Arial" w:hAnsi="Arial" w:cs="Arial"/>
          <w:sz w:val="20"/>
          <w:szCs w:val="20"/>
        </w:rPr>
        <w:t>A</w:t>
      </w:r>
      <w:r w:rsidR="005C5308" w:rsidRPr="00303725">
        <w:rPr>
          <w:rFonts w:ascii="Arial" w:hAnsi="Arial" w:cs="Arial"/>
          <w:sz w:val="20"/>
          <w:szCs w:val="20"/>
        </w:rPr>
        <w:t>.</w:t>
      </w:r>
      <w:r w:rsidRPr="00303725">
        <w:rPr>
          <w:rFonts w:ascii="Arial" w:hAnsi="Arial" w:cs="Arial"/>
          <w:sz w:val="20"/>
          <w:szCs w:val="20"/>
        </w:rPr>
        <w:t xml:space="preserve">, </w:t>
      </w:r>
      <w:r w:rsidR="005C5308" w:rsidRPr="00303725">
        <w:rPr>
          <w:rFonts w:ascii="Arial" w:hAnsi="Arial" w:cs="Arial"/>
          <w:sz w:val="20"/>
          <w:szCs w:val="20"/>
        </w:rPr>
        <w:t xml:space="preserve">&amp; </w:t>
      </w:r>
      <w:proofErr w:type="spellStart"/>
      <w:r w:rsidRPr="00303725">
        <w:rPr>
          <w:rFonts w:ascii="Arial" w:hAnsi="Arial" w:cs="Arial"/>
          <w:sz w:val="20"/>
          <w:szCs w:val="20"/>
        </w:rPr>
        <w:t>Orish</w:t>
      </w:r>
      <w:proofErr w:type="spellEnd"/>
      <w:r w:rsidR="005C5308" w:rsidRPr="00303725">
        <w:rPr>
          <w:rFonts w:ascii="Arial" w:hAnsi="Arial" w:cs="Arial"/>
          <w:sz w:val="20"/>
          <w:szCs w:val="20"/>
        </w:rPr>
        <w:t>,</w:t>
      </w:r>
      <w:r w:rsidRPr="00303725">
        <w:rPr>
          <w:rFonts w:ascii="Arial" w:hAnsi="Arial" w:cs="Arial"/>
          <w:sz w:val="20"/>
          <w:szCs w:val="20"/>
        </w:rPr>
        <w:t xml:space="preserve"> C</w:t>
      </w:r>
      <w:r w:rsidR="005C5308" w:rsidRPr="00303725">
        <w:rPr>
          <w:rFonts w:ascii="Arial" w:hAnsi="Arial" w:cs="Arial"/>
          <w:sz w:val="20"/>
          <w:szCs w:val="20"/>
        </w:rPr>
        <w:t>.</w:t>
      </w:r>
      <w:r w:rsidRPr="00303725">
        <w:rPr>
          <w:rFonts w:ascii="Arial" w:hAnsi="Arial" w:cs="Arial"/>
          <w:sz w:val="20"/>
          <w:szCs w:val="20"/>
        </w:rPr>
        <w:t xml:space="preserve">N. </w:t>
      </w:r>
      <w:r w:rsidR="005C5308" w:rsidRPr="00303725">
        <w:rPr>
          <w:rFonts w:ascii="Arial" w:hAnsi="Arial" w:cs="Arial"/>
          <w:sz w:val="20"/>
          <w:szCs w:val="20"/>
        </w:rPr>
        <w:t xml:space="preserve">(2010). </w:t>
      </w:r>
      <w:r w:rsidRPr="00303725">
        <w:rPr>
          <w:rFonts w:ascii="Arial" w:hAnsi="Arial" w:cs="Arial"/>
          <w:sz w:val="20"/>
          <w:szCs w:val="20"/>
        </w:rPr>
        <w:t>Anthropometrical study of the second-and fourth-digit ratio of Andoni (</w:t>
      </w:r>
      <w:proofErr w:type="spellStart"/>
      <w:r w:rsidRPr="00303725">
        <w:rPr>
          <w:rFonts w:ascii="Arial" w:hAnsi="Arial" w:cs="Arial"/>
          <w:sz w:val="20"/>
          <w:szCs w:val="20"/>
        </w:rPr>
        <w:t>Obolo</w:t>
      </w:r>
      <w:proofErr w:type="spellEnd"/>
      <w:r w:rsidRPr="00303725">
        <w:rPr>
          <w:rFonts w:ascii="Arial" w:hAnsi="Arial" w:cs="Arial"/>
          <w:sz w:val="20"/>
          <w:szCs w:val="20"/>
        </w:rPr>
        <w:t xml:space="preserve">) Groups of Ijaw Ethnic Nationality </w:t>
      </w:r>
      <w:r w:rsidR="005C5308" w:rsidRPr="00303725">
        <w:rPr>
          <w:rFonts w:ascii="Arial" w:hAnsi="Arial" w:cs="Arial"/>
          <w:sz w:val="20"/>
          <w:szCs w:val="20"/>
        </w:rPr>
        <w:t xml:space="preserve">in Nigeria. J Appl Biosci., </w:t>
      </w:r>
      <w:r w:rsidRPr="00303725">
        <w:rPr>
          <w:rFonts w:ascii="Arial" w:hAnsi="Arial" w:cs="Arial"/>
          <w:sz w:val="20"/>
          <w:szCs w:val="20"/>
        </w:rPr>
        <w:t>27:1732-5.</w:t>
      </w:r>
    </w:p>
    <w:p w14:paraId="0C41BF21" w14:textId="3A6DCEB0" w:rsidR="001B2624" w:rsidRPr="00303725" w:rsidRDefault="001B2624" w:rsidP="00303725">
      <w:pPr>
        <w:pStyle w:val="ListParagraph"/>
        <w:numPr>
          <w:ilvl w:val="0"/>
          <w:numId w:val="2"/>
        </w:numPr>
        <w:spacing w:line="240" w:lineRule="auto"/>
        <w:jc w:val="both"/>
        <w:rPr>
          <w:rFonts w:ascii="Arial" w:hAnsi="Arial" w:cs="Arial"/>
          <w:sz w:val="20"/>
          <w:szCs w:val="20"/>
        </w:rPr>
      </w:pPr>
      <w:proofErr w:type="spellStart"/>
      <w:r w:rsidRPr="00303725">
        <w:rPr>
          <w:rFonts w:ascii="Arial" w:hAnsi="Arial" w:cs="Arial"/>
          <w:sz w:val="20"/>
          <w:szCs w:val="20"/>
        </w:rPr>
        <w:t>Hönekopp</w:t>
      </w:r>
      <w:proofErr w:type="spellEnd"/>
      <w:r w:rsidRPr="00303725">
        <w:rPr>
          <w:rFonts w:ascii="Arial" w:hAnsi="Arial" w:cs="Arial"/>
          <w:sz w:val="20"/>
          <w:szCs w:val="20"/>
        </w:rPr>
        <w:t xml:space="preserve">, J., Bartholdt, L., Beier, L., &amp; Liebert, A. (2007). Second to fourth digit length ratio (2D:4D) and adult sex hormone levels: New data and a meta-analytic review. </w:t>
      </w:r>
      <w:proofErr w:type="spellStart"/>
      <w:r w:rsidRPr="00303725">
        <w:rPr>
          <w:rFonts w:ascii="Arial" w:hAnsi="Arial" w:cs="Arial"/>
          <w:iCs/>
          <w:sz w:val="20"/>
          <w:szCs w:val="20"/>
        </w:rPr>
        <w:t>Psychoneuroendocrinology</w:t>
      </w:r>
      <w:proofErr w:type="spellEnd"/>
      <w:r w:rsidRPr="00303725">
        <w:rPr>
          <w:rFonts w:ascii="Arial" w:hAnsi="Arial" w:cs="Arial"/>
          <w:i/>
          <w:iCs/>
          <w:sz w:val="20"/>
          <w:szCs w:val="20"/>
        </w:rPr>
        <w:t xml:space="preserve">, </w:t>
      </w:r>
      <w:r w:rsidRPr="00303725">
        <w:rPr>
          <w:rFonts w:ascii="Arial" w:hAnsi="Arial" w:cs="Arial"/>
          <w:iCs/>
          <w:sz w:val="20"/>
          <w:szCs w:val="20"/>
        </w:rPr>
        <w:t>32</w:t>
      </w:r>
      <w:r w:rsidRPr="00303725">
        <w:rPr>
          <w:rFonts w:ascii="Arial" w:hAnsi="Arial" w:cs="Arial"/>
          <w:sz w:val="20"/>
          <w:szCs w:val="20"/>
        </w:rPr>
        <w:t>(4), 313-321.</w:t>
      </w:r>
    </w:p>
    <w:p w14:paraId="219F0DE8" w14:textId="6DE53A32" w:rsidR="00566BF9" w:rsidRPr="00303725" w:rsidRDefault="00566BF9" w:rsidP="00303725">
      <w:pPr>
        <w:pStyle w:val="ListParagraph"/>
        <w:numPr>
          <w:ilvl w:val="0"/>
          <w:numId w:val="2"/>
        </w:numPr>
        <w:spacing w:line="240" w:lineRule="auto"/>
        <w:jc w:val="both"/>
        <w:rPr>
          <w:rFonts w:ascii="Arial" w:hAnsi="Arial" w:cs="Arial"/>
          <w:sz w:val="20"/>
          <w:szCs w:val="20"/>
        </w:rPr>
      </w:pPr>
      <w:r w:rsidRPr="00303725">
        <w:rPr>
          <w:rFonts w:ascii="Arial" w:hAnsi="Arial" w:cs="Arial"/>
          <w:bCs/>
          <w:sz w:val="20"/>
          <w:szCs w:val="20"/>
          <w:highlight w:val="yellow"/>
        </w:rPr>
        <w:lastRenderedPageBreak/>
        <w:t>Hu, A., Xiong, L., Wei, H., Yuan, L., Li, Y., Qin, H., Chen, F. and Liu, T., (2025). Association of menarche, menopause, and reproductive history with cognitive performance in older US women: a cross-sectional study from NHANES 2011–2014. BMC Public Health, 25(1), 1811</w:t>
      </w:r>
    </w:p>
    <w:p w14:paraId="514DF9ED" w14:textId="77777777" w:rsidR="001B2624" w:rsidRPr="00303725" w:rsidRDefault="001B2624" w:rsidP="00303725">
      <w:pPr>
        <w:pStyle w:val="ListParagraph"/>
        <w:numPr>
          <w:ilvl w:val="0"/>
          <w:numId w:val="2"/>
        </w:numPr>
        <w:spacing w:line="240" w:lineRule="auto"/>
        <w:jc w:val="both"/>
        <w:rPr>
          <w:rFonts w:ascii="Arial" w:hAnsi="Arial" w:cs="Arial"/>
          <w:color w:val="222222"/>
          <w:sz w:val="20"/>
          <w:szCs w:val="20"/>
          <w:shd w:val="clear" w:color="auto" w:fill="FFFFFF"/>
        </w:rPr>
      </w:pPr>
      <w:proofErr w:type="spellStart"/>
      <w:r w:rsidRPr="00303725">
        <w:rPr>
          <w:rFonts w:ascii="Arial" w:hAnsi="Arial" w:cs="Arial"/>
          <w:color w:val="222222"/>
          <w:sz w:val="20"/>
          <w:szCs w:val="20"/>
          <w:shd w:val="clear" w:color="auto" w:fill="FFFFFF"/>
        </w:rPr>
        <w:t>Jeevanandam</w:t>
      </w:r>
      <w:proofErr w:type="spellEnd"/>
      <w:r w:rsidRPr="00303725">
        <w:rPr>
          <w:rFonts w:ascii="Arial" w:hAnsi="Arial" w:cs="Arial"/>
          <w:color w:val="222222"/>
          <w:sz w:val="20"/>
          <w:szCs w:val="20"/>
          <w:shd w:val="clear" w:color="auto" w:fill="FFFFFF"/>
        </w:rPr>
        <w:t>, S., &amp; Muthu, P. K. (2016). 2D: 4D ratio and its implications in medicine. </w:t>
      </w:r>
      <w:r w:rsidRPr="00303725">
        <w:rPr>
          <w:rFonts w:ascii="Arial" w:hAnsi="Arial" w:cs="Arial"/>
          <w:iCs/>
          <w:color w:val="222222"/>
          <w:sz w:val="20"/>
          <w:szCs w:val="20"/>
          <w:shd w:val="clear" w:color="auto" w:fill="FFFFFF"/>
        </w:rPr>
        <w:t>Journal of clinical and diagnostic research</w:t>
      </w:r>
      <w:r w:rsidRPr="00303725">
        <w:rPr>
          <w:rFonts w:ascii="Arial" w:hAnsi="Arial" w:cs="Arial"/>
          <w:color w:val="222222"/>
          <w:sz w:val="20"/>
          <w:szCs w:val="20"/>
          <w:shd w:val="clear" w:color="auto" w:fill="FFFFFF"/>
        </w:rPr>
        <w:t>, </w:t>
      </w:r>
      <w:r w:rsidRPr="00303725">
        <w:rPr>
          <w:rFonts w:ascii="Arial" w:hAnsi="Arial" w:cs="Arial"/>
          <w:iCs/>
          <w:color w:val="222222"/>
          <w:sz w:val="20"/>
          <w:szCs w:val="20"/>
          <w:shd w:val="clear" w:color="auto" w:fill="FFFFFF"/>
        </w:rPr>
        <w:t>10</w:t>
      </w:r>
      <w:r w:rsidRPr="00303725">
        <w:rPr>
          <w:rFonts w:ascii="Arial" w:hAnsi="Arial" w:cs="Arial"/>
          <w:color w:val="222222"/>
          <w:sz w:val="20"/>
          <w:szCs w:val="20"/>
          <w:shd w:val="clear" w:color="auto" w:fill="FFFFFF"/>
        </w:rPr>
        <w:t>(12), CM01.</w:t>
      </w:r>
    </w:p>
    <w:p w14:paraId="3779E7FE"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Kalichman</w:t>
      </w:r>
      <w:r w:rsidR="005C5308" w:rsidRPr="00303725">
        <w:rPr>
          <w:rFonts w:ascii="Arial" w:hAnsi="Arial" w:cs="Arial"/>
          <w:sz w:val="20"/>
          <w:szCs w:val="20"/>
        </w:rPr>
        <w:t>,</w:t>
      </w:r>
      <w:r w:rsidRPr="00303725">
        <w:rPr>
          <w:rFonts w:ascii="Arial" w:hAnsi="Arial" w:cs="Arial"/>
          <w:sz w:val="20"/>
          <w:szCs w:val="20"/>
        </w:rPr>
        <w:t xml:space="preserve"> L</w:t>
      </w:r>
      <w:r w:rsidR="005C5308" w:rsidRPr="00303725">
        <w:rPr>
          <w:rFonts w:ascii="Arial" w:hAnsi="Arial" w:cs="Arial"/>
          <w:sz w:val="20"/>
          <w:szCs w:val="20"/>
        </w:rPr>
        <w:t>.</w:t>
      </w:r>
      <w:r w:rsidRPr="00303725">
        <w:rPr>
          <w:rFonts w:ascii="Arial" w:hAnsi="Arial" w:cs="Arial"/>
          <w:sz w:val="20"/>
          <w:szCs w:val="20"/>
        </w:rPr>
        <w:t xml:space="preserve">, </w:t>
      </w:r>
      <w:proofErr w:type="spellStart"/>
      <w:r w:rsidRPr="00303725">
        <w:rPr>
          <w:rFonts w:ascii="Arial" w:hAnsi="Arial" w:cs="Arial"/>
          <w:sz w:val="20"/>
          <w:szCs w:val="20"/>
        </w:rPr>
        <w:t>Batsevich</w:t>
      </w:r>
      <w:proofErr w:type="spellEnd"/>
      <w:r w:rsidR="005C5308" w:rsidRPr="00303725">
        <w:rPr>
          <w:rFonts w:ascii="Arial" w:hAnsi="Arial" w:cs="Arial"/>
          <w:sz w:val="20"/>
          <w:szCs w:val="20"/>
        </w:rPr>
        <w:t>,</w:t>
      </w:r>
      <w:r w:rsidRPr="00303725">
        <w:rPr>
          <w:rFonts w:ascii="Arial" w:hAnsi="Arial" w:cs="Arial"/>
          <w:sz w:val="20"/>
          <w:szCs w:val="20"/>
        </w:rPr>
        <w:t xml:space="preserve"> V</w:t>
      </w:r>
      <w:r w:rsidR="005C5308" w:rsidRPr="00303725">
        <w:rPr>
          <w:rFonts w:ascii="Arial" w:hAnsi="Arial" w:cs="Arial"/>
          <w:sz w:val="20"/>
          <w:szCs w:val="20"/>
        </w:rPr>
        <w:t>.</w:t>
      </w:r>
      <w:r w:rsidRPr="00303725">
        <w:rPr>
          <w:rFonts w:ascii="Arial" w:hAnsi="Arial" w:cs="Arial"/>
          <w:sz w:val="20"/>
          <w:szCs w:val="20"/>
        </w:rPr>
        <w:t xml:space="preserve">, </w:t>
      </w:r>
      <w:r w:rsidR="005C5308" w:rsidRPr="00303725">
        <w:rPr>
          <w:rFonts w:ascii="Arial" w:hAnsi="Arial" w:cs="Arial"/>
          <w:sz w:val="20"/>
          <w:szCs w:val="20"/>
        </w:rPr>
        <w:t xml:space="preserve">&amp; </w:t>
      </w:r>
      <w:proofErr w:type="spellStart"/>
      <w:r w:rsidRPr="00303725">
        <w:rPr>
          <w:rFonts w:ascii="Arial" w:hAnsi="Arial" w:cs="Arial"/>
          <w:sz w:val="20"/>
          <w:szCs w:val="20"/>
        </w:rPr>
        <w:t>Kobyliansky</w:t>
      </w:r>
      <w:proofErr w:type="spellEnd"/>
      <w:r w:rsidR="005C5308" w:rsidRPr="00303725">
        <w:rPr>
          <w:rFonts w:ascii="Arial" w:hAnsi="Arial" w:cs="Arial"/>
          <w:sz w:val="20"/>
          <w:szCs w:val="20"/>
        </w:rPr>
        <w:t>,</w:t>
      </w:r>
      <w:r w:rsidRPr="00303725">
        <w:rPr>
          <w:rFonts w:ascii="Arial" w:hAnsi="Arial" w:cs="Arial"/>
          <w:sz w:val="20"/>
          <w:szCs w:val="20"/>
        </w:rPr>
        <w:t xml:space="preserve"> E. </w:t>
      </w:r>
      <w:r w:rsidR="005C5308" w:rsidRPr="00303725">
        <w:rPr>
          <w:rFonts w:ascii="Arial" w:hAnsi="Arial" w:cs="Arial"/>
          <w:sz w:val="20"/>
          <w:szCs w:val="20"/>
        </w:rPr>
        <w:t>(</w:t>
      </w:r>
      <w:r w:rsidRPr="00303725">
        <w:rPr>
          <w:rFonts w:ascii="Arial" w:hAnsi="Arial" w:cs="Arial"/>
          <w:sz w:val="20"/>
          <w:szCs w:val="20"/>
        </w:rPr>
        <w:t>2013</w:t>
      </w:r>
      <w:r w:rsidR="005C5308" w:rsidRPr="00303725">
        <w:rPr>
          <w:rFonts w:ascii="Arial" w:hAnsi="Arial" w:cs="Arial"/>
          <w:sz w:val="20"/>
          <w:szCs w:val="20"/>
        </w:rPr>
        <w:t>)</w:t>
      </w:r>
      <w:r w:rsidRPr="00303725">
        <w:rPr>
          <w:rFonts w:ascii="Arial" w:hAnsi="Arial" w:cs="Arial"/>
          <w:sz w:val="20"/>
          <w:szCs w:val="20"/>
        </w:rPr>
        <w:t>. 2D:4D finger length ratio and reproducti</w:t>
      </w:r>
      <w:r w:rsidR="005C5308" w:rsidRPr="00303725">
        <w:rPr>
          <w:rFonts w:ascii="Arial" w:hAnsi="Arial" w:cs="Arial"/>
          <w:sz w:val="20"/>
          <w:szCs w:val="20"/>
        </w:rPr>
        <w:t xml:space="preserve">ve indices in a </w:t>
      </w:r>
      <w:proofErr w:type="spellStart"/>
      <w:r w:rsidR="005C5308" w:rsidRPr="00303725">
        <w:rPr>
          <w:rFonts w:ascii="Arial" w:hAnsi="Arial" w:cs="Arial"/>
          <w:sz w:val="20"/>
          <w:szCs w:val="20"/>
        </w:rPr>
        <w:t>Chuvashian</w:t>
      </w:r>
      <w:proofErr w:type="spellEnd"/>
      <w:r w:rsidR="005C5308" w:rsidRPr="00303725">
        <w:rPr>
          <w:rFonts w:ascii="Arial" w:hAnsi="Arial" w:cs="Arial"/>
          <w:sz w:val="20"/>
          <w:szCs w:val="20"/>
        </w:rPr>
        <w:t xml:space="preserve"> popu</w:t>
      </w:r>
      <w:r w:rsidRPr="00303725">
        <w:rPr>
          <w:rFonts w:ascii="Arial" w:hAnsi="Arial" w:cs="Arial"/>
          <w:sz w:val="20"/>
          <w:szCs w:val="20"/>
        </w:rPr>
        <w:t>lation. Am J Hum Biol</w:t>
      </w:r>
      <w:r w:rsidR="005C5308" w:rsidRPr="00303725">
        <w:rPr>
          <w:rFonts w:ascii="Arial" w:hAnsi="Arial" w:cs="Arial"/>
          <w:sz w:val="20"/>
          <w:szCs w:val="20"/>
        </w:rPr>
        <w:t>.,</w:t>
      </w:r>
      <w:r w:rsidRPr="00303725">
        <w:rPr>
          <w:rFonts w:ascii="Arial" w:hAnsi="Arial" w:cs="Arial"/>
          <w:sz w:val="20"/>
          <w:szCs w:val="20"/>
        </w:rPr>
        <w:t xml:space="preserve"> 25:617–621.</w:t>
      </w:r>
    </w:p>
    <w:p w14:paraId="5AC5CE84" w14:textId="4AADEEC0"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 xml:space="preserve">Kalichman, L., </w:t>
      </w:r>
      <w:proofErr w:type="spellStart"/>
      <w:r w:rsidRPr="00303725">
        <w:rPr>
          <w:rFonts w:ascii="Arial" w:hAnsi="Arial" w:cs="Arial"/>
          <w:sz w:val="20"/>
          <w:szCs w:val="20"/>
        </w:rPr>
        <w:t>Batsevich</w:t>
      </w:r>
      <w:proofErr w:type="spellEnd"/>
      <w:r w:rsidRPr="00303725">
        <w:rPr>
          <w:rFonts w:ascii="Arial" w:hAnsi="Arial" w:cs="Arial"/>
          <w:sz w:val="20"/>
          <w:szCs w:val="20"/>
        </w:rPr>
        <w:t xml:space="preserve">, V., &amp; </w:t>
      </w:r>
      <w:proofErr w:type="spellStart"/>
      <w:r w:rsidRPr="00303725">
        <w:rPr>
          <w:rFonts w:ascii="Arial" w:hAnsi="Arial" w:cs="Arial"/>
          <w:sz w:val="20"/>
          <w:szCs w:val="20"/>
        </w:rPr>
        <w:t>Kobyliansky</w:t>
      </w:r>
      <w:proofErr w:type="spellEnd"/>
      <w:r w:rsidRPr="00303725">
        <w:rPr>
          <w:rFonts w:ascii="Arial" w:hAnsi="Arial" w:cs="Arial"/>
          <w:sz w:val="20"/>
          <w:szCs w:val="20"/>
        </w:rPr>
        <w:t xml:space="preserve">, E. (2019). Digit ratio (2D:4D) and its relations to age at menarche and menopause among females of </w:t>
      </w:r>
      <w:r w:rsidR="002D683A" w:rsidRPr="00303725">
        <w:rPr>
          <w:rFonts w:ascii="Arial" w:hAnsi="Arial" w:cs="Arial"/>
          <w:sz w:val="20"/>
          <w:szCs w:val="20"/>
        </w:rPr>
        <w:t xml:space="preserve">the </w:t>
      </w:r>
      <w:proofErr w:type="spellStart"/>
      <w:r w:rsidRPr="00303725">
        <w:rPr>
          <w:rFonts w:ascii="Arial" w:hAnsi="Arial" w:cs="Arial"/>
          <w:sz w:val="20"/>
          <w:szCs w:val="20"/>
        </w:rPr>
        <w:t>Chuvashian</w:t>
      </w:r>
      <w:proofErr w:type="spellEnd"/>
      <w:r w:rsidRPr="00303725">
        <w:rPr>
          <w:rFonts w:ascii="Arial" w:hAnsi="Arial" w:cs="Arial"/>
          <w:sz w:val="20"/>
          <w:szCs w:val="20"/>
        </w:rPr>
        <w:t xml:space="preserve"> population. American Journal of Human Biology, 31(3), e23236.</w:t>
      </w:r>
    </w:p>
    <w:p w14:paraId="0DAD1F55" w14:textId="711FE78F" w:rsidR="00832767" w:rsidRPr="00303725" w:rsidRDefault="00832767" w:rsidP="00303725">
      <w:pPr>
        <w:pStyle w:val="ListParagraph"/>
        <w:numPr>
          <w:ilvl w:val="0"/>
          <w:numId w:val="2"/>
        </w:numPr>
        <w:spacing w:line="240" w:lineRule="auto"/>
        <w:jc w:val="both"/>
        <w:rPr>
          <w:rFonts w:ascii="Arial" w:hAnsi="Arial" w:cs="Arial"/>
          <w:sz w:val="20"/>
          <w:szCs w:val="20"/>
        </w:rPr>
      </w:pPr>
      <w:proofErr w:type="spellStart"/>
      <w:r w:rsidRPr="00303725">
        <w:rPr>
          <w:rFonts w:ascii="Arial" w:hAnsi="Arial" w:cs="Arial"/>
          <w:sz w:val="20"/>
          <w:szCs w:val="20"/>
          <w:highlight w:val="yellow"/>
        </w:rPr>
        <w:t>Kirchengast</w:t>
      </w:r>
      <w:proofErr w:type="spellEnd"/>
      <w:r w:rsidRPr="00303725">
        <w:rPr>
          <w:rFonts w:ascii="Arial" w:hAnsi="Arial" w:cs="Arial"/>
          <w:sz w:val="20"/>
          <w:szCs w:val="20"/>
          <w:highlight w:val="yellow"/>
        </w:rPr>
        <w:t xml:space="preserve">, S., </w:t>
      </w:r>
      <w:proofErr w:type="spellStart"/>
      <w:r w:rsidRPr="00303725">
        <w:rPr>
          <w:rFonts w:ascii="Arial" w:hAnsi="Arial" w:cs="Arial"/>
          <w:sz w:val="20"/>
          <w:szCs w:val="20"/>
          <w:highlight w:val="yellow"/>
        </w:rPr>
        <w:t>Dottolo</w:t>
      </w:r>
      <w:proofErr w:type="spellEnd"/>
      <w:r w:rsidRPr="00303725">
        <w:rPr>
          <w:rFonts w:ascii="Arial" w:hAnsi="Arial" w:cs="Arial"/>
          <w:sz w:val="20"/>
          <w:szCs w:val="20"/>
          <w:highlight w:val="yellow"/>
        </w:rPr>
        <w:t xml:space="preserve">, E., </w:t>
      </w:r>
      <w:proofErr w:type="spellStart"/>
      <w:r w:rsidRPr="00303725">
        <w:rPr>
          <w:rFonts w:ascii="Arial" w:hAnsi="Arial" w:cs="Arial"/>
          <w:sz w:val="20"/>
          <w:szCs w:val="20"/>
          <w:highlight w:val="yellow"/>
        </w:rPr>
        <w:t>Praxmarer</w:t>
      </w:r>
      <w:proofErr w:type="spellEnd"/>
      <w:r w:rsidRPr="00303725">
        <w:rPr>
          <w:rFonts w:ascii="Arial" w:hAnsi="Arial" w:cs="Arial"/>
          <w:sz w:val="20"/>
          <w:szCs w:val="20"/>
          <w:highlight w:val="yellow"/>
        </w:rPr>
        <w:t xml:space="preserve">, E., &amp; Huber, J. (2020). Low digit ratio (2D:4D) is associated with early natural menopause. </w:t>
      </w:r>
      <w:r w:rsidRPr="00303725">
        <w:rPr>
          <w:rFonts w:ascii="Arial" w:hAnsi="Arial" w:cs="Arial"/>
          <w:i/>
          <w:iCs/>
          <w:sz w:val="20"/>
          <w:szCs w:val="20"/>
          <w:highlight w:val="yellow"/>
        </w:rPr>
        <w:t>American Journal of Human Biology, 32</w:t>
      </w:r>
      <w:r w:rsidRPr="00303725">
        <w:rPr>
          <w:rFonts w:ascii="Arial" w:hAnsi="Arial" w:cs="Arial"/>
          <w:sz w:val="20"/>
          <w:szCs w:val="20"/>
          <w:highlight w:val="yellow"/>
        </w:rPr>
        <w:t>(e23374).</w:t>
      </w:r>
    </w:p>
    <w:p w14:paraId="52EDE344"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Klimek</w:t>
      </w:r>
      <w:r w:rsidR="00D406B1" w:rsidRPr="00303725">
        <w:rPr>
          <w:rFonts w:ascii="Arial" w:hAnsi="Arial" w:cs="Arial"/>
          <w:sz w:val="20"/>
          <w:szCs w:val="20"/>
        </w:rPr>
        <w:t>,</w:t>
      </w:r>
      <w:r w:rsidRPr="00303725">
        <w:rPr>
          <w:rFonts w:ascii="Arial" w:hAnsi="Arial" w:cs="Arial"/>
          <w:sz w:val="20"/>
          <w:szCs w:val="20"/>
        </w:rPr>
        <w:t xml:space="preserve"> M</w:t>
      </w:r>
      <w:r w:rsidR="00D406B1" w:rsidRPr="00303725">
        <w:rPr>
          <w:rFonts w:ascii="Arial" w:hAnsi="Arial" w:cs="Arial"/>
          <w:sz w:val="20"/>
          <w:szCs w:val="20"/>
        </w:rPr>
        <w:t>.</w:t>
      </w:r>
      <w:r w:rsidRPr="00303725">
        <w:rPr>
          <w:rFonts w:ascii="Arial" w:hAnsi="Arial" w:cs="Arial"/>
          <w:sz w:val="20"/>
          <w:szCs w:val="20"/>
        </w:rPr>
        <w:t>, Galbarczyk</w:t>
      </w:r>
      <w:r w:rsidR="00D406B1" w:rsidRPr="00303725">
        <w:rPr>
          <w:rFonts w:ascii="Arial" w:hAnsi="Arial" w:cs="Arial"/>
          <w:sz w:val="20"/>
          <w:szCs w:val="20"/>
        </w:rPr>
        <w:t>,</w:t>
      </w:r>
      <w:r w:rsidRPr="00303725">
        <w:rPr>
          <w:rFonts w:ascii="Arial" w:hAnsi="Arial" w:cs="Arial"/>
          <w:sz w:val="20"/>
          <w:szCs w:val="20"/>
        </w:rPr>
        <w:t xml:space="preserve"> A</w:t>
      </w:r>
      <w:r w:rsidR="00D406B1" w:rsidRPr="00303725">
        <w:rPr>
          <w:rFonts w:ascii="Arial" w:hAnsi="Arial" w:cs="Arial"/>
          <w:sz w:val="20"/>
          <w:szCs w:val="20"/>
        </w:rPr>
        <w:t>.</w:t>
      </w:r>
      <w:r w:rsidRPr="00303725">
        <w:rPr>
          <w:rFonts w:ascii="Arial" w:hAnsi="Arial" w:cs="Arial"/>
          <w:sz w:val="20"/>
          <w:szCs w:val="20"/>
        </w:rPr>
        <w:t>, Nenko</w:t>
      </w:r>
      <w:r w:rsidR="00D406B1" w:rsidRPr="00303725">
        <w:rPr>
          <w:rFonts w:ascii="Arial" w:hAnsi="Arial" w:cs="Arial"/>
          <w:sz w:val="20"/>
          <w:szCs w:val="20"/>
        </w:rPr>
        <w:t>,</w:t>
      </w:r>
      <w:r w:rsidRPr="00303725">
        <w:rPr>
          <w:rFonts w:ascii="Arial" w:hAnsi="Arial" w:cs="Arial"/>
          <w:sz w:val="20"/>
          <w:szCs w:val="20"/>
        </w:rPr>
        <w:t xml:space="preserve"> I</w:t>
      </w:r>
      <w:r w:rsidR="00D406B1" w:rsidRPr="00303725">
        <w:rPr>
          <w:rFonts w:ascii="Arial" w:hAnsi="Arial" w:cs="Arial"/>
          <w:sz w:val="20"/>
          <w:szCs w:val="20"/>
        </w:rPr>
        <w:t>.</w:t>
      </w:r>
      <w:r w:rsidRPr="00303725">
        <w:rPr>
          <w:rFonts w:ascii="Arial" w:hAnsi="Arial" w:cs="Arial"/>
          <w:sz w:val="20"/>
          <w:szCs w:val="20"/>
        </w:rPr>
        <w:t>, Alvarado</w:t>
      </w:r>
      <w:r w:rsidR="00D406B1" w:rsidRPr="00303725">
        <w:rPr>
          <w:rFonts w:ascii="Arial" w:hAnsi="Arial" w:cs="Arial"/>
          <w:sz w:val="20"/>
          <w:szCs w:val="20"/>
        </w:rPr>
        <w:t>,</w:t>
      </w:r>
      <w:r w:rsidRPr="00303725">
        <w:rPr>
          <w:rFonts w:ascii="Arial" w:hAnsi="Arial" w:cs="Arial"/>
          <w:sz w:val="20"/>
          <w:szCs w:val="20"/>
        </w:rPr>
        <w:t xml:space="preserve"> L</w:t>
      </w:r>
      <w:r w:rsidR="00D406B1" w:rsidRPr="00303725">
        <w:rPr>
          <w:rFonts w:ascii="Arial" w:hAnsi="Arial" w:cs="Arial"/>
          <w:sz w:val="20"/>
          <w:szCs w:val="20"/>
        </w:rPr>
        <w:t>.</w:t>
      </w:r>
      <w:r w:rsidRPr="00303725">
        <w:rPr>
          <w:rFonts w:ascii="Arial" w:hAnsi="Arial" w:cs="Arial"/>
          <w:sz w:val="20"/>
          <w:szCs w:val="20"/>
        </w:rPr>
        <w:t>C</w:t>
      </w:r>
      <w:r w:rsidR="00D406B1" w:rsidRPr="00303725">
        <w:rPr>
          <w:rFonts w:ascii="Arial" w:hAnsi="Arial" w:cs="Arial"/>
          <w:sz w:val="20"/>
          <w:szCs w:val="20"/>
        </w:rPr>
        <w:t>.</w:t>
      </w:r>
      <w:r w:rsidRPr="00303725">
        <w:rPr>
          <w:rFonts w:ascii="Arial" w:hAnsi="Arial" w:cs="Arial"/>
          <w:sz w:val="20"/>
          <w:szCs w:val="20"/>
        </w:rPr>
        <w:t xml:space="preserve">, </w:t>
      </w:r>
      <w:r w:rsidR="00D406B1" w:rsidRPr="00303725">
        <w:rPr>
          <w:rFonts w:ascii="Arial" w:hAnsi="Arial" w:cs="Arial"/>
          <w:sz w:val="20"/>
          <w:szCs w:val="20"/>
        </w:rPr>
        <w:t xml:space="preserve">&amp; </w:t>
      </w:r>
      <w:r w:rsidRPr="00303725">
        <w:rPr>
          <w:rFonts w:ascii="Arial" w:hAnsi="Arial" w:cs="Arial"/>
          <w:sz w:val="20"/>
          <w:szCs w:val="20"/>
        </w:rPr>
        <w:t>Jasienska</w:t>
      </w:r>
      <w:r w:rsidR="00D406B1" w:rsidRPr="00303725">
        <w:rPr>
          <w:rFonts w:ascii="Arial" w:hAnsi="Arial" w:cs="Arial"/>
          <w:sz w:val="20"/>
          <w:szCs w:val="20"/>
        </w:rPr>
        <w:t>,</w:t>
      </w:r>
      <w:r w:rsidRPr="00303725">
        <w:rPr>
          <w:rFonts w:ascii="Arial" w:hAnsi="Arial" w:cs="Arial"/>
          <w:sz w:val="20"/>
          <w:szCs w:val="20"/>
        </w:rPr>
        <w:t xml:space="preserve"> G. </w:t>
      </w:r>
      <w:r w:rsidR="00D406B1" w:rsidRPr="00303725">
        <w:rPr>
          <w:rFonts w:ascii="Arial" w:hAnsi="Arial" w:cs="Arial"/>
          <w:sz w:val="20"/>
          <w:szCs w:val="20"/>
        </w:rPr>
        <w:t>(</w:t>
      </w:r>
      <w:r w:rsidRPr="00303725">
        <w:rPr>
          <w:rFonts w:ascii="Arial" w:hAnsi="Arial" w:cs="Arial"/>
          <w:sz w:val="20"/>
          <w:szCs w:val="20"/>
        </w:rPr>
        <w:t>2014</w:t>
      </w:r>
      <w:r w:rsidR="00D406B1" w:rsidRPr="00303725">
        <w:rPr>
          <w:rFonts w:ascii="Arial" w:hAnsi="Arial" w:cs="Arial"/>
          <w:sz w:val="20"/>
          <w:szCs w:val="20"/>
        </w:rPr>
        <w:t>)</w:t>
      </w:r>
      <w:r w:rsidRPr="00303725">
        <w:rPr>
          <w:rFonts w:ascii="Arial" w:hAnsi="Arial" w:cs="Arial"/>
          <w:sz w:val="20"/>
          <w:szCs w:val="20"/>
        </w:rPr>
        <w:t xml:space="preserve">. Digit ratio (2D:4D) as an indicator of body size, </w:t>
      </w:r>
      <w:r w:rsidR="002D683A" w:rsidRPr="00303725">
        <w:rPr>
          <w:rFonts w:ascii="Arial" w:hAnsi="Arial" w:cs="Arial"/>
          <w:sz w:val="20"/>
          <w:szCs w:val="20"/>
        </w:rPr>
        <w:t>testosterone</w:t>
      </w:r>
      <w:r w:rsidRPr="00303725">
        <w:rPr>
          <w:rFonts w:ascii="Arial" w:hAnsi="Arial" w:cs="Arial"/>
          <w:sz w:val="20"/>
          <w:szCs w:val="20"/>
        </w:rPr>
        <w:t xml:space="preserve"> concentration and number of children in human males. </w:t>
      </w:r>
      <w:r w:rsidR="00D406B1" w:rsidRPr="00303725">
        <w:rPr>
          <w:rFonts w:ascii="Arial" w:hAnsi="Arial" w:cs="Arial"/>
          <w:sz w:val="20"/>
          <w:szCs w:val="20"/>
        </w:rPr>
        <w:t>Annals of Human Biology, 41:</w:t>
      </w:r>
      <w:r w:rsidRPr="00303725">
        <w:rPr>
          <w:rFonts w:ascii="Arial" w:hAnsi="Arial" w:cs="Arial"/>
          <w:sz w:val="20"/>
          <w:szCs w:val="20"/>
        </w:rPr>
        <w:t xml:space="preserve"> 518–523.</w:t>
      </w:r>
    </w:p>
    <w:p w14:paraId="0B347B67"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 xml:space="preserve">Klimek, M., Galbarczyk, A., Nenko, I., &amp; Jasienska, G. (2016). Women with </w:t>
      </w:r>
      <w:r w:rsidR="002D683A" w:rsidRPr="00303725">
        <w:rPr>
          <w:rFonts w:ascii="Arial" w:hAnsi="Arial" w:cs="Arial"/>
          <w:sz w:val="20"/>
          <w:szCs w:val="20"/>
        </w:rPr>
        <w:t xml:space="preserve">a </w:t>
      </w:r>
      <w:r w:rsidRPr="00303725">
        <w:rPr>
          <w:rFonts w:ascii="Arial" w:hAnsi="Arial" w:cs="Arial"/>
          <w:sz w:val="20"/>
          <w:szCs w:val="20"/>
        </w:rPr>
        <w:t>more feminine digit ratio (2D:4D) have higher reproductive success. America</w:t>
      </w:r>
      <w:r w:rsidR="00D406B1" w:rsidRPr="00303725">
        <w:rPr>
          <w:rFonts w:ascii="Arial" w:hAnsi="Arial" w:cs="Arial"/>
          <w:sz w:val="20"/>
          <w:szCs w:val="20"/>
        </w:rPr>
        <w:t>n Journal of Physical Anthropol</w:t>
      </w:r>
      <w:r w:rsidRPr="00303725">
        <w:rPr>
          <w:rFonts w:ascii="Arial" w:hAnsi="Arial" w:cs="Arial"/>
          <w:sz w:val="20"/>
          <w:szCs w:val="20"/>
        </w:rPr>
        <w:t>o</w:t>
      </w:r>
      <w:r w:rsidR="00D406B1" w:rsidRPr="00303725">
        <w:rPr>
          <w:rFonts w:ascii="Arial" w:hAnsi="Arial" w:cs="Arial"/>
          <w:sz w:val="20"/>
          <w:szCs w:val="20"/>
        </w:rPr>
        <w:t>gy, 160:</w:t>
      </w:r>
      <w:r w:rsidRPr="00303725">
        <w:rPr>
          <w:rFonts w:ascii="Arial" w:hAnsi="Arial" w:cs="Arial"/>
          <w:sz w:val="20"/>
          <w:szCs w:val="20"/>
        </w:rPr>
        <w:t xml:space="preserve"> 549–553.</w:t>
      </w:r>
    </w:p>
    <w:p w14:paraId="776ECDC5"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Li</w:t>
      </w:r>
      <w:r w:rsidR="00A13B78" w:rsidRPr="00303725">
        <w:rPr>
          <w:rFonts w:ascii="Arial" w:hAnsi="Arial" w:cs="Arial"/>
          <w:sz w:val="20"/>
          <w:szCs w:val="20"/>
        </w:rPr>
        <w:t>,</w:t>
      </w:r>
      <w:r w:rsidRPr="00303725">
        <w:rPr>
          <w:rFonts w:ascii="Arial" w:hAnsi="Arial" w:cs="Arial"/>
          <w:sz w:val="20"/>
          <w:szCs w:val="20"/>
        </w:rPr>
        <w:t xml:space="preserve"> T</w:t>
      </w:r>
      <w:r w:rsidR="00A13B78" w:rsidRPr="00303725">
        <w:rPr>
          <w:rFonts w:ascii="Arial" w:hAnsi="Arial" w:cs="Arial"/>
          <w:sz w:val="20"/>
          <w:szCs w:val="20"/>
        </w:rPr>
        <w:t>.</w:t>
      </w:r>
      <w:r w:rsidRPr="00303725">
        <w:rPr>
          <w:rFonts w:ascii="Arial" w:hAnsi="Arial" w:cs="Arial"/>
          <w:sz w:val="20"/>
          <w:szCs w:val="20"/>
        </w:rPr>
        <w:t>, Meng</w:t>
      </w:r>
      <w:r w:rsidR="00A13B78" w:rsidRPr="00303725">
        <w:rPr>
          <w:rFonts w:ascii="Arial" w:hAnsi="Arial" w:cs="Arial"/>
          <w:sz w:val="20"/>
          <w:szCs w:val="20"/>
        </w:rPr>
        <w:t>,</w:t>
      </w:r>
      <w:r w:rsidRPr="00303725">
        <w:rPr>
          <w:rFonts w:ascii="Arial" w:hAnsi="Arial" w:cs="Arial"/>
          <w:sz w:val="20"/>
          <w:szCs w:val="20"/>
        </w:rPr>
        <w:t xml:space="preserve"> Y</w:t>
      </w:r>
      <w:r w:rsidR="00A13B78" w:rsidRPr="00303725">
        <w:rPr>
          <w:rFonts w:ascii="Arial" w:hAnsi="Arial" w:cs="Arial"/>
          <w:sz w:val="20"/>
          <w:szCs w:val="20"/>
        </w:rPr>
        <w:t>.</w:t>
      </w:r>
      <w:r w:rsidRPr="00303725">
        <w:rPr>
          <w:rFonts w:ascii="Arial" w:hAnsi="Arial" w:cs="Arial"/>
          <w:sz w:val="20"/>
          <w:szCs w:val="20"/>
        </w:rPr>
        <w:t>, Yao</w:t>
      </w:r>
      <w:r w:rsidR="00A13B78" w:rsidRPr="00303725">
        <w:rPr>
          <w:rFonts w:ascii="Arial" w:hAnsi="Arial" w:cs="Arial"/>
          <w:sz w:val="20"/>
          <w:szCs w:val="20"/>
        </w:rPr>
        <w:t>,</w:t>
      </w:r>
      <w:r w:rsidRPr="00303725">
        <w:rPr>
          <w:rFonts w:ascii="Arial" w:hAnsi="Arial" w:cs="Arial"/>
          <w:sz w:val="20"/>
          <w:szCs w:val="20"/>
        </w:rPr>
        <w:t xml:space="preserve"> R</w:t>
      </w:r>
      <w:r w:rsidR="00A13B78" w:rsidRPr="00303725">
        <w:rPr>
          <w:rFonts w:ascii="Arial" w:hAnsi="Arial" w:cs="Arial"/>
          <w:sz w:val="20"/>
          <w:szCs w:val="20"/>
        </w:rPr>
        <w:t>.</w:t>
      </w:r>
      <w:r w:rsidRPr="00303725">
        <w:rPr>
          <w:rFonts w:ascii="Arial" w:hAnsi="Arial" w:cs="Arial"/>
          <w:sz w:val="20"/>
          <w:szCs w:val="20"/>
        </w:rPr>
        <w:t>, Han</w:t>
      </w:r>
      <w:r w:rsidR="00A13B78" w:rsidRPr="00303725">
        <w:rPr>
          <w:rFonts w:ascii="Arial" w:hAnsi="Arial" w:cs="Arial"/>
          <w:sz w:val="20"/>
          <w:szCs w:val="20"/>
        </w:rPr>
        <w:t>,</w:t>
      </w:r>
      <w:r w:rsidRPr="00303725">
        <w:rPr>
          <w:rFonts w:ascii="Arial" w:hAnsi="Arial" w:cs="Arial"/>
          <w:sz w:val="20"/>
          <w:szCs w:val="20"/>
        </w:rPr>
        <w:t xml:space="preserve"> H</w:t>
      </w:r>
      <w:r w:rsidR="00A13B78" w:rsidRPr="00303725">
        <w:rPr>
          <w:rFonts w:ascii="Arial" w:hAnsi="Arial" w:cs="Arial"/>
          <w:sz w:val="20"/>
          <w:szCs w:val="20"/>
        </w:rPr>
        <w:t>.</w:t>
      </w:r>
      <w:r w:rsidRPr="00303725">
        <w:rPr>
          <w:rFonts w:ascii="Arial" w:hAnsi="Arial" w:cs="Arial"/>
          <w:sz w:val="20"/>
          <w:szCs w:val="20"/>
        </w:rPr>
        <w:t>, Wu</w:t>
      </w:r>
      <w:r w:rsidR="00A13B78" w:rsidRPr="00303725">
        <w:rPr>
          <w:rFonts w:ascii="Arial" w:hAnsi="Arial" w:cs="Arial"/>
          <w:sz w:val="20"/>
          <w:szCs w:val="20"/>
        </w:rPr>
        <w:t>,</w:t>
      </w:r>
      <w:r w:rsidRPr="00303725">
        <w:rPr>
          <w:rFonts w:ascii="Arial" w:hAnsi="Arial" w:cs="Arial"/>
          <w:sz w:val="20"/>
          <w:szCs w:val="20"/>
        </w:rPr>
        <w:t xml:space="preserve"> L</w:t>
      </w:r>
      <w:r w:rsidR="00A13B78" w:rsidRPr="00303725">
        <w:rPr>
          <w:rFonts w:ascii="Arial" w:hAnsi="Arial" w:cs="Arial"/>
          <w:sz w:val="20"/>
          <w:szCs w:val="20"/>
        </w:rPr>
        <w:t>.</w:t>
      </w:r>
      <w:r w:rsidRPr="00303725">
        <w:rPr>
          <w:rFonts w:ascii="Arial" w:hAnsi="Arial" w:cs="Arial"/>
          <w:sz w:val="20"/>
          <w:szCs w:val="20"/>
        </w:rPr>
        <w:t>, Zhou</w:t>
      </w:r>
      <w:r w:rsidR="00A13B78" w:rsidRPr="00303725">
        <w:rPr>
          <w:rFonts w:ascii="Arial" w:hAnsi="Arial" w:cs="Arial"/>
          <w:sz w:val="20"/>
          <w:szCs w:val="20"/>
        </w:rPr>
        <w:t>,</w:t>
      </w:r>
      <w:r w:rsidRPr="00303725">
        <w:rPr>
          <w:rFonts w:ascii="Arial" w:hAnsi="Arial" w:cs="Arial"/>
          <w:sz w:val="20"/>
          <w:szCs w:val="20"/>
        </w:rPr>
        <w:t xml:space="preserve"> Y</w:t>
      </w:r>
      <w:r w:rsidR="00A13B78" w:rsidRPr="00303725">
        <w:rPr>
          <w:rFonts w:ascii="Arial" w:hAnsi="Arial" w:cs="Arial"/>
          <w:sz w:val="20"/>
          <w:szCs w:val="20"/>
        </w:rPr>
        <w:t>.</w:t>
      </w:r>
      <w:r w:rsidRPr="00303725">
        <w:rPr>
          <w:rFonts w:ascii="Arial" w:hAnsi="Arial" w:cs="Arial"/>
          <w:sz w:val="20"/>
          <w:szCs w:val="20"/>
        </w:rPr>
        <w:t>, Li</w:t>
      </w:r>
      <w:r w:rsidR="00A13B78" w:rsidRPr="00303725">
        <w:rPr>
          <w:rFonts w:ascii="Arial" w:hAnsi="Arial" w:cs="Arial"/>
          <w:sz w:val="20"/>
          <w:szCs w:val="20"/>
        </w:rPr>
        <w:t>,</w:t>
      </w:r>
      <w:r w:rsidRPr="00303725">
        <w:rPr>
          <w:rFonts w:ascii="Arial" w:hAnsi="Arial" w:cs="Arial"/>
          <w:sz w:val="20"/>
          <w:szCs w:val="20"/>
        </w:rPr>
        <w:t xml:space="preserve"> Z</w:t>
      </w:r>
      <w:r w:rsidR="00A13B78" w:rsidRPr="00303725">
        <w:rPr>
          <w:rFonts w:ascii="Arial" w:hAnsi="Arial" w:cs="Arial"/>
          <w:sz w:val="20"/>
          <w:szCs w:val="20"/>
        </w:rPr>
        <w:t>.</w:t>
      </w:r>
      <w:r w:rsidRPr="00303725">
        <w:rPr>
          <w:rFonts w:ascii="Arial" w:hAnsi="Arial" w:cs="Arial"/>
          <w:sz w:val="20"/>
          <w:szCs w:val="20"/>
        </w:rPr>
        <w:t>, Zhang</w:t>
      </w:r>
      <w:r w:rsidR="00A13B78" w:rsidRPr="00303725">
        <w:rPr>
          <w:rFonts w:ascii="Arial" w:hAnsi="Arial" w:cs="Arial"/>
          <w:sz w:val="20"/>
          <w:szCs w:val="20"/>
        </w:rPr>
        <w:t>,</w:t>
      </w:r>
      <w:r w:rsidRPr="00303725">
        <w:rPr>
          <w:rFonts w:ascii="Arial" w:hAnsi="Arial" w:cs="Arial"/>
          <w:sz w:val="20"/>
          <w:szCs w:val="20"/>
        </w:rPr>
        <w:t xml:space="preserve"> Y</w:t>
      </w:r>
      <w:r w:rsidR="00A13B78" w:rsidRPr="00303725">
        <w:rPr>
          <w:rFonts w:ascii="Arial" w:hAnsi="Arial" w:cs="Arial"/>
          <w:sz w:val="20"/>
          <w:szCs w:val="20"/>
        </w:rPr>
        <w:t>.</w:t>
      </w:r>
      <w:r w:rsidRPr="00303725">
        <w:rPr>
          <w:rFonts w:ascii="Arial" w:hAnsi="Arial" w:cs="Arial"/>
          <w:sz w:val="20"/>
          <w:szCs w:val="20"/>
        </w:rPr>
        <w:t xml:space="preserve">, </w:t>
      </w:r>
      <w:r w:rsidR="00A13B78" w:rsidRPr="00303725">
        <w:rPr>
          <w:rFonts w:ascii="Arial" w:hAnsi="Arial" w:cs="Arial"/>
          <w:sz w:val="20"/>
          <w:szCs w:val="20"/>
        </w:rPr>
        <w:t xml:space="preserve">&amp; </w:t>
      </w:r>
      <w:r w:rsidRPr="00303725">
        <w:rPr>
          <w:rFonts w:ascii="Arial" w:hAnsi="Arial" w:cs="Arial"/>
          <w:sz w:val="20"/>
          <w:szCs w:val="20"/>
        </w:rPr>
        <w:t xml:space="preserve">Fu L. </w:t>
      </w:r>
      <w:r w:rsidR="00A13B78" w:rsidRPr="00303725">
        <w:rPr>
          <w:rFonts w:ascii="Arial" w:hAnsi="Arial" w:cs="Arial"/>
          <w:sz w:val="20"/>
          <w:szCs w:val="20"/>
        </w:rPr>
        <w:t>(</w:t>
      </w:r>
      <w:r w:rsidRPr="00303725">
        <w:rPr>
          <w:rFonts w:ascii="Arial" w:hAnsi="Arial" w:cs="Arial"/>
          <w:sz w:val="20"/>
          <w:szCs w:val="20"/>
        </w:rPr>
        <w:t>2019</w:t>
      </w:r>
      <w:r w:rsidR="00A13B78" w:rsidRPr="00303725">
        <w:rPr>
          <w:rFonts w:ascii="Arial" w:hAnsi="Arial" w:cs="Arial"/>
          <w:sz w:val="20"/>
          <w:szCs w:val="20"/>
        </w:rPr>
        <w:t>)</w:t>
      </w:r>
      <w:r w:rsidRPr="00303725">
        <w:rPr>
          <w:rFonts w:ascii="Arial" w:hAnsi="Arial" w:cs="Arial"/>
          <w:sz w:val="20"/>
          <w:szCs w:val="20"/>
        </w:rPr>
        <w:t>. The associations between left-hand digit ratio (2D:4D) and puberty characteristics among Chinese girls. Early Hum Dev</w:t>
      </w:r>
      <w:r w:rsidR="00A13B78" w:rsidRPr="00303725">
        <w:rPr>
          <w:rFonts w:ascii="Arial" w:hAnsi="Arial" w:cs="Arial"/>
          <w:sz w:val="20"/>
          <w:szCs w:val="20"/>
        </w:rPr>
        <w:t>.,</w:t>
      </w:r>
      <w:r w:rsidRPr="00303725">
        <w:rPr>
          <w:rFonts w:ascii="Arial" w:hAnsi="Arial" w:cs="Arial"/>
          <w:sz w:val="20"/>
          <w:szCs w:val="20"/>
        </w:rPr>
        <w:t xml:space="preserve"> 130: 22–26.</w:t>
      </w:r>
    </w:p>
    <w:p w14:paraId="70D8F6F9"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Lujan-Barroso, L., Gibert, K., Obon-</w:t>
      </w:r>
      <w:proofErr w:type="spellStart"/>
      <w:r w:rsidRPr="00303725">
        <w:rPr>
          <w:rFonts w:ascii="Arial" w:hAnsi="Arial" w:cs="Arial"/>
          <w:sz w:val="20"/>
          <w:szCs w:val="20"/>
        </w:rPr>
        <w:t>Santacana</w:t>
      </w:r>
      <w:proofErr w:type="spellEnd"/>
      <w:r w:rsidRPr="00303725">
        <w:rPr>
          <w:rFonts w:ascii="Arial" w:hAnsi="Arial" w:cs="Arial"/>
          <w:sz w:val="20"/>
          <w:szCs w:val="20"/>
        </w:rPr>
        <w:t xml:space="preserve">, M., </w:t>
      </w:r>
      <w:proofErr w:type="spellStart"/>
      <w:r w:rsidRPr="00303725">
        <w:rPr>
          <w:rFonts w:ascii="Arial" w:hAnsi="Arial" w:cs="Arial"/>
          <w:sz w:val="20"/>
          <w:szCs w:val="20"/>
        </w:rPr>
        <w:t>Chirlaque</w:t>
      </w:r>
      <w:proofErr w:type="spellEnd"/>
      <w:r w:rsidRPr="00303725">
        <w:rPr>
          <w:rFonts w:ascii="Arial" w:hAnsi="Arial" w:cs="Arial"/>
          <w:sz w:val="20"/>
          <w:szCs w:val="20"/>
        </w:rPr>
        <w:t xml:space="preserve">, M. D., </w:t>
      </w:r>
      <w:r w:rsidR="00A13B78" w:rsidRPr="00303725">
        <w:rPr>
          <w:rFonts w:ascii="Arial" w:hAnsi="Arial" w:cs="Arial"/>
          <w:sz w:val="20"/>
          <w:szCs w:val="20"/>
        </w:rPr>
        <w:t xml:space="preserve">Sanchez, M. J., </w:t>
      </w:r>
      <w:proofErr w:type="spellStart"/>
      <w:r w:rsidR="00A13B78" w:rsidRPr="00303725">
        <w:rPr>
          <w:rFonts w:ascii="Arial" w:hAnsi="Arial" w:cs="Arial"/>
          <w:sz w:val="20"/>
          <w:szCs w:val="20"/>
        </w:rPr>
        <w:t>Larranga</w:t>
      </w:r>
      <w:proofErr w:type="spellEnd"/>
      <w:r w:rsidR="00A13B78" w:rsidRPr="00303725">
        <w:rPr>
          <w:rFonts w:ascii="Arial" w:hAnsi="Arial" w:cs="Arial"/>
          <w:sz w:val="20"/>
          <w:szCs w:val="20"/>
        </w:rPr>
        <w:t>, N., …</w:t>
      </w:r>
      <w:r w:rsidRPr="00303725">
        <w:rPr>
          <w:rFonts w:ascii="Arial" w:hAnsi="Arial" w:cs="Arial"/>
          <w:sz w:val="20"/>
          <w:szCs w:val="20"/>
        </w:rPr>
        <w:t xml:space="preserve">Duell, E. J. (2018). The influence of </w:t>
      </w:r>
      <w:r w:rsidR="002D683A" w:rsidRPr="00303725">
        <w:rPr>
          <w:rFonts w:ascii="Arial" w:hAnsi="Arial" w:cs="Arial"/>
          <w:sz w:val="20"/>
          <w:szCs w:val="20"/>
        </w:rPr>
        <w:t>lifestyle</w:t>
      </w:r>
      <w:r w:rsidRPr="00303725">
        <w:rPr>
          <w:rFonts w:ascii="Arial" w:hAnsi="Arial" w:cs="Arial"/>
          <w:sz w:val="20"/>
          <w:szCs w:val="20"/>
        </w:rPr>
        <w:t xml:space="preserve">, diet and reproductive history on age at natural </w:t>
      </w:r>
      <w:r w:rsidR="002D683A" w:rsidRPr="00303725">
        <w:rPr>
          <w:rFonts w:ascii="Arial" w:hAnsi="Arial" w:cs="Arial"/>
          <w:sz w:val="20"/>
          <w:szCs w:val="20"/>
        </w:rPr>
        <w:t>menopause</w:t>
      </w:r>
      <w:r w:rsidRPr="00303725">
        <w:rPr>
          <w:rFonts w:ascii="Arial" w:hAnsi="Arial" w:cs="Arial"/>
          <w:sz w:val="20"/>
          <w:szCs w:val="20"/>
        </w:rPr>
        <w:t xml:space="preserve"> in Spain: Analysis from the EPIC-Spain sub-cohort. American Journal of Human Biology, </w:t>
      </w:r>
      <w:proofErr w:type="gramStart"/>
      <w:r w:rsidRPr="00303725">
        <w:rPr>
          <w:rFonts w:ascii="Arial" w:hAnsi="Arial" w:cs="Arial"/>
          <w:sz w:val="20"/>
          <w:szCs w:val="20"/>
        </w:rPr>
        <w:t>30</w:t>
      </w:r>
      <w:r w:rsidR="00A13B78" w:rsidRPr="00303725">
        <w:rPr>
          <w:rFonts w:ascii="Arial" w:hAnsi="Arial" w:cs="Arial"/>
          <w:sz w:val="20"/>
          <w:szCs w:val="20"/>
        </w:rPr>
        <w:t>:</w:t>
      </w:r>
      <w:r w:rsidRPr="00303725">
        <w:rPr>
          <w:rFonts w:ascii="Arial" w:hAnsi="Arial" w:cs="Arial"/>
          <w:sz w:val="20"/>
          <w:szCs w:val="20"/>
        </w:rPr>
        <w:t>e</w:t>
      </w:r>
      <w:proofErr w:type="gramEnd"/>
      <w:r w:rsidRPr="00303725">
        <w:rPr>
          <w:rFonts w:ascii="Arial" w:hAnsi="Arial" w:cs="Arial"/>
          <w:sz w:val="20"/>
          <w:szCs w:val="20"/>
        </w:rPr>
        <w:t>23181.</w:t>
      </w:r>
    </w:p>
    <w:p w14:paraId="4E87AAC3" w14:textId="02CC9936" w:rsidR="001B2624" w:rsidRPr="00303725" w:rsidRDefault="001B2624" w:rsidP="00303725">
      <w:pPr>
        <w:pStyle w:val="ListParagraph"/>
        <w:numPr>
          <w:ilvl w:val="0"/>
          <w:numId w:val="2"/>
        </w:numPr>
        <w:spacing w:line="240" w:lineRule="auto"/>
        <w:jc w:val="both"/>
        <w:rPr>
          <w:rFonts w:ascii="Arial" w:hAnsi="Arial" w:cs="Arial"/>
          <w:sz w:val="20"/>
          <w:szCs w:val="20"/>
        </w:rPr>
      </w:pPr>
      <w:proofErr w:type="spellStart"/>
      <w:r w:rsidRPr="00303725">
        <w:rPr>
          <w:rFonts w:ascii="Arial" w:hAnsi="Arial" w:cs="Arial"/>
          <w:sz w:val="20"/>
          <w:szCs w:val="20"/>
        </w:rPr>
        <w:t>Lutchmaya</w:t>
      </w:r>
      <w:proofErr w:type="spellEnd"/>
      <w:r w:rsidR="00A13B78" w:rsidRPr="00303725">
        <w:rPr>
          <w:rFonts w:ascii="Arial" w:hAnsi="Arial" w:cs="Arial"/>
          <w:sz w:val="20"/>
          <w:szCs w:val="20"/>
        </w:rPr>
        <w:t>,</w:t>
      </w:r>
      <w:r w:rsidRPr="00303725">
        <w:rPr>
          <w:rFonts w:ascii="Arial" w:hAnsi="Arial" w:cs="Arial"/>
          <w:sz w:val="20"/>
          <w:szCs w:val="20"/>
        </w:rPr>
        <w:t xml:space="preserve"> S</w:t>
      </w:r>
      <w:r w:rsidR="00A13B78" w:rsidRPr="00303725">
        <w:rPr>
          <w:rFonts w:ascii="Arial" w:hAnsi="Arial" w:cs="Arial"/>
          <w:sz w:val="20"/>
          <w:szCs w:val="20"/>
        </w:rPr>
        <w:t>.</w:t>
      </w:r>
      <w:r w:rsidRPr="00303725">
        <w:rPr>
          <w:rFonts w:ascii="Arial" w:hAnsi="Arial" w:cs="Arial"/>
          <w:sz w:val="20"/>
          <w:szCs w:val="20"/>
        </w:rPr>
        <w:t>, Baron–Cohen</w:t>
      </w:r>
      <w:r w:rsidR="00A13B78" w:rsidRPr="00303725">
        <w:rPr>
          <w:rFonts w:ascii="Arial" w:hAnsi="Arial" w:cs="Arial"/>
          <w:sz w:val="20"/>
          <w:szCs w:val="20"/>
        </w:rPr>
        <w:t>,</w:t>
      </w:r>
      <w:r w:rsidRPr="00303725">
        <w:rPr>
          <w:rFonts w:ascii="Arial" w:hAnsi="Arial" w:cs="Arial"/>
          <w:sz w:val="20"/>
          <w:szCs w:val="20"/>
        </w:rPr>
        <w:t xml:space="preserve"> S</w:t>
      </w:r>
      <w:r w:rsidR="00A13B78" w:rsidRPr="00303725">
        <w:rPr>
          <w:rFonts w:ascii="Arial" w:hAnsi="Arial" w:cs="Arial"/>
          <w:sz w:val="20"/>
          <w:szCs w:val="20"/>
        </w:rPr>
        <w:t>.</w:t>
      </w:r>
      <w:r w:rsidRPr="00303725">
        <w:rPr>
          <w:rFonts w:ascii="Arial" w:hAnsi="Arial" w:cs="Arial"/>
          <w:sz w:val="20"/>
          <w:szCs w:val="20"/>
        </w:rPr>
        <w:t xml:space="preserve">, </w:t>
      </w:r>
      <w:proofErr w:type="spellStart"/>
      <w:r w:rsidRPr="00303725">
        <w:rPr>
          <w:rFonts w:ascii="Arial" w:hAnsi="Arial" w:cs="Arial"/>
          <w:sz w:val="20"/>
          <w:szCs w:val="20"/>
        </w:rPr>
        <w:t>Raggatt</w:t>
      </w:r>
      <w:proofErr w:type="spellEnd"/>
      <w:r w:rsidR="00A13B78" w:rsidRPr="00303725">
        <w:rPr>
          <w:rFonts w:ascii="Arial" w:hAnsi="Arial" w:cs="Arial"/>
          <w:sz w:val="20"/>
          <w:szCs w:val="20"/>
        </w:rPr>
        <w:t>,</w:t>
      </w:r>
      <w:r w:rsidRPr="00303725">
        <w:rPr>
          <w:rFonts w:ascii="Arial" w:hAnsi="Arial" w:cs="Arial"/>
          <w:sz w:val="20"/>
          <w:szCs w:val="20"/>
        </w:rPr>
        <w:t xml:space="preserve"> P</w:t>
      </w:r>
      <w:r w:rsidR="00A13B78" w:rsidRPr="00303725">
        <w:rPr>
          <w:rFonts w:ascii="Arial" w:hAnsi="Arial" w:cs="Arial"/>
          <w:sz w:val="20"/>
          <w:szCs w:val="20"/>
        </w:rPr>
        <w:t>.</w:t>
      </w:r>
      <w:r w:rsidRPr="00303725">
        <w:rPr>
          <w:rFonts w:ascii="Arial" w:hAnsi="Arial" w:cs="Arial"/>
          <w:sz w:val="20"/>
          <w:szCs w:val="20"/>
        </w:rPr>
        <w:t>, Knickmeyer</w:t>
      </w:r>
      <w:r w:rsidR="00A13B78" w:rsidRPr="00303725">
        <w:rPr>
          <w:rFonts w:ascii="Arial" w:hAnsi="Arial" w:cs="Arial"/>
          <w:sz w:val="20"/>
          <w:szCs w:val="20"/>
        </w:rPr>
        <w:t>,</w:t>
      </w:r>
      <w:r w:rsidRPr="00303725">
        <w:rPr>
          <w:rFonts w:ascii="Arial" w:hAnsi="Arial" w:cs="Arial"/>
          <w:sz w:val="20"/>
          <w:szCs w:val="20"/>
        </w:rPr>
        <w:t xml:space="preserve"> R, </w:t>
      </w:r>
      <w:r w:rsidR="00A13B78" w:rsidRPr="00303725">
        <w:rPr>
          <w:rFonts w:ascii="Arial" w:hAnsi="Arial" w:cs="Arial"/>
          <w:sz w:val="20"/>
          <w:szCs w:val="20"/>
        </w:rPr>
        <w:t xml:space="preserve">&amp; </w:t>
      </w:r>
      <w:r w:rsidRPr="00303725">
        <w:rPr>
          <w:rFonts w:ascii="Arial" w:hAnsi="Arial" w:cs="Arial"/>
          <w:sz w:val="20"/>
          <w:szCs w:val="20"/>
        </w:rPr>
        <w:t>Manning</w:t>
      </w:r>
      <w:r w:rsidR="00A13B78" w:rsidRPr="00303725">
        <w:rPr>
          <w:rFonts w:ascii="Arial" w:hAnsi="Arial" w:cs="Arial"/>
          <w:sz w:val="20"/>
          <w:szCs w:val="20"/>
        </w:rPr>
        <w:t>,</w:t>
      </w:r>
      <w:r w:rsidRPr="00303725">
        <w:rPr>
          <w:rFonts w:ascii="Arial" w:hAnsi="Arial" w:cs="Arial"/>
          <w:sz w:val="20"/>
          <w:szCs w:val="20"/>
        </w:rPr>
        <w:t xml:space="preserve"> J</w:t>
      </w:r>
      <w:r w:rsidR="00A13B78" w:rsidRPr="00303725">
        <w:rPr>
          <w:rFonts w:ascii="Arial" w:hAnsi="Arial" w:cs="Arial"/>
          <w:sz w:val="20"/>
          <w:szCs w:val="20"/>
        </w:rPr>
        <w:t>.</w:t>
      </w:r>
      <w:r w:rsidRPr="00303725">
        <w:rPr>
          <w:rFonts w:ascii="Arial" w:hAnsi="Arial" w:cs="Arial"/>
          <w:sz w:val="20"/>
          <w:szCs w:val="20"/>
        </w:rPr>
        <w:t xml:space="preserve">T. </w:t>
      </w:r>
      <w:r w:rsidR="00A13B78" w:rsidRPr="00303725">
        <w:rPr>
          <w:rFonts w:ascii="Arial" w:hAnsi="Arial" w:cs="Arial"/>
          <w:sz w:val="20"/>
          <w:szCs w:val="20"/>
        </w:rPr>
        <w:t>(</w:t>
      </w:r>
      <w:r w:rsidRPr="00303725">
        <w:rPr>
          <w:rFonts w:ascii="Arial" w:hAnsi="Arial" w:cs="Arial"/>
          <w:sz w:val="20"/>
          <w:szCs w:val="20"/>
        </w:rPr>
        <w:t>2004</w:t>
      </w:r>
      <w:r w:rsidR="00A13B78" w:rsidRPr="00303725">
        <w:rPr>
          <w:rFonts w:ascii="Arial" w:hAnsi="Arial" w:cs="Arial"/>
          <w:sz w:val="20"/>
          <w:szCs w:val="20"/>
        </w:rPr>
        <w:t>)</w:t>
      </w:r>
      <w:r w:rsidRPr="00303725">
        <w:rPr>
          <w:rFonts w:ascii="Arial" w:hAnsi="Arial" w:cs="Arial"/>
          <w:sz w:val="20"/>
          <w:szCs w:val="20"/>
        </w:rPr>
        <w:t>. 2nd to 4th digit ratios, fetal testosterone and estradiol. Early Hum Dev</w:t>
      </w:r>
      <w:r w:rsidR="00A13B78" w:rsidRPr="00303725">
        <w:rPr>
          <w:rFonts w:ascii="Arial" w:hAnsi="Arial" w:cs="Arial"/>
          <w:sz w:val="20"/>
          <w:szCs w:val="20"/>
        </w:rPr>
        <w:t>.,</w:t>
      </w:r>
      <w:r w:rsidRPr="00303725">
        <w:rPr>
          <w:rFonts w:ascii="Arial" w:hAnsi="Arial" w:cs="Arial"/>
          <w:sz w:val="20"/>
          <w:szCs w:val="20"/>
        </w:rPr>
        <w:t xml:space="preserve"> 77:23–28.</w:t>
      </w:r>
    </w:p>
    <w:p w14:paraId="6F75DD96" w14:textId="77777777" w:rsidR="000528FA" w:rsidRPr="00303725" w:rsidRDefault="000528FA"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highlight w:val="yellow"/>
        </w:rPr>
        <w:t>Lyons, M., &amp; Helle, S. (2013). Digit ratio and risk taking in post-menopausal Finnish women. Personality and individual differences, 55(5), 591-594.</w:t>
      </w:r>
    </w:p>
    <w:p w14:paraId="45AEE1DE"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Mackus</w:t>
      </w:r>
      <w:r w:rsidR="00A13B78" w:rsidRPr="00303725">
        <w:rPr>
          <w:rFonts w:ascii="Arial" w:hAnsi="Arial" w:cs="Arial"/>
          <w:sz w:val="20"/>
          <w:szCs w:val="20"/>
        </w:rPr>
        <w:t>,</w:t>
      </w:r>
      <w:r w:rsidRPr="00303725">
        <w:rPr>
          <w:rFonts w:ascii="Arial" w:hAnsi="Arial" w:cs="Arial"/>
          <w:sz w:val="20"/>
          <w:szCs w:val="20"/>
        </w:rPr>
        <w:t xml:space="preserve"> M</w:t>
      </w:r>
      <w:r w:rsidR="00A13B78" w:rsidRPr="00303725">
        <w:rPr>
          <w:rFonts w:ascii="Arial" w:hAnsi="Arial" w:cs="Arial"/>
          <w:sz w:val="20"/>
          <w:szCs w:val="20"/>
        </w:rPr>
        <w:t>.</w:t>
      </w:r>
      <w:r w:rsidRPr="00303725">
        <w:rPr>
          <w:rFonts w:ascii="Arial" w:hAnsi="Arial" w:cs="Arial"/>
          <w:sz w:val="20"/>
          <w:szCs w:val="20"/>
        </w:rPr>
        <w:t xml:space="preserve">, de </w:t>
      </w:r>
      <w:proofErr w:type="spellStart"/>
      <w:r w:rsidRPr="00303725">
        <w:rPr>
          <w:rFonts w:ascii="Arial" w:hAnsi="Arial" w:cs="Arial"/>
          <w:sz w:val="20"/>
          <w:szCs w:val="20"/>
        </w:rPr>
        <w:t>Kruijff</w:t>
      </w:r>
      <w:proofErr w:type="spellEnd"/>
      <w:r w:rsidR="00A13B78" w:rsidRPr="00303725">
        <w:rPr>
          <w:rFonts w:ascii="Arial" w:hAnsi="Arial" w:cs="Arial"/>
          <w:sz w:val="20"/>
          <w:szCs w:val="20"/>
        </w:rPr>
        <w:t>,</w:t>
      </w:r>
      <w:r w:rsidRPr="00303725">
        <w:rPr>
          <w:rFonts w:ascii="Arial" w:hAnsi="Arial" w:cs="Arial"/>
          <w:sz w:val="20"/>
          <w:szCs w:val="20"/>
        </w:rPr>
        <w:t xml:space="preserve"> D</w:t>
      </w:r>
      <w:r w:rsidR="00A13B78" w:rsidRPr="00303725">
        <w:rPr>
          <w:rFonts w:ascii="Arial" w:hAnsi="Arial" w:cs="Arial"/>
          <w:sz w:val="20"/>
          <w:szCs w:val="20"/>
        </w:rPr>
        <w:t>.</w:t>
      </w:r>
      <w:r w:rsidRPr="00303725">
        <w:rPr>
          <w:rFonts w:ascii="Arial" w:hAnsi="Arial" w:cs="Arial"/>
          <w:sz w:val="20"/>
          <w:szCs w:val="20"/>
        </w:rPr>
        <w:t>, Otten</w:t>
      </w:r>
      <w:r w:rsidR="00A13B78" w:rsidRPr="00303725">
        <w:rPr>
          <w:rFonts w:ascii="Arial" w:hAnsi="Arial" w:cs="Arial"/>
          <w:sz w:val="20"/>
          <w:szCs w:val="20"/>
        </w:rPr>
        <w:t>,</w:t>
      </w:r>
      <w:r w:rsidRPr="00303725">
        <w:rPr>
          <w:rFonts w:ascii="Arial" w:hAnsi="Arial" w:cs="Arial"/>
          <w:sz w:val="20"/>
          <w:szCs w:val="20"/>
        </w:rPr>
        <w:t xml:space="preserve"> L</w:t>
      </w:r>
      <w:r w:rsidR="00A13B78" w:rsidRPr="00303725">
        <w:rPr>
          <w:rFonts w:ascii="Arial" w:hAnsi="Arial" w:cs="Arial"/>
          <w:sz w:val="20"/>
          <w:szCs w:val="20"/>
        </w:rPr>
        <w:t>.</w:t>
      </w:r>
      <w:r w:rsidRPr="00303725">
        <w:rPr>
          <w:rFonts w:ascii="Arial" w:hAnsi="Arial" w:cs="Arial"/>
          <w:sz w:val="20"/>
          <w:szCs w:val="20"/>
        </w:rPr>
        <w:t>S</w:t>
      </w:r>
      <w:r w:rsidR="00A13B78" w:rsidRPr="00303725">
        <w:rPr>
          <w:rFonts w:ascii="Arial" w:hAnsi="Arial" w:cs="Arial"/>
          <w:sz w:val="20"/>
          <w:szCs w:val="20"/>
        </w:rPr>
        <w:t>.</w:t>
      </w:r>
      <w:r w:rsidRPr="00303725">
        <w:rPr>
          <w:rFonts w:ascii="Arial" w:hAnsi="Arial" w:cs="Arial"/>
          <w:sz w:val="20"/>
          <w:szCs w:val="20"/>
        </w:rPr>
        <w:t xml:space="preserve">, </w:t>
      </w:r>
      <w:proofErr w:type="spellStart"/>
      <w:r w:rsidRPr="00303725">
        <w:rPr>
          <w:rFonts w:ascii="Arial" w:hAnsi="Arial" w:cs="Arial"/>
          <w:sz w:val="20"/>
          <w:szCs w:val="20"/>
        </w:rPr>
        <w:t>Kraneveld</w:t>
      </w:r>
      <w:proofErr w:type="spellEnd"/>
      <w:r w:rsidR="00A13B78" w:rsidRPr="00303725">
        <w:rPr>
          <w:rFonts w:ascii="Arial" w:hAnsi="Arial" w:cs="Arial"/>
          <w:sz w:val="20"/>
          <w:szCs w:val="20"/>
        </w:rPr>
        <w:t>,</w:t>
      </w:r>
      <w:r w:rsidRPr="00303725">
        <w:rPr>
          <w:rFonts w:ascii="Arial" w:hAnsi="Arial" w:cs="Arial"/>
          <w:sz w:val="20"/>
          <w:szCs w:val="20"/>
        </w:rPr>
        <w:t xml:space="preserve"> A</w:t>
      </w:r>
      <w:r w:rsidR="00A13B78" w:rsidRPr="00303725">
        <w:rPr>
          <w:rFonts w:ascii="Arial" w:hAnsi="Arial" w:cs="Arial"/>
          <w:sz w:val="20"/>
          <w:szCs w:val="20"/>
        </w:rPr>
        <w:t>.</w:t>
      </w:r>
      <w:r w:rsidRPr="00303725">
        <w:rPr>
          <w:rFonts w:ascii="Arial" w:hAnsi="Arial" w:cs="Arial"/>
          <w:sz w:val="20"/>
          <w:szCs w:val="20"/>
        </w:rPr>
        <w:t>D</w:t>
      </w:r>
      <w:r w:rsidR="00A13B78" w:rsidRPr="00303725">
        <w:rPr>
          <w:rFonts w:ascii="Arial" w:hAnsi="Arial" w:cs="Arial"/>
          <w:sz w:val="20"/>
          <w:szCs w:val="20"/>
        </w:rPr>
        <w:t>.</w:t>
      </w:r>
      <w:r w:rsidRPr="00303725">
        <w:rPr>
          <w:rFonts w:ascii="Arial" w:hAnsi="Arial" w:cs="Arial"/>
          <w:sz w:val="20"/>
          <w:szCs w:val="20"/>
        </w:rPr>
        <w:t xml:space="preserve">, </w:t>
      </w:r>
      <w:proofErr w:type="spellStart"/>
      <w:r w:rsidRPr="00303725">
        <w:rPr>
          <w:rFonts w:ascii="Arial" w:hAnsi="Arial" w:cs="Arial"/>
          <w:sz w:val="20"/>
          <w:szCs w:val="20"/>
        </w:rPr>
        <w:t>Garssen</w:t>
      </w:r>
      <w:proofErr w:type="spellEnd"/>
      <w:r w:rsidR="00A13B78" w:rsidRPr="00303725">
        <w:rPr>
          <w:rFonts w:ascii="Arial" w:hAnsi="Arial" w:cs="Arial"/>
          <w:sz w:val="20"/>
          <w:szCs w:val="20"/>
        </w:rPr>
        <w:t>,</w:t>
      </w:r>
      <w:r w:rsidRPr="00303725">
        <w:rPr>
          <w:rFonts w:ascii="Arial" w:hAnsi="Arial" w:cs="Arial"/>
          <w:sz w:val="20"/>
          <w:szCs w:val="20"/>
        </w:rPr>
        <w:t xml:space="preserve"> J</w:t>
      </w:r>
      <w:r w:rsidR="00A13B78" w:rsidRPr="00303725">
        <w:rPr>
          <w:rFonts w:ascii="Arial" w:hAnsi="Arial" w:cs="Arial"/>
          <w:sz w:val="20"/>
          <w:szCs w:val="20"/>
        </w:rPr>
        <w:t>.</w:t>
      </w:r>
      <w:r w:rsidRPr="00303725">
        <w:rPr>
          <w:rFonts w:ascii="Arial" w:hAnsi="Arial" w:cs="Arial"/>
          <w:sz w:val="20"/>
          <w:szCs w:val="20"/>
        </w:rPr>
        <w:t xml:space="preserve">, </w:t>
      </w:r>
      <w:r w:rsidR="00A13B78" w:rsidRPr="00303725">
        <w:rPr>
          <w:rFonts w:ascii="Arial" w:hAnsi="Arial" w:cs="Arial"/>
          <w:sz w:val="20"/>
          <w:szCs w:val="20"/>
        </w:rPr>
        <w:t xml:space="preserve">&amp; </w:t>
      </w:r>
      <w:r w:rsidRPr="00303725">
        <w:rPr>
          <w:rFonts w:ascii="Arial" w:hAnsi="Arial" w:cs="Arial"/>
          <w:sz w:val="20"/>
          <w:szCs w:val="20"/>
        </w:rPr>
        <w:t>Verster</w:t>
      </w:r>
      <w:r w:rsidR="00A13B78" w:rsidRPr="00303725">
        <w:rPr>
          <w:rFonts w:ascii="Arial" w:hAnsi="Arial" w:cs="Arial"/>
          <w:sz w:val="20"/>
          <w:szCs w:val="20"/>
        </w:rPr>
        <w:t>,</w:t>
      </w:r>
      <w:r w:rsidRPr="00303725">
        <w:rPr>
          <w:rFonts w:ascii="Arial" w:hAnsi="Arial" w:cs="Arial"/>
          <w:sz w:val="20"/>
          <w:szCs w:val="20"/>
        </w:rPr>
        <w:t xml:space="preserve"> J</w:t>
      </w:r>
      <w:r w:rsidR="00A13B78" w:rsidRPr="00303725">
        <w:rPr>
          <w:rFonts w:ascii="Arial" w:hAnsi="Arial" w:cs="Arial"/>
          <w:sz w:val="20"/>
          <w:szCs w:val="20"/>
        </w:rPr>
        <w:t>.</w:t>
      </w:r>
      <w:r w:rsidRPr="00303725">
        <w:rPr>
          <w:rFonts w:ascii="Arial" w:hAnsi="Arial" w:cs="Arial"/>
          <w:sz w:val="20"/>
          <w:szCs w:val="20"/>
        </w:rPr>
        <w:t xml:space="preserve">C. </w:t>
      </w:r>
      <w:r w:rsidR="00A13B78" w:rsidRPr="00303725">
        <w:rPr>
          <w:rFonts w:ascii="Arial" w:hAnsi="Arial" w:cs="Arial"/>
          <w:sz w:val="20"/>
          <w:szCs w:val="20"/>
        </w:rPr>
        <w:t>(</w:t>
      </w:r>
      <w:r w:rsidRPr="00303725">
        <w:rPr>
          <w:rFonts w:ascii="Arial" w:hAnsi="Arial" w:cs="Arial"/>
          <w:sz w:val="20"/>
          <w:szCs w:val="20"/>
        </w:rPr>
        <w:t>2017</w:t>
      </w:r>
      <w:r w:rsidR="00A13B78" w:rsidRPr="00303725">
        <w:rPr>
          <w:rFonts w:ascii="Arial" w:hAnsi="Arial" w:cs="Arial"/>
          <w:sz w:val="20"/>
          <w:szCs w:val="20"/>
        </w:rPr>
        <w:t>). The 2D:</w:t>
      </w:r>
      <w:r w:rsidRPr="00303725">
        <w:rPr>
          <w:rFonts w:ascii="Arial" w:hAnsi="Arial" w:cs="Arial"/>
          <w:sz w:val="20"/>
          <w:szCs w:val="20"/>
        </w:rPr>
        <w:t>4D Digit Ratio as a Biomarker for Autism Spectrum Disorder. Autism Res Treat</w:t>
      </w:r>
      <w:r w:rsidR="00A13B78" w:rsidRPr="00303725">
        <w:rPr>
          <w:rFonts w:ascii="Arial" w:hAnsi="Arial" w:cs="Arial"/>
          <w:sz w:val="20"/>
          <w:szCs w:val="20"/>
        </w:rPr>
        <w:t>.,</w:t>
      </w:r>
      <w:r w:rsidRPr="00303725">
        <w:rPr>
          <w:rFonts w:ascii="Arial" w:hAnsi="Arial" w:cs="Arial"/>
          <w:sz w:val="20"/>
          <w:szCs w:val="20"/>
        </w:rPr>
        <w:t xml:space="preserve"> 1048302. </w:t>
      </w:r>
      <w:proofErr w:type="spellStart"/>
      <w:r w:rsidRPr="00303725">
        <w:rPr>
          <w:rFonts w:ascii="Arial" w:hAnsi="Arial" w:cs="Arial"/>
          <w:sz w:val="20"/>
          <w:szCs w:val="20"/>
        </w:rPr>
        <w:t>doi</w:t>
      </w:r>
      <w:proofErr w:type="spellEnd"/>
      <w:r w:rsidRPr="00303725">
        <w:rPr>
          <w:rFonts w:ascii="Arial" w:hAnsi="Arial" w:cs="Arial"/>
          <w:sz w:val="20"/>
          <w:szCs w:val="20"/>
        </w:rPr>
        <w:t>: 10.1155/2017/1048302.</w:t>
      </w:r>
    </w:p>
    <w:p w14:paraId="611BD21F"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Manning</w:t>
      </w:r>
      <w:r w:rsidR="00A13B78" w:rsidRPr="00303725">
        <w:rPr>
          <w:rFonts w:ascii="Arial" w:hAnsi="Arial" w:cs="Arial"/>
          <w:sz w:val="20"/>
          <w:szCs w:val="20"/>
        </w:rPr>
        <w:t>,</w:t>
      </w:r>
      <w:r w:rsidRPr="00303725">
        <w:rPr>
          <w:rFonts w:ascii="Arial" w:hAnsi="Arial" w:cs="Arial"/>
          <w:sz w:val="20"/>
          <w:szCs w:val="20"/>
        </w:rPr>
        <w:t xml:space="preserve"> J</w:t>
      </w:r>
      <w:r w:rsidR="00A13B78" w:rsidRPr="00303725">
        <w:rPr>
          <w:rFonts w:ascii="Arial" w:hAnsi="Arial" w:cs="Arial"/>
          <w:sz w:val="20"/>
          <w:szCs w:val="20"/>
        </w:rPr>
        <w:t>.</w:t>
      </w:r>
      <w:r w:rsidRPr="00303725">
        <w:rPr>
          <w:rFonts w:ascii="Arial" w:hAnsi="Arial" w:cs="Arial"/>
          <w:sz w:val="20"/>
          <w:szCs w:val="20"/>
        </w:rPr>
        <w:t>T</w:t>
      </w:r>
      <w:r w:rsidR="00A13B78" w:rsidRPr="00303725">
        <w:rPr>
          <w:rFonts w:ascii="Arial" w:hAnsi="Arial" w:cs="Arial"/>
          <w:sz w:val="20"/>
          <w:szCs w:val="20"/>
        </w:rPr>
        <w:t>.</w:t>
      </w:r>
      <w:r w:rsidRPr="00303725">
        <w:rPr>
          <w:rFonts w:ascii="Arial" w:hAnsi="Arial" w:cs="Arial"/>
          <w:sz w:val="20"/>
          <w:szCs w:val="20"/>
        </w:rPr>
        <w:t>, Scutt</w:t>
      </w:r>
      <w:r w:rsidR="00A13B78" w:rsidRPr="00303725">
        <w:rPr>
          <w:rFonts w:ascii="Arial" w:hAnsi="Arial" w:cs="Arial"/>
          <w:sz w:val="20"/>
          <w:szCs w:val="20"/>
        </w:rPr>
        <w:t>,</w:t>
      </w:r>
      <w:r w:rsidRPr="00303725">
        <w:rPr>
          <w:rFonts w:ascii="Arial" w:hAnsi="Arial" w:cs="Arial"/>
          <w:sz w:val="20"/>
          <w:szCs w:val="20"/>
        </w:rPr>
        <w:t xml:space="preserve"> D</w:t>
      </w:r>
      <w:r w:rsidR="00A13B78" w:rsidRPr="00303725">
        <w:rPr>
          <w:rFonts w:ascii="Arial" w:hAnsi="Arial" w:cs="Arial"/>
          <w:sz w:val="20"/>
          <w:szCs w:val="20"/>
        </w:rPr>
        <w:t>.</w:t>
      </w:r>
      <w:r w:rsidRPr="00303725">
        <w:rPr>
          <w:rFonts w:ascii="Arial" w:hAnsi="Arial" w:cs="Arial"/>
          <w:sz w:val="20"/>
          <w:szCs w:val="20"/>
        </w:rPr>
        <w:t>, Wilson</w:t>
      </w:r>
      <w:r w:rsidR="00A13B78" w:rsidRPr="00303725">
        <w:rPr>
          <w:rFonts w:ascii="Arial" w:hAnsi="Arial" w:cs="Arial"/>
          <w:sz w:val="20"/>
          <w:szCs w:val="20"/>
        </w:rPr>
        <w:t>,</w:t>
      </w:r>
      <w:r w:rsidRPr="00303725">
        <w:rPr>
          <w:rFonts w:ascii="Arial" w:hAnsi="Arial" w:cs="Arial"/>
          <w:sz w:val="20"/>
          <w:szCs w:val="20"/>
        </w:rPr>
        <w:t xml:space="preserve"> J</w:t>
      </w:r>
      <w:r w:rsidR="00A13B78" w:rsidRPr="00303725">
        <w:rPr>
          <w:rFonts w:ascii="Arial" w:hAnsi="Arial" w:cs="Arial"/>
          <w:sz w:val="20"/>
          <w:szCs w:val="20"/>
        </w:rPr>
        <w:t>.</w:t>
      </w:r>
      <w:r w:rsidRPr="00303725">
        <w:rPr>
          <w:rFonts w:ascii="Arial" w:hAnsi="Arial" w:cs="Arial"/>
          <w:sz w:val="20"/>
          <w:szCs w:val="20"/>
        </w:rPr>
        <w:t xml:space="preserve">, </w:t>
      </w:r>
      <w:r w:rsidR="00A13B78" w:rsidRPr="00303725">
        <w:rPr>
          <w:rFonts w:ascii="Arial" w:hAnsi="Arial" w:cs="Arial"/>
          <w:sz w:val="20"/>
          <w:szCs w:val="20"/>
        </w:rPr>
        <w:t xml:space="preserve">&amp; </w:t>
      </w:r>
      <w:r w:rsidRPr="00303725">
        <w:rPr>
          <w:rFonts w:ascii="Arial" w:hAnsi="Arial" w:cs="Arial"/>
          <w:sz w:val="20"/>
          <w:szCs w:val="20"/>
        </w:rPr>
        <w:t>Lewis–Jones</w:t>
      </w:r>
      <w:r w:rsidR="00A13B78" w:rsidRPr="00303725">
        <w:rPr>
          <w:rFonts w:ascii="Arial" w:hAnsi="Arial" w:cs="Arial"/>
          <w:sz w:val="20"/>
          <w:szCs w:val="20"/>
        </w:rPr>
        <w:t>,</w:t>
      </w:r>
      <w:r w:rsidRPr="00303725">
        <w:rPr>
          <w:rFonts w:ascii="Arial" w:hAnsi="Arial" w:cs="Arial"/>
          <w:sz w:val="20"/>
          <w:szCs w:val="20"/>
        </w:rPr>
        <w:t xml:space="preserve"> D</w:t>
      </w:r>
      <w:r w:rsidR="00A13B78" w:rsidRPr="00303725">
        <w:rPr>
          <w:rFonts w:ascii="Arial" w:hAnsi="Arial" w:cs="Arial"/>
          <w:sz w:val="20"/>
          <w:szCs w:val="20"/>
        </w:rPr>
        <w:t>.</w:t>
      </w:r>
      <w:r w:rsidRPr="00303725">
        <w:rPr>
          <w:rFonts w:ascii="Arial" w:hAnsi="Arial" w:cs="Arial"/>
          <w:sz w:val="20"/>
          <w:szCs w:val="20"/>
        </w:rPr>
        <w:t xml:space="preserve">I. </w:t>
      </w:r>
      <w:r w:rsidR="00A13B78" w:rsidRPr="00303725">
        <w:rPr>
          <w:rFonts w:ascii="Arial" w:hAnsi="Arial" w:cs="Arial"/>
          <w:sz w:val="20"/>
          <w:szCs w:val="20"/>
        </w:rPr>
        <w:t>(</w:t>
      </w:r>
      <w:r w:rsidRPr="00303725">
        <w:rPr>
          <w:rFonts w:ascii="Arial" w:hAnsi="Arial" w:cs="Arial"/>
          <w:sz w:val="20"/>
          <w:szCs w:val="20"/>
        </w:rPr>
        <w:t>1998</w:t>
      </w:r>
      <w:r w:rsidR="00A13B78" w:rsidRPr="00303725">
        <w:rPr>
          <w:rFonts w:ascii="Arial" w:hAnsi="Arial" w:cs="Arial"/>
          <w:sz w:val="20"/>
          <w:szCs w:val="20"/>
        </w:rPr>
        <w:t>)</w:t>
      </w:r>
      <w:r w:rsidRPr="00303725">
        <w:rPr>
          <w:rFonts w:ascii="Arial" w:hAnsi="Arial" w:cs="Arial"/>
          <w:sz w:val="20"/>
          <w:szCs w:val="20"/>
        </w:rPr>
        <w:t xml:space="preserve">. The ratio of 2nd to 4th digit length: a predictor of sperm numbers and concentrations of testosterone, luteinizing hormone and </w:t>
      </w:r>
      <w:proofErr w:type="spellStart"/>
      <w:r w:rsidRPr="00303725">
        <w:rPr>
          <w:rFonts w:ascii="Arial" w:hAnsi="Arial" w:cs="Arial"/>
          <w:sz w:val="20"/>
          <w:szCs w:val="20"/>
        </w:rPr>
        <w:t>oestrogen</w:t>
      </w:r>
      <w:proofErr w:type="spellEnd"/>
      <w:r w:rsidRPr="00303725">
        <w:rPr>
          <w:rFonts w:ascii="Arial" w:hAnsi="Arial" w:cs="Arial"/>
          <w:sz w:val="20"/>
          <w:szCs w:val="20"/>
        </w:rPr>
        <w:t xml:space="preserve">. Hum </w:t>
      </w:r>
      <w:proofErr w:type="spellStart"/>
      <w:r w:rsidRPr="00303725">
        <w:rPr>
          <w:rFonts w:ascii="Arial" w:hAnsi="Arial" w:cs="Arial"/>
          <w:sz w:val="20"/>
          <w:szCs w:val="20"/>
        </w:rPr>
        <w:t>Reprod</w:t>
      </w:r>
      <w:proofErr w:type="spellEnd"/>
      <w:r w:rsidR="00A13B78" w:rsidRPr="00303725">
        <w:rPr>
          <w:rFonts w:ascii="Arial" w:hAnsi="Arial" w:cs="Arial"/>
          <w:sz w:val="20"/>
          <w:szCs w:val="20"/>
        </w:rPr>
        <w:t>.,</w:t>
      </w:r>
      <w:r w:rsidRPr="00303725">
        <w:rPr>
          <w:rFonts w:ascii="Arial" w:hAnsi="Arial" w:cs="Arial"/>
          <w:sz w:val="20"/>
          <w:szCs w:val="20"/>
        </w:rPr>
        <w:t xml:space="preserve"> 13:3000–3004.</w:t>
      </w:r>
    </w:p>
    <w:p w14:paraId="0358CC40"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Manning</w:t>
      </w:r>
      <w:r w:rsidR="00A13B78" w:rsidRPr="00303725">
        <w:rPr>
          <w:rFonts w:ascii="Arial" w:hAnsi="Arial" w:cs="Arial"/>
          <w:sz w:val="20"/>
          <w:szCs w:val="20"/>
        </w:rPr>
        <w:t>,</w:t>
      </w:r>
      <w:r w:rsidRPr="00303725">
        <w:rPr>
          <w:rFonts w:ascii="Arial" w:hAnsi="Arial" w:cs="Arial"/>
          <w:sz w:val="20"/>
          <w:szCs w:val="20"/>
        </w:rPr>
        <w:t xml:space="preserve"> J</w:t>
      </w:r>
      <w:r w:rsidR="00A13B78" w:rsidRPr="00303725">
        <w:rPr>
          <w:rFonts w:ascii="Arial" w:hAnsi="Arial" w:cs="Arial"/>
          <w:sz w:val="20"/>
          <w:szCs w:val="20"/>
        </w:rPr>
        <w:t>.</w:t>
      </w:r>
      <w:r w:rsidRPr="00303725">
        <w:rPr>
          <w:rFonts w:ascii="Arial" w:hAnsi="Arial" w:cs="Arial"/>
          <w:sz w:val="20"/>
          <w:szCs w:val="20"/>
        </w:rPr>
        <w:t xml:space="preserve">T. </w:t>
      </w:r>
      <w:r w:rsidR="00A13B78" w:rsidRPr="00303725">
        <w:rPr>
          <w:rFonts w:ascii="Arial" w:hAnsi="Arial" w:cs="Arial"/>
          <w:sz w:val="20"/>
          <w:szCs w:val="20"/>
        </w:rPr>
        <w:t xml:space="preserve">(2008). </w:t>
      </w:r>
      <w:r w:rsidRPr="00303725">
        <w:rPr>
          <w:rFonts w:ascii="Arial" w:hAnsi="Arial" w:cs="Arial"/>
          <w:sz w:val="20"/>
          <w:szCs w:val="20"/>
        </w:rPr>
        <w:t>The Finger book: Sex, behavior, and disease revealed in the fingers. London: Faber &amp; Faber</w:t>
      </w:r>
      <w:r w:rsidR="00A13B78" w:rsidRPr="00303725">
        <w:rPr>
          <w:rFonts w:ascii="Arial" w:hAnsi="Arial" w:cs="Arial"/>
          <w:sz w:val="20"/>
          <w:szCs w:val="20"/>
        </w:rPr>
        <w:t>.</w:t>
      </w:r>
      <w:r w:rsidRPr="00303725">
        <w:rPr>
          <w:rFonts w:ascii="Arial" w:hAnsi="Arial" w:cs="Arial"/>
          <w:sz w:val="20"/>
          <w:szCs w:val="20"/>
        </w:rPr>
        <w:t xml:space="preserve"> </w:t>
      </w:r>
    </w:p>
    <w:p w14:paraId="00A076B1" w14:textId="0B559A9D"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 xml:space="preserve">Manning, J. T., Henzi, P., &amp; </w:t>
      </w:r>
      <w:proofErr w:type="spellStart"/>
      <w:r w:rsidRPr="00303725">
        <w:rPr>
          <w:rFonts w:ascii="Arial" w:hAnsi="Arial" w:cs="Arial"/>
          <w:sz w:val="20"/>
          <w:szCs w:val="20"/>
        </w:rPr>
        <w:t>Bundred</w:t>
      </w:r>
      <w:proofErr w:type="spellEnd"/>
      <w:r w:rsidRPr="00303725">
        <w:rPr>
          <w:rFonts w:ascii="Arial" w:hAnsi="Arial" w:cs="Arial"/>
          <w:sz w:val="20"/>
          <w:szCs w:val="20"/>
        </w:rPr>
        <w:t xml:space="preserve">, P. E. (2001). The ratio of 2nd to 4th digit length: a proxy for testosterone, and susceptibility to HIV and </w:t>
      </w:r>
      <w:proofErr w:type="gramStart"/>
      <w:r w:rsidRPr="00303725">
        <w:rPr>
          <w:rFonts w:ascii="Arial" w:hAnsi="Arial" w:cs="Arial"/>
          <w:sz w:val="20"/>
          <w:szCs w:val="20"/>
        </w:rPr>
        <w:t>AI</w:t>
      </w:r>
      <w:r w:rsidR="009B0D07" w:rsidRPr="00303725">
        <w:rPr>
          <w:rFonts w:ascii="Arial" w:hAnsi="Arial" w:cs="Arial"/>
          <w:sz w:val="20"/>
          <w:szCs w:val="20"/>
        </w:rPr>
        <w:t>DS?.</w:t>
      </w:r>
      <w:proofErr w:type="gramEnd"/>
      <w:r w:rsidR="009B0D07" w:rsidRPr="00303725">
        <w:rPr>
          <w:rFonts w:ascii="Arial" w:hAnsi="Arial" w:cs="Arial"/>
          <w:sz w:val="20"/>
          <w:szCs w:val="20"/>
        </w:rPr>
        <w:t xml:space="preserve"> Medical hypotheses, 57(6): </w:t>
      </w:r>
      <w:r w:rsidRPr="00303725">
        <w:rPr>
          <w:rFonts w:ascii="Arial" w:hAnsi="Arial" w:cs="Arial"/>
          <w:sz w:val="20"/>
          <w:szCs w:val="20"/>
        </w:rPr>
        <w:t>761-763.</w:t>
      </w:r>
    </w:p>
    <w:p w14:paraId="6E1923AB" w14:textId="1ED3D156" w:rsidR="00B05223" w:rsidRPr="00303725" w:rsidRDefault="00B05223"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highlight w:val="yellow"/>
        </w:rPr>
        <w:t xml:space="preserve">Mondal N </w:t>
      </w:r>
      <w:r w:rsidR="00993D68" w:rsidRPr="00303725">
        <w:rPr>
          <w:rFonts w:ascii="Arial" w:hAnsi="Arial" w:cs="Arial"/>
          <w:sz w:val="20"/>
          <w:szCs w:val="20"/>
          <w:highlight w:val="yellow"/>
        </w:rPr>
        <w:t>&amp;</w:t>
      </w:r>
      <w:r w:rsidRPr="00303725">
        <w:rPr>
          <w:rFonts w:ascii="Arial" w:hAnsi="Arial" w:cs="Arial"/>
          <w:sz w:val="20"/>
          <w:szCs w:val="20"/>
          <w:highlight w:val="yellow"/>
        </w:rPr>
        <w:t xml:space="preserve"> Chakraborty R. </w:t>
      </w:r>
      <w:r w:rsidR="00993D68" w:rsidRPr="00303725">
        <w:rPr>
          <w:rFonts w:ascii="Arial" w:hAnsi="Arial" w:cs="Arial"/>
          <w:sz w:val="20"/>
          <w:szCs w:val="20"/>
          <w:highlight w:val="yellow"/>
        </w:rPr>
        <w:t>(</w:t>
      </w:r>
      <w:r w:rsidRPr="00303725">
        <w:rPr>
          <w:rFonts w:ascii="Arial" w:hAnsi="Arial" w:cs="Arial"/>
          <w:sz w:val="20"/>
          <w:szCs w:val="20"/>
          <w:highlight w:val="yellow"/>
        </w:rPr>
        <w:t>2023</w:t>
      </w:r>
      <w:r w:rsidR="00993D68" w:rsidRPr="00303725">
        <w:rPr>
          <w:rFonts w:ascii="Arial" w:hAnsi="Arial" w:cs="Arial"/>
          <w:sz w:val="20"/>
          <w:szCs w:val="20"/>
          <w:highlight w:val="yellow"/>
        </w:rPr>
        <w:t>)</w:t>
      </w:r>
      <w:r w:rsidRPr="00303725">
        <w:rPr>
          <w:rFonts w:ascii="Arial" w:hAnsi="Arial" w:cs="Arial"/>
          <w:sz w:val="20"/>
          <w:szCs w:val="20"/>
          <w:highlight w:val="yellow"/>
        </w:rPr>
        <w:t xml:space="preserve">. Digit Ratio (2D:4D) as a potential biomarker of sexual dimorphism, reproductive characteristics and </w:t>
      </w:r>
      <w:proofErr w:type="spellStart"/>
      <w:r w:rsidRPr="00303725">
        <w:rPr>
          <w:rFonts w:ascii="Arial" w:hAnsi="Arial" w:cs="Arial"/>
          <w:sz w:val="20"/>
          <w:szCs w:val="20"/>
          <w:highlight w:val="yellow"/>
        </w:rPr>
        <w:t>behavioural</w:t>
      </w:r>
      <w:proofErr w:type="spellEnd"/>
      <w:r w:rsidRPr="00303725">
        <w:rPr>
          <w:rFonts w:ascii="Arial" w:hAnsi="Arial" w:cs="Arial"/>
          <w:sz w:val="20"/>
          <w:szCs w:val="20"/>
          <w:highlight w:val="yellow"/>
        </w:rPr>
        <w:t xml:space="preserve"> traits: A Review. Human Biology Review, 12 (2), 96-114.</w:t>
      </w:r>
    </w:p>
    <w:p w14:paraId="7CBB75DD" w14:textId="546BC210" w:rsidR="00AF304B" w:rsidRPr="00303725" w:rsidRDefault="00AF304B" w:rsidP="00303725">
      <w:pPr>
        <w:pStyle w:val="ListParagraph"/>
        <w:numPr>
          <w:ilvl w:val="0"/>
          <w:numId w:val="2"/>
        </w:numPr>
        <w:spacing w:line="240" w:lineRule="auto"/>
        <w:jc w:val="both"/>
        <w:rPr>
          <w:rFonts w:ascii="Arial" w:hAnsi="Arial" w:cs="Arial"/>
          <w:sz w:val="20"/>
          <w:szCs w:val="20"/>
        </w:rPr>
      </w:pPr>
      <w:proofErr w:type="spellStart"/>
      <w:r w:rsidRPr="00303725">
        <w:rPr>
          <w:rFonts w:ascii="Arial" w:hAnsi="Arial" w:cs="Arial"/>
          <w:sz w:val="20"/>
          <w:szCs w:val="20"/>
          <w:highlight w:val="yellow"/>
        </w:rPr>
        <w:t>Okoseimiema</w:t>
      </w:r>
      <w:proofErr w:type="spellEnd"/>
      <w:r w:rsidRPr="00303725">
        <w:rPr>
          <w:rFonts w:ascii="Arial" w:hAnsi="Arial" w:cs="Arial"/>
          <w:sz w:val="20"/>
          <w:szCs w:val="20"/>
          <w:highlight w:val="yellow"/>
        </w:rPr>
        <w:t xml:space="preserve">, S. C., </w:t>
      </w:r>
      <w:proofErr w:type="spellStart"/>
      <w:r w:rsidRPr="00303725">
        <w:rPr>
          <w:rFonts w:ascii="Arial" w:hAnsi="Arial" w:cs="Arial"/>
          <w:sz w:val="20"/>
          <w:szCs w:val="20"/>
          <w:highlight w:val="yellow"/>
        </w:rPr>
        <w:t>Osunwoke</w:t>
      </w:r>
      <w:proofErr w:type="spellEnd"/>
      <w:r w:rsidRPr="00303725">
        <w:rPr>
          <w:rFonts w:ascii="Arial" w:hAnsi="Arial" w:cs="Arial"/>
          <w:sz w:val="20"/>
          <w:szCs w:val="20"/>
          <w:highlight w:val="yellow"/>
        </w:rPr>
        <w:t xml:space="preserve">, E. A., Bob-Manuel, I. F., Collins, G. U., &amp; Godstime, R. (2026). Association between handedness, second-to-fourth digit ratio (2D:4D), and personality traits among the </w:t>
      </w:r>
      <w:proofErr w:type="spellStart"/>
      <w:r w:rsidRPr="00303725">
        <w:rPr>
          <w:rFonts w:ascii="Arial" w:hAnsi="Arial" w:cs="Arial"/>
          <w:sz w:val="20"/>
          <w:szCs w:val="20"/>
          <w:highlight w:val="yellow"/>
        </w:rPr>
        <w:t>Ikwerre</w:t>
      </w:r>
      <w:proofErr w:type="spellEnd"/>
      <w:r w:rsidRPr="00303725">
        <w:rPr>
          <w:rFonts w:ascii="Arial" w:hAnsi="Arial" w:cs="Arial"/>
          <w:sz w:val="20"/>
          <w:szCs w:val="20"/>
          <w:highlight w:val="yellow"/>
        </w:rPr>
        <w:t xml:space="preserve"> ethnic group in Rivers State, Nigeria. ISA Journal of Medical Sciences (ISAJMS), 3(2), 93-106.</w:t>
      </w:r>
    </w:p>
    <w:p w14:paraId="26F603B3"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Stuenkel, C. A. (2024). What i</w:t>
      </w:r>
      <w:r w:rsidR="009B0D07" w:rsidRPr="00303725">
        <w:rPr>
          <w:rFonts w:ascii="Arial" w:hAnsi="Arial" w:cs="Arial"/>
          <w:sz w:val="20"/>
          <w:szCs w:val="20"/>
        </w:rPr>
        <w:t xml:space="preserve">s </w:t>
      </w:r>
      <w:proofErr w:type="gramStart"/>
      <w:r w:rsidR="009B0D07" w:rsidRPr="00303725">
        <w:rPr>
          <w:rFonts w:ascii="Arial" w:hAnsi="Arial" w:cs="Arial"/>
          <w:sz w:val="20"/>
          <w:szCs w:val="20"/>
        </w:rPr>
        <w:t>menopause?.</w:t>
      </w:r>
      <w:proofErr w:type="gramEnd"/>
      <w:r w:rsidR="009B0D07" w:rsidRPr="00303725">
        <w:rPr>
          <w:rFonts w:ascii="Arial" w:hAnsi="Arial" w:cs="Arial"/>
          <w:sz w:val="20"/>
          <w:szCs w:val="20"/>
        </w:rPr>
        <w:t xml:space="preserve"> Menopause, 31(9):</w:t>
      </w:r>
      <w:r w:rsidRPr="00303725">
        <w:rPr>
          <w:rFonts w:ascii="Arial" w:hAnsi="Arial" w:cs="Arial"/>
          <w:sz w:val="20"/>
          <w:szCs w:val="20"/>
        </w:rPr>
        <w:t>837-838.</w:t>
      </w:r>
    </w:p>
    <w:p w14:paraId="46F8A1A0"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Tabachnik</w:t>
      </w:r>
      <w:r w:rsidR="009B0D07" w:rsidRPr="00303725">
        <w:rPr>
          <w:rFonts w:ascii="Arial" w:hAnsi="Arial" w:cs="Arial"/>
          <w:sz w:val="20"/>
          <w:szCs w:val="20"/>
        </w:rPr>
        <w:t>,</w:t>
      </w:r>
      <w:r w:rsidRPr="00303725">
        <w:rPr>
          <w:rFonts w:ascii="Arial" w:hAnsi="Arial" w:cs="Arial"/>
          <w:sz w:val="20"/>
          <w:szCs w:val="20"/>
        </w:rPr>
        <w:t xml:space="preserve"> M</w:t>
      </w:r>
      <w:r w:rsidR="009B0D07" w:rsidRPr="00303725">
        <w:rPr>
          <w:rFonts w:ascii="Arial" w:hAnsi="Arial" w:cs="Arial"/>
          <w:sz w:val="20"/>
          <w:szCs w:val="20"/>
        </w:rPr>
        <w:t>.</w:t>
      </w:r>
      <w:r w:rsidRPr="00303725">
        <w:rPr>
          <w:rFonts w:ascii="Arial" w:hAnsi="Arial" w:cs="Arial"/>
          <w:sz w:val="20"/>
          <w:szCs w:val="20"/>
        </w:rPr>
        <w:t>, Sheiner</w:t>
      </w:r>
      <w:r w:rsidR="009B0D07" w:rsidRPr="00303725">
        <w:rPr>
          <w:rFonts w:ascii="Arial" w:hAnsi="Arial" w:cs="Arial"/>
          <w:sz w:val="20"/>
          <w:szCs w:val="20"/>
        </w:rPr>
        <w:t>,</w:t>
      </w:r>
      <w:r w:rsidRPr="00303725">
        <w:rPr>
          <w:rFonts w:ascii="Arial" w:hAnsi="Arial" w:cs="Arial"/>
          <w:sz w:val="20"/>
          <w:szCs w:val="20"/>
        </w:rPr>
        <w:t xml:space="preserve"> E</w:t>
      </w:r>
      <w:r w:rsidR="009B0D07" w:rsidRPr="00303725">
        <w:rPr>
          <w:rFonts w:ascii="Arial" w:hAnsi="Arial" w:cs="Arial"/>
          <w:sz w:val="20"/>
          <w:szCs w:val="20"/>
        </w:rPr>
        <w:t>.</w:t>
      </w:r>
      <w:r w:rsidRPr="00303725">
        <w:rPr>
          <w:rFonts w:ascii="Arial" w:hAnsi="Arial" w:cs="Arial"/>
          <w:sz w:val="20"/>
          <w:szCs w:val="20"/>
        </w:rPr>
        <w:t xml:space="preserve">, </w:t>
      </w:r>
      <w:r w:rsidR="009B0D07" w:rsidRPr="00303725">
        <w:rPr>
          <w:rFonts w:ascii="Arial" w:hAnsi="Arial" w:cs="Arial"/>
          <w:sz w:val="20"/>
          <w:szCs w:val="20"/>
        </w:rPr>
        <w:t xml:space="preserve">&amp; </w:t>
      </w:r>
      <w:proofErr w:type="spellStart"/>
      <w:r w:rsidRPr="00303725">
        <w:rPr>
          <w:rFonts w:ascii="Arial" w:hAnsi="Arial" w:cs="Arial"/>
          <w:sz w:val="20"/>
          <w:szCs w:val="20"/>
        </w:rPr>
        <w:t>Wainstock</w:t>
      </w:r>
      <w:proofErr w:type="spellEnd"/>
      <w:r w:rsidR="009B0D07" w:rsidRPr="00303725">
        <w:rPr>
          <w:rFonts w:ascii="Arial" w:hAnsi="Arial" w:cs="Arial"/>
          <w:sz w:val="20"/>
          <w:szCs w:val="20"/>
        </w:rPr>
        <w:t>,</w:t>
      </w:r>
      <w:r w:rsidRPr="00303725">
        <w:rPr>
          <w:rFonts w:ascii="Arial" w:hAnsi="Arial" w:cs="Arial"/>
          <w:sz w:val="20"/>
          <w:szCs w:val="20"/>
        </w:rPr>
        <w:t xml:space="preserve"> T. </w:t>
      </w:r>
      <w:r w:rsidR="009B0D07" w:rsidRPr="00303725">
        <w:rPr>
          <w:rFonts w:ascii="Arial" w:hAnsi="Arial" w:cs="Arial"/>
          <w:sz w:val="20"/>
          <w:szCs w:val="20"/>
        </w:rPr>
        <w:t>(</w:t>
      </w:r>
      <w:r w:rsidRPr="00303725">
        <w:rPr>
          <w:rFonts w:ascii="Arial" w:hAnsi="Arial" w:cs="Arial"/>
          <w:sz w:val="20"/>
          <w:szCs w:val="20"/>
        </w:rPr>
        <w:t>2020</w:t>
      </w:r>
      <w:r w:rsidR="009B0D07" w:rsidRPr="00303725">
        <w:rPr>
          <w:rFonts w:ascii="Arial" w:hAnsi="Arial" w:cs="Arial"/>
          <w:sz w:val="20"/>
          <w:szCs w:val="20"/>
        </w:rPr>
        <w:t>)</w:t>
      </w:r>
      <w:r w:rsidRPr="00303725">
        <w:rPr>
          <w:rFonts w:ascii="Arial" w:hAnsi="Arial" w:cs="Arial"/>
          <w:sz w:val="20"/>
          <w:szCs w:val="20"/>
        </w:rPr>
        <w:t>. The association between second to fourth digit ratio, reproductive and general health among women: findings from an Israeli pregnancy cohort. Sci Rep 10: 6341. doi:10.1038/s41598-020-62599-3.</w:t>
      </w:r>
    </w:p>
    <w:p w14:paraId="4B5D53EC" w14:textId="77777777"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Ventura</w:t>
      </w:r>
      <w:r w:rsidR="009B0D07" w:rsidRPr="00303725">
        <w:rPr>
          <w:rFonts w:ascii="Arial" w:hAnsi="Arial" w:cs="Arial"/>
          <w:sz w:val="20"/>
          <w:szCs w:val="20"/>
        </w:rPr>
        <w:t>,</w:t>
      </w:r>
      <w:r w:rsidRPr="00303725">
        <w:rPr>
          <w:rFonts w:ascii="Arial" w:hAnsi="Arial" w:cs="Arial"/>
          <w:sz w:val="20"/>
          <w:szCs w:val="20"/>
        </w:rPr>
        <w:t xml:space="preserve"> T</w:t>
      </w:r>
      <w:r w:rsidR="009B0D07" w:rsidRPr="00303725">
        <w:rPr>
          <w:rFonts w:ascii="Arial" w:hAnsi="Arial" w:cs="Arial"/>
          <w:sz w:val="20"/>
          <w:szCs w:val="20"/>
        </w:rPr>
        <w:t>.</w:t>
      </w:r>
      <w:r w:rsidRPr="00303725">
        <w:rPr>
          <w:rFonts w:ascii="Arial" w:hAnsi="Arial" w:cs="Arial"/>
          <w:sz w:val="20"/>
          <w:szCs w:val="20"/>
        </w:rPr>
        <w:t>, Gomes</w:t>
      </w:r>
      <w:r w:rsidR="009B0D07" w:rsidRPr="00303725">
        <w:rPr>
          <w:rFonts w:ascii="Arial" w:hAnsi="Arial" w:cs="Arial"/>
          <w:sz w:val="20"/>
          <w:szCs w:val="20"/>
        </w:rPr>
        <w:t>,</w:t>
      </w:r>
      <w:r w:rsidRPr="00303725">
        <w:rPr>
          <w:rFonts w:ascii="Arial" w:hAnsi="Arial" w:cs="Arial"/>
          <w:sz w:val="20"/>
          <w:szCs w:val="20"/>
        </w:rPr>
        <w:t xml:space="preserve"> M</w:t>
      </w:r>
      <w:r w:rsidR="009B0D07" w:rsidRPr="00303725">
        <w:rPr>
          <w:rFonts w:ascii="Arial" w:hAnsi="Arial" w:cs="Arial"/>
          <w:sz w:val="20"/>
          <w:szCs w:val="20"/>
        </w:rPr>
        <w:t>.</w:t>
      </w:r>
      <w:r w:rsidRPr="00303725">
        <w:rPr>
          <w:rFonts w:ascii="Arial" w:hAnsi="Arial" w:cs="Arial"/>
          <w:sz w:val="20"/>
          <w:szCs w:val="20"/>
        </w:rPr>
        <w:t>C</w:t>
      </w:r>
      <w:r w:rsidR="009B0D07" w:rsidRPr="00303725">
        <w:rPr>
          <w:rFonts w:ascii="Arial" w:hAnsi="Arial" w:cs="Arial"/>
          <w:sz w:val="20"/>
          <w:szCs w:val="20"/>
        </w:rPr>
        <w:t>.</w:t>
      </w:r>
      <w:r w:rsidRPr="00303725">
        <w:rPr>
          <w:rFonts w:ascii="Arial" w:hAnsi="Arial" w:cs="Arial"/>
          <w:sz w:val="20"/>
          <w:szCs w:val="20"/>
        </w:rPr>
        <w:t>, Pita</w:t>
      </w:r>
      <w:r w:rsidR="009B0D07" w:rsidRPr="00303725">
        <w:rPr>
          <w:rFonts w:ascii="Arial" w:hAnsi="Arial" w:cs="Arial"/>
          <w:sz w:val="20"/>
          <w:szCs w:val="20"/>
        </w:rPr>
        <w:t>,</w:t>
      </w:r>
      <w:r w:rsidRPr="00303725">
        <w:rPr>
          <w:rFonts w:ascii="Arial" w:hAnsi="Arial" w:cs="Arial"/>
          <w:sz w:val="20"/>
          <w:szCs w:val="20"/>
        </w:rPr>
        <w:t xml:space="preserve"> A</w:t>
      </w:r>
      <w:r w:rsidR="009B0D07" w:rsidRPr="00303725">
        <w:rPr>
          <w:rFonts w:ascii="Arial" w:hAnsi="Arial" w:cs="Arial"/>
          <w:sz w:val="20"/>
          <w:szCs w:val="20"/>
        </w:rPr>
        <w:t>.</w:t>
      </w:r>
      <w:r w:rsidRPr="00303725">
        <w:rPr>
          <w:rFonts w:ascii="Arial" w:hAnsi="Arial" w:cs="Arial"/>
          <w:sz w:val="20"/>
          <w:szCs w:val="20"/>
        </w:rPr>
        <w:t>, Neto</w:t>
      </w:r>
      <w:r w:rsidR="009B0D07" w:rsidRPr="00303725">
        <w:rPr>
          <w:rFonts w:ascii="Arial" w:hAnsi="Arial" w:cs="Arial"/>
          <w:sz w:val="20"/>
          <w:szCs w:val="20"/>
        </w:rPr>
        <w:t>,</w:t>
      </w:r>
      <w:r w:rsidRPr="00303725">
        <w:rPr>
          <w:rFonts w:ascii="Arial" w:hAnsi="Arial" w:cs="Arial"/>
          <w:sz w:val="20"/>
          <w:szCs w:val="20"/>
        </w:rPr>
        <w:t xml:space="preserve"> M</w:t>
      </w:r>
      <w:r w:rsidR="009B0D07" w:rsidRPr="00303725">
        <w:rPr>
          <w:rFonts w:ascii="Arial" w:hAnsi="Arial" w:cs="Arial"/>
          <w:sz w:val="20"/>
          <w:szCs w:val="20"/>
        </w:rPr>
        <w:t>.</w:t>
      </w:r>
      <w:r w:rsidRPr="00303725">
        <w:rPr>
          <w:rFonts w:ascii="Arial" w:hAnsi="Arial" w:cs="Arial"/>
          <w:sz w:val="20"/>
          <w:szCs w:val="20"/>
        </w:rPr>
        <w:t>T</w:t>
      </w:r>
      <w:r w:rsidR="009B0D07" w:rsidRPr="00303725">
        <w:rPr>
          <w:rFonts w:ascii="Arial" w:hAnsi="Arial" w:cs="Arial"/>
          <w:sz w:val="20"/>
          <w:szCs w:val="20"/>
        </w:rPr>
        <w:t>.</w:t>
      </w:r>
      <w:r w:rsidRPr="00303725">
        <w:rPr>
          <w:rFonts w:ascii="Arial" w:hAnsi="Arial" w:cs="Arial"/>
          <w:sz w:val="20"/>
          <w:szCs w:val="20"/>
        </w:rPr>
        <w:t xml:space="preserve">, </w:t>
      </w:r>
      <w:r w:rsidR="009B0D07" w:rsidRPr="00303725">
        <w:rPr>
          <w:rFonts w:ascii="Arial" w:hAnsi="Arial" w:cs="Arial"/>
          <w:sz w:val="20"/>
          <w:szCs w:val="20"/>
        </w:rPr>
        <w:t xml:space="preserve">&amp; </w:t>
      </w:r>
      <w:r w:rsidRPr="00303725">
        <w:rPr>
          <w:rFonts w:ascii="Arial" w:hAnsi="Arial" w:cs="Arial"/>
          <w:sz w:val="20"/>
          <w:szCs w:val="20"/>
        </w:rPr>
        <w:t>Taylor</w:t>
      </w:r>
      <w:r w:rsidR="009B0D07" w:rsidRPr="00303725">
        <w:rPr>
          <w:rFonts w:ascii="Arial" w:hAnsi="Arial" w:cs="Arial"/>
          <w:sz w:val="20"/>
          <w:szCs w:val="20"/>
        </w:rPr>
        <w:t>,</w:t>
      </w:r>
      <w:r w:rsidRPr="00303725">
        <w:rPr>
          <w:rFonts w:ascii="Arial" w:hAnsi="Arial" w:cs="Arial"/>
          <w:sz w:val="20"/>
          <w:szCs w:val="20"/>
        </w:rPr>
        <w:t xml:space="preserve"> A. </w:t>
      </w:r>
      <w:r w:rsidR="009B0D07" w:rsidRPr="00303725">
        <w:rPr>
          <w:rFonts w:ascii="Arial" w:hAnsi="Arial" w:cs="Arial"/>
          <w:sz w:val="20"/>
          <w:szCs w:val="20"/>
        </w:rPr>
        <w:t xml:space="preserve">(2013). </w:t>
      </w:r>
      <w:r w:rsidRPr="00303725">
        <w:rPr>
          <w:rFonts w:ascii="Arial" w:hAnsi="Arial" w:cs="Arial"/>
          <w:sz w:val="20"/>
          <w:szCs w:val="20"/>
        </w:rPr>
        <w:t>Digit ratio (2D:4D) in newborns: Influences of prenatal testosterone and maternal e</w:t>
      </w:r>
      <w:r w:rsidR="009B0D07" w:rsidRPr="00303725">
        <w:rPr>
          <w:rFonts w:ascii="Arial" w:hAnsi="Arial" w:cs="Arial"/>
          <w:sz w:val="20"/>
          <w:szCs w:val="20"/>
        </w:rPr>
        <w:t xml:space="preserve">nvironment. Early Hum Dev., </w:t>
      </w:r>
      <w:r w:rsidRPr="00303725">
        <w:rPr>
          <w:rFonts w:ascii="Arial" w:hAnsi="Arial" w:cs="Arial"/>
          <w:sz w:val="20"/>
          <w:szCs w:val="20"/>
        </w:rPr>
        <w:t xml:space="preserve">89(2):107-12. </w:t>
      </w:r>
    </w:p>
    <w:p w14:paraId="56697055" w14:textId="3ABE7B43" w:rsidR="001B2624" w:rsidRPr="00303725" w:rsidRDefault="001B2624" w:rsidP="00303725">
      <w:pPr>
        <w:pStyle w:val="ListParagraph"/>
        <w:numPr>
          <w:ilvl w:val="0"/>
          <w:numId w:val="2"/>
        </w:numPr>
        <w:spacing w:line="240" w:lineRule="auto"/>
        <w:jc w:val="both"/>
        <w:rPr>
          <w:rFonts w:ascii="Arial" w:hAnsi="Arial" w:cs="Arial"/>
          <w:sz w:val="20"/>
          <w:szCs w:val="20"/>
        </w:rPr>
      </w:pPr>
      <w:r w:rsidRPr="00303725">
        <w:rPr>
          <w:rFonts w:ascii="Arial" w:hAnsi="Arial" w:cs="Arial"/>
          <w:sz w:val="20"/>
          <w:szCs w:val="20"/>
        </w:rPr>
        <w:t>Viveka</w:t>
      </w:r>
      <w:r w:rsidR="009B0D07" w:rsidRPr="00303725">
        <w:rPr>
          <w:rFonts w:ascii="Arial" w:hAnsi="Arial" w:cs="Arial"/>
          <w:sz w:val="20"/>
          <w:szCs w:val="20"/>
        </w:rPr>
        <w:t>,</w:t>
      </w:r>
      <w:r w:rsidRPr="00303725">
        <w:rPr>
          <w:rFonts w:ascii="Arial" w:hAnsi="Arial" w:cs="Arial"/>
          <w:sz w:val="20"/>
          <w:szCs w:val="20"/>
        </w:rPr>
        <w:t xml:space="preserve"> S</w:t>
      </w:r>
      <w:r w:rsidR="009B0D07" w:rsidRPr="00303725">
        <w:rPr>
          <w:rFonts w:ascii="Arial" w:hAnsi="Arial" w:cs="Arial"/>
          <w:sz w:val="20"/>
          <w:szCs w:val="20"/>
        </w:rPr>
        <w:t>.</w:t>
      </w:r>
      <w:r w:rsidRPr="00303725">
        <w:rPr>
          <w:rFonts w:ascii="Arial" w:hAnsi="Arial" w:cs="Arial"/>
          <w:sz w:val="20"/>
          <w:szCs w:val="20"/>
        </w:rPr>
        <w:t>, Sudha</w:t>
      </w:r>
      <w:r w:rsidR="009B0D07" w:rsidRPr="00303725">
        <w:rPr>
          <w:rFonts w:ascii="Arial" w:hAnsi="Arial" w:cs="Arial"/>
          <w:sz w:val="20"/>
          <w:szCs w:val="20"/>
        </w:rPr>
        <w:t>,</w:t>
      </w:r>
      <w:r w:rsidRPr="00303725">
        <w:rPr>
          <w:rFonts w:ascii="Arial" w:hAnsi="Arial" w:cs="Arial"/>
          <w:sz w:val="20"/>
          <w:szCs w:val="20"/>
        </w:rPr>
        <w:t xml:space="preserve"> M</w:t>
      </w:r>
      <w:r w:rsidR="009B0D07" w:rsidRPr="00303725">
        <w:rPr>
          <w:rFonts w:ascii="Arial" w:hAnsi="Arial" w:cs="Arial"/>
          <w:sz w:val="20"/>
          <w:szCs w:val="20"/>
        </w:rPr>
        <w:t>.</w:t>
      </w:r>
      <w:r w:rsidRPr="00303725">
        <w:rPr>
          <w:rFonts w:ascii="Arial" w:hAnsi="Arial" w:cs="Arial"/>
          <w:sz w:val="20"/>
          <w:szCs w:val="20"/>
        </w:rPr>
        <w:t>J</w:t>
      </w:r>
      <w:r w:rsidR="009B0D07" w:rsidRPr="00303725">
        <w:rPr>
          <w:rFonts w:ascii="Arial" w:hAnsi="Arial" w:cs="Arial"/>
          <w:sz w:val="20"/>
          <w:szCs w:val="20"/>
        </w:rPr>
        <w:t>.</w:t>
      </w:r>
      <w:r w:rsidRPr="00303725">
        <w:rPr>
          <w:rFonts w:ascii="Arial" w:hAnsi="Arial" w:cs="Arial"/>
          <w:sz w:val="20"/>
          <w:szCs w:val="20"/>
        </w:rPr>
        <w:t>, Udyavar</w:t>
      </w:r>
      <w:r w:rsidR="009B0D07" w:rsidRPr="00303725">
        <w:rPr>
          <w:rFonts w:ascii="Arial" w:hAnsi="Arial" w:cs="Arial"/>
          <w:sz w:val="20"/>
          <w:szCs w:val="20"/>
        </w:rPr>
        <w:t>,</w:t>
      </w:r>
      <w:r w:rsidRPr="00303725">
        <w:rPr>
          <w:rFonts w:ascii="Arial" w:hAnsi="Arial" w:cs="Arial"/>
          <w:sz w:val="20"/>
          <w:szCs w:val="20"/>
        </w:rPr>
        <w:t xml:space="preserve"> A</w:t>
      </w:r>
      <w:r w:rsidR="009B0D07" w:rsidRPr="00303725">
        <w:rPr>
          <w:rFonts w:ascii="Arial" w:hAnsi="Arial" w:cs="Arial"/>
          <w:sz w:val="20"/>
          <w:szCs w:val="20"/>
        </w:rPr>
        <w:t>.</w:t>
      </w:r>
      <w:r w:rsidRPr="00303725">
        <w:rPr>
          <w:rFonts w:ascii="Arial" w:hAnsi="Arial" w:cs="Arial"/>
          <w:sz w:val="20"/>
          <w:szCs w:val="20"/>
        </w:rPr>
        <w:t xml:space="preserve">, </w:t>
      </w:r>
      <w:r w:rsidR="009B0D07" w:rsidRPr="00303725">
        <w:rPr>
          <w:rFonts w:ascii="Arial" w:hAnsi="Arial" w:cs="Arial"/>
          <w:sz w:val="20"/>
          <w:szCs w:val="20"/>
        </w:rPr>
        <w:t xml:space="preserve">&amp; </w:t>
      </w:r>
      <w:proofErr w:type="spellStart"/>
      <w:r w:rsidRPr="00303725">
        <w:rPr>
          <w:rFonts w:ascii="Arial" w:hAnsi="Arial" w:cs="Arial"/>
          <w:sz w:val="20"/>
          <w:szCs w:val="20"/>
        </w:rPr>
        <w:t>Bidarkotimath</w:t>
      </w:r>
      <w:proofErr w:type="spellEnd"/>
      <w:r w:rsidR="009B0D07" w:rsidRPr="00303725">
        <w:rPr>
          <w:rFonts w:ascii="Arial" w:hAnsi="Arial" w:cs="Arial"/>
          <w:sz w:val="20"/>
          <w:szCs w:val="20"/>
        </w:rPr>
        <w:t>,</w:t>
      </w:r>
      <w:r w:rsidRPr="00303725">
        <w:rPr>
          <w:rFonts w:ascii="Arial" w:hAnsi="Arial" w:cs="Arial"/>
          <w:sz w:val="20"/>
          <w:szCs w:val="20"/>
        </w:rPr>
        <w:t xml:space="preserve"> S. </w:t>
      </w:r>
      <w:r w:rsidR="009B0D07" w:rsidRPr="00303725">
        <w:rPr>
          <w:rFonts w:ascii="Arial" w:hAnsi="Arial" w:cs="Arial"/>
          <w:sz w:val="20"/>
          <w:szCs w:val="20"/>
        </w:rPr>
        <w:t xml:space="preserve">(2014). </w:t>
      </w:r>
      <w:r w:rsidRPr="00303725">
        <w:rPr>
          <w:rFonts w:ascii="Arial" w:hAnsi="Arial" w:cs="Arial"/>
          <w:sz w:val="20"/>
          <w:szCs w:val="20"/>
        </w:rPr>
        <w:t>Digit ratio and Down syndrome correlation with perinatal androgen levels. International Journal of Comprehensive Medical Physiology and Researc</w:t>
      </w:r>
      <w:r w:rsidR="009B0D07" w:rsidRPr="00303725">
        <w:rPr>
          <w:rFonts w:ascii="Arial" w:hAnsi="Arial" w:cs="Arial"/>
          <w:sz w:val="20"/>
          <w:szCs w:val="20"/>
        </w:rPr>
        <w:t xml:space="preserve">h, </w:t>
      </w:r>
      <w:r w:rsidRPr="00303725">
        <w:rPr>
          <w:rFonts w:ascii="Arial" w:hAnsi="Arial" w:cs="Arial"/>
          <w:sz w:val="20"/>
          <w:szCs w:val="20"/>
        </w:rPr>
        <w:t xml:space="preserve">1(1):25-33. </w:t>
      </w:r>
    </w:p>
    <w:p w14:paraId="36FAAAF0" w14:textId="54CF625F" w:rsidR="00331BB3" w:rsidRPr="00303725" w:rsidRDefault="001201D0" w:rsidP="00303725">
      <w:pPr>
        <w:pStyle w:val="ListParagraph"/>
        <w:numPr>
          <w:ilvl w:val="0"/>
          <w:numId w:val="2"/>
        </w:numPr>
        <w:spacing w:line="240" w:lineRule="auto"/>
        <w:jc w:val="both"/>
        <w:rPr>
          <w:rFonts w:ascii="Arial" w:hAnsi="Arial" w:cs="Arial"/>
          <w:bCs/>
          <w:sz w:val="20"/>
          <w:szCs w:val="20"/>
        </w:rPr>
      </w:pPr>
      <w:r w:rsidRPr="00303725">
        <w:rPr>
          <w:rFonts w:ascii="Arial" w:hAnsi="Arial" w:cs="Arial"/>
          <w:bCs/>
          <w:sz w:val="20"/>
          <w:szCs w:val="20"/>
          <w:highlight w:val="yellow"/>
        </w:rPr>
        <w:lastRenderedPageBreak/>
        <w:t xml:space="preserve">Yıldırım, S., Öz, H.F., Günerhan, Y., Işık, M., </w:t>
      </w:r>
      <w:proofErr w:type="spellStart"/>
      <w:r w:rsidRPr="00303725">
        <w:rPr>
          <w:rFonts w:ascii="Arial" w:hAnsi="Arial" w:cs="Arial"/>
          <w:bCs/>
          <w:sz w:val="20"/>
          <w:szCs w:val="20"/>
          <w:highlight w:val="yellow"/>
        </w:rPr>
        <w:t>Tanyeli</w:t>
      </w:r>
      <w:proofErr w:type="spellEnd"/>
      <w:r w:rsidRPr="00303725">
        <w:rPr>
          <w:rFonts w:ascii="Arial" w:hAnsi="Arial" w:cs="Arial"/>
          <w:bCs/>
          <w:sz w:val="20"/>
          <w:szCs w:val="20"/>
          <w:highlight w:val="yellow"/>
        </w:rPr>
        <w:t xml:space="preserve">, Ö., Dereli, Y., Ege, E. and </w:t>
      </w:r>
      <w:proofErr w:type="spellStart"/>
      <w:r w:rsidRPr="00303725">
        <w:rPr>
          <w:rFonts w:ascii="Arial" w:hAnsi="Arial" w:cs="Arial"/>
          <w:bCs/>
          <w:sz w:val="20"/>
          <w:szCs w:val="20"/>
          <w:highlight w:val="yellow"/>
        </w:rPr>
        <w:t>Görmüş</w:t>
      </w:r>
      <w:proofErr w:type="spellEnd"/>
      <w:r w:rsidRPr="00303725">
        <w:rPr>
          <w:rFonts w:ascii="Arial" w:hAnsi="Arial" w:cs="Arial"/>
          <w:bCs/>
          <w:sz w:val="20"/>
          <w:szCs w:val="20"/>
          <w:highlight w:val="yellow"/>
        </w:rPr>
        <w:t>, N., (2026). Association between right-hand 2D: 4D ratio and left main coronary artery stenosis in women. BMC Cardiovascular Disorders, 26:263</w:t>
      </w:r>
    </w:p>
    <w:p w14:paraId="307D6F8F" w14:textId="062E366C" w:rsidR="006913C8" w:rsidRPr="002C19C9" w:rsidRDefault="006913C8" w:rsidP="00957203">
      <w:pPr>
        <w:spacing w:line="240" w:lineRule="auto"/>
        <w:ind w:left="360" w:hanging="360"/>
        <w:jc w:val="both"/>
        <w:rPr>
          <w:rFonts w:ascii="Arial" w:hAnsi="Arial" w:cs="Arial"/>
          <w:sz w:val="20"/>
          <w:szCs w:val="20"/>
        </w:rPr>
      </w:pPr>
    </w:p>
    <w:sectPr w:rsidR="006913C8" w:rsidRPr="002C19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69C2" w14:textId="77777777" w:rsidR="002D34D8" w:rsidRDefault="002D34D8" w:rsidP="001113FD">
      <w:pPr>
        <w:spacing w:after="0" w:line="240" w:lineRule="auto"/>
      </w:pPr>
      <w:r>
        <w:separator/>
      </w:r>
    </w:p>
  </w:endnote>
  <w:endnote w:type="continuationSeparator" w:id="0">
    <w:p w14:paraId="1BD434AB" w14:textId="77777777" w:rsidR="002D34D8" w:rsidRDefault="002D34D8" w:rsidP="0011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FE7E" w14:textId="77777777" w:rsidR="001113FD" w:rsidRDefault="0011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A93D" w14:textId="77777777" w:rsidR="001113FD" w:rsidRDefault="00111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487C" w14:textId="77777777" w:rsidR="001113FD" w:rsidRDefault="0011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B555" w14:textId="77777777" w:rsidR="002D34D8" w:rsidRDefault="002D34D8" w:rsidP="001113FD">
      <w:pPr>
        <w:spacing w:after="0" w:line="240" w:lineRule="auto"/>
      </w:pPr>
      <w:r>
        <w:separator/>
      </w:r>
    </w:p>
  </w:footnote>
  <w:footnote w:type="continuationSeparator" w:id="0">
    <w:p w14:paraId="0E7E55D3" w14:textId="77777777" w:rsidR="002D34D8" w:rsidRDefault="002D34D8" w:rsidP="00111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193F" w14:textId="1E27336C" w:rsidR="001113FD" w:rsidRDefault="00000000">
    <w:pPr>
      <w:pStyle w:val="Header"/>
    </w:pPr>
    <w:r>
      <w:rPr>
        <w:noProof/>
      </w:rPr>
      <w:pict w14:anchorId="72C8D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33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9188" w14:textId="34695AC4" w:rsidR="001113FD" w:rsidRDefault="00000000">
    <w:pPr>
      <w:pStyle w:val="Header"/>
    </w:pPr>
    <w:r>
      <w:rPr>
        <w:noProof/>
      </w:rPr>
      <w:pict w14:anchorId="0EA39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33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9D0D" w14:textId="6C7853AB" w:rsidR="001113FD" w:rsidRDefault="00000000">
    <w:pPr>
      <w:pStyle w:val="Header"/>
    </w:pPr>
    <w:r>
      <w:rPr>
        <w:noProof/>
      </w:rPr>
      <w:pict w14:anchorId="1F03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33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1550"/>
    <w:multiLevelType w:val="hybridMultilevel"/>
    <w:tmpl w:val="A47251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627584"/>
    <w:multiLevelType w:val="hybridMultilevel"/>
    <w:tmpl w:val="2CDC6D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00832058">
    <w:abstractNumId w:val="0"/>
  </w:num>
  <w:num w:numId="2" w16cid:durableId="931084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46"/>
    <w:rsid w:val="00020DB2"/>
    <w:rsid w:val="00030865"/>
    <w:rsid w:val="000314B4"/>
    <w:rsid w:val="000528FA"/>
    <w:rsid w:val="0006144C"/>
    <w:rsid w:val="00064D22"/>
    <w:rsid w:val="000713CD"/>
    <w:rsid w:val="00076184"/>
    <w:rsid w:val="000841C9"/>
    <w:rsid w:val="00096B02"/>
    <w:rsid w:val="000A3DB2"/>
    <w:rsid w:val="000B1B4B"/>
    <w:rsid w:val="000B4BA9"/>
    <w:rsid w:val="000B574D"/>
    <w:rsid w:val="000C316F"/>
    <w:rsid w:val="0010590D"/>
    <w:rsid w:val="001113FD"/>
    <w:rsid w:val="001201D0"/>
    <w:rsid w:val="001253AA"/>
    <w:rsid w:val="00132D53"/>
    <w:rsid w:val="001334CE"/>
    <w:rsid w:val="00146247"/>
    <w:rsid w:val="00183231"/>
    <w:rsid w:val="0019651B"/>
    <w:rsid w:val="001B2624"/>
    <w:rsid w:val="001C34CC"/>
    <w:rsid w:val="001D614F"/>
    <w:rsid w:val="001E4300"/>
    <w:rsid w:val="001F73AB"/>
    <w:rsid w:val="001F7C79"/>
    <w:rsid w:val="002216C3"/>
    <w:rsid w:val="00251F8F"/>
    <w:rsid w:val="002530D8"/>
    <w:rsid w:val="00254704"/>
    <w:rsid w:val="00255854"/>
    <w:rsid w:val="00272DA2"/>
    <w:rsid w:val="00282B46"/>
    <w:rsid w:val="00283B46"/>
    <w:rsid w:val="00292181"/>
    <w:rsid w:val="002B32EB"/>
    <w:rsid w:val="002B3F99"/>
    <w:rsid w:val="002C0D98"/>
    <w:rsid w:val="002C19C9"/>
    <w:rsid w:val="002D34D8"/>
    <w:rsid w:val="002D54E5"/>
    <w:rsid w:val="002D683A"/>
    <w:rsid w:val="002F6104"/>
    <w:rsid w:val="00303725"/>
    <w:rsid w:val="00324156"/>
    <w:rsid w:val="0032647A"/>
    <w:rsid w:val="00327AF8"/>
    <w:rsid w:val="00331BB3"/>
    <w:rsid w:val="00334DE9"/>
    <w:rsid w:val="00344EE9"/>
    <w:rsid w:val="00381DC1"/>
    <w:rsid w:val="003823E4"/>
    <w:rsid w:val="00385FCB"/>
    <w:rsid w:val="00390B33"/>
    <w:rsid w:val="003A5BDF"/>
    <w:rsid w:val="003F778B"/>
    <w:rsid w:val="004119F2"/>
    <w:rsid w:val="004209D3"/>
    <w:rsid w:val="00456989"/>
    <w:rsid w:val="004575A2"/>
    <w:rsid w:val="00486926"/>
    <w:rsid w:val="00497F73"/>
    <w:rsid w:val="004B5996"/>
    <w:rsid w:val="004D7617"/>
    <w:rsid w:val="004F556F"/>
    <w:rsid w:val="004F569D"/>
    <w:rsid w:val="004F7E4C"/>
    <w:rsid w:val="00513B31"/>
    <w:rsid w:val="00533559"/>
    <w:rsid w:val="00552369"/>
    <w:rsid w:val="00566BF9"/>
    <w:rsid w:val="005742D3"/>
    <w:rsid w:val="005A098A"/>
    <w:rsid w:val="005B03F3"/>
    <w:rsid w:val="005B0CAD"/>
    <w:rsid w:val="005B65B4"/>
    <w:rsid w:val="005B76E2"/>
    <w:rsid w:val="005C022F"/>
    <w:rsid w:val="005C3E18"/>
    <w:rsid w:val="005C5308"/>
    <w:rsid w:val="005E69AA"/>
    <w:rsid w:val="005F2FD6"/>
    <w:rsid w:val="00684913"/>
    <w:rsid w:val="006913C8"/>
    <w:rsid w:val="006949A2"/>
    <w:rsid w:val="006A5F93"/>
    <w:rsid w:val="006B1100"/>
    <w:rsid w:val="006D780B"/>
    <w:rsid w:val="00714D12"/>
    <w:rsid w:val="007231B1"/>
    <w:rsid w:val="007328DD"/>
    <w:rsid w:val="00757E7A"/>
    <w:rsid w:val="00777EAC"/>
    <w:rsid w:val="007C0B14"/>
    <w:rsid w:val="00832767"/>
    <w:rsid w:val="00836A0C"/>
    <w:rsid w:val="008435AA"/>
    <w:rsid w:val="00844E85"/>
    <w:rsid w:val="008B0B7A"/>
    <w:rsid w:val="008B2BF2"/>
    <w:rsid w:val="008C09D9"/>
    <w:rsid w:val="008C0F62"/>
    <w:rsid w:val="0091054F"/>
    <w:rsid w:val="0091298B"/>
    <w:rsid w:val="0093093B"/>
    <w:rsid w:val="0093155D"/>
    <w:rsid w:val="00943D94"/>
    <w:rsid w:val="00957203"/>
    <w:rsid w:val="009716A1"/>
    <w:rsid w:val="00975021"/>
    <w:rsid w:val="00993D68"/>
    <w:rsid w:val="009B0D07"/>
    <w:rsid w:val="009C594C"/>
    <w:rsid w:val="009C7E14"/>
    <w:rsid w:val="00A01EEC"/>
    <w:rsid w:val="00A13B78"/>
    <w:rsid w:val="00A171F6"/>
    <w:rsid w:val="00A27F8A"/>
    <w:rsid w:val="00A467B4"/>
    <w:rsid w:val="00A6568D"/>
    <w:rsid w:val="00A84390"/>
    <w:rsid w:val="00A86604"/>
    <w:rsid w:val="00AA2DE4"/>
    <w:rsid w:val="00AA4F00"/>
    <w:rsid w:val="00AA52AE"/>
    <w:rsid w:val="00AF0ED5"/>
    <w:rsid w:val="00AF15F0"/>
    <w:rsid w:val="00AF304B"/>
    <w:rsid w:val="00B00431"/>
    <w:rsid w:val="00B04E05"/>
    <w:rsid w:val="00B05223"/>
    <w:rsid w:val="00B56C70"/>
    <w:rsid w:val="00B57CB0"/>
    <w:rsid w:val="00B96E38"/>
    <w:rsid w:val="00BB2812"/>
    <w:rsid w:val="00BB4087"/>
    <w:rsid w:val="00BC1FEA"/>
    <w:rsid w:val="00BF6EB5"/>
    <w:rsid w:val="00C050D8"/>
    <w:rsid w:val="00C20821"/>
    <w:rsid w:val="00C46A56"/>
    <w:rsid w:val="00C5016B"/>
    <w:rsid w:val="00CD5CD5"/>
    <w:rsid w:val="00CF46CF"/>
    <w:rsid w:val="00CF491C"/>
    <w:rsid w:val="00D10059"/>
    <w:rsid w:val="00D216F6"/>
    <w:rsid w:val="00D232C9"/>
    <w:rsid w:val="00D305F1"/>
    <w:rsid w:val="00D32CA9"/>
    <w:rsid w:val="00D406B1"/>
    <w:rsid w:val="00D60692"/>
    <w:rsid w:val="00DA03DB"/>
    <w:rsid w:val="00DB117F"/>
    <w:rsid w:val="00DB2324"/>
    <w:rsid w:val="00E066BA"/>
    <w:rsid w:val="00E11B3C"/>
    <w:rsid w:val="00E125CC"/>
    <w:rsid w:val="00E16C7F"/>
    <w:rsid w:val="00E265FF"/>
    <w:rsid w:val="00E50898"/>
    <w:rsid w:val="00E5769E"/>
    <w:rsid w:val="00E66F41"/>
    <w:rsid w:val="00E96D0C"/>
    <w:rsid w:val="00EC4933"/>
    <w:rsid w:val="00EE218C"/>
    <w:rsid w:val="00EF4854"/>
    <w:rsid w:val="00EF60D8"/>
    <w:rsid w:val="00F0193A"/>
    <w:rsid w:val="00F01ECC"/>
    <w:rsid w:val="00F04C1D"/>
    <w:rsid w:val="00F059AF"/>
    <w:rsid w:val="00F12479"/>
    <w:rsid w:val="00F27663"/>
    <w:rsid w:val="00F32588"/>
    <w:rsid w:val="00F328DB"/>
    <w:rsid w:val="00F43441"/>
    <w:rsid w:val="00F46123"/>
    <w:rsid w:val="00F62B64"/>
    <w:rsid w:val="00F67BA5"/>
    <w:rsid w:val="00F77BF9"/>
    <w:rsid w:val="00FC1971"/>
    <w:rsid w:val="00FD20FF"/>
    <w:rsid w:val="00FE20AD"/>
    <w:rsid w:val="00FF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0C520"/>
  <w15:chartTrackingRefBased/>
  <w15:docId w15:val="{1EB40763-3A29-4A23-A61F-393AD8CF4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C1D"/>
  </w:style>
  <w:style w:type="paragraph" w:styleId="Heading2">
    <w:name w:val="heading 2"/>
    <w:basedOn w:val="Normal"/>
    <w:next w:val="Normal"/>
    <w:link w:val="Heading2Char"/>
    <w:uiPriority w:val="9"/>
    <w:qFormat/>
    <w:rsid w:val="00344EE9"/>
    <w:pPr>
      <w:keepNext/>
      <w:keepLines/>
      <w:spacing w:before="200" w:after="0" w:line="276" w:lineRule="auto"/>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semiHidden/>
    <w:unhideWhenUsed/>
    <w:qFormat/>
    <w:rsid w:val="009C7E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4EE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semiHidden/>
    <w:rsid w:val="009C7E1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B0B7A"/>
    <w:rPr>
      <w:color w:val="0563C1" w:themeColor="hyperlink"/>
      <w:u w:val="single"/>
    </w:rPr>
  </w:style>
  <w:style w:type="character" w:styleId="UnresolvedMention">
    <w:name w:val="Unresolved Mention"/>
    <w:basedOn w:val="DefaultParagraphFont"/>
    <w:uiPriority w:val="99"/>
    <w:semiHidden/>
    <w:unhideWhenUsed/>
    <w:rsid w:val="008B0B7A"/>
    <w:rPr>
      <w:color w:val="605E5C"/>
      <w:shd w:val="clear" w:color="auto" w:fill="E1DFDD"/>
    </w:rPr>
  </w:style>
  <w:style w:type="paragraph" w:styleId="ListParagraph">
    <w:name w:val="List Paragraph"/>
    <w:basedOn w:val="Normal"/>
    <w:uiPriority w:val="34"/>
    <w:qFormat/>
    <w:rsid w:val="00F32588"/>
    <w:pPr>
      <w:ind w:left="720"/>
      <w:contextualSpacing/>
    </w:pPr>
  </w:style>
  <w:style w:type="table" w:styleId="TableGrid">
    <w:name w:val="Table Grid"/>
    <w:basedOn w:val="TableNormal"/>
    <w:uiPriority w:val="39"/>
    <w:rsid w:val="005335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FD"/>
  </w:style>
  <w:style w:type="paragraph" w:styleId="Footer">
    <w:name w:val="footer"/>
    <w:basedOn w:val="Normal"/>
    <w:link w:val="FooterChar"/>
    <w:uiPriority w:val="99"/>
    <w:unhideWhenUsed/>
    <w:rsid w:val="00111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FD"/>
  </w:style>
  <w:style w:type="paragraph" w:styleId="NoSpacing">
    <w:name w:val="No Spacing"/>
    <w:uiPriority w:val="1"/>
    <w:qFormat/>
    <w:rsid w:val="006B1100"/>
    <w:pPr>
      <w:spacing w:after="0" w:line="240" w:lineRule="auto"/>
    </w:pPr>
    <w:rPr>
      <w:lang w:val="en-GB"/>
    </w:rPr>
  </w:style>
  <w:style w:type="paragraph" w:styleId="NormalWeb">
    <w:name w:val="Normal (Web)"/>
    <w:basedOn w:val="Normal"/>
    <w:uiPriority w:val="99"/>
    <w:semiHidden/>
    <w:unhideWhenUsed/>
    <w:rsid w:val="00AA52A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2336">
      <w:bodyDiv w:val="1"/>
      <w:marLeft w:val="0"/>
      <w:marRight w:val="0"/>
      <w:marTop w:val="0"/>
      <w:marBottom w:val="0"/>
      <w:divBdr>
        <w:top w:val="none" w:sz="0" w:space="0" w:color="auto"/>
        <w:left w:val="none" w:sz="0" w:space="0" w:color="auto"/>
        <w:bottom w:val="none" w:sz="0" w:space="0" w:color="auto"/>
        <w:right w:val="none" w:sz="0" w:space="0" w:color="auto"/>
      </w:divBdr>
    </w:div>
    <w:div w:id="111940856">
      <w:bodyDiv w:val="1"/>
      <w:marLeft w:val="0"/>
      <w:marRight w:val="0"/>
      <w:marTop w:val="0"/>
      <w:marBottom w:val="0"/>
      <w:divBdr>
        <w:top w:val="none" w:sz="0" w:space="0" w:color="auto"/>
        <w:left w:val="none" w:sz="0" w:space="0" w:color="auto"/>
        <w:bottom w:val="none" w:sz="0" w:space="0" w:color="auto"/>
        <w:right w:val="none" w:sz="0" w:space="0" w:color="auto"/>
      </w:divBdr>
      <w:divsChild>
        <w:div w:id="77944124">
          <w:marLeft w:val="0"/>
          <w:marRight w:val="0"/>
          <w:marTop w:val="0"/>
          <w:marBottom w:val="0"/>
          <w:divBdr>
            <w:top w:val="none" w:sz="0" w:space="0" w:color="auto"/>
            <w:left w:val="none" w:sz="0" w:space="0" w:color="auto"/>
            <w:bottom w:val="none" w:sz="0" w:space="0" w:color="auto"/>
            <w:right w:val="none" w:sz="0" w:space="0" w:color="auto"/>
          </w:divBdr>
          <w:divsChild>
            <w:div w:id="1254313262">
              <w:marLeft w:val="0"/>
              <w:marRight w:val="0"/>
              <w:marTop w:val="0"/>
              <w:marBottom w:val="0"/>
              <w:divBdr>
                <w:top w:val="none" w:sz="0" w:space="0" w:color="auto"/>
                <w:left w:val="none" w:sz="0" w:space="0" w:color="auto"/>
                <w:bottom w:val="none" w:sz="0" w:space="0" w:color="auto"/>
                <w:right w:val="none" w:sz="0" w:space="0" w:color="auto"/>
              </w:divBdr>
              <w:divsChild>
                <w:div w:id="1882933418">
                  <w:marLeft w:val="0"/>
                  <w:marRight w:val="0"/>
                  <w:marTop w:val="0"/>
                  <w:marBottom w:val="0"/>
                  <w:divBdr>
                    <w:top w:val="none" w:sz="0" w:space="0" w:color="auto"/>
                    <w:left w:val="none" w:sz="0" w:space="0" w:color="auto"/>
                    <w:bottom w:val="none" w:sz="0" w:space="0" w:color="auto"/>
                    <w:right w:val="none" w:sz="0" w:space="0" w:color="auto"/>
                  </w:divBdr>
                  <w:divsChild>
                    <w:div w:id="1799060375">
                      <w:marLeft w:val="0"/>
                      <w:marRight w:val="0"/>
                      <w:marTop w:val="0"/>
                      <w:marBottom w:val="0"/>
                      <w:divBdr>
                        <w:top w:val="none" w:sz="0" w:space="0" w:color="auto"/>
                        <w:left w:val="none" w:sz="0" w:space="0" w:color="auto"/>
                        <w:bottom w:val="none" w:sz="0" w:space="0" w:color="auto"/>
                        <w:right w:val="none" w:sz="0" w:space="0" w:color="auto"/>
                      </w:divBdr>
                      <w:divsChild>
                        <w:div w:id="2073962024">
                          <w:marLeft w:val="0"/>
                          <w:marRight w:val="0"/>
                          <w:marTop w:val="0"/>
                          <w:marBottom w:val="0"/>
                          <w:divBdr>
                            <w:top w:val="none" w:sz="0" w:space="0" w:color="auto"/>
                            <w:left w:val="none" w:sz="0" w:space="0" w:color="auto"/>
                            <w:bottom w:val="none" w:sz="0" w:space="0" w:color="auto"/>
                            <w:right w:val="none" w:sz="0" w:space="0" w:color="auto"/>
                          </w:divBdr>
                          <w:divsChild>
                            <w:div w:id="1682245525">
                              <w:marLeft w:val="0"/>
                              <w:marRight w:val="0"/>
                              <w:marTop w:val="0"/>
                              <w:marBottom w:val="0"/>
                              <w:divBdr>
                                <w:top w:val="none" w:sz="0" w:space="0" w:color="auto"/>
                                <w:left w:val="none" w:sz="0" w:space="0" w:color="auto"/>
                                <w:bottom w:val="none" w:sz="0" w:space="0" w:color="auto"/>
                                <w:right w:val="none" w:sz="0" w:space="0" w:color="auto"/>
                              </w:divBdr>
                              <w:divsChild>
                                <w:div w:id="7321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576571">
      <w:bodyDiv w:val="1"/>
      <w:marLeft w:val="0"/>
      <w:marRight w:val="0"/>
      <w:marTop w:val="0"/>
      <w:marBottom w:val="0"/>
      <w:divBdr>
        <w:top w:val="none" w:sz="0" w:space="0" w:color="auto"/>
        <w:left w:val="none" w:sz="0" w:space="0" w:color="auto"/>
        <w:bottom w:val="none" w:sz="0" w:space="0" w:color="auto"/>
        <w:right w:val="none" w:sz="0" w:space="0" w:color="auto"/>
      </w:divBdr>
    </w:div>
    <w:div w:id="259340706">
      <w:bodyDiv w:val="1"/>
      <w:marLeft w:val="0"/>
      <w:marRight w:val="0"/>
      <w:marTop w:val="0"/>
      <w:marBottom w:val="0"/>
      <w:divBdr>
        <w:top w:val="none" w:sz="0" w:space="0" w:color="auto"/>
        <w:left w:val="none" w:sz="0" w:space="0" w:color="auto"/>
        <w:bottom w:val="none" w:sz="0" w:space="0" w:color="auto"/>
        <w:right w:val="none" w:sz="0" w:space="0" w:color="auto"/>
      </w:divBdr>
    </w:div>
    <w:div w:id="365254467">
      <w:bodyDiv w:val="1"/>
      <w:marLeft w:val="0"/>
      <w:marRight w:val="0"/>
      <w:marTop w:val="0"/>
      <w:marBottom w:val="0"/>
      <w:divBdr>
        <w:top w:val="none" w:sz="0" w:space="0" w:color="auto"/>
        <w:left w:val="none" w:sz="0" w:space="0" w:color="auto"/>
        <w:bottom w:val="none" w:sz="0" w:space="0" w:color="auto"/>
        <w:right w:val="none" w:sz="0" w:space="0" w:color="auto"/>
      </w:divBdr>
    </w:div>
    <w:div w:id="1670597028">
      <w:bodyDiv w:val="1"/>
      <w:marLeft w:val="0"/>
      <w:marRight w:val="0"/>
      <w:marTop w:val="0"/>
      <w:marBottom w:val="0"/>
      <w:divBdr>
        <w:top w:val="none" w:sz="0" w:space="0" w:color="auto"/>
        <w:left w:val="none" w:sz="0" w:space="0" w:color="auto"/>
        <w:bottom w:val="none" w:sz="0" w:space="0" w:color="auto"/>
        <w:right w:val="none" w:sz="0" w:space="0" w:color="auto"/>
      </w:divBdr>
    </w:div>
    <w:div w:id="1811942758">
      <w:bodyDiv w:val="1"/>
      <w:marLeft w:val="0"/>
      <w:marRight w:val="0"/>
      <w:marTop w:val="0"/>
      <w:marBottom w:val="0"/>
      <w:divBdr>
        <w:top w:val="none" w:sz="0" w:space="0" w:color="auto"/>
        <w:left w:val="none" w:sz="0" w:space="0" w:color="auto"/>
        <w:bottom w:val="none" w:sz="0" w:space="0" w:color="auto"/>
        <w:right w:val="none" w:sz="0" w:space="0" w:color="auto"/>
      </w:divBdr>
    </w:div>
    <w:div w:id="1871990020">
      <w:bodyDiv w:val="1"/>
      <w:marLeft w:val="0"/>
      <w:marRight w:val="0"/>
      <w:marTop w:val="0"/>
      <w:marBottom w:val="0"/>
      <w:divBdr>
        <w:top w:val="none" w:sz="0" w:space="0" w:color="auto"/>
        <w:left w:val="none" w:sz="0" w:space="0" w:color="auto"/>
        <w:bottom w:val="none" w:sz="0" w:space="0" w:color="auto"/>
        <w:right w:val="none" w:sz="0" w:space="0" w:color="auto"/>
      </w:divBdr>
    </w:div>
    <w:div w:id="2115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COPY%20Digit%20ratio%20proj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Age</a:t>
            </a:r>
            <a:r>
              <a:rPr lang="en-US" baseline="0"/>
              <a:t> at  Menopause</a:t>
            </a:r>
            <a:endParaRPr lang="en-US"/>
          </a:p>
        </c:rich>
      </c:tx>
      <c:overlay val="0"/>
      <c:spPr>
        <a:noFill/>
        <a:ln>
          <a:noFill/>
        </a:ln>
        <a:effectLst/>
      </c:sp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2E3-4059-95AF-71D1489E241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2E3-4059-95AF-71D1489E241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32E3-4059-95AF-71D1489E2410}"/>
              </c:ext>
            </c:extLst>
          </c:dPt>
          <c:dLbls>
            <c:dLbl>
              <c:idx val="0"/>
              <c:layout>
                <c:manualLayout>
                  <c:x val="3.4125533211456303E-2"/>
                  <c:y val="2.7842227378190421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32E3-4059-95AF-71D1489E2410}"/>
                </c:ext>
              </c:extLst>
            </c:dLbl>
            <c:dLbl>
              <c:idx val="2"/>
              <c:layout>
                <c:manualLayout>
                  <c:x val="0.24862888482632625"/>
                  <c:y val="2.4748646558391301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32E3-4059-95AF-71D1489E241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Sheet1!$C$51:$C$53</c:f>
              <c:strCache>
                <c:ptCount val="3"/>
                <c:pt idx="0">
                  <c:v>&lt; 45 years, EM</c:v>
                </c:pt>
                <c:pt idx="1">
                  <c:v>45-55 years, NM</c:v>
                </c:pt>
                <c:pt idx="2">
                  <c:v>&gt; 55 years, LM</c:v>
                </c:pt>
              </c:strCache>
            </c:strRef>
          </c:cat>
          <c:val>
            <c:numRef>
              <c:f>Sheet1!$D$51:$D$53</c:f>
              <c:numCache>
                <c:formatCode>General</c:formatCode>
                <c:ptCount val="3"/>
                <c:pt idx="0">
                  <c:v>63</c:v>
                </c:pt>
                <c:pt idx="1">
                  <c:v>126</c:v>
                </c:pt>
                <c:pt idx="2">
                  <c:v>2</c:v>
                </c:pt>
              </c:numCache>
            </c:numRef>
          </c:val>
          <c:extLst>
            <c:ext xmlns:c16="http://schemas.microsoft.com/office/drawing/2014/chart" uri="{C3380CC4-5D6E-409C-BE32-E72D297353CC}">
              <c16:uniqueId val="{00000006-32E3-4059-95AF-71D1489E2410}"/>
            </c:ext>
          </c:extLst>
        </c:ser>
        <c:ser>
          <c:idx val="1"/>
          <c:order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32E3-4059-95AF-71D1489E2410}"/>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32E3-4059-95AF-71D1489E2410}"/>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C-32E3-4059-95AF-71D1489E241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1"/>
            <c:extLst>
              <c:ext xmlns:c15="http://schemas.microsoft.com/office/drawing/2012/chart" uri="{CE6537A1-D6FC-4f65-9D91-7224C49458BB}">
                <c15:spPr xmlns:c15="http://schemas.microsoft.com/office/drawing/2012/chart">
                  <a:prstGeom prst="wedgeRectCallout">
                    <a:avLst/>
                  </a:prstGeom>
                </c15:spPr>
              </c:ext>
            </c:extLst>
          </c:dLbls>
          <c:cat>
            <c:strRef>
              <c:f>Sheet1!$C$51:$C$53</c:f>
              <c:strCache>
                <c:ptCount val="3"/>
                <c:pt idx="0">
                  <c:v>&lt; 45 years, EM</c:v>
                </c:pt>
                <c:pt idx="1">
                  <c:v>45-55 years, NM</c:v>
                </c:pt>
                <c:pt idx="2">
                  <c:v>&gt; 55 years, LM</c:v>
                </c:pt>
              </c:strCache>
            </c:strRef>
          </c:cat>
          <c:val>
            <c:numRef>
              <c:f>Sheet1!$E$51:$E$53</c:f>
              <c:numCache>
                <c:formatCode>General</c:formatCode>
                <c:ptCount val="3"/>
                <c:pt idx="0">
                  <c:v>33</c:v>
                </c:pt>
                <c:pt idx="1">
                  <c:v>66</c:v>
                </c:pt>
                <c:pt idx="2">
                  <c:v>1</c:v>
                </c:pt>
              </c:numCache>
            </c:numRef>
          </c:val>
          <c:extLst>
            <c:ext xmlns:c16="http://schemas.microsoft.com/office/drawing/2014/chart" uri="{C3380CC4-5D6E-409C-BE32-E72D297353CC}">
              <c16:uniqueId val="{0000000D-32E3-4059-95AF-71D1489E2410}"/>
            </c:ext>
          </c:extLst>
        </c:ser>
        <c:dLbls>
          <c:showLegendKey val="0"/>
          <c:showVal val="0"/>
          <c:showCatName val="1"/>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uri="{0b15fc19-7d7d-44ad-8c2d-2c3a37ce22c3}">
        <chartProps xmlns="https://web.wps.cn/et/2018/main" chartId="{4d2060fb-b368-4a92-8b24-89f7efa1a2e9}"/>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10</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Acc 101</cp:lastModifiedBy>
  <cp:revision>155</cp:revision>
  <dcterms:created xsi:type="dcterms:W3CDTF">2026-01-26T11:14:00Z</dcterms:created>
  <dcterms:modified xsi:type="dcterms:W3CDTF">2026-04-28T03:08:00Z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5c84246b-4e4c-4401-8fb4-f563abd51944</vt:lpwstr>
  </property>
</Properties>
</file>