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92190" w14:textId="77777777" w:rsidR="004B621C" w:rsidRDefault="0060288C" w:rsidP="004B621C">
      <w:pPr>
        <w:spacing w:line="360" w:lineRule="auto"/>
        <w:jc w:val="center"/>
        <w:rPr>
          <w:rFonts w:ascii="Times New Roman" w:hAnsi="Times New Roman" w:cs="Times New Roman"/>
          <w:b/>
          <w:bCs/>
          <w:sz w:val="26"/>
          <w:szCs w:val="26"/>
        </w:rPr>
      </w:pPr>
      <w:r w:rsidRPr="00AB12E6">
        <w:rPr>
          <w:rFonts w:ascii="Times New Roman" w:hAnsi="Times New Roman" w:cs="Times New Roman"/>
          <w:b/>
          <w:bCs/>
          <w:sz w:val="26"/>
          <w:szCs w:val="26"/>
        </w:rPr>
        <w:t>THE HERITABILITY OF FACIAL MORPHOGENIC TRA</w:t>
      </w:r>
      <w:r>
        <w:rPr>
          <w:rFonts w:ascii="Times New Roman" w:hAnsi="Times New Roman" w:cs="Times New Roman"/>
          <w:b/>
          <w:bCs/>
          <w:sz w:val="26"/>
          <w:szCs w:val="26"/>
        </w:rPr>
        <w:t>I</w:t>
      </w:r>
      <w:r w:rsidRPr="00AB12E6">
        <w:rPr>
          <w:rFonts w:ascii="Times New Roman" w:hAnsi="Times New Roman" w:cs="Times New Roman"/>
          <w:b/>
          <w:bCs/>
          <w:sz w:val="26"/>
          <w:szCs w:val="26"/>
        </w:rPr>
        <w:t>TS AMONG THE IJAW PEOPLE</w:t>
      </w:r>
      <w:r>
        <w:rPr>
          <w:rFonts w:ascii="Times New Roman" w:hAnsi="Times New Roman" w:cs="Times New Roman"/>
          <w:b/>
          <w:bCs/>
          <w:sz w:val="26"/>
          <w:szCs w:val="26"/>
        </w:rPr>
        <w:t xml:space="preserve"> OF YENAGOA</w:t>
      </w:r>
      <w:r w:rsidRPr="00AB12E6">
        <w:rPr>
          <w:rFonts w:ascii="Times New Roman" w:hAnsi="Times New Roman" w:cs="Times New Roman"/>
          <w:b/>
          <w:bCs/>
          <w:sz w:val="26"/>
          <w:szCs w:val="26"/>
        </w:rPr>
        <w:t xml:space="preserve">: DIMPLE, PHILTRUM, GAP TEETH AND </w:t>
      </w:r>
      <w:r w:rsidR="00A25721">
        <w:rPr>
          <w:rFonts w:ascii="Times New Roman" w:hAnsi="Times New Roman" w:cs="Times New Roman"/>
          <w:b/>
          <w:bCs/>
          <w:sz w:val="26"/>
          <w:szCs w:val="26"/>
        </w:rPr>
        <w:t xml:space="preserve">MENTOLABIAL </w:t>
      </w:r>
      <w:r w:rsidRPr="00AB12E6">
        <w:rPr>
          <w:rFonts w:ascii="Times New Roman" w:hAnsi="Times New Roman" w:cs="Times New Roman"/>
          <w:b/>
          <w:bCs/>
          <w:sz w:val="26"/>
          <w:szCs w:val="26"/>
        </w:rPr>
        <w:t>SULCUS</w:t>
      </w:r>
    </w:p>
    <w:p w14:paraId="410BE7C0" w14:textId="7583A335" w:rsidR="006D73DC" w:rsidRPr="004B621C" w:rsidRDefault="006D73DC" w:rsidP="004B621C">
      <w:pPr>
        <w:spacing w:line="360" w:lineRule="auto"/>
        <w:rPr>
          <w:rFonts w:ascii="Times New Roman" w:hAnsi="Times New Roman" w:cs="Times New Roman"/>
          <w:b/>
          <w:bCs/>
          <w:sz w:val="26"/>
          <w:szCs w:val="26"/>
        </w:rPr>
      </w:pPr>
      <w:r w:rsidRPr="00E226CC">
        <w:rPr>
          <w:rFonts w:ascii="Times New Roman" w:hAnsi="Times New Roman" w:cs="Times New Roman"/>
          <w:b/>
          <w:bCs/>
          <w:sz w:val="24"/>
          <w:szCs w:val="24"/>
        </w:rPr>
        <w:t>Abstract</w:t>
      </w:r>
    </w:p>
    <w:p w14:paraId="3ED46B8D" w14:textId="77777777" w:rsidR="004727E0" w:rsidRPr="002B5B79" w:rsidRDefault="004727E0" w:rsidP="004B621C">
      <w:pPr>
        <w:spacing w:line="360" w:lineRule="auto"/>
        <w:jc w:val="both"/>
        <w:rPr>
          <w:rFonts w:ascii="Times New Roman" w:hAnsi="Times New Roman" w:cs="Times New Roman"/>
          <w:sz w:val="24"/>
          <w:szCs w:val="24"/>
        </w:rPr>
      </w:pPr>
      <w:r w:rsidRPr="002B5B79">
        <w:rPr>
          <w:rFonts w:ascii="Times New Roman" w:hAnsi="Times New Roman" w:cs="Times New Roman"/>
          <w:b/>
          <w:bCs/>
          <w:sz w:val="24"/>
          <w:szCs w:val="24"/>
        </w:rPr>
        <w:t>Background:</w:t>
      </w:r>
      <w:r w:rsidRPr="002B5B79">
        <w:rPr>
          <w:rFonts w:ascii="Times New Roman" w:hAnsi="Times New Roman" w:cs="Times New Roman"/>
          <w:sz w:val="24"/>
          <w:szCs w:val="24"/>
        </w:rPr>
        <w:t xml:space="preserve"> Facial morphogenetic traits such as dimples, philtrum depth, midline diastema (gap teeth), and </w:t>
      </w:r>
      <w:proofErr w:type="spellStart"/>
      <w:r w:rsidRPr="002B5B79">
        <w:rPr>
          <w:rFonts w:ascii="Times New Roman" w:hAnsi="Times New Roman" w:cs="Times New Roman"/>
          <w:sz w:val="24"/>
          <w:szCs w:val="24"/>
        </w:rPr>
        <w:t>mentolabial</w:t>
      </w:r>
      <w:proofErr w:type="spellEnd"/>
      <w:r w:rsidRPr="002B5B79">
        <w:rPr>
          <w:rFonts w:ascii="Times New Roman" w:hAnsi="Times New Roman" w:cs="Times New Roman"/>
          <w:sz w:val="24"/>
          <w:szCs w:val="24"/>
        </w:rPr>
        <w:t xml:space="preserve"> sulcus morphology are genetically influenced anatomical features that contribute to craniofacial variability and are useful in anthropological identification and inheritance studies. However, there is limited information on their heritability patterns among indigenous Nigerian populations.</w:t>
      </w:r>
    </w:p>
    <w:p w14:paraId="762ED198" w14:textId="77777777" w:rsidR="004727E0" w:rsidRPr="002B5B79" w:rsidRDefault="004727E0" w:rsidP="004B621C">
      <w:pPr>
        <w:spacing w:line="360" w:lineRule="auto"/>
        <w:jc w:val="both"/>
        <w:rPr>
          <w:rFonts w:ascii="Times New Roman" w:hAnsi="Times New Roman" w:cs="Times New Roman"/>
          <w:sz w:val="24"/>
          <w:szCs w:val="24"/>
        </w:rPr>
      </w:pPr>
      <w:r w:rsidRPr="002B5B79">
        <w:rPr>
          <w:rFonts w:ascii="Times New Roman" w:hAnsi="Times New Roman" w:cs="Times New Roman"/>
          <w:b/>
          <w:bCs/>
          <w:sz w:val="24"/>
          <w:szCs w:val="24"/>
        </w:rPr>
        <w:t>Aim:</w:t>
      </w:r>
      <w:r w:rsidRPr="002B5B79">
        <w:rPr>
          <w:rFonts w:ascii="Times New Roman" w:hAnsi="Times New Roman" w:cs="Times New Roman"/>
          <w:sz w:val="24"/>
          <w:szCs w:val="24"/>
        </w:rPr>
        <w:t xml:space="preserve"> This study investigated the heritability patterns of selected facial morphogenetic traits among the Ijaw people of Yenagoa, Bayelsa State, Nigeria.</w:t>
      </w:r>
    </w:p>
    <w:p w14:paraId="7D2B9818" w14:textId="77777777" w:rsidR="004727E0" w:rsidRPr="002B5B79" w:rsidRDefault="004727E0" w:rsidP="004B621C">
      <w:pPr>
        <w:spacing w:line="360" w:lineRule="auto"/>
        <w:jc w:val="both"/>
        <w:rPr>
          <w:rFonts w:ascii="Times New Roman" w:hAnsi="Times New Roman" w:cs="Times New Roman"/>
          <w:sz w:val="24"/>
          <w:szCs w:val="24"/>
        </w:rPr>
      </w:pPr>
      <w:r w:rsidRPr="002B5B79">
        <w:rPr>
          <w:rFonts w:ascii="Times New Roman" w:hAnsi="Times New Roman" w:cs="Times New Roman"/>
          <w:b/>
          <w:bCs/>
          <w:sz w:val="24"/>
          <w:szCs w:val="24"/>
        </w:rPr>
        <w:t>Materials and Methods:</w:t>
      </w:r>
      <w:r w:rsidRPr="002B5B79">
        <w:rPr>
          <w:rFonts w:ascii="Times New Roman" w:hAnsi="Times New Roman" w:cs="Times New Roman"/>
          <w:sz w:val="24"/>
          <w:szCs w:val="24"/>
        </w:rPr>
        <w:t xml:space="preserve"> A descriptive cross-sectional observational study was conducted among 150 participants drawn from Ijaw families using a simple random sampling technique. Data on the presence and distribution of dimples, philtrum depth, gap teeth, and </w:t>
      </w:r>
      <w:proofErr w:type="spellStart"/>
      <w:r w:rsidRPr="002B5B79">
        <w:rPr>
          <w:rFonts w:ascii="Times New Roman" w:hAnsi="Times New Roman" w:cs="Times New Roman"/>
          <w:sz w:val="24"/>
          <w:szCs w:val="24"/>
        </w:rPr>
        <w:t>mentolabial</w:t>
      </w:r>
      <w:proofErr w:type="spellEnd"/>
      <w:r w:rsidRPr="002B5B79">
        <w:rPr>
          <w:rFonts w:ascii="Times New Roman" w:hAnsi="Times New Roman" w:cs="Times New Roman"/>
          <w:sz w:val="24"/>
          <w:szCs w:val="24"/>
        </w:rPr>
        <w:t xml:space="preserve"> sulcus morphology were collected from parents and their first and second children through direct visual assessment under standard conditions. Statistical analysis was performed using SPSS version 25 with chi-square tests at a 95% confidence interval to determine inheritance associations between parents and offspring.</w:t>
      </w:r>
    </w:p>
    <w:p w14:paraId="0C76D5DF" w14:textId="77777777" w:rsidR="004727E0" w:rsidRPr="002B5B79" w:rsidRDefault="004727E0" w:rsidP="004B621C">
      <w:pPr>
        <w:spacing w:line="360" w:lineRule="auto"/>
        <w:jc w:val="both"/>
        <w:rPr>
          <w:rFonts w:ascii="Times New Roman" w:hAnsi="Times New Roman" w:cs="Times New Roman"/>
          <w:sz w:val="24"/>
          <w:szCs w:val="24"/>
        </w:rPr>
      </w:pPr>
      <w:r w:rsidRPr="002B5B79">
        <w:rPr>
          <w:rFonts w:ascii="Times New Roman" w:hAnsi="Times New Roman" w:cs="Times New Roman"/>
          <w:b/>
          <w:bCs/>
          <w:sz w:val="24"/>
          <w:szCs w:val="24"/>
        </w:rPr>
        <w:t>Results:</w:t>
      </w:r>
      <w:r w:rsidRPr="002B5B79">
        <w:rPr>
          <w:rFonts w:ascii="Times New Roman" w:hAnsi="Times New Roman" w:cs="Times New Roman"/>
          <w:sz w:val="24"/>
          <w:szCs w:val="24"/>
        </w:rPr>
        <w:t xml:space="preserve"> The findings showed generally low prevalence of gap teeth and facial dimples among parents and their offspring. Average </w:t>
      </w:r>
      <w:proofErr w:type="spellStart"/>
      <w:r w:rsidRPr="002B5B79">
        <w:rPr>
          <w:rFonts w:ascii="Times New Roman" w:hAnsi="Times New Roman" w:cs="Times New Roman"/>
          <w:sz w:val="24"/>
          <w:szCs w:val="24"/>
        </w:rPr>
        <w:t>mentolabial</w:t>
      </w:r>
      <w:proofErr w:type="spellEnd"/>
      <w:r w:rsidRPr="002B5B79">
        <w:rPr>
          <w:rFonts w:ascii="Times New Roman" w:hAnsi="Times New Roman" w:cs="Times New Roman"/>
          <w:sz w:val="24"/>
          <w:szCs w:val="24"/>
        </w:rPr>
        <w:t xml:space="preserve"> sulcus depth was the most frequently observed pattern across families, while shallow philtrum depth predominated among both parents and children. No statistically significant association was observed in the inheritance of gap teeth and </w:t>
      </w:r>
      <w:proofErr w:type="spellStart"/>
      <w:r w:rsidRPr="002B5B79">
        <w:rPr>
          <w:rFonts w:ascii="Times New Roman" w:hAnsi="Times New Roman" w:cs="Times New Roman"/>
          <w:sz w:val="24"/>
          <w:szCs w:val="24"/>
        </w:rPr>
        <w:t>mentolabial</w:t>
      </w:r>
      <w:proofErr w:type="spellEnd"/>
      <w:r w:rsidRPr="002B5B79">
        <w:rPr>
          <w:rFonts w:ascii="Times New Roman" w:hAnsi="Times New Roman" w:cs="Times New Roman"/>
          <w:sz w:val="24"/>
          <w:szCs w:val="24"/>
        </w:rPr>
        <w:t xml:space="preserve"> sulcus between parents and offspring (p &gt; 0.05). However, significant associations were identified in selected patterns of philtrum inheritance among second children and in the absence of dimples among both first and second children (p &lt; 0.05), suggesting partial hereditary influence.</w:t>
      </w:r>
    </w:p>
    <w:p w14:paraId="0A387FC0" w14:textId="50CD8BD2" w:rsidR="00AE6576" w:rsidRDefault="004727E0" w:rsidP="004B621C">
      <w:pPr>
        <w:spacing w:line="360" w:lineRule="auto"/>
        <w:jc w:val="both"/>
        <w:rPr>
          <w:rFonts w:ascii="Times New Roman" w:hAnsi="Times New Roman" w:cs="Times New Roman"/>
          <w:sz w:val="24"/>
          <w:szCs w:val="24"/>
        </w:rPr>
      </w:pPr>
      <w:r w:rsidRPr="002B5B79">
        <w:rPr>
          <w:rFonts w:ascii="Times New Roman" w:hAnsi="Times New Roman" w:cs="Times New Roman"/>
          <w:b/>
          <w:bCs/>
          <w:sz w:val="24"/>
          <w:szCs w:val="24"/>
        </w:rPr>
        <w:t>Conclusion:</w:t>
      </w:r>
      <w:r w:rsidRPr="002B5B79">
        <w:rPr>
          <w:rFonts w:ascii="Times New Roman" w:hAnsi="Times New Roman" w:cs="Times New Roman"/>
          <w:sz w:val="24"/>
          <w:szCs w:val="24"/>
        </w:rPr>
        <w:t xml:space="preserve"> Facial morphogenetic traits among the Ijaw population demonstrate variable inheritance patterns, with some traits showing significant familial association. These findings provide important baseline anthropogenetic data useful for craniofacial research, forensic anthropology, and population-based genetic studies in Nigerian ethnic groups.</w:t>
      </w:r>
    </w:p>
    <w:p w14:paraId="55D612D1" w14:textId="6DF8E127" w:rsidR="006D73DC" w:rsidRPr="002331B1" w:rsidRDefault="006D73DC" w:rsidP="004B621C">
      <w:p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KEYWORDS: </w:t>
      </w:r>
      <w:r w:rsidRPr="006D73DC">
        <w:rPr>
          <w:rFonts w:ascii="Times New Roman" w:hAnsi="Times New Roman" w:cs="Times New Roman"/>
          <w:b/>
          <w:bCs/>
          <w:sz w:val="24"/>
          <w:szCs w:val="24"/>
        </w:rPr>
        <w:t xml:space="preserve">Heritability; Dimples; Philtrum depth; Gap teeth; </w:t>
      </w:r>
      <w:proofErr w:type="spellStart"/>
      <w:r w:rsidRPr="006D73DC">
        <w:rPr>
          <w:rFonts w:ascii="Times New Roman" w:hAnsi="Times New Roman" w:cs="Times New Roman"/>
          <w:b/>
          <w:bCs/>
          <w:sz w:val="24"/>
          <w:szCs w:val="24"/>
        </w:rPr>
        <w:t>Mentolabial</w:t>
      </w:r>
      <w:proofErr w:type="spellEnd"/>
      <w:r w:rsidRPr="006D73DC">
        <w:rPr>
          <w:rFonts w:ascii="Times New Roman" w:hAnsi="Times New Roman" w:cs="Times New Roman"/>
          <w:b/>
          <w:bCs/>
          <w:sz w:val="24"/>
          <w:szCs w:val="24"/>
        </w:rPr>
        <w:t xml:space="preserve"> sulcus</w:t>
      </w:r>
      <w:r w:rsidR="002331B1">
        <w:rPr>
          <w:rFonts w:ascii="Times New Roman" w:hAnsi="Times New Roman" w:cs="Times New Roman"/>
          <w:b/>
          <w:bCs/>
          <w:sz w:val="24"/>
          <w:szCs w:val="24"/>
        </w:rPr>
        <w:t>.</w:t>
      </w:r>
    </w:p>
    <w:p w14:paraId="1D917731" w14:textId="7EAFF8B1" w:rsidR="00F02E33" w:rsidRPr="00F02E33" w:rsidRDefault="00F02E33" w:rsidP="004B621C">
      <w:pPr>
        <w:spacing w:line="360" w:lineRule="auto"/>
        <w:jc w:val="both"/>
        <w:rPr>
          <w:rFonts w:ascii="Times New Roman" w:hAnsi="Times New Roman" w:cs="Times New Roman"/>
          <w:b/>
          <w:bCs/>
          <w:sz w:val="24"/>
          <w:szCs w:val="24"/>
        </w:rPr>
      </w:pPr>
      <w:r w:rsidRPr="00F02E33">
        <w:rPr>
          <w:rFonts w:ascii="Times New Roman" w:hAnsi="Times New Roman" w:cs="Times New Roman"/>
          <w:b/>
          <w:bCs/>
          <w:sz w:val="24"/>
          <w:szCs w:val="24"/>
        </w:rPr>
        <w:lastRenderedPageBreak/>
        <w:t>INTRODUCTION</w:t>
      </w:r>
    </w:p>
    <w:p w14:paraId="70964886" w14:textId="77777777" w:rsidR="00F02E33" w:rsidRPr="00EB4791" w:rsidRDefault="00F02E33" w:rsidP="004B621C">
      <w:pPr>
        <w:spacing w:line="360" w:lineRule="auto"/>
        <w:jc w:val="both"/>
        <w:rPr>
          <w:rFonts w:ascii="Times New Roman" w:hAnsi="Times New Roman" w:cs="Times New Roman"/>
          <w:b/>
          <w:bCs/>
          <w:sz w:val="24"/>
          <w:szCs w:val="24"/>
        </w:rPr>
      </w:pPr>
      <w:r w:rsidRPr="00EB4791">
        <w:rPr>
          <w:rFonts w:ascii="Times New Roman" w:hAnsi="Times New Roman" w:cs="Times New Roman"/>
          <w:b/>
          <w:bCs/>
          <w:sz w:val="24"/>
          <w:szCs w:val="24"/>
        </w:rPr>
        <w:t xml:space="preserve">Background of Study </w:t>
      </w:r>
    </w:p>
    <w:p w14:paraId="50691F96" w14:textId="432CFEA6" w:rsidR="00F02E33" w:rsidRPr="00F02E33" w:rsidRDefault="00F02E33" w:rsidP="004B621C">
      <w:pPr>
        <w:spacing w:line="360" w:lineRule="auto"/>
        <w:jc w:val="both"/>
        <w:rPr>
          <w:rFonts w:ascii="Times New Roman" w:hAnsi="Times New Roman" w:cs="Times New Roman"/>
          <w:sz w:val="24"/>
          <w:szCs w:val="24"/>
        </w:rPr>
      </w:pPr>
      <w:r w:rsidRPr="00F02E33">
        <w:rPr>
          <w:rFonts w:ascii="Times New Roman" w:hAnsi="Times New Roman" w:cs="Times New Roman"/>
          <w:sz w:val="24"/>
          <w:szCs w:val="24"/>
        </w:rPr>
        <w:t xml:space="preserve">Facial morphologic differences are described in studies of different populations because the craniofacial complex, </w:t>
      </w:r>
      <w:r w:rsidR="00270816">
        <w:rPr>
          <w:rFonts w:ascii="Times New Roman" w:hAnsi="Times New Roman" w:cs="Times New Roman"/>
          <w:sz w:val="24"/>
          <w:szCs w:val="24"/>
        </w:rPr>
        <w:t>especially</w:t>
      </w:r>
      <w:r w:rsidRPr="00F02E33">
        <w:rPr>
          <w:rFonts w:ascii="Times New Roman" w:hAnsi="Times New Roman" w:cs="Times New Roman"/>
          <w:sz w:val="24"/>
          <w:szCs w:val="24"/>
        </w:rPr>
        <w:t xml:space="preserve"> the face, is one of the most varying parts of the human body (</w:t>
      </w:r>
      <w:proofErr w:type="spellStart"/>
      <w:r w:rsidR="00B862DF" w:rsidRPr="00B862DF">
        <w:rPr>
          <w:rFonts w:ascii="Times New Roman" w:hAnsi="Times New Roman" w:cs="Times New Roman"/>
          <w:sz w:val="24"/>
          <w:szCs w:val="24"/>
        </w:rPr>
        <w:t>Agbolade</w:t>
      </w:r>
      <w:proofErr w:type="spellEnd"/>
      <w:r w:rsidRPr="00F02E33">
        <w:rPr>
          <w:rFonts w:ascii="Times New Roman" w:hAnsi="Times New Roman" w:cs="Times New Roman"/>
          <w:sz w:val="24"/>
          <w:szCs w:val="24"/>
        </w:rPr>
        <w:t xml:space="preserve"> </w:t>
      </w:r>
      <w:r w:rsidRPr="00F02E33">
        <w:rPr>
          <w:rFonts w:ascii="Times New Roman" w:hAnsi="Times New Roman" w:cs="Times New Roman"/>
          <w:i/>
          <w:iCs/>
          <w:sz w:val="24"/>
          <w:szCs w:val="24"/>
        </w:rPr>
        <w:t xml:space="preserve">et al., </w:t>
      </w:r>
      <w:r w:rsidR="00B862DF">
        <w:rPr>
          <w:rFonts w:ascii="Times New Roman" w:hAnsi="Times New Roman" w:cs="Times New Roman"/>
          <w:sz w:val="24"/>
          <w:szCs w:val="24"/>
        </w:rPr>
        <w:t>2020</w:t>
      </w:r>
      <w:r w:rsidRPr="00F02E33">
        <w:rPr>
          <w:rFonts w:ascii="Times New Roman" w:hAnsi="Times New Roman" w:cs="Times New Roman"/>
          <w:sz w:val="24"/>
          <w:szCs w:val="24"/>
        </w:rPr>
        <w:t xml:space="preserve">). The evaluation of facial soft tissue has become an essential component of patient assessment for facial </w:t>
      </w:r>
      <w:r w:rsidR="00270816">
        <w:rPr>
          <w:rFonts w:ascii="Times New Roman" w:hAnsi="Times New Roman" w:cs="Times New Roman"/>
          <w:sz w:val="24"/>
          <w:szCs w:val="24"/>
        </w:rPr>
        <w:t>esthetics</w:t>
      </w:r>
      <w:r w:rsidRPr="00F02E33">
        <w:rPr>
          <w:rFonts w:ascii="Times New Roman" w:hAnsi="Times New Roman" w:cs="Times New Roman"/>
          <w:sz w:val="24"/>
          <w:szCs w:val="24"/>
        </w:rPr>
        <w:t>, cosmetic dentistry, and reconstructive surgeries (</w:t>
      </w:r>
      <w:r w:rsidR="004B34F4">
        <w:rPr>
          <w:rFonts w:ascii="Times New Roman" w:hAnsi="Times New Roman" w:cs="Times New Roman"/>
          <w:sz w:val="24"/>
          <w:szCs w:val="24"/>
        </w:rPr>
        <w:t xml:space="preserve">Vaid and Adel, </w:t>
      </w:r>
      <w:r w:rsidRPr="00F02E33">
        <w:rPr>
          <w:rFonts w:ascii="Times New Roman" w:hAnsi="Times New Roman" w:cs="Times New Roman"/>
          <w:sz w:val="24"/>
          <w:szCs w:val="24"/>
        </w:rPr>
        <w:t>20</w:t>
      </w:r>
      <w:r w:rsidR="004B34F4">
        <w:rPr>
          <w:rFonts w:ascii="Times New Roman" w:hAnsi="Times New Roman" w:cs="Times New Roman"/>
          <w:sz w:val="24"/>
          <w:szCs w:val="24"/>
        </w:rPr>
        <w:t>23</w:t>
      </w:r>
      <w:r w:rsidRPr="00F02E33">
        <w:rPr>
          <w:rFonts w:ascii="Times New Roman" w:hAnsi="Times New Roman" w:cs="Times New Roman"/>
          <w:sz w:val="24"/>
          <w:szCs w:val="24"/>
        </w:rPr>
        <w:t>).</w:t>
      </w:r>
    </w:p>
    <w:p w14:paraId="6BED8E56" w14:textId="7EFA6CDC" w:rsidR="00F02E33" w:rsidRPr="00F02E33" w:rsidRDefault="00F02E33" w:rsidP="004B621C">
      <w:pPr>
        <w:spacing w:line="360" w:lineRule="auto"/>
        <w:jc w:val="both"/>
        <w:rPr>
          <w:rFonts w:ascii="Times New Roman" w:hAnsi="Times New Roman" w:cs="Times New Roman"/>
          <w:sz w:val="24"/>
          <w:szCs w:val="24"/>
        </w:rPr>
      </w:pPr>
      <w:r w:rsidRPr="00F02E33">
        <w:rPr>
          <w:rFonts w:ascii="Times New Roman" w:hAnsi="Times New Roman" w:cs="Times New Roman"/>
          <w:sz w:val="24"/>
          <w:szCs w:val="24"/>
        </w:rPr>
        <w:t>Gap teeth is the most commonly applied to an open space between the upper incisors, that is, maxillary midline diastema (gap teeth), being the most common of all the various types (</w:t>
      </w:r>
      <w:r w:rsidR="00CA351A" w:rsidRPr="00CA351A">
        <w:rPr>
          <w:rFonts w:ascii="Times New Roman" w:hAnsi="Times New Roman" w:cs="Times New Roman"/>
          <w:sz w:val="24"/>
          <w:szCs w:val="24"/>
        </w:rPr>
        <w:t>Soman</w:t>
      </w:r>
      <w:r w:rsidR="00CA351A">
        <w:rPr>
          <w:rFonts w:ascii="Times New Roman" w:hAnsi="Times New Roman" w:cs="Times New Roman"/>
          <w:sz w:val="24"/>
          <w:szCs w:val="24"/>
        </w:rPr>
        <w:t xml:space="preserve"> </w:t>
      </w:r>
      <w:r w:rsidR="00CA351A" w:rsidRPr="00CA351A">
        <w:rPr>
          <w:rFonts w:ascii="Times New Roman" w:hAnsi="Times New Roman" w:cs="Times New Roman"/>
          <w:i/>
          <w:iCs/>
          <w:sz w:val="24"/>
          <w:szCs w:val="24"/>
        </w:rPr>
        <w:t>et al</w:t>
      </w:r>
      <w:r w:rsidR="00CA351A">
        <w:rPr>
          <w:rFonts w:ascii="Times New Roman" w:hAnsi="Times New Roman" w:cs="Times New Roman"/>
          <w:sz w:val="24"/>
          <w:szCs w:val="24"/>
        </w:rPr>
        <w:t xml:space="preserve">., 2025; </w:t>
      </w:r>
      <w:proofErr w:type="spellStart"/>
      <w:r w:rsidR="008E26BA">
        <w:rPr>
          <w:rFonts w:ascii="Times New Roman" w:hAnsi="Times New Roman" w:cs="Times New Roman"/>
          <w:sz w:val="24"/>
          <w:szCs w:val="24"/>
        </w:rPr>
        <w:t>Onyejaka</w:t>
      </w:r>
      <w:proofErr w:type="spellEnd"/>
      <w:r w:rsidR="008E26BA">
        <w:rPr>
          <w:rFonts w:ascii="Times New Roman" w:hAnsi="Times New Roman" w:cs="Times New Roman"/>
          <w:sz w:val="24"/>
          <w:szCs w:val="24"/>
        </w:rPr>
        <w:t xml:space="preserve"> </w:t>
      </w:r>
      <w:r w:rsidR="008E26BA" w:rsidRPr="008E26BA">
        <w:rPr>
          <w:rFonts w:ascii="Times New Roman" w:hAnsi="Times New Roman" w:cs="Times New Roman"/>
          <w:i/>
          <w:iCs/>
          <w:sz w:val="24"/>
          <w:szCs w:val="24"/>
        </w:rPr>
        <w:t>et al</w:t>
      </w:r>
      <w:r w:rsidR="008E26BA">
        <w:rPr>
          <w:rFonts w:ascii="Times New Roman" w:hAnsi="Times New Roman" w:cs="Times New Roman"/>
          <w:sz w:val="24"/>
          <w:szCs w:val="24"/>
        </w:rPr>
        <w:t>., 2021</w:t>
      </w:r>
      <w:r w:rsidRPr="00F02E33">
        <w:rPr>
          <w:rFonts w:ascii="Times New Roman" w:hAnsi="Times New Roman" w:cs="Times New Roman"/>
          <w:sz w:val="24"/>
          <w:szCs w:val="24"/>
        </w:rPr>
        <w:t>). True midline diastema has been defined as the one without periodontal/periapical involvement and with the presence of all anterior teeth in the arch (Nain</w:t>
      </w:r>
      <w:r w:rsidR="008E26BA">
        <w:rPr>
          <w:rFonts w:ascii="Times New Roman" w:hAnsi="Times New Roman" w:cs="Times New Roman"/>
          <w:sz w:val="24"/>
          <w:szCs w:val="24"/>
        </w:rPr>
        <w:t>i, 2025</w:t>
      </w:r>
      <w:r w:rsidRPr="00F02E33">
        <w:rPr>
          <w:rFonts w:ascii="Times New Roman" w:hAnsi="Times New Roman" w:cs="Times New Roman"/>
          <w:sz w:val="24"/>
          <w:szCs w:val="24"/>
        </w:rPr>
        <w:t>). A possible genetic basis has been suggested for diastema, with a greater role of environmental factors in the Black, than the White population (</w:t>
      </w:r>
      <w:r w:rsidR="008B2A16" w:rsidRPr="008B2A16">
        <w:rPr>
          <w:rFonts w:ascii="Times New Roman" w:hAnsi="Times New Roman" w:cs="Times New Roman"/>
          <w:sz w:val="24"/>
          <w:szCs w:val="24"/>
        </w:rPr>
        <w:t>Mohammed</w:t>
      </w:r>
      <w:r w:rsidR="008B2A16">
        <w:rPr>
          <w:rFonts w:ascii="Times New Roman" w:hAnsi="Times New Roman" w:cs="Times New Roman"/>
          <w:sz w:val="24"/>
          <w:szCs w:val="24"/>
        </w:rPr>
        <w:t>, 2025</w:t>
      </w:r>
      <w:r w:rsidRPr="00F02E33">
        <w:rPr>
          <w:rFonts w:ascii="Times New Roman" w:hAnsi="Times New Roman" w:cs="Times New Roman"/>
          <w:sz w:val="24"/>
          <w:szCs w:val="24"/>
        </w:rPr>
        <w:t>).</w:t>
      </w:r>
    </w:p>
    <w:p w14:paraId="137A7913" w14:textId="1035779F" w:rsidR="00F02E33" w:rsidRPr="00F02E33" w:rsidRDefault="00F02E33" w:rsidP="004B621C">
      <w:pPr>
        <w:spacing w:line="360" w:lineRule="auto"/>
        <w:jc w:val="both"/>
        <w:rPr>
          <w:rFonts w:ascii="Times New Roman" w:hAnsi="Times New Roman" w:cs="Times New Roman"/>
          <w:sz w:val="24"/>
          <w:szCs w:val="24"/>
        </w:rPr>
      </w:pPr>
      <w:r w:rsidRPr="00F02E33">
        <w:rPr>
          <w:rFonts w:ascii="Times New Roman" w:hAnsi="Times New Roman" w:cs="Times New Roman"/>
          <w:sz w:val="24"/>
          <w:szCs w:val="24"/>
        </w:rPr>
        <w:t xml:space="preserve">The Philtrum plays a key role in the appearance of the upper lip and nostril sill. Therefore, construction of the philtrum is crucial for attaining a natural appearance of the lip. The philtrum, which derive from the Greek word </w:t>
      </w:r>
      <w:proofErr w:type="spellStart"/>
      <w:r w:rsidRPr="00F02E33">
        <w:rPr>
          <w:rFonts w:ascii="Times New Roman" w:hAnsi="Times New Roman" w:cs="Times New Roman"/>
          <w:sz w:val="24"/>
          <w:szCs w:val="24"/>
        </w:rPr>
        <w:t>philtron</w:t>
      </w:r>
      <w:proofErr w:type="spellEnd"/>
      <w:r w:rsidRPr="00F02E33">
        <w:rPr>
          <w:rFonts w:ascii="Times New Roman" w:hAnsi="Times New Roman" w:cs="Times New Roman"/>
          <w:sz w:val="24"/>
          <w:szCs w:val="24"/>
        </w:rPr>
        <w:t xml:space="preserve"> meaning “love potion” is the most characteristic feature of the upper lip, helping to create a natural appearance of the lip (</w:t>
      </w:r>
      <w:r w:rsidR="00EC3927" w:rsidRPr="00EC3927">
        <w:rPr>
          <w:rFonts w:ascii="Times New Roman" w:hAnsi="Times New Roman" w:cs="Times New Roman"/>
          <w:sz w:val="24"/>
          <w:szCs w:val="24"/>
        </w:rPr>
        <w:t>Deng</w:t>
      </w:r>
      <w:r w:rsidR="00EC3927">
        <w:rPr>
          <w:rFonts w:ascii="Times New Roman" w:hAnsi="Times New Roman" w:cs="Times New Roman"/>
          <w:sz w:val="24"/>
          <w:szCs w:val="24"/>
        </w:rPr>
        <w:t xml:space="preserve"> and </w:t>
      </w:r>
      <w:r w:rsidR="00EC3927" w:rsidRPr="00EC3927">
        <w:rPr>
          <w:rFonts w:ascii="Times New Roman" w:hAnsi="Times New Roman" w:cs="Times New Roman"/>
          <w:sz w:val="24"/>
          <w:szCs w:val="24"/>
        </w:rPr>
        <w:t>Wang,</w:t>
      </w:r>
      <w:r w:rsidR="00EC3927">
        <w:rPr>
          <w:rFonts w:ascii="Times New Roman" w:hAnsi="Times New Roman" w:cs="Times New Roman"/>
          <w:sz w:val="24"/>
          <w:szCs w:val="24"/>
        </w:rPr>
        <w:t xml:space="preserve"> </w:t>
      </w:r>
      <w:r w:rsidR="00EC3927" w:rsidRPr="00EC3927">
        <w:rPr>
          <w:rFonts w:ascii="Times New Roman" w:hAnsi="Times New Roman" w:cs="Times New Roman"/>
          <w:sz w:val="24"/>
          <w:szCs w:val="24"/>
        </w:rPr>
        <w:t>2026</w:t>
      </w:r>
      <w:r w:rsidR="00EC3927">
        <w:rPr>
          <w:rFonts w:ascii="Times New Roman" w:hAnsi="Times New Roman" w:cs="Times New Roman"/>
          <w:sz w:val="24"/>
          <w:szCs w:val="24"/>
        </w:rPr>
        <w:t xml:space="preserve">; </w:t>
      </w:r>
      <w:r w:rsidR="00A900AC" w:rsidRPr="008B2A16">
        <w:rPr>
          <w:rFonts w:ascii="Times New Roman" w:hAnsi="Times New Roman" w:cs="Times New Roman"/>
          <w:sz w:val="24"/>
          <w:szCs w:val="24"/>
        </w:rPr>
        <w:t>Xie</w:t>
      </w:r>
      <w:r w:rsidRPr="00F02E33">
        <w:rPr>
          <w:rFonts w:ascii="Times New Roman" w:hAnsi="Times New Roman" w:cs="Times New Roman"/>
          <w:sz w:val="24"/>
          <w:szCs w:val="24"/>
        </w:rPr>
        <w:t xml:space="preserve"> </w:t>
      </w:r>
      <w:r w:rsidRPr="00F02E33">
        <w:rPr>
          <w:rFonts w:ascii="Times New Roman" w:hAnsi="Times New Roman" w:cs="Times New Roman"/>
          <w:i/>
          <w:iCs/>
          <w:sz w:val="24"/>
          <w:szCs w:val="24"/>
        </w:rPr>
        <w:t>et al</w:t>
      </w:r>
      <w:r w:rsidRPr="00F02E33">
        <w:rPr>
          <w:rFonts w:ascii="Times New Roman" w:hAnsi="Times New Roman" w:cs="Times New Roman"/>
          <w:sz w:val="24"/>
          <w:szCs w:val="24"/>
        </w:rPr>
        <w:t xml:space="preserve">., </w:t>
      </w:r>
      <w:r w:rsidR="00A900AC">
        <w:rPr>
          <w:rFonts w:ascii="Times New Roman" w:hAnsi="Times New Roman" w:cs="Times New Roman"/>
          <w:sz w:val="24"/>
          <w:szCs w:val="24"/>
        </w:rPr>
        <w:t>2025</w:t>
      </w:r>
      <w:r w:rsidRPr="00F02E33">
        <w:rPr>
          <w:rFonts w:ascii="Times New Roman" w:hAnsi="Times New Roman" w:cs="Times New Roman"/>
          <w:sz w:val="24"/>
          <w:szCs w:val="24"/>
        </w:rPr>
        <w:t>).</w:t>
      </w:r>
    </w:p>
    <w:p w14:paraId="5C837CE2" w14:textId="2C0EEC7A" w:rsidR="00F02E33" w:rsidRPr="00F02E33" w:rsidRDefault="00F02E33" w:rsidP="004B621C">
      <w:pPr>
        <w:spacing w:line="360" w:lineRule="auto"/>
        <w:jc w:val="both"/>
        <w:rPr>
          <w:rFonts w:ascii="Times New Roman" w:hAnsi="Times New Roman" w:cs="Times New Roman"/>
          <w:sz w:val="24"/>
          <w:szCs w:val="24"/>
        </w:rPr>
      </w:pPr>
      <w:proofErr w:type="spellStart"/>
      <w:r w:rsidRPr="00F02E33">
        <w:rPr>
          <w:rFonts w:ascii="Times New Roman" w:hAnsi="Times New Roman" w:cs="Times New Roman"/>
          <w:sz w:val="24"/>
          <w:szCs w:val="24"/>
        </w:rPr>
        <w:t>Mentolabial</w:t>
      </w:r>
      <w:proofErr w:type="spellEnd"/>
      <w:r w:rsidRPr="00F02E33">
        <w:rPr>
          <w:rFonts w:ascii="Times New Roman" w:hAnsi="Times New Roman" w:cs="Times New Roman"/>
          <w:sz w:val="24"/>
          <w:szCs w:val="24"/>
        </w:rPr>
        <w:t xml:space="preserve"> sulcus (also known as </w:t>
      </w:r>
      <w:proofErr w:type="spellStart"/>
      <w:r w:rsidRPr="00F02E33">
        <w:rPr>
          <w:rFonts w:ascii="Times New Roman" w:hAnsi="Times New Roman" w:cs="Times New Roman"/>
          <w:sz w:val="24"/>
          <w:szCs w:val="24"/>
        </w:rPr>
        <w:t>labiomental</w:t>
      </w:r>
      <w:proofErr w:type="spellEnd"/>
      <w:r w:rsidRPr="00F02E33">
        <w:rPr>
          <w:rFonts w:ascii="Times New Roman" w:hAnsi="Times New Roman" w:cs="Times New Roman"/>
          <w:sz w:val="24"/>
          <w:szCs w:val="24"/>
        </w:rPr>
        <w:t xml:space="preserve"> fold) is one of the most important esthetic parameters of the lower face (</w:t>
      </w:r>
      <w:proofErr w:type="spellStart"/>
      <w:r w:rsidR="00DB0C11" w:rsidRPr="00DB0C11">
        <w:rPr>
          <w:rFonts w:ascii="Times New Roman" w:hAnsi="Times New Roman" w:cs="Times New Roman"/>
          <w:sz w:val="24"/>
          <w:szCs w:val="24"/>
        </w:rPr>
        <w:t>Gibilaro</w:t>
      </w:r>
      <w:proofErr w:type="spellEnd"/>
      <w:r w:rsidRPr="00F02E33">
        <w:rPr>
          <w:rFonts w:ascii="Times New Roman" w:hAnsi="Times New Roman" w:cs="Times New Roman"/>
          <w:sz w:val="24"/>
          <w:szCs w:val="24"/>
        </w:rPr>
        <w:t>, 201</w:t>
      </w:r>
      <w:r w:rsidR="00DB0C11">
        <w:rPr>
          <w:rFonts w:ascii="Times New Roman" w:hAnsi="Times New Roman" w:cs="Times New Roman"/>
          <w:sz w:val="24"/>
          <w:szCs w:val="24"/>
        </w:rPr>
        <w:t>3</w:t>
      </w:r>
      <w:r w:rsidRPr="00F02E33">
        <w:rPr>
          <w:rFonts w:ascii="Times New Roman" w:hAnsi="Times New Roman" w:cs="Times New Roman"/>
          <w:sz w:val="24"/>
          <w:szCs w:val="24"/>
        </w:rPr>
        <w:t xml:space="preserve">). In frontal view, the visible indentation responsible for the separation of the lower lip from the chin is known as the </w:t>
      </w:r>
      <w:proofErr w:type="spellStart"/>
      <w:r w:rsidRPr="00F02E33">
        <w:rPr>
          <w:rFonts w:ascii="Times New Roman" w:hAnsi="Times New Roman" w:cs="Times New Roman"/>
          <w:sz w:val="24"/>
          <w:szCs w:val="24"/>
        </w:rPr>
        <w:t>mentolabial</w:t>
      </w:r>
      <w:proofErr w:type="spellEnd"/>
      <w:r w:rsidRPr="00F02E33">
        <w:rPr>
          <w:rFonts w:ascii="Times New Roman" w:hAnsi="Times New Roman" w:cs="Times New Roman"/>
          <w:sz w:val="24"/>
          <w:szCs w:val="24"/>
        </w:rPr>
        <w:t xml:space="preserve"> groove or crease (</w:t>
      </w:r>
      <w:r w:rsidR="008E26BA" w:rsidRPr="008E26BA">
        <w:rPr>
          <w:rFonts w:ascii="Times New Roman" w:hAnsi="Times New Roman" w:cs="Times New Roman"/>
          <w:sz w:val="24"/>
          <w:szCs w:val="24"/>
        </w:rPr>
        <w:t>Logeswari</w:t>
      </w:r>
      <w:r w:rsidR="008E26BA">
        <w:rPr>
          <w:rFonts w:ascii="Times New Roman" w:hAnsi="Times New Roman" w:cs="Times New Roman"/>
          <w:sz w:val="24"/>
          <w:szCs w:val="24"/>
        </w:rPr>
        <w:t xml:space="preserve"> </w:t>
      </w:r>
      <w:r w:rsidR="008E26BA">
        <w:rPr>
          <w:rFonts w:ascii="Times New Roman" w:hAnsi="Times New Roman" w:cs="Times New Roman"/>
          <w:i/>
          <w:iCs/>
          <w:sz w:val="24"/>
          <w:szCs w:val="24"/>
        </w:rPr>
        <w:t>et al</w:t>
      </w:r>
      <w:r w:rsidR="008E26BA">
        <w:rPr>
          <w:rFonts w:ascii="Times New Roman" w:hAnsi="Times New Roman" w:cs="Times New Roman"/>
          <w:sz w:val="24"/>
          <w:szCs w:val="24"/>
        </w:rPr>
        <w:t>., 2021</w:t>
      </w:r>
      <w:r w:rsidRPr="00F02E33">
        <w:rPr>
          <w:rFonts w:ascii="Times New Roman" w:hAnsi="Times New Roman" w:cs="Times New Roman"/>
          <w:sz w:val="24"/>
          <w:szCs w:val="24"/>
        </w:rPr>
        <w:t>). In the lateral view, it is evident forming the transition from the lower lip to the soft-tissue chin (</w:t>
      </w:r>
      <w:r w:rsidR="004B34F4" w:rsidRPr="004B34F4">
        <w:rPr>
          <w:rFonts w:ascii="Times New Roman" w:hAnsi="Times New Roman" w:cs="Times New Roman"/>
          <w:sz w:val="24"/>
          <w:szCs w:val="24"/>
        </w:rPr>
        <w:t>Carlino</w:t>
      </w:r>
      <w:r w:rsidR="004B34F4">
        <w:rPr>
          <w:rFonts w:ascii="Times New Roman" w:hAnsi="Times New Roman" w:cs="Times New Roman"/>
          <w:sz w:val="24"/>
          <w:szCs w:val="24"/>
        </w:rPr>
        <w:t>, 2025</w:t>
      </w:r>
      <w:r w:rsidRPr="00F02E33">
        <w:rPr>
          <w:rFonts w:ascii="Times New Roman" w:hAnsi="Times New Roman" w:cs="Times New Roman"/>
          <w:sz w:val="24"/>
          <w:szCs w:val="24"/>
        </w:rPr>
        <w:t>).</w:t>
      </w:r>
    </w:p>
    <w:p w14:paraId="3B5ABFAC" w14:textId="3F109D3F" w:rsidR="00F02E33" w:rsidRPr="00F02E33" w:rsidRDefault="00F02E33" w:rsidP="004B621C">
      <w:pPr>
        <w:spacing w:line="360" w:lineRule="auto"/>
        <w:jc w:val="both"/>
        <w:rPr>
          <w:rFonts w:ascii="Times New Roman" w:hAnsi="Times New Roman" w:cs="Times New Roman"/>
          <w:sz w:val="24"/>
          <w:szCs w:val="24"/>
        </w:rPr>
      </w:pPr>
      <w:r w:rsidRPr="00F02E33">
        <w:rPr>
          <w:rFonts w:ascii="Times New Roman" w:hAnsi="Times New Roman" w:cs="Times New Roman"/>
          <w:sz w:val="24"/>
          <w:szCs w:val="24"/>
        </w:rPr>
        <w:t xml:space="preserve">Within the sulcus angle, an inclination of the lower lip in relation to the true horizontal line through </w:t>
      </w:r>
      <w:proofErr w:type="spellStart"/>
      <w:r w:rsidRPr="00F02E33">
        <w:rPr>
          <w:rFonts w:ascii="Times New Roman" w:hAnsi="Times New Roman" w:cs="Times New Roman"/>
          <w:sz w:val="24"/>
          <w:szCs w:val="24"/>
        </w:rPr>
        <w:t>sublabiale</w:t>
      </w:r>
      <w:proofErr w:type="spellEnd"/>
      <w:r w:rsidRPr="00F02E33">
        <w:rPr>
          <w:rFonts w:ascii="Times New Roman" w:hAnsi="Times New Roman" w:cs="Times New Roman"/>
          <w:sz w:val="24"/>
          <w:szCs w:val="24"/>
        </w:rPr>
        <w:t xml:space="preserve"> is known as the upper component, whereas the inclination of the soft-tissue chin to the true horizontal line through </w:t>
      </w:r>
      <w:proofErr w:type="spellStart"/>
      <w:r w:rsidRPr="00F02E33">
        <w:rPr>
          <w:rFonts w:ascii="Times New Roman" w:hAnsi="Times New Roman" w:cs="Times New Roman"/>
          <w:sz w:val="24"/>
          <w:szCs w:val="24"/>
        </w:rPr>
        <w:t>sublabiale</w:t>
      </w:r>
      <w:proofErr w:type="spellEnd"/>
      <w:r w:rsidRPr="00F02E33">
        <w:rPr>
          <w:rFonts w:ascii="Times New Roman" w:hAnsi="Times New Roman" w:cs="Times New Roman"/>
          <w:sz w:val="24"/>
          <w:szCs w:val="24"/>
        </w:rPr>
        <w:t xml:space="preserve"> is known as the lower component (</w:t>
      </w:r>
      <w:proofErr w:type="spellStart"/>
      <w:r w:rsidR="00E607C3" w:rsidRPr="00E607C3">
        <w:rPr>
          <w:rFonts w:ascii="Times New Roman" w:hAnsi="Times New Roman" w:cs="Times New Roman"/>
          <w:sz w:val="24"/>
          <w:szCs w:val="24"/>
        </w:rPr>
        <w:t>Samizadeh</w:t>
      </w:r>
      <w:proofErr w:type="spellEnd"/>
      <w:r w:rsidR="00E607C3">
        <w:rPr>
          <w:rFonts w:ascii="Times New Roman" w:hAnsi="Times New Roman" w:cs="Times New Roman"/>
          <w:sz w:val="24"/>
          <w:szCs w:val="24"/>
        </w:rPr>
        <w:t xml:space="preserve">, 2022; </w:t>
      </w:r>
      <w:r w:rsidRPr="00F02E33">
        <w:rPr>
          <w:rFonts w:ascii="Times New Roman" w:hAnsi="Times New Roman" w:cs="Times New Roman"/>
          <w:sz w:val="24"/>
          <w:szCs w:val="24"/>
        </w:rPr>
        <w:t>Naini, 2011).</w:t>
      </w:r>
    </w:p>
    <w:p w14:paraId="2377ED99" w14:textId="364A2972" w:rsidR="00F02E33" w:rsidRPr="00F02E33" w:rsidRDefault="00F02E33" w:rsidP="004B621C">
      <w:pPr>
        <w:spacing w:line="360" w:lineRule="auto"/>
        <w:jc w:val="both"/>
        <w:rPr>
          <w:rFonts w:ascii="Times New Roman" w:hAnsi="Times New Roman" w:cs="Times New Roman"/>
          <w:sz w:val="24"/>
          <w:szCs w:val="24"/>
        </w:rPr>
      </w:pPr>
      <w:r w:rsidRPr="00F02E33">
        <w:rPr>
          <w:rFonts w:ascii="Times New Roman" w:hAnsi="Times New Roman" w:cs="Times New Roman"/>
          <w:sz w:val="24"/>
          <w:szCs w:val="24"/>
        </w:rPr>
        <w:t xml:space="preserve">Dimples are </w:t>
      </w:r>
      <w:r w:rsidR="008B2A16">
        <w:rPr>
          <w:rFonts w:ascii="Times New Roman" w:hAnsi="Times New Roman" w:cs="Times New Roman"/>
          <w:sz w:val="24"/>
          <w:szCs w:val="24"/>
        </w:rPr>
        <w:t>small, noticeable indentations that appear on the skin's surface</w:t>
      </w:r>
      <w:r w:rsidRPr="00F02E33">
        <w:rPr>
          <w:rFonts w:ascii="Times New Roman" w:hAnsi="Times New Roman" w:cs="Times New Roman"/>
          <w:sz w:val="24"/>
          <w:szCs w:val="24"/>
        </w:rPr>
        <w:t xml:space="preserve">. It is inherited as dominate trait and may appear unilaterally or bilaterally in both sexes taken. Anatomically double or bifid zygomaticus muscles are responsible for facial dimples. This facial muscle </w:t>
      </w:r>
      <w:r w:rsidRPr="00F02E33">
        <w:rPr>
          <w:rFonts w:ascii="Times New Roman" w:hAnsi="Times New Roman" w:cs="Times New Roman"/>
          <w:sz w:val="24"/>
          <w:szCs w:val="24"/>
        </w:rPr>
        <w:lastRenderedPageBreak/>
        <w:t xml:space="preserve">enclosure </w:t>
      </w:r>
      <w:r w:rsidR="008B2A16">
        <w:rPr>
          <w:rFonts w:ascii="Times New Roman" w:hAnsi="Times New Roman" w:cs="Times New Roman"/>
          <w:sz w:val="24"/>
          <w:szCs w:val="24"/>
        </w:rPr>
        <w:t>within the dermis causes</w:t>
      </w:r>
      <w:r w:rsidRPr="00F02E33">
        <w:rPr>
          <w:rFonts w:ascii="Times New Roman" w:hAnsi="Times New Roman" w:cs="Times New Roman"/>
          <w:sz w:val="24"/>
          <w:szCs w:val="24"/>
        </w:rPr>
        <w:t xml:space="preserve"> a dermal tethering effect (</w:t>
      </w:r>
      <w:r w:rsidR="00CA351A" w:rsidRPr="00CA351A">
        <w:rPr>
          <w:rFonts w:ascii="Times New Roman" w:hAnsi="Times New Roman" w:cs="Times New Roman"/>
          <w:sz w:val="24"/>
          <w:szCs w:val="24"/>
        </w:rPr>
        <w:t>Saadat</w:t>
      </w:r>
      <w:r w:rsidR="00CA351A">
        <w:rPr>
          <w:rFonts w:ascii="Times New Roman" w:hAnsi="Times New Roman" w:cs="Times New Roman"/>
          <w:sz w:val="24"/>
          <w:szCs w:val="24"/>
        </w:rPr>
        <w:t xml:space="preserve"> </w:t>
      </w:r>
      <w:r w:rsidR="00CA351A" w:rsidRPr="00CA351A">
        <w:rPr>
          <w:rFonts w:ascii="Times New Roman" w:hAnsi="Times New Roman" w:cs="Times New Roman"/>
          <w:sz w:val="24"/>
          <w:szCs w:val="24"/>
        </w:rPr>
        <w:t>&amp; Sykes, 2026</w:t>
      </w:r>
      <w:r w:rsidR="00CA351A">
        <w:rPr>
          <w:rFonts w:ascii="Times New Roman" w:hAnsi="Times New Roman" w:cs="Times New Roman"/>
          <w:sz w:val="24"/>
          <w:szCs w:val="24"/>
        </w:rPr>
        <w:t xml:space="preserve">; </w:t>
      </w:r>
      <w:r w:rsidR="008B2A16" w:rsidRPr="008B2A16">
        <w:rPr>
          <w:rFonts w:ascii="Times New Roman" w:hAnsi="Times New Roman" w:cs="Times New Roman"/>
          <w:sz w:val="24"/>
          <w:szCs w:val="24"/>
        </w:rPr>
        <w:t>Wei</w:t>
      </w:r>
      <w:r w:rsidR="008B2A16">
        <w:rPr>
          <w:rFonts w:ascii="Times New Roman" w:hAnsi="Times New Roman" w:cs="Times New Roman"/>
          <w:sz w:val="24"/>
          <w:szCs w:val="24"/>
        </w:rPr>
        <w:t xml:space="preserve"> </w:t>
      </w:r>
      <w:r w:rsidR="008B2A16">
        <w:rPr>
          <w:rFonts w:ascii="Times New Roman" w:hAnsi="Times New Roman" w:cs="Times New Roman"/>
          <w:i/>
          <w:iCs/>
          <w:sz w:val="24"/>
          <w:szCs w:val="24"/>
        </w:rPr>
        <w:t>et al.,</w:t>
      </w:r>
      <w:r w:rsidR="008B2A16">
        <w:rPr>
          <w:rFonts w:ascii="Times New Roman" w:hAnsi="Times New Roman" w:cs="Times New Roman"/>
          <w:sz w:val="24"/>
          <w:szCs w:val="24"/>
        </w:rPr>
        <w:t xml:space="preserve"> 2023</w:t>
      </w:r>
      <w:r w:rsidRPr="00F02E33">
        <w:rPr>
          <w:rFonts w:ascii="Times New Roman" w:hAnsi="Times New Roman" w:cs="Times New Roman"/>
          <w:sz w:val="24"/>
          <w:szCs w:val="24"/>
        </w:rPr>
        <w:t>).</w:t>
      </w:r>
    </w:p>
    <w:p w14:paraId="4AE2BE54" w14:textId="77777777" w:rsidR="00F02E33" w:rsidRPr="00F02E33" w:rsidRDefault="00F02E33" w:rsidP="004B621C">
      <w:pPr>
        <w:spacing w:line="360" w:lineRule="auto"/>
        <w:jc w:val="both"/>
        <w:rPr>
          <w:rFonts w:ascii="Times New Roman" w:hAnsi="Times New Roman" w:cs="Times New Roman"/>
          <w:sz w:val="24"/>
          <w:szCs w:val="24"/>
        </w:rPr>
      </w:pPr>
      <w:r w:rsidRPr="00F02E33">
        <w:rPr>
          <w:rFonts w:ascii="Times New Roman" w:hAnsi="Times New Roman" w:cs="Times New Roman"/>
          <w:sz w:val="24"/>
          <w:szCs w:val="24"/>
        </w:rPr>
        <w:t xml:space="preserve">Dimple can be shallow or deep, the deep dimple on the cheek looks more attractive than shallow dimple whereas the shallow dimple on the chin gives adorable look. Dimples make the smile more prominent, which increase the perception of expressions and facial beauty. The etiology of facial dimple occurrence is unknown. It is thought to be inherited in an autosomal dominant fashion (Omotoso </w:t>
      </w:r>
      <w:r w:rsidRPr="00F02E33">
        <w:rPr>
          <w:rFonts w:ascii="Times New Roman" w:hAnsi="Times New Roman" w:cs="Times New Roman"/>
          <w:i/>
          <w:iCs/>
          <w:sz w:val="24"/>
          <w:szCs w:val="24"/>
        </w:rPr>
        <w:t>et al</w:t>
      </w:r>
      <w:r w:rsidRPr="00F02E33">
        <w:rPr>
          <w:rFonts w:ascii="Times New Roman" w:hAnsi="Times New Roman" w:cs="Times New Roman"/>
          <w:sz w:val="24"/>
          <w:szCs w:val="24"/>
        </w:rPr>
        <w:t>., 2010).</w:t>
      </w:r>
    </w:p>
    <w:p w14:paraId="77AC7BBF" w14:textId="77777777" w:rsidR="00F02E33" w:rsidRPr="00EB4791" w:rsidRDefault="00F02E33" w:rsidP="004B621C">
      <w:pPr>
        <w:spacing w:line="360" w:lineRule="auto"/>
        <w:jc w:val="both"/>
        <w:rPr>
          <w:rFonts w:ascii="Times New Roman" w:hAnsi="Times New Roman" w:cs="Times New Roman"/>
          <w:b/>
          <w:bCs/>
          <w:sz w:val="24"/>
          <w:szCs w:val="24"/>
        </w:rPr>
      </w:pPr>
      <w:r w:rsidRPr="00EB4791">
        <w:rPr>
          <w:rFonts w:ascii="Times New Roman" w:hAnsi="Times New Roman" w:cs="Times New Roman"/>
          <w:b/>
          <w:bCs/>
          <w:sz w:val="24"/>
          <w:szCs w:val="24"/>
        </w:rPr>
        <w:t>Aim and Objectives of Study</w:t>
      </w:r>
    </w:p>
    <w:p w14:paraId="2F14496C" w14:textId="77777777" w:rsidR="00F02E33" w:rsidRPr="00EB4791" w:rsidRDefault="00F02E33" w:rsidP="004B621C">
      <w:pPr>
        <w:spacing w:line="360" w:lineRule="auto"/>
        <w:jc w:val="both"/>
        <w:rPr>
          <w:rFonts w:ascii="Times New Roman" w:hAnsi="Times New Roman" w:cs="Times New Roman"/>
          <w:b/>
          <w:bCs/>
          <w:sz w:val="24"/>
          <w:szCs w:val="24"/>
        </w:rPr>
      </w:pPr>
      <w:r w:rsidRPr="00EB4791">
        <w:rPr>
          <w:rFonts w:ascii="Times New Roman" w:hAnsi="Times New Roman" w:cs="Times New Roman"/>
          <w:b/>
          <w:bCs/>
          <w:sz w:val="24"/>
          <w:szCs w:val="24"/>
        </w:rPr>
        <w:t>General Objective</w:t>
      </w:r>
    </w:p>
    <w:p w14:paraId="3851719A" w14:textId="4DFA0149" w:rsidR="00F02E33" w:rsidRPr="00F02E33" w:rsidRDefault="00F02E33" w:rsidP="004B621C">
      <w:pPr>
        <w:spacing w:line="360" w:lineRule="auto"/>
        <w:jc w:val="both"/>
        <w:rPr>
          <w:rFonts w:ascii="Times New Roman" w:hAnsi="Times New Roman" w:cs="Times New Roman"/>
          <w:sz w:val="24"/>
          <w:szCs w:val="24"/>
        </w:rPr>
      </w:pPr>
      <w:r w:rsidRPr="00F02E33">
        <w:rPr>
          <w:rFonts w:ascii="Times New Roman" w:hAnsi="Times New Roman" w:cs="Times New Roman"/>
          <w:sz w:val="24"/>
          <w:szCs w:val="24"/>
        </w:rPr>
        <w:t xml:space="preserve">The general objective of this study was to determine the morphology of the dimple, gap teeth, philtrum, and </w:t>
      </w:r>
      <w:proofErr w:type="spellStart"/>
      <w:r w:rsidR="00A25721">
        <w:rPr>
          <w:rFonts w:ascii="Times New Roman" w:hAnsi="Times New Roman" w:cs="Times New Roman"/>
          <w:sz w:val="24"/>
          <w:szCs w:val="24"/>
        </w:rPr>
        <w:t>mentolabial</w:t>
      </w:r>
      <w:proofErr w:type="spellEnd"/>
      <w:r w:rsidR="00A25721">
        <w:rPr>
          <w:rFonts w:ascii="Times New Roman" w:hAnsi="Times New Roman" w:cs="Times New Roman"/>
          <w:sz w:val="24"/>
          <w:szCs w:val="24"/>
        </w:rPr>
        <w:t xml:space="preserve"> </w:t>
      </w:r>
      <w:r w:rsidRPr="00F02E33">
        <w:rPr>
          <w:rFonts w:ascii="Times New Roman" w:hAnsi="Times New Roman" w:cs="Times New Roman"/>
          <w:sz w:val="24"/>
          <w:szCs w:val="24"/>
        </w:rPr>
        <w:t xml:space="preserve">sulcus among individuals of the Ijaw ethnic group in </w:t>
      </w:r>
      <w:proofErr w:type="spellStart"/>
      <w:r w:rsidRPr="00F02E33">
        <w:rPr>
          <w:rFonts w:ascii="Times New Roman" w:hAnsi="Times New Roman" w:cs="Times New Roman"/>
          <w:sz w:val="24"/>
          <w:szCs w:val="24"/>
        </w:rPr>
        <w:t>Yenegoa</w:t>
      </w:r>
      <w:proofErr w:type="spellEnd"/>
      <w:r w:rsidRPr="00F02E33">
        <w:rPr>
          <w:rFonts w:ascii="Times New Roman" w:hAnsi="Times New Roman" w:cs="Times New Roman"/>
          <w:sz w:val="24"/>
          <w:szCs w:val="24"/>
        </w:rPr>
        <w:t xml:space="preserve">, Bayelsa State, Nigeria. </w:t>
      </w:r>
    </w:p>
    <w:p w14:paraId="277FF1B8" w14:textId="77777777" w:rsidR="00EB4791" w:rsidRPr="00EB4791" w:rsidRDefault="00EB4791" w:rsidP="004B621C">
      <w:pPr>
        <w:spacing w:after="0" w:line="360" w:lineRule="auto"/>
        <w:jc w:val="both"/>
        <w:rPr>
          <w:rFonts w:ascii="Times New Roman" w:hAnsi="Times New Roman"/>
          <w:sz w:val="24"/>
          <w:szCs w:val="24"/>
        </w:rPr>
      </w:pPr>
      <w:r w:rsidRPr="00EB4791">
        <w:rPr>
          <w:rFonts w:ascii="Times New Roman" w:hAnsi="Times New Roman"/>
          <w:b/>
          <w:bCs/>
          <w:sz w:val="24"/>
          <w:szCs w:val="24"/>
        </w:rPr>
        <w:t>MATERIALS AND METHODS</w:t>
      </w:r>
    </w:p>
    <w:p w14:paraId="32352A40" w14:textId="67B6C136" w:rsidR="00C93F9A" w:rsidRDefault="00C93F9A" w:rsidP="004B621C">
      <w:pPr>
        <w:spacing w:after="0" w:line="360" w:lineRule="auto"/>
        <w:jc w:val="both"/>
        <w:rPr>
          <w:rFonts w:ascii="Times New Roman" w:hAnsi="Times New Roman"/>
          <w:b/>
          <w:bCs/>
          <w:sz w:val="24"/>
          <w:szCs w:val="24"/>
        </w:rPr>
      </w:pPr>
      <w:r w:rsidRPr="00C93F9A">
        <w:rPr>
          <w:rFonts w:ascii="Times New Roman" w:hAnsi="Times New Roman"/>
          <w:b/>
          <w:bCs/>
          <w:sz w:val="24"/>
          <w:szCs w:val="24"/>
        </w:rPr>
        <w:t>Study Design</w:t>
      </w:r>
    </w:p>
    <w:p w14:paraId="763A609B" w14:textId="127A7790" w:rsidR="00C93F9A" w:rsidRPr="00C93F9A" w:rsidRDefault="00C93F9A" w:rsidP="004B621C">
      <w:pPr>
        <w:spacing w:after="0" w:line="360" w:lineRule="auto"/>
        <w:jc w:val="both"/>
        <w:rPr>
          <w:rFonts w:ascii="Times New Roman" w:hAnsi="Times New Roman"/>
          <w:sz w:val="24"/>
          <w:szCs w:val="24"/>
        </w:rPr>
      </w:pPr>
      <w:r w:rsidRPr="00C93F9A">
        <w:rPr>
          <w:rFonts w:ascii="Times New Roman" w:hAnsi="Times New Roman"/>
          <w:sz w:val="24"/>
          <w:szCs w:val="24"/>
        </w:rPr>
        <w:t>This study was a descriptive cross-sectional observational study conducted among the Ijaw population residing in Yenagoa, Bayelsa State, Nigeria, to evaluate the heritability patterns of selected facial morphogenetic traits</w:t>
      </w:r>
      <w:r>
        <w:rPr>
          <w:rFonts w:ascii="Times New Roman" w:hAnsi="Times New Roman"/>
          <w:sz w:val="24"/>
          <w:szCs w:val="24"/>
        </w:rPr>
        <w:t>,</w:t>
      </w:r>
      <w:r w:rsidRPr="00C93F9A">
        <w:rPr>
          <w:rFonts w:ascii="Times New Roman" w:hAnsi="Times New Roman"/>
          <w:sz w:val="24"/>
          <w:szCs w:val="24"/>
        </w:rPr>
        <w:t xml:space="preserve"> including dimples, philtrum depth, gap teeth, and </w:t>
      </w:r>
      <w:proofErr w:type="spellStart"/>
      <w:r w:rsidRPr="00C93F9A">
        <w:rPr>
          <w:rFonts w:ascii="Times New Roman" w:hAnsi="Times New Roman"/>
          <w:sz w:val="24"/>
          <w:szCs w:val="24"/>
        </w:rPr>
        <w:t>ment</w:t>
      </w:r>
      <w:r>
        <w:rPr>
          <w:rFonts w:ascii="Times New Roman" w:hAnsi="Times New Roman"/>
          <w:sz w:val="24"/>
          <w:szCs w:val="24"/>
        </w:rPr>
        <w:t>o</w:t>
      </w:r>
      <w:r w:rsidRPr="00C93F9A">
        <w:rPr>
          <w:rFonts w:ascii="Times New Roman" w:hAnsi="Times New Roman"/>
          <w:sz w:val="24"/>
          <w:szCs w:val="24"/>
        </w:rPr>
        <w:t>labial</w:t>
      </w:r>
      <w:proofErr w:type="spellEnd"/>
      <w:r w:rsidRPr="00C93F9A">
        <w:rPr>
          <w:rFonts w:ascii="Times New Roman" w:hAnsi="Times New Roman"/>
          <w:sz w:val="24"/>
          <w:szCs w:val="24"/>
        </w:rPr>
        <w:t xml:space="preserve"> sulcus morphology.</w:t>
      </w:r>
      <w:r w:rsidR="001A2E1F">
        <w:rPr>
          <w:rFonts w:ascii="Times New Roman" w:hAnsi="Times New Roman"/>
          <w:sz w:val="24"/>
          <w:szCs w:val="24"/>
        </w:rPr>
        <w:t xml:space="preserve"> It </w:t>
      </w:r>
      <w:r w:rsidR="001A2E1F" w:rsidRPr="001A2E1F">
        <w:rPr>
          <w:rFonts w:ascii="Times New Roman" w:hAnsi="Times New Roman"/>
          <w:sz w:val="24"/>
          <w:szCs w:val="24"/>
        </w:rPr>
        <w:t>adopted a family-based comparative observational approach involving parent–offspring trait assessment within nuclear family units.</w:t>
      </w:r>
    </w:p>
    <w:p w14:paraId="283340FE" w14:textId="77777777" w:rsidR="00EB4791" w:rsidRDefault="00EB4791" w:rsidP="004B621C">
      <w:pPr>
        <w:spacing w:after="0" w:line="360" w:lineRule="auto"/>
        <w:jc w:val="both"/>
        <w:rPr>
          <w:rFonts w:ascii="Times New Roman" w:hAnsi="Times New Roman"/>
          <w:sz w:val="24"/>
          <w:szCs w:val="24"/>
        </w:rPr>
      </w:pPr>
      <w:r w:rsidRPr="00EB4791">
        <w:rPr>
          <w:rFonts w:ascii="Times New Roman" w:hAnsi="Times New Roman"/>
          <w:b/>
          <w:bCs/>
          <w:sz w:val="24"/>
          <w:szCs w:val="24"/>
        </w:rPr>
        <w:t>Study Population</w:t>
      </w:r>
      <w:r w:rsidRPr="00EB4791">
        <w:rPr>
          <w:rFonts w:ascii="Times New Roman" w:hAnsi="Times New Roman"/>
          <w:sz w:val="24"/>
          <w:szCs w:val="24"/>
        </w:rPr>
        <w:t xml:space="preserve">   </w:t>
      </w:r>
      <w:r w:rsidRPr="00EB4791">
        <w:rPr>
          <w:rFonts w:ascii="Times New Roman" w:hAnsi="Times New Roman"/>
          <w:sz w:val="24"/>
          <w:szCs w:val="24"/>
        </w:rPr>
        <w:tab/>
      </w:r>
    </w:p>
    <w:p w14:paraId="51512025" w14:textId="77777777" w:rsidR="00EB4791" w:rsidRPr="00EB4791" w:rsidRDefault="00EB4791" w:rsidP="004B621C">
      <w:pPr>
        <w:spacing w:after="0" w:line="360" w:lineRule="auto"/>
        <w:jc w:val="both"/>
        <w:rPr>
          <w:rFonts w:ascii="Times New Roman" w:hAnsi="Times New Roman"/>
          <w:b/>
          <w:bCs/>
          <w:sz w:val="24"/>
          <w:szCs w:val="24"/>
        </w:rPr>
      </w:pPr>
      <w:r w:rsidRPr="00EB4791">
        <w:rPr>
          <w:rFonts w:ascii="Times New Roman" w:hAnsi="Times New Roman"/>
          <w:sz w:val="24"/>
          <w:szCs w:val="24"/>
        </w:rPr>
        <w:t xml:space="preserve">The study consisted of both male and female individuals from </w:t>
      </w:r>
      <w:proofErr w:type="spellStart"/>
      <w:r w:rsidRPr="00EB4791">
        <w:rPr>
          <w:rFonts w:ascii="Times New Roman" w:hAnsi="Times New Roman"/>
          <w:sz w:val="24"/>
          <w:szCs w:val="24"/>
        </w:rPr>
        <w:t>Yenegoa</w:t>
      </w:r>
      <w:proofErr w:type="spellEnd"/>
      <w:r w:rsidRPr="00EB4791">
        <w:rPr>
          <w:rFonts w:ascii="Times New Roman" w:hAnsi="Times New Roman"/>
          <w:sz w:val="24"/>
          <w:szCs w:val="24"/>
        </w:rPr>
        <w:t xml:space="preserve"> who are from the Ijaw ethnic group.</w:t>
      </w:r>
    </w:p>
    <w:p w14:paraId="304B1D69" w14:textId="77777777" w:rsidR="00EB4791" w:rsidRDefault="00EB4791" w:rsidP="004B621C">
      <w:pPr>
        <w:spacing w:after="0" w:line="360" w:lineRule="auto"/>
        <w:jc w:val="both"/>
        <w:rPr>
          <w:rFonts w:ascii="Times New Roman" w:hAnsi="Times New Roman"/>
          <w:sz w:val="24"/>
          <w:szCs w:val="24"/>
        </w:rPr>
      </w:pPr>
      <w:r w:rsidRPr="00EB4791">
        <w:rPr>
          <w:rFonts w:ascii="Times New Roman" w:hAnsi="Times New Roman"/>
          <w:b/>
          <w:bCs/>
          <w:sz w:val="24"/>
          <w:szCs w:val="24"/>
        </w:rPr>
        <w:t>Study Area</w:t>
      </w:r>
      <w:r w:rsidRPr="00EB4791">
        <w:rPr>
          <w:rFonts w:ascii="Times New Roman" w:hAnsi="Times New Roman"/>
          <w:sz w:val="24"/>
          <w:szCs w:val="24"/>
        </w:rPr>
        <w:tab/>
      </w:r>
    </w:p>
    <w:p w14:paraId="4CB4032F" w14:textId="77777777" w:rsidR="00EB4791" w:rsidRPr="00EB4791" w:rsidRDefault="00EB4791" w:rsidP="004B621C">
      <w:pPr>
        <w:spacing w:after="0" w:line="360" w:lineRule="auto"/>
        <w:jc w:val="both"/>
        <w:rPr>
          <w:rFonts w:ascii="Times New Roman" w:hAnsi="Times New Roman"/>
          <w:b/>
          <w:bCs/>
          <w:sz w:val="24"/>
          <w:szCs w:val="24"/>
        </w:rPr>
      </w:pPr>
      <w:r w:rsidRPr="00EB4791">
        <w:rPr>
          <w:rFonts w:ascii="Times New Roman" w:hAnsi="Times New Roman"/>
          <w:sz w:val="24"/>
          <w:szCs w:val="24"/>
        </w:rPr>
        <w:t xml:space="preserve">This study was carried out in </w:t>
      </w:r>
      <w:proofErr w:type="spellStart"/>
      <w:r w:rsidRPr="00EB4791">
        <w:rPr>
          <w:rFonts w:ascii="Times New Roman" w:hAnsi="Times New Roman"/>
          <w:sz w:val="24"/>
          <w:szCs w:val="24"/>
        </w:rPr>
        <w:t>Yenegoa</w:t>
      </w:r>
      <w:proofErr w:type="spellEnd"/>
      <w:r w:rsidRPr="00EB4791">
        <w:rPr>
          <w:rFonts w:ascii="Times New Roman" w:hAnsi="Times New Roman"/>
          <w:sz w:val="24"/>
          <w:szCs w:val="24"/>
        </w:rPr>
        <w:t xml:space="preserve">, Bayelsa State, Nigeria. </w:t>
      </w:r>
    </w:p>
    <w:p w14:paraId="30EB0B33" w14:textId="77777777" w:rsidR="00EB4791" w:rsidRPr="00EB4791" w:rsidRDefault="00EB4791" w:rsidP="004B621C">
      <w:pPr>
        <w:spacing w:after="0" w:line="360" w:lineRule="auto"/>
        <w:jc w:val="both"/>
        <w:rPr>
          <w:rFonts w:ascii="Times New Roman" w:hAnsi="Times New Roman"/>
          <w:sz w:val="24"/>
          <w:szCs w:val="24"/>
        </w:rPr>
      </w:pPr>
      <w:r w:rsidRPr="00EB4791">
        <w:rPr>
          <w:rFonts w:ascii="Times New Roman" w:hAnsi="Times New Roman"/>
          <w:sz w:val="24"/>
          <w:szCs w:val="24"/>
        </w:rPr>
        <w:t>Yenagoa is a Local Government Area in Bayelsa State, Nigeria. Its headquarters are in the town of Yenagoa (the State capital) in the south of the area at 4°55′29″N 6°15′51″E.  The LGA has an area of 706 km² and a population of 352,285 at the 2006 census.</w:t>
      </w:r>
    </w:p>
    <w:p w14:paraId="4419774C" w14:textId="77777777" w:rsidR="00EB4791" w:rsidRPr="00EB4791" w:rsidRDefault="00EB4791" w:rsidP="004B621C">
      <w:pPr>
        <w:spacing w:after="0" w:line="360" w:lineRule="auto"/>
        <w:jc w:val="both"/>
        <w:rPr>
          <w:rFonts w:ascii="Times New Roman" w:hAnsi="Times New Roman"/>
          <w:b/>
          <w:bCs/>
          <w:sz w:val="24"/>
          <w:szCs w:val="24"/>
        </w:rPr>
      </w:pPr>
      <w:r w:rsidRPr="00EB4791">
        <w:rPr>
          <w:rFonts w:ascii="Times New Roman" w:hAnsi="Times New Roman"/>
          <w:b/>
          <w:bCs/>
          <w:sz w:val="24"/>
          <w:szCs w:val="24"/>
        </w:rPr>
        <w:t>Sample and Sampling technique</w:t>
      </w:r>
    </w:p>
    <w:p w14:paraId="0C06AB5F" w14:textId="77777777" w:rsidR="00C93F9A" w:rsidRPr="00C93F9A" w:rsidRDefault="00C93F9A" w:rsidP="004B621C">
      <w:pPr>
        <w:spacing w:after="0" w:line="360" w:lineRule="auto"/>
        <w:jc w:val="both"/>
        <w:rPr>
          <w:rFonts w:ascii="Times New Roman" w:hAnsi="Times New Roman"/>
          <w:sz w:val="24"/>
          <w:szCs w:val="24"/>
          <w:lang w:val="en-GB"/>
        </w:rPr>
      </w:pPr>
      <w:r w:rsidRPr="00C93F9A">
        <w:rPr>
          <w:rFonts w:ascii="Times New Roman" w:hAnsi="Times New Roman"/>
          <w:sz w:val="24"/>
          <w:szCs w:val="24"/>
          <w:lang w:val="en-GB"/>
        </w:rPr>
        <w:t>A total of 150 participants were selected using a simple random sampling technique from eligible individuals of Ijaw ancestry residing in Yenagoa.</w:t>
      </w:r>
    </w:p>
    <w:p w14:paraId="1A40E08A" w14:textId="77777777" w:rsidR="00EB4791" w:rsidRPr="00EB4791" w:rsidRDefault="00EB4791" w:rsidP="004B621C">
      <w:pPr>
        <w:spacing w:after="0" w:line="360" w:lineRule="auto"/>
        <w:jc w:val="both"/>
        <w:rPr>
          <w:rFonts w:ascii="Times New Roman" w:hAnsi="Times New Roman"/>
          <w:b/>
          <w:bCs/>
          <w:sz w:val="24"/>
          <w:szCs w:val="24"/>
        </w:rPr>
      </w:pPr>
      <w:r w:rsidRPr="00EB4791">
        <w:rPr>
          <w:rFonts w:ascii="Times New Roman" w:hAnsi="Times New Roman"/>
          <w:b/>
          <w:bCs/>
          <w:sz w:val="24"/>
          <w:szCs w:val="24"/>
        </w:rPr>
        <w:t>Data Collection</w:t>
      </w:r>
    </w:p>
    <w:p w14:paraId="45F2BE03" w14:textId="05F0C407" w:rsidR="00EB4791" w:rsidRPr="00EB4791" w:rsidRDefault="00EB4791" w:rsidP="004B621C">
      <w:pPr>
        <w:spacing w:after="0" w:line="360" w:lineRule="auto"/>
        <w:jc w:val="both"/>
        <w:rPr>
          <w:rFonts w:ascii="Times New Roman" w:hAnsi="Times New Roman"/>
          <w:sz w:val="24"/>
          <w:szCs w:val="24"/>
        </w:rPr>
      </w:pPr>
      <w:r w:rsidRPr="00EB4791">
        <w:rPr>
          <w:rFonts w:ascii="Times New Roman" w:hAnsi="Times New Roman"/>
          <w:sz w:val="24"/>
          <w:szCs w:val="24"/>
        </w:rPr>
        <w:lastRenderedPageBreak/>
        <w:t xml:space="preserve">Data on the dimple, </w:t>
      </w:r>
      <w:proofErr w:type="spellStart"/>
      <w:r w:rsidR="00A25721">
        <w:rPr>
          <w:rFonts w:ascii="Times New Roman" w:hAnsi="Times New Roman"/>
          <w:sz w:val="24"/>
          <w:szCs w:val="24"/>
        </w:rPr>
        <w:t>mentolabial</w:t>
      </w:r>
      <w:proofErr w:type="spellEnd"/>
      <w:r w:rsidR="00A25721">
        <w:rPr>
          <w:rFonts w:ascii="Times New Roman" w:hAnsi="Times New Roman"/>
          <w:sz w:val="24"/>
          <w:szCs w:val="24"/>
        </w:rPr>
        <w:t xml:space="preserve"> </w:t>
      </w:r>
      <w:r w:rsidRPr="00EB4791">
        <w:rPr>
          <w:rFonts w:ascii="Times New Roman" w:hAnsi="Times New Roman"/>
          <w:sz w:val="24"/>
          <w:szCs w:val="24"/>
        </w:rPr>
        <w:t xml:space="preserve">sulcus, philtrum, and gap teeth was collected by means of a data collection sheet. The data sheet helped to gather information regarding the prevalence of dimple and gap teeth, the location of the gap teeth, the depth of the </w:t>
      </w:r>
      <w:proofErr w:type="spellStart"/>
      <w:r w:rsidR="00A25721">
        <w:rPr>
          <w:rFonts w:ascii="Times New Roman" w:hAnsi="Times New Roman"/>
          <w:sz w:val="24"/>
          <w:szCs w:val="24"/>
        </w:rPr>
        <w:t>mentolabial</w:t>
      </w:r>
      <w:proofErr w:type="spellEnd"/>
      <w:r w:rsidR="00A25721">
        <w:rPr>
          <w:rFonts w:ascii="Times New Roman" w:hAnsi="Times New Roman"/>
          <w:sz w:val="24"/>
          <w:szCs w:val="24"/>
        </w:rPr>
        <w:t xml:space="preserve"> </w:t>
      </w:r>
      <w:r w:rsidRPr="00EB4791">
        <w:rPr>
          <w:rFonts w:ascii="Times New Roman" w:hAnsi="Times New Roman"/>
          <w:sz w:val="24"/>
          <w:szCs w:val="24"/>
        </w:rPr>
        <w:t>sulcus, philtrum and also if the dimple is unilateral or bilateral. It was also designed to obtain relevant socio-demographic characteristics of the respondents.</w:t>
      </w:r>
    </w:p>
    <w:p w14:paraId="2BD8E3E7" w14:textId="2DCC8885" w:rsidR="00FB2C36" w:rsidRDefault="00FB2C36" w:rsidP="004B621C">
      <w:pPr>
        <w:spacing w:after="0" w:line="360" w:lineRule="auto"/>
        <w:jc w:val="both"/>
        <w:rPr>
          <w:rFonts w:ascii="Times New Roman" w:hAnsi="Times New Roman"/>
          <w:b/>
          <w:bCs/>
          <w:sz w:val="24"/>
          <w:szCs w:val="24"/>
        </w:rPr>
      </w:pPr>
      <w:r w:rsidRPr="00FB2C36">
        <w:rPr>
          <w:rFonts w:ascii="Times New Roman" w:hAnsi="Times New Roman"/>
          <w:b/>
          <w:bCs/>
          <w:sz w:val="24"/>
          <w:szCs w:val="24"/>
        </w:rPr>
        <w:t>Trait Assessment Criteria</w:t>
      </w:r>
    </w:p>
    <w:p w14:paraId="2B0E77A3" w14:textId="7E51CC81" w:rsidR="00FB2C36" w:rsidRPr="00FB2C36" w:rsidRDefault="00FB2C36" w:rsidP="004B621C">
      <w:pPr>
        <w:spacing w:after="0" w:line="360" w:lineRule="auto"/>
        <w:jc w:val="both"/>
        <w:rPr>
          <w:rFonts w:ascii="Times New Roman" w:hAnsi="Times New Roman"/>
          <w:sz w:val="24"/>
          <w:szCs w:val="24"/>
        </w:rPr>
      </w:pPr>
      <w:r w:rsidRPr="00FB2C36">
        <w:rPr>
          <w:rFonts w:ascii="Times New Roman" w:hAnsi="Times New Roman"/>
          <w:sz w:val="24"/>
          <w:szCs w:val="24"/>
        </w:rPr>
        <w:t xml:space="preserve">Facial morphogenetic traits were assessed through direct visual inspection with participants in an upright anatomical position under adequate illumination. Dimples were identified as visible indentations present on one or both cheeks during facial expression. Philtrum depth was </w:t>
      </w:r>
      <w:proofErr w:type="spellStart"/>
      <w:r w:rsidR="00426AC9">
        <w:rPr>
          <w:rFonts w:ascii="Times New Roman" w:hAnsi="Times New Roman"/>
          <w:sz w:val="24"/>
          <w:szCs w:val="24"/>
        </w:rPr>
        <w:t>categorised</w:t>
      </w:r>
      <w:proofErr w:type="spellEnd"/>
      <w:r w:rsidRPr="00FB2C36">
        <w:rPr>
          <w:rFonts w:ascii="Times New Roman" w:hAnsi="Times New Roman"/>
          <w:sz w:val="24"/>
          <w:szCs w:val="24"/>
        </w:rPr>
        <w:t xml:space="preserve"> as deep when a clearly defined vertical groove was present between prominent </w:t>
      </w:r>
      <w:proofErr w:type="spellStart"/>
      <w:r w:rsidRPr="00FB2C36">
        <w:rPr>
          <w:rFonts w:ascii="Times New Roman" w:hAnsi="Times New Roman"/>
          <w:sz w:val="24"/>
          <w:szCs w:val="24"/>
        </w:rPr>
        <w:t>philtral</w:t>
      </w:r>
      <w:proofErr w:type="spellEnd"/>
      <w:r w:rsidRPr="00FB2C36">
        <w:rPr>
          <w:rFonts w:ascii="Times New Roman" w:hAnsi="Times New Roman"/>
          <w:sz w:val="24"/>
          <w:szCs w:val="24"/>
        </w:rPr>
        <w:t xml:space="preserve"> ridges and shallow when the groove appeared flattened or minimally depressed. Gap teeth were identified as the presence of a visible midline spacing between the upper central incisors. </w:t>
      </w:r>
      <w:proofErr w:type="spellStart"/>
      <w:r w:rsidRPr="00FB2C36">
        <w:rPr>
          <w:rFonts w:ascii="Times New Roman" w:hAnsi="Times New Roman"/>
          <w:sz w:val="24"/>
          <w:szCs w:val="24"/>
        </w:rPr>
        <w:t>Mentalolabial</w:t>
      </w:r>
      <w:proofErr w:type="spellEnd"/>
      <w:r w:rsidRPr="00FB2C36">
        <w:rPr>
          <w:rFonts w:ascii="Times New Roman" w:hAnsi="Times New Roman"/>
          <w:sz w:val="24"/>
          <w:szCs w:val="24"/>
        </w:rPr>
        <w:t xml:space="preserve"> sulcus morphology was </w:t>
      </w:r>
      <w:proofErr w:type="spellStart"/>
      <w:r>
        <w:rPr>
          <w:rFonts w:ascii="Times New Roman" w:hAnsi="Times New Roman"/>
          <w:sz w:val="24"/>
          <w:szCs w:val="24"/>
        </w:rPr>
        <w:t>categorised</w:t>
      </w:r>
      <w:proofErr w:type="spellEnd"/>
      <w:r w:rsidRPr="00FB2C36">
        <w:rPr>
          <w:rFonts w:ascii="Times New Roman" w:hAnsi="Times New Roman"/>
          <w:sz w:val="24"/>
          <w:szCs w:val="24"/>
        </w:rPr>
        <w:t xml:space="preserve"> based on the visible groove depth between the lower lip and chin region as either shallow or deep.</w:t>
      </w:r>
    </w:p>
    <w:p w14:paraId="0C70558E" w14:textId="4B69907D" w:rsidR="00EB4791" w:rsidRPr="00EB4791" w:rsidRDefault="00EB4791" w:rsidP="004B621C">
      <w:pPr>
        <w:spacing w:after="0" w:line="360" w:lineRule="auto"/>
        <w:jc w:val="both"/>
        <w:rPr>
          <w:rFonts w:ascii="Times New Roman" w:hAnsi="Times New Roman"/>
          <w:b/>
          <w:bCs/>
          <w:sz w:val="24"/>
          <w:szCs w:val="24"/>
        </w:rPr>
      </w:pPr>
      <w:r w:rsidRPr="00EB4791">
        <w:rPr>
          <w:rFonts w:ascii="Times New Roman" w:hAnsi="Times New Roman"/>
          <w:b/>
          <w:bCs/>
          <w:sz w:val="24"/>
          <w:szCs w:val="24"/>
        </w:rPr>
        <w:t>Protocol of Data Collection</w:t>
      </w:r>
    </w:p>
    <w:p w14:paraId="4C8EE19B" w14:textId="77777777" w:rsidR="00EB4791" w:rsidRPr="00EB4791" w:rsidRDefault="00EB4791" w:rsidP="004B621C">
      <w:pPr>
        <w:spacing w:after="0" w:line="360" w:lineRule="auto"/>
        <w:jc w:val="both"/>
        <w:rPr>
          <w:rFonts w:ascii="Times New Roman" w:hAnsi="Times New Roman"/>
          <w:bCs/>
          <w:sz w:val="24"/>
          <w:szCs w:val="24"/>
        </w:rPr>
      </w:pPr>
      <w:r w:rsidRPr="00EB4791">
        <w:rPr>
          <w:rFonts w:ascii="Times New Roman" w:hAnsi="Times New Roman"/>
          <w:bCs/>
          <w:sz w:val="24"/>
          <w:szCs w:val="24"/>
        </w:rPr>
        <w:t>The following parameters were collected with the aid of the data collection sheet.</w:t>
      </w:r>
    </w:p>
    <w:p w14:paraId="2071D9EB" w14:textId="7D9034B3" w:rsidR="00EB4791" w:rsidRPr="006135A7" w:rsidRDefault="00EB4791" w:rsidP="004B621C">
      <w:pPr>
        <w:spacing w:after="0" w:line="360" w:lineRule="auto"/>
        <w:jc w:val="both"/>
        <w:rPr>
          <w:rFonts w:ascii="Times New Roman" w:hAnsi="Times New Roman"/>
          <w:bCs/>
          <w:sz w:val="24"/>
          <w:szCs w:val="24"/>
        </w:rPr>
      </w:pPr>
      <w:r w:rsidRPr="00EB4791">
        <w:rPr>
          <w:rFonts w:ascii="Times New Roman" w:hAnsi="Times New Roman"/>
          <w:bCs/>
          <w:sz w:val="24"/>
          <w:szCs w:val="24"/>
        </w:rPr>
        <w:t>Parents (Father and Mother)</w:t>
      </w:r>
      <w:r w:rsidR="006135A7">
        <w:rPr>
          <w:rFonts w:ascii="Times New Roman" w:hAnsi="Times New Roman"/>
          <w:bCs/>
          <w:sz w:val="24"/>
          <w:szCs w:val="24"/>
          <w:lang w:val="en-GB"/>
        </w:rPr>
        <w:t xml:space="preserve">, </w:t>
      </w:r>
      <w:r w:rsidRPr="00EB4791">
        <w:rPr>
          <w:rFonts w:ascii="Times New Roman" w:hAnsi="Times New Roman"/>
          <w:bCs/>
          <w:sz w:val="24"/>
          <w:szCs w:val="24"/>
        </w:rPr>
        <w:t>Children (1st and 2nd child)</w:t>
      </w:r>
      <w:r w:rsidR="006135A7">
        <w:rPr>
          <w:rFonts w:ascii="Times New Roman" w:hAnsi="Times New Roman"/>
          <w:bCs/>
          <w:sz w:val="24"/>
          <w:szCs w:val="24"/>
          <w:lang w:val="en-GB"/>
        </w:rPr>
        <w:t xml:space="preserve">, </w:t>
      </w:r>
      <w:r w:rsidR="006135A7">
        <w:rPr>
          <w:rFonts w:ascii="Times New Roman" w:hAnsi="Times New Roman"/>
          <w:bCs/>
          <w:sz w:val="24"/>
          <w:szCs w:val="24"/>
        </w:rPr>
        <w:t>D</w:t>
      </w:r>
      <w:r w:rsidRPr="00EB4791">
        <w:rPr>
          <w:rFonts w:ascii="Times New Roman" w:hAnsi="Times New Roman"/>
          <w:bCs/>
          <w:sz w:val="24"/>
          <w:szCs w:val="24"/>
        </w:rPr>
        <w:t>imple</w:t>
      </w:r>
      <w:r w:rsidR="006135A7">
        <w:rPr>
          <w:rFonts w:ascii="Times New Roman" w:hAnsi="Times New Roman"/>
          <w:bCs/>
          <w:sz w:val="24"/>
          <w:szCs w:val="24"/>
        </w:rPr>
        <w:t xml:space="preserve">, </w:t>
      </w:r>
      <w:proofErr w:type="spellStart"/>
      <w:r w:rsidR="00A25721">
        <w:rPr>
          <w:rFonts w:ascii="Times New Roman" w:hAnsi="Times New Roman"/>
          <w:sz w:val="24"/>
          <w:szCs w:val="24"/>
        </w:rPr>
        <w:t>Mentolabial</w:t>
      </w:r>
      <w:proofErr w:type="spellEnd"/>
      <w:r w:rsidR="00A25721">
        <w:rPr>
          <w:rFonts w:ascii="Times New Roman" w:hAnsi="Times New Roman"/>
          <w:sz w:val="24"/>
          <w:szCs w:val="24"/>
        </w:rPr>
        <w:t xml:space="preserve"> </w:t>
      </w:r>
      <w:r w:rsidRPr="00EB4791">
        <w:rPr>
          <w:rFonts w:ascii="Times New Roman" w:hAnsi="Times New Roman"/>
          <w:bCs/>
          <w:sz w:val="24"/>
          <w:szCs w:val="24"/>
        </w:rPr>
        <w:t>sulcus</w:t>
      </w:r>
      <w:r w:rsidR="006135A7">
        <w:rPr>
          <w:rFonts w:ascii="Times New Roman" w:hAnsi="Times New Roman"/>
          <w:bCs/>
          <w:sz w:val="24"/>
          <w:szCs w:val="24"/>
          <w:lang w:val="en-GB"/>
        </w:rPr>
        <w:t xml:space="preserve">, </w:t>
      </w:r>
      <w:r w:rsidRPr="00EB4791">
        <w:rPr>
          <w:rFonts w:ascii="Times New Roman" w:hAnsi="Times New Roman"/>
          <w:bCs/>
          <w:sz w:val="24"/>
          <w:szCs w:val="24"/>
        </w:rPr>
        <w:t>Philtrum depth</w:t>
      </w:r>
      <w:r w:rsidR="006135A7">
        <w:rPr>
          <w:rFonts w:ascii="Times New Roman" w:hAnsi="Times New Roman"/>
          <w:bCs/>
          <w:sz w:val="24"/>
          <w:szCs w:val="24"/>
          <w:lang w:val="en-GB"/>
        </w:rPr>
        <w:t xml:space="preserve"> and </w:t>
      </w:r>
      <w:r w:rsidRPr="00EB4791">
        <w:rPr>
          <w:rFonts w:ascii="Times New Roman" w:hAnsi="Times New Roman"/>
          <w:bCs/>
          <w:sz w:val="24"/>
          <w:szCs w:val="24"/>
        </w:rPr>
        <w:t>Gap teeth</w:t>
      </w:r>
      <w:r w:rsidR="005D4C14">
        <w:rPr>
          <w:rFonts w:ascii="Times New Roman" w:hAnsi="Times New Roman"/>
          <w:bCs/>
          <w:sz w:val="24"/>
          <w:szCs w:val="24"/>
        </w:rPr>
        <w:t>.</w:t>
      </w:r>
    </w:p>
    <w:p w14:paraId="4AC1C158" w14:textId="77777777" w:rsidR="00EB4791" w:rsidRPr="00EB4791" w:rsidRDefault="00EB4791" w:rsidP="004B621C">
      <w:pPr>
        <w:spacing w:after="0" w:line="360" w:lineRule="auto"/>
        <w:jc w:val="both"/>
        <w:rPr>
          <w:rFonts w:ascii="Times New Roman" w:hAnsi="Times New Roman"/>
          <w:b/>
          <w:bCs/>
          <w:sz w:val="24"/>
          <w:szCs w:val="24"/>
        </w:rPr>
      </w:pPr>
      <w:r w:rsidRPr="00EB4791">
        <w:rPr>
          <w:rFonts w:ascii="Times New Roman" w:hAnsi="Times New Roman"/>
          <w:b/>
          <w:bCs/>
          <w:sz w:val="24"/>
          <w:szCs w:val="24"/>
        </w:rPr>
        <w:t>Selection Criteria</w:t>
      </w:r>
    </w:p>
    <w:p w14:paraId="062336EC" w14:textId="77777777" w:rsidR="00EB4791" w:rsidRPr="00EB4791" w:rsidRDefault="00EB4791" w:rsidP="004B621C">
      <w:pPr>
        <w:spacing w:after="0" w:line="360" w:lineRule="auto"/>
        <w:jc w:val="both"/>
        <w:rPr>
          <w:rFonts w:ascii="Times New Roman" w:hAnsi="Times New Roman"/>
          <w:b/>
          <w:bCs/>
          <w:sz w:val="24"/>
          <w:szCs w:val="24"/>
        </w:rPr>
      </w:pPr>
      <w:r w:rsidRPr="00EB4791">
        <w:rPr>
          <w:rFonts w:ascii="Times New Roman" w:hAnsi="Times New Roman"/>
          <w:b/>
          <w:bCs/>
          <w:sz w:val="24"/>
          <w:szCs w:val="24"/>
        </w:rPr>
        <w:t xml:space="preserve">Inclusion Criteria </w:t>
      </w:r>
    </w:p>
    <w:p w14:paraId="0FFEA912" w14:textId="77777777" w:rsidR="00EB4791" w:rsidRPr="00EB4791" w:rsidRDefault="00EB4791" w:rsidP="004B621C">
      <w:pPr>
        <w:pStyle w:val="ListParagraph"/>
        <w:numPr>
          <w:ilvl w:val="0"/>
          <w:numId w:val="3"/>
        </w:numPr>
        <w:spacing w:after="0" w:line="360" w:lineRule="auto"/>
        <w:jc w:val="both"/>
        <w:rPr>
          <w:rFonts w:ascii="Times New Roman" w:hAnsi="Times New Roman"/>
          <w:sz w:val="24"/>
          <w:szCs w:val="24"/>
        </w:rPr>
      </w:pPr>
      <w:r w:rsidRPr="00EB4791">
        <w:rPr>
          <w:rFonts w:ascii="Times New Roman" w:hAnsi="Times New Roman"/>
          <w:sz w:val="24"/>
          <w:szCs w:val="24"/>
        </w:rPr>
        <w:t xml:space="preserve">Males and females who were in </w:t>
      </w:r>
      <w:proofErr w:type="spellStart"/>
      <w:r w:rsidRPr="00EB4791">
        <w:rPr>
          <w:rFonts w:ascii="Times New Roman" w:hAnsi="Times New Roman"/>
          <w:sz w:val="24"/>
          <w:szCs w:val="24"/>
        </w:rPr>
        <w:t>Yenegoa</w:t>
      </w:r>
      <w:proofErr w:type="spellEnd"/>
      <w:r w:rsidRPr="00EB4791">
        <w:rPr>
          <w:rFonts w:ascii="Times New Roman" w:hAnsi="Times New Roman"/>
          <w:sz w:val="24"/>
          <w:szCs w:val="24"/>
        </w:rPr>
        <w:t>, are from the Ijaw ethnic group and were willing to participate.</w:t>
      </w:r>
    </w:p>
    <w:p w14:paraId="37A8C6E5" w14:textId="2E87E823" w:rsidR="00EB4791" w:rsidRPr="00EB4791" w:rsidRDefault="00EB4791" w:rsidP="004B621C">
      <w:pPr>
        <w:pStyle w:val="ListParagraph"/>
        <w:numPr>
          <w:ilvl w:val="0"/>
          <w:numId w:val="3"/>
        </w:numPr>
        <w:spacing w:after="0" w:line="360" w:lineRule="auto"/>
        <w:jc w:val="both"/>
        <w:rPr>
          <w:rFonts w:ascii="Times New Roman" w:hAnsi="Times New Roman"/>
          <w:sz w:val="24"/>
          <w:szCs w:val="24"/>
        </w:rPr>
      </w:pPr>
      <w:r w:rsidRPr="00EB4791">
        <w:rPr>
          <w:rFonts w:ascii="Times New Roman" w:hAnsi="Times New Roman"/>
          <w:sz w:val="24"/>
          <w:szCs w:val="24"/>
        </w:rPr>
        <w:t xml:space="preserve">Males and females </w:t>
      </w:r>
      <w:r w:rsidR="00BC4C34">
        <w:rPr>
          <w:rFonts w:ascii="Times New Roman" w:hAnsi="Times New Roman"/>
          <w:sz w:val="24"/>
          <w:szCs w:val="24"/>
        </w:rPr>
        <w:t>between</w:t>
      </w:r>
      <w:r w:rsidRPr="00EB4791">
        <w:rPr>
          <w:rFonts w:ascii="Times New Roman" w:hAnsi="Times New Roman"/>
          <w:sz w:val="24"/>
          <w:szCs w:val="24"/>
        </w:rPr>
        <w:t xml:space="preserve"> the ages of 18</w:t>
      </w:r>
      <w:r w:rsidR="00BC4C34">
        <w:rPr>
          <w:rFonts w:ascii="Times New Roman" w:hAnsi="Times New Roman"/>
          <w:sz w:val="24"/>
          <w:szCs w:val="24"/>
        </w:rPr>
        <w:t xml:space="preserve"> and </w:t>
      </w:r>
      <w:r w:rsidRPr="00EB4791">
        <w:rPr>
          <w:rFonts w:ascii="Times New Roman" w:hAnsi="Times New Roman"/>
          <w:sz w:val="24"/>
          <w:szCs w:val="24"/>
        </w:rPr>
        <w:t xml:space="preserve">45 years </w:t>
      </w:r>
      <w:r w:rsidR="00BC4C34">
        <w:rPr>
          <w:rFonts w:ascii="Times New Roman" w:hAnsi="Times New Roman"/>
          <w:sz w:val="24"/>
          <w:szCs w:val="24"/>
        </w:rPr>
        <w:t xml:space="preserve">who </w:t>
      </w:r>
      <w:r w:rsidRPr="00EB4791">
        <w:rPr>
          <w:rFonts w:ascii="Times New Roman" w:hAnsi="Times New Roman"/>
          <w:sz w:val="24"/>
          <w:szCs w:val="24"/>
        </w:rPr>
        <w:t>were willing to participate.</w:t>
      </w:r>
    </w:p>
    <w:p w14:paraId="60E3113C" w14:textId="56885E74" w:rsidR="00EB4791" w:rsidRPr="00EB4791" w:rsidRDefault="00EB4791" w:rsidP="004B621C">
      <w:pPr>
        <w:pStyle w:val="ListParagraph"/>
        <w:numPr>
          <w:ilvl w:val="0"/>
          <w:numId w:val="3"/>
        </w:numPr>
        <w:spacing w:after="0" w:line="360" w:lineRule="auto"/>
        <w:jc w:val="both"/>
        <w:rPr>
          <w:rFonts w:ascii="Times New Roman" w:hAnsi="Times New Roman"/>
          <w:sz w:val="24"/>
          <w:szCs w:val="24"/>
        </w:rPr>
      </w:pPr>
      <w:r w:rsidRPr="00EB4791">
        <w:rPr>
          <w:rFonts w:ascii="Times New Roman" w:hAnsi="Times New Roman"/>
          <w:sz w:val="24"/>
          <w:szCs w:val="24"/>
        </w:rPr>
        <w:t xml:space="preserve">Subjects without </w:t>
      </w:r>
      <w:r w:rsidR="00BC4C34" w:rsidRPr="00BC4C34">
        <w:rPr>
          <w:rFonts w:ascii="Times New Roman" w:hAnsi="Times New Roman" w:cs="Times New Roman"/>
          <w:sz w:val="24"/>
          <w:szCs w:val="24"/>
        </w:rPr>
        <w:t>Facial deformity</w:t>
      </w:r>
      <w:r w:rsidRPr="00BC4C34">
        <w:rPr>
          <w:rFonts w:ascii="Times New Roman" w:hAnsi="Times New Roman" w:cs="Times New Roman"/>
          <w:sz w:val="24"/>
          <w:szCs w:val="24"/>
        </w:rPr>
        <w:t>.</w:t>
      </w:r>
      <w:r w:rsidRPr="00BC4C34">
        <w:rPr>
          <w:rFonts w:ascii="Times New Roman" w:hAnsi="Times New Roman"/>
          <w:sz w:val="24"/>
          <w:szCs w:val="24"/>
        </w:rPr>
        <w:t xml:space="preserve"> </w:t>
      </w:r>
    </w:p>
    <w:p w14:paraId="02192708" w14:textId="63E1BE00" w:rsidR="00EB4791" w:rsidRPr="00EB4791" w:rsidRDefault="00EB4791" w:rsidP="004B621C">
      <w:pPr>
        <w:pStyle w:val="ListParagraph"/>
        <w:numPr>
          <w:ilvl w:val="0"/>
          <w:numId w:val="3"/>
        </w:numPr>
        <w:spacing w:after="0" w:line="360" w:lineRule="auto"/>
        <w:jc w:val="both"/>
        <w:rPr>
          <w:rFonts w:ascii="Times New Roman" w:hAnsi="Times New Roman"/>
          <w:sz w:val="24"/>
          <w:szCs w:val="24"/>
        </w:rPr>
      </w:pPr>
      <w:r w:rsidRPr="00EB4791">
        <w:rPr>
          <w:rFonts w:ascii="Times New Roman" w:hAnsi="Times New Roman"/>
          <w:sz w:val="24"/>
          <w:szCs w:val="24"/>
        </w:rPr>
        <w:t xml:space="preserve">Subjects </w:t>
      </w:r>
      <w:r w:rsidR="00EA187E" w:rsidRPr="00EA187E">
        <w:rPr>
          <w:rFonts w:ascii="Times New Roman" w:hAnsi="Times New Roman" w:cs="Times New Roman"/>
          <w:sz w:val="24"/>
          <w:szCs w:val="24"/>
        </w:rPr>
        <w:t>with no obvious sign of previous trauma to the teeth</w:t>
      </w:r>
      <w:r w:rsidRPr="00EB4791">
        <w:rPr>
          <w:rFonts w:ascii="Times New Roman" w:hAnsi="Times New Roman"/>
          <w:sz w:val="24"/>
          <w:szCs w:val="24"/>
        </w:rPr>
        <w:t xml:space="preserve">. </w:t>
      </w:r>
    </w:p>
    <w:p w14:paraId="19FB1787" w14:textId="77777777" w:rsidR="00EB4791" w:rsidRPr="00EB4791" w:rsidRDefault="00EB4791" w:rsidP="004B621C">
      <w:pPr>
        <w:spacing w:after="0" w:line="360" w:lineRule="auto"/>
        <w:jc w:val="both"/>
        <w:rPr>
          <w:rFonts w:ascii="Times New Roman" w:hAnsi="Times New Roman"/>
          <w:b/>
          <w:bCs/>
          <w:sz w:val="24"/>
          <w:szCs w:val="24"/>
        </w:rPr>
      </w:pPr>
      <w:r w:rsidRPr="00EB4791">
        <w:rPr>
          <w:rFonts w:ascii="Times New Roman" w:hAnsi="Times New Roman"/>
          <w:b/>
          <w:bCs/>
          <w:sz w:val="24"/>
          <w:szCs w:val="24"/>
        </w:rPr>
        <w:t xml:space="preserve">Exclusion Criteria </w:t>
      </w:r>
    </w:p>
    <w:p w14:paraId="50C263AC" w14:textId="23D6E6D7" w:rsidR="00EB4791" w:rsidRPr="00EB4791" w:rsidRDefault="00EB4791" w:rsidP="004B621C">
      <w:pPr>
        <w:pStyle w:val="ListParagraph"/>
        <w:numPr>
          <w:ilvl w:val="0"/>
          <w:numId w:val="4"/>
        </w:numPr>
        <w:spacing w:after="0" w:line="360" w:lineRule="auto"/>
        <w:jc w:val="both"/>
        <w:rPr>
          <w:rFonts w:ascii="Times New Roman" w:hAnsi="Times New Roman"/>
          <w:sz w:val="24"/>
          <w:szCs w:val="24"/>
        </w:rPr>
      </w:pPr>
      <w:r w:rsidRPr="00EB4791">
        <w:rPr>
          <w:rFonts w:ascii="Times New Roman" w:hAnsi="Times New Roman"/>
          <w:sz w:val="24"/>
          <w:szCs w:val="24"/>
        </w:rPr>
        <w:t xml:space="preserve">Individuals who </w:t>
      </w:r>
      <w:r w:rsidR="00BC4C34">
        <w:rPr>
          <w:rFonts w:ascii="Times New Roman" w:hAnsi="Times New Roman"/>
          <w:sz w:val="24"/>
          <w:szCs w:val="24"/>
        </w:rPr>
        <w:t>were</w:t>
      </w:r>
      <w:r w:rsidRPr="00EB4791">
        <w:rPr>
          <w:rFonts w:ascii="Times New Roman" w:hAnsi="Times New Roman"/>
          <w:sz w:val="24"/>
          <w:szCs w:val="24"/>
        </w:rPr>
        <w:t xml:space="preserve"> not from the Ijaw ethnic group.</w:t>
      </w:r>
    </w:p>
    <w:p w14:paraId="4C768EDB" w14:textId="77777777" w:rsidR="00EB4791" w:rsidRPr="00EB4791" w:rsidRDefault="00EB4791" w:rsidP="004B621C">
      <w:pPr>
        <w:pStyle w:val="ListParagraph"/>
        <w:numPr>
          <w:ilvl w:val="0"/>
          <w:numId w:val="4"/>
        </w:numPr>
        <w:spacing w:after="0" w:line="360" w:lineRule="auto"/>
        <w:jc w:val="both"/>
        <w:rPr>
          <w:rFonts w:ascii="Times New Roman" w:hAnsi="Times New Roman"/>
          <w:sz w:val="24"/>
          <w:szCs w:val="24"/>
        </w:rPr>
      </w:pPr>
      <w:r w:rsidRPr="00EB4791">
        <w:rPr>
          <w:rFonts w:ascii="Times New Roman" w:hAnsi="Times New Roman"/>
          <w:sz w:val="24"/>
          <w:szCs w:val="24"/>
        </w:rPr>
        <w:t xml:space="preserve">Individuals who refused to participate. </w:t>
      </w:r>
    </w:p>
    <w:p w14:paraId="7B534B6F" w14:textId="77777777" w:rsidR="00EB4791" w:rsidRPr="00EB4791" w:rsidRDefault="00EB4791" w:rsidP="004B621C">
      <w:pPr>
        <w:spacing w:after="0" w:line="360" w:lineRule="auto"/>
        <w:jc w:val="both"/>
        <w:rPr>
          <w:rFonts w:ascii="Times New Roman" w:hAnsi="Times New Roman"/>
          <w:b/>
          <w:bCs/>
          <w:sz w:val="24"/>
          <w:szCs w:val="24"/>
        </w:rPr>
      </w:pPr>
      <w:r w:rsidRPr="00EB4791">
        <w:rPr>
          <w:rFonts w:ascii="Times New Roman" w:hAnsi="Times New Roman"/>
          <w:b/>
          <w:bCs/>
          <w:sz w:val="24"/>
          <w:szCs w:val="24"/>
        </w:rPr>
        <w:t>Ethical Consideration</w:t>
      </w:r>
    </w:p>
    <w:p w14:paraId="4581E666" w14:textId="30C4E09F" w:rsidR="00EB4791" w:rsidRPr="00EB4791" w:rsidRDefault="00EB4791" w:rsidP="004B621C">
      <w:pPr>
        <w:spacing w:after="0" w:line="360" w:lineRule="auto"/>
        <w:jc w:val="both"/>
        <w:rPr>
          <w:rFonts w:ascii="Times New Roman" w:hAnsi="Times New Roman"/>
          <w:sz w:val="24"/>
          <w:szCs w:val="24"/>
        </w:rPr>
      </w:pPr>
      <w:r w:rsidRPr="00EB4791">
        <w:rPr>
          <w:rFonts w:ascii="Times New Roman" w:hAnsi="Times New Roman"/>
          <w:sz w:val="24"/>
          <w:szCs w:val="24"/>
        </w:rPr>
        <w:t xml:space="preserve">Ethical clearance/approval was obtained from the Ethical Committee of the Department of Human Anatomy and Cell Biology. </w:t>
      </w:r>
      <w:r w:rsidR="00EA187E">
        <w:rPr>
          <w:rFonts w:ascii="Times New Roman" w:hAnsi="Times New Roman"/>
          <w:sz w:val="24"/>
          <w:szCs w:val="24"/>
        </w:rPr>
        <w:t>Before</w:t>
      </w:r>
      <w:r w:rsidRPr="00EB4791">
        <w:rPr>
          <w:rFonts w:ascii="Times New Roman" w:hAnsi="Times New Roman"/>
          <w:sz w:val="24"/>
          <w:szCs w:val="24"/>
        </w:rPr>
        <w:t xml:space="preserve"> data collection, the subjects were informed of the nature and purpose of the study</w:t>
      </w:r>
      <w:r w:rsidR="005D4C14">
        <w:rPr>
          <w:rFonts w:ascii="Times New Roman" w:hAnsi="Times New Roman"/>
          <w:sz w:val="24"/>
          <w:szCs w:val="24"/>
        </w:rPr>
        <w:t>,</w:t>
      </w:r>
      <w:r w:rsidRPr="00EB4791">
        <w:rPr>
          <w:rFonts w:ascii="Times New Roman" w:hAnsi="Times New Roman"/>
          <w:sz w:val="24"/>
          <w:szCs w:val="24"/>
        </w:rPr>
        <w:t xml:space="preserve"> and only those who gave their consent</w:t>
      </w:r>
      <w:r w:rsidR="005D4C14">
        <w:rPr>
          <w:rFonts w:ascii="Times New Roman" w:hAnsi="Times New Roman"/>
          <w:sz w:val="24"/>
          <w:szCs w:val="24"/>
        </w:rPr>
        <w:t xml:space="preserve"> </w:t>
      </w:r>
      <w:r w:rsidR="00EA187E" w:rsidRPr="00EA187E">
        <w:rPr>
          <w:rFonts w:ascii="Times New Roman" w:hAnsi="Times New Roman" w:cs="Times New Roman"/>
          <w:sz w:val="24"/>
          <w:szCs w:val="24"/>
        </w:rPr>
        <w:t>participated in the stud</w:t>
      </w:r>
      <w:r w:rsidR="00F6700C">
        <w:rPr>
          <w:rFonts w:ascii="Times New Roman" w:hAnsi="Times New Roman" w:cs="Times New Roman"/>
          <w:sz w:val="24"/>
          <w:szCs w:val="24"/>
        </w:rPr>
        <w:t xml:space="preserve">y, </w:t>
      </w:r>
      <w:r w:rsidR="00F6700C" w:rsidRPr="00F6700C">
        <w:rPr>
          <w:rFonts w:ascii="Times New Roman" w:hAnsi="Times New Roman"/>
          <w:sz w:val="24"/>
          <w:szCs w:val="24"/>
        </w:rPr>
        <w:t>as well as from parents or guardians on behalf of minor participants.</w:t>
      </w:r>
    </w:p>
    <w:p w14:paraId="2370A150" w14:textId="77777777" w:rsidR="00EB4791" w:rsidRPr="00EB4791" w:rsidRDefault="00EB4791" w:rsidP="004B621C">
      <w:pPr>
        <w:spacing w:after="0" w:line="360" w:lineRule="auto"/>
        <w:jc w:val="both"/>
        <w:rPr>
          <w:rFonts w:ascii="Times New Roman" w:hAnsi="Times New Roman"/>
          <w:b/>
          <w:bCs/>
          <w:sz w:val="24"/>
          <w:szCs w:val="24"/>
        </w:rPr>
      </w:pPr>
      <w:r w:rsidRPr="00EB4791">
        <w:rPr>
          <w:rFonts w:ascii="Times New Roman" w:hAnsi="Times New Roman"/>
          <w:b/>
          <w:bCs/>
          <w:sz w:val="24"/>
          <w:szCs w:val="24"/>
        </w:rPr>
        <w:lastRenderedPageBreak/>
        <w:t>Data Analysis</w:t>
      </w:r>
    </w:p>
    <w:p w14:paraId="32E92DC4" w14:textId="30258452" w:rsidR="00EB4791" w:rsidRDefault="001A2E1F" w:rsidP="004B621C">
      <w:pPr>
        <w:spacing w:after="0" w:line="360" w:lineRule="auto"/>
        <w:jc w:val="both"/>
        <w:rPr>
          <w:rFonts w:ascii="Times New Roman" w:hAnsi="Times New Roman"/>
          <w:sz w:val="24"/>
          <w:szCs w:val="24"/>
        </w:rPr>
      </w:pPr>
      <w:r>
        <w:rPr>
          <w:rFonts w:ascii="Times New Roman" w:hAnsi="Times New Roman"/>
          <w:sz w:val="24"/>
          <w:szCs w:val="24"/>
        </w:rPr>
        <w:t>The data</w:t>
      </w:r>
      <w:r w:rsidR="00EB4791" w:rsidRPr="00EB4791">
        <w:rPr>
          <w:rFonts w:ascii="Times New Roman" w:hAnsi="Times New Roman"/>
          <w:sz w:val="24"/>
          <w:szCs w:val="24"/>
        </w:rPr>
        <w:t xml:space="preserve"> obtained w</w:t>
      </w:r>
      <w:r>
        <w:rPr>
          <w:rFonts w:ascii="Times New Roman" w:hAnsi="Times New Roman"/>
          <w:sz w:val="24"/>
          <w:szCs w:val="24"/>
        </w:rPr>
        <w:t>ere</w:t>
      </w:r>
      <w:r w:rsidR="00EB4791" w:rsidRPr="00EB4791">
        <w:rPr>
          <w:rFonts w:ascii="Times New Roman" w:hAnsi="Times New Roman"/>
          <w:sz w:val="24"/>
          <w:szCs w:val="24"/>
        </w:rPr>
        <w:t xml:space="preserve"> subjected to Statistical Package for Social Sciences (SPSS version 25). The mean and standard deviation </w:t>
      </w:r>
      <w:r>
        <w:rPr>
          <w:rFonts w:ascii="Times New Roman" w:hAnsi="Times New Roman"/>
          <w:sz w:val="24"/>
          <w:szCs w:val="24"/>
        </w:rPr>
        <w:t>were</w:t>
      </w:r>
      <w:r w:rsidR="00EB4791" w:rsidRPr="00EB4791">
        <w:rPr>
          <w:rFonts w:ascii="Times New Roman" w:hAnsi="Times New Roman"/>
          <w:sz w:val="24"/>
          <w:szCs w:val="24"/>
        </w:rPr>
        <w:t xml:space="preserve"> calculated, at a 95% confidence interval</w:t>
      </w:r>
      <w:r>
        <w:rPr>
          <w:rFonts w:ascii="Times New Roman" w:hAnsi="Times New Roman"/>
          <w:sz w:val="24"/>
          <w:szCs w:val="24"/>
        </w:rPr>
        <w:t>,</w:t>
      </w:r>
      <w:r w:rsidR="00EB4791" w:rsidRPr="00EB4791">
        <w:rPr>
          <w:rFonts w:ascii="Times New Roman" w:hAnsi="Times New Roman"/>
          <w:sz w:val="24"/>
          <w:szCs w:val="24"/>
        </w:rPr>
        <w:t xml:space="preserve"> and </w:t>
      </w:r>
      <w:r>
        <w:rPr>
          <w:rFonts w:ascii="Times New Roman" w:hAnsi="Times New Roman"/>
          <w:sz w:val="24"/>
          <w:szCs w:val="24"/>
        </w:rPr>
        <w:t xml:space="preserve">a </w:t>
      </w:r>
      <w:r w:rsidR="00EB4791" w:rsidRPr="00EB4791">
        <w:rPr>
          <w:rFonts w:ascii="Times New Roman" w:hAnsi="Times New Roman"/>
          <w:sz w:val="24"/>
          <w:szCs w:val="24"/>
        </w:rPr>
        <w:t xml:space="preserve">P value </w:t>
      </w:r>
      <w:r>
        <w:rPr>
          <w:rFonts w:ascii="Times New Roman" w:hAnsi="Times New Roman"/>
          <w:sz w:val="24"/>
          <w:szCs w:val="24"/>
        </w:rPr>
        <w:t>less</w:t>
      </w:r>
      <w:r w:rsidR="00EB4791" w:rsidRPr="00EB4791">
        <w:rPr>
          <w:rFonts w:ascii="Times New Roman" w:hAnsi="Times New Roman"/>
          <w:sz w:val="24"/>
          <w:szCs w:val="24"/>
        </w:rPr>
        <w:t xml:space="preserve"> than 0.05 was also considered to be statistically significant. Chi-square test was also used for inferential statistics.</w:t>
      </w:r>
      <w:r>
        <w:rPr>
          <w:rFonts w:ascii="Times New Roman" w:hAnsi="Times New Roman"/>
          <w:sz w:val="24"/>
          <w:szCs w:val="24"/>
        </w:rPr>
        <w:t xml:space="preserve"> </w:t>
      </w:r>
      <w:r w:rsidRPr="001A2E1F">
        <w:rPr>
          <w:rFonts w:ascii="Times New Roman" w:hAnsi="Times New Roman"/>
          <w:sz w:val="24"/>
          <w:szCs w:val="24"/>
        </w:rPr>
        <w:t xml:space="preserve">To evaluate heritability patterns of the selected facial morphogenetic traits, comparisons were made between parents and their first and second children within each participating family unit. The presence or absence, as well as </w:t>
      </w:r>
      <w:r>
        <w:rPr>
          <w:rFonts w:ascii="Times New Roman" w:hAnsi="Times New Roman"/>
          <w:sz w:val="24"/>
          <w:szCs w:val="24"/>
        </w:rPr>
        <w:t xml:space="preserve">the </w:t>
      </w:r>
      <w:r w:rsidRPr="001A2E1F">
        <w:rPr>
          <w:rFonts w:ascii="Times New Roman" w:hAnsi="Times New Roman"/>
          <w:sz w:val="24"/>
          <w:szCs w:val="24"/>
        </w:rPr>
        <w:t xml:space="preserve">morphological classification of dimples, philtrum depth, gap teeth, and </w:t>
      </w:r>
      <w:proofErr w:type="spellStart"/>
      <w:r w:rsidRPr="001A2E1F">
        <w:rPr>
          <w:rFonts w:ascii="Times New Roman" w:hAnsi="Times New Roman"/>
          <w:sz w:val="24"/>
          <w:szCs w:val="24"/>
        </w:rPr>
        <w:t>mentolabial</w:t>
      </w:r>
      <w:proofErr w:type="spellEnd"/>
      <w:r w:rsidRPr="001A2E1F">
        <w:rPr>
          <w:rFonts w:ascii="Times New Roman" w:hAnsi="Times New Roman"/>
          <w:sz w:val="24"/>
          <w:szCs w:val="24"/>
        </w:rPr>
        <w:t xml:space="preserve"> sulcus, were recorded for each participant and </w:t>
      </w:r>
      <w:proofErr w:type="spellStart"/>
      <w:r>
        <w:rPr>
          <w:rFonts w:ascii="Times New Roman" w:hAnsi="Times New Roman"/>
          <w:sz w:val="24"/>
          <w:szCs w:val="24"/>
        </w:rPr>
        <w:t>analysed</w:t>
      </w:r>
      <w:proofErr w:type="spellEnd"/>
      <w:r w:rsidRPr="001A2E1F">
        <w:rPr>
          <w:rFonts w:ascii="Times New Roman" w:hAnsi="Times New Roman"/>
          <w:sz w:val="24"/>
          <w:szCs w:val="24"/>
        </w:rPr>
        <w:t xml:space="preserve"> across generations. Parent–offspring concordance patterns were assessed to determine trait similarity within families.</w:t>
      </w:r>
    </w:p>
    <w:p w14:paraId="368D786B" w14:textId="77777777" w:rsidR="00B16A85" w:rsidRPr="00EB4791" w:rsidRDefault="00B16A85" w:rsidP="004B621C">
      <w:pPr>
        <w:spacing w:after="0" w:line="360" w:lineRule="auto"/>
        <w:jc w:val="both"/>
        <w:rPr>
          <w:rFonts w:ascii="Times New Roman" w:hAnsi="Times New Roman"/>
          <w:sz w:val="24"/>
          <w:szCs w:val="24"/>
        </w:rPr>
      </w:pPr>
    </w:p>
    <w:p w14:paraId="6C516DE5" w14:textId="77777777" w:rsidR="00B16A85" w:rsidRPr="003F58B9" w:rsidRDefault="00B16A85" w:rsidP="004B621C">
      <w:pPr>
        <w:spacing w:line="360" w:lineRule="auto"/>
        <w:jc w:val="both"/>
        <w:rPr>
          <w:rFonts w:ascii="Times New Roman" w:hAnsi="Times New Roman" w:cs="Times New Roman"/>
          <w:b/>
          <w:sz w:val="24"/>
          <w:szCs w:val="24"/>
        </w:rPr>
      </w:pPr>
      <w:r w:rsidRPr="003F58B9">
        <w:rPr>
          <w:rFonts w:ascii="Times New Roman" w:hAnsi="Times New Roman" w:cs="Times New Roman"/>
          <w:b/>
          <w:sz w:val="24"/>
          <w:szCs w:val="24"/>
        </w:rPr>
        <w:t>PRESENTATON OF RESULTS</w:t>
      </w:r>
    </w:p>
    <w:p w14:paraId="0AF1DFE8" w14:textId="77777777" w:rsidR="00B16A85" w:rsidRPr="003F58B9" w:rsidRDefault="00B16A85" w:rsidP="004B621C">
      <w:pPr>
        <w:spacing w:line="360" w:lineRule="auto"/>
        <w:jc w:val="both"/>
        <w:rPr>
          <w:rFonts w:ascii="Times New Roman" w:hAnsi="Times New Roman" w:cs="Times New Roman"/>
          <w:sz w:val="24"/>
          <w:szCs w:val="24"/>
        </w:rPr>
      </w:pPr>
      <w:r w:rsidRPr="003F58B9">
        <w:rPr>
          <w:rFonts w:ascii="Times New Roman" w:hAnsi="Times New Roman" w:cs="Times New Roman"/>
          <w:sz w:val="24"/>
          <w:szCs w:val="24"/>
        </w:rPr>
        <w:t>This chapter presents information on the outcomes of the research instrument that was administered by the researcher. The data was collected from 150 respondents and analyzed using frequency and percentage count.</w:t>
      </w:r>
    </w:p>
    <w:p w14:paraId="7C27888A" w14:textId="77777777" w:rsidR="00B16A85" w:rsidRDefault="00B16A85" w:rsidP="004B621C">
      <w:pPr>
        <w:spacing w:line="360" w:lineRule="auto"/>
        <w:jc w:val="both"/>
        <w:rPr>
          <w:rFonts w:ascii="Times New Roman" w:hAnsi="Times New Roman" w:cs="Times New Roman"/>
          <w:sz w:val="24"/>
          <w:szCs w:val="24"/>
        </w:rPr>
      </w:pPr>
      <w:r w:rsidRPr="003F58B9">
        <w:rPr>
          <w:rFonts w:ascii="Times New Roman" w:hAnsi="Times New Roman" w:cs="Times New Roman"/>
          <w:sz w:val="24"/>
          <w:szCs w:val="24"/>
        </w:rPr>
        <w:t xml:space="preserve">The first part of this chapter describes the morphogenic traits of the respondents. In the second part, the research findings on the heritability of the morphogenic traits are presented. </w:t>
      </w:r>
    </w:p>
    <w:p w14:paraId="45D3F71D" w14:textId="1E98821F" w:rsidR="00EA187E" w:rsidRPr="003F58B9" w:rsidRDefault="00EA187E" w:rsidP="004B621C">
      <w:pPr>
        <w:spacing w:line="360" w:lineRule="auto"/>
        <w:jc w:val="both"/>
        <w:rPr>
          <w:rFonts w:ascii="Times New Roman" w:hAnsi="Times New Roman" w:cs="Times New Roman"/>
          <w:sz w:val="24"/>
          <w:szCs w:val="24"/>
        </w:rPr>
      </w:pPr>
      <w:r w:rsidRPr="003F58B9">
        <w:rPr>
          <w:rFonts w:ascii="Times New Roman" w:hAnsi="Times New Roman" w:cs="Times New Roman"/>
          <w:b/>
          <w:sz w:val="24"/>
          <w:szCs w:val="24"/>
        </w:rPr>
        <w:t>Figure 1:</w:t>
      </w:r>
      <w:r w:rsidRPr="003F58B9">
        <w:rPr>
          <w:rFonts w:ascii="Times New Roman" w:hAnsi="Times New Roman" w:cs="Times New Roman"/>
          <w:b/>
          <w:sz w:val="24"/>
          <w:szCs w:val="24"/>
        </w:rPr>
        <w:tab/>
        <w:t>Prevalence of Gap T</w:t>
      </w:r>
      <w:r w:rsidR="000B58F7">
        <w:rPr>
          <w:rFonts w:ascii="Times New Roman" w:hAnsi="Times New Roman" w:cs="Times New Roman"/>
          <w:b/>
          <w:sz w:val="24"/>
          <w:szCs w:val="24"/>
        </w:rPr>
        <w:t>ee</w:t>
      </w:r>
      <w:r w:rsidRPr="003F58B9">
        <w:rPr>
          <w:rFonts w:ascii="Times New Roman" w:hAnsi="Times New Roman" w:cs="Times New Roman"/>
          <w:b/>
          <w:sz w:val="24"/>
          <w:szCs w:val="24"/>
        </w:rPr>
        <w:t>th among Both Parents</w:t>
      </w:r>
    </w:p>
    <w:p w14:paraId="19CF453B" w14:textId="2822271C" w:rsidR="00B16A85" w:rsidRPr="00EA187E" w:rsidRDefault="00B16A85" w:rsidP="004B621C">
      <w:pPr>
        <w:spacing w:line="360" w:lineRule="auto"/>
        <w:jc w:val="both"/>
        <w:rPr>
          <w:rFonts w:ascii="Times New Roman" w:hAnsi="Times New Roman" w:cs="Times New Roman"/>
          <w:sz w:val="24"/>
          <w:szCs w:val="24"/>
        </w:rPr>
      </w:pPr>
      <w:r w:rsidRPr="003F58B9">
        <w:rPr>
          <w:rFonts w:eastAsiaTheme="minorHAnsi"/>
          <w:noProof/>
          <w:sz w:val="24"/>
          <w:szCs w:val="24"/>
          <w:lang w:val="en-GB" w:eastAsia="en-GB"/>
        </w:rPr>
        <w:drawing>
          <wp:inline distT="0" distB="0" distL="0" distR="0" wp14:anchorId="056EC7D2" wp14:editId="05F46F33">
            <wp:extent cx="5486400" cy="320738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3F58B9">
        <w:rPr>
          <w:rFonts w:ascii="Times New Roman" w:hAnsi="Times New Roman" w:cs="Times New Roman"/>
          <w:b/>
          <w:sz w:val="24"/>
          <w:szCs w:val="24"/>
        </w:rPr>
        <w:t xml:space="preserve"> </w:t>
      </w:r>
    </w:p>
    <w:p w14:paraId="3F9F9671" w14:textId="77777777" w:rsidR="00B16A85" w:rsidRDefault="00B16A85" w:rsidP="004B621C">
      <w:pPr>
        <w:spacing w:line="360" w:lineRule="auto"/>
        <w:jc w:val="both"/>
        <w:rPr>
          <w:rFonts w:ascii="Times New Roman" w:hAnsi="Times New Roman" w:cs="Times New Roman"/>
          <w:sz w:val="24"/>
          <w:szCs w:val="24"/>
        </w:rPr>
      </w:pPr>
      <w:r w:rsidRPr="003F58B9">
        <w:rPr>
          <w:rFonts w:ascii="Times New Roman" w:hAnsi="Times New Roman" w:cs="Times New Roman"/>
          <w:sz w:val="24"/>
          <w:szCs w:val="24"/>
        </w:rPr>
        <w:lastRenderedPageBreak/>
        <w:tab/>
        <w:t xml:space="preserve">The figure above shows the prevalence of gap tooth among both </w:t>
      </w:r>
      <w:proofErr w:type="gramStart"/>
      <w:r w:rsidRPr="003F58B9">
        <w:rPr>
          <w:rFonts w:ascii="Times New Roman" w:hAnsi="Times New Roman" w:cs="Times New Roman"/>
          <w:sz w:val="24"/>
          <w:szCs w:val="24"/>
        </w:rPr>
        <w:t>parents’</w:t>
      </w:r>
      <w:proofErr w:type="gramEnd"/>
      <w:r w:rsidRPr="003F58B9">
        <w:rPr>
          <w:rFonts w:ascii="Times New Roman" w:hAnsi="Times New Roman" w:cs="Times New Roman"/>
          <w:sz w:val="24"/>
          <w:szCs w:val="24"/>
        </w:rPr>
        <w:t>. It was seen that there was a low prevalence in the father and mother (n=29, 19.3% and n=27, 18.0% respectively).</w:t>
      </w:r>
    </w:p>
    <w:p w14:paraId="70B88290" w14:textId="1884F2B7" w:rsidR="00EA187E" w:rsidRPr="00EA187E" w:rsidRDefault="00EA187E" w:rsidP="004B621C">
      <w:pPr>
        <w:spacing w:line="360" w:lineRule="auto"/>
        <w:jc w:val="both"/>
        <w:rPr>
          <w:rFonts w:ascii="Times New Roman" w:hAnsi="Times New Roman" w:cs="Times New Roman"/>
          <w:b/>
          <w:sz w:val="24"/>
          <w:szCs w:val="24"/>
        </w:rPr>
      </w:pPr>
      <w:r w:rsidRPr="003F58B9">
        <w:rPr>
          <w:rFonts w:ascii="Times New Roman" w:hAnsi="Times New Roman" w:cs="Times New Roman"/>
          <w:b/>
          <w:sz w:val="24"/>
          <w:szCs w:val="24"/>
        </w:rPr>
        <w:t>Figure 2:</w:t>
      </w:r>
      <w:r w:rsidRPr="003F58B9">
        <w:rPr>
          <w:rFonts w:ascii="Times New Roman" w:hAnsi="Times New Roman" w:cs="Times New Roman"/>
          <w:b/>
          <w:sz w:val="24"/>
          <w:szCs w:val="24"/>
        </w:rPr>
        <w:tab/>
        <w:t>Prevalence of Gap T</w:t>
      </w:r>
      <w:r w:rsidR="000B58F7">
        <w:rPr>
          <w:rFonts w:ascii="Times New Roman" w:hAnsi="Times New Roman" w:cs="Times New Roman"/>
          <w:b/>
          <w:sz w:val="24"/>
          <w:szCs w:val="24"/>
        </w:rPr>
        <w:t>ee</w:t>
      </w:r>
      <w:r w:rsidRPr="003F58B9">
        <w:rPr>
          <w:rFonts w:ascii="Times New Roman" w:hAnsi="Times New Roman" w:cs="Times New Roman"/>
          <w:b/>
          <w:sz w:val="24"/>
          <w:szCs w:val="24"/>
        </w:rPr>
        <w:t>th among the 1</w:t>
      </w:r>
      <w:r w:rsidRPr="003F58B9">
        <w:rPr>
          <w:rFonts w:ascii="Times New Roman" w:hAnsi="Times New Roman" w:cs="Times New Roman"/>
          <w:b/>
          <w:sz w:val="24"/>
          <w:szCs w:val="24"/>
          <w:vertAlign w:val="superscript"/>
        </w:rPr>
        <w:t>st</w:t>
      </w:r>
      <w:r w:rsidRPr="003F58B9">
        <w:rPr>
          <w:rFonts w:ascii="Times New Roman" w:hAnsi="Times New Roman" w:cs="Times New Roman"/>
          <w:b/>
          <w:sz w:val="24"/>
          <w:szCs w:val="24"/>
        </w:rPr>
        <w:t xml:space="preserve"> and 2</w:t>
      </w:r>
      <w:r w:rsidRPr="003F58B9">
        <w:rPr>
          <w:rFonts w:ascii="Times New Roman" w:hAnsi="Times New Roman" w:cs="Times New Roman"/>
          <w:b/>
          <w:sz w:val="24"/>
          <w:szCs w:val="24"/>
          <w:vertAlign w:val="superscript"/>
        </w:rPr>
        <w:t>nd</w:t>
      </w:r>
      <w:r w:rsidRPr="003F58B9">
        <w:rPr>
          <w:rFonts w:ascii="Times New Roman" w:hAnsi="Times New Roman" w:cs="Times New Roman"/>
          <w:b/>
          <w:sz w:val="24"/>
          <w:szCs w:val="24"/>
        </w:rPr>
        <w:t xml:space="preserve"> Child</w:t>
      </w:r>
    </w:p>
    <w:p w14:paraId="685B34C1" w14:textId="77777777" w:rsidR="00B16A85" w:rsidRPr="003F58B9" w:rsidRDefault="00B16A85" w:rsidP="004B621C">
      <w:pPr>
        <w:spacing w:line="360" w:lineRule="auto"/>
        <w:jc w:val="both"/>
        <w:rPr>
          <w:rFonts w:ascii="Times New Roman" w:hAnsi="Times New Roman" w:cs="Times New Roman"/>
          <w:sz w:val="24"/>
          <w:szCs w:val="24"/>
        </w:rPr>
      </w:pPr>
      <w:r w:rsidRPr="003F58B9">
        <w:rPr>
          <w:rFonts w:eastAsiaTheme="minorHAnsi"/>
          <w:noProof/>
          <w:sz w:val="24"/>
          <w:szCs w:val="24"/>
          <w:lang w:val="en-GB" w:eastAsia="en-GB"/>
        </w:rPr>
        <w:drawing>
          <wp:inline distT="0" distB="0" distL="0" distR="0" wp14:anchorId="0D5ABBF1" wp14:editId="6CE8B9CE">
            <wp:extent cx="5499735" cy="3207385"/>
            <wp:effectExtent l="0" t="0" r="5715" b="1206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2617059" w14:textId="77777777" w:rsidR="00B16A85" w:rsidRDefault="00B16A85" w:rsidP="004B621C">
      <w:pPr>
        <w:spacing w:line="360" w:lineRule="auto"/>
        <w:jc w:val="both"/>
        <w:rPr>
          <w:rFonts w:ascii="Times New Roman" w:hAnsi="Times New Roman" w:cs="Times New Roman"/>
          <w:sz w:val="24"/>
          <w:szCs w:val="24"/>
        </w:rPr>
      </w:pPr>
      <w:r w:rsidRPr="003F58B9">
        <w:rPr>
          <w:rFonts w:ascii="Times New Roman" w:hAnsi="Times New Roman" w:cs="Times New Roman"/>
          <w:b/>
          <w:sz w:val="24"/>
          <w:szCs w:val="24"/>
        </w:rPr>
        <w:tab/>
      </w:r>
      <w:r w:rsidRPr="003F58B9">
        <w:rPr>
          <w:rFonts w:ascii="Times New Roman" w:hAnsi="Times New Roman" w:cs="Times New Roman"/>
          <w:sz w:val="24"/>
          <w:szCs w:val="24"/>
        </w:rPr>
        <w:t>As shown in the figure above, the prevalence of gap tooth among both the first and second children was also low (n=38, 25.3%, and n=31, 20.7% respectively).</w:t>
      </w:r>
    </w:p>
    <w:p w14:paraId="54003F32" w14:textId="5C39E27D" w:rsidR="00EA187E" w:rsidRPr="00EA187E" w:rsidRDefault="00EA187E" w:rsidP="004B621C">
      <w:pPr>
        <w:spacing w:line="360" w:lineRule="auto"/>
        <w:jc w:val="both"/>
        <w:rPr>
          <w:rFonts w:ascii="Times New Roman" w:hAnsi="Times New Roman" w:cs="Times New Roman"/>
          <w:b/>
          <w:sz w:val="24"/>
          <w:szCs w:val="24"/>
        </w:rPr>
      </w:pPr>
      <w:r w:rsidRPr="003F58B9">
        <w:rPr>
          <w:rFonts w:ascii="Times New Roman" w:hAnsi="Times New Roman" w:cs="Times New Roman"/>
          <w:b/>
          <w:sz w:val="24"/>
          <w:szCs w:val="24"/>
        </w:rPr>
        <w:t>Figure 3:</w:t>
      </w:r>
      <w:r w:rsidRPr="003F58B9">
        <w:rPr>
          <w:rFonts w:ascii="Times New Roman" w:hAnsi="Times New Roman" w:cs="Times New Roman"/>
          <w:b/>
          <w:sz w:val="24"/>
          <w:szCs w:val="24"/>
        </w:rPr>
        <w:tab/>
        <w:t xml:space="preserve">Prevalence of </w:t>
      </w:r>
      <w:proofErr w:type="spellStart"/>
      <w:r w:rsidRPr="003F58B9">
        <w:rPr>
          <w:rFonts w:ascii="Times New Roman" w:hAnsi="Times New Roman" w:cs="Times New Roman"/>
          <w:b/>
          <w:sz w:val="24"/>
          <w:szCs w:val="24"/>
        </w:rPr>
        <w:t>Mentolabial</w:t>
      </w:r>
      <w:proofErr w:type="spellEnd"/>
      <w:r w:rsidRPr="003F58B9">
        <w:rPr>
          <w:rFonts w:ascii="Times New Roman" w:hAnsi="Times New Roman" w:cs="Times New Roman"/>
          <w:b/>
          <w:sz w:val="24"/>
          <w:szCs w:val="24"/>
        </w:rPr>
        <w:t xml:space="preserve"> Sulcus Depth among Both Parents</w:t>
      </w:r>
    </w:p>
    <w:p w14:paraId="2F1FECFC" w14:textId="77777777" w:rsidR="00B16A85" w:rsidRPr="003F58B9" w:rsidRDefault="00B16A85" w:rsidP="004B621C">
      <w:pPr>
        <w:spacing w:line="360" w:lineRule="auto"/>
        <w:jc w:val="both"/>
        <w:rPr>
          <w:rFonts w:ascii="Times New Roman" w:hAnsi="Times New Roman" w:cs="Times New Roman"/>
          <w:sz w:val="24"/>
          <w:szCs w:val="24"/>
        </w:rPr>
      </w:pPr>
    </w:p>
    <w:p w14:paraId="76D3538A" w14:textId="77777777" w:rsidR="00B16A85" w:rsidRPr="003F58B9" w:rsidRDefault="00B16A85" w:rsidP="004B621C">
      <w:pPr>
        <w:spacing w:line="360" w:lineRule="auto"/>
        <w:jc w:val="both"/>
        <w:rPr>
          <w:rFonts w:ascii="Times New Roman" w:hAnsi="Times New Roman" w:cs="Times New Roman"/>
          <w:sz w:val="24"/>
          <w:szCs w:val="24"/>
        </w:rPr>
      </w:pPr>
      <w:r w:rsidRPr="003F58B9">
        <w:rPr>
          <w:rFonts w:eastAsiaTheme="minorHAnsi"/>
          <w:noProof/>
          <w:sz w:val="24"/>
          <w:szCs w:val="24"/>
          <w:lang w:val="en-GB" w:eastAsia="en-GB"/>
        </w:rPr>
        <w:lastRenderedPageBreak/>
        <w:drawing>
          <wp:inline distT="0" distB="0" distL="0" distR="0" wp14:anchorId="372D08F3" wp14:editId="55BD2885">
            <wp:extent cx="5486400" cy="3480435"/>
            <wp:effectExtent l="0" t="0" r="0" b="571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12C8F22" w14:textId="2A1F45A2" w:rsidR="00B16A85" w:rsidRDefault="00B16A85" w:rsidP="004B621C">
      <w:pPr>
        <w:spacing w:line="360" w:lineRule="auto"/>
        <w:jc w:val="both"/>
        <w:rPr>
          <w:rFonts w:ascii="Times New Roman" w:hAnsi="Times New Roman" w:cs="Times New Roman"/>
          <w:sz w:val="24"/>
          <w:szCs w:val="24"/>
        </w:rPr>
      </w:pPr>
      <w:r w:rsidRPr="003F58B9">
        <w:rPr>
          <w:rFonts w:ascii="Times New Roman" w:hAnsi="Times New Roman" w:cs="Times New Roman"/>
          <w:sz w:val="24"/>
          <w:szCs w:val="24"/>
        </w:rPr>
        <w:t xml:space="preserve">The prevalence of the </w:t>
      </w:r>
      <w:proofErr w:type="spellStart"/>
      <w:r w:rsidRPr="003F58B9">
        <w:rPr>
          <w:rFonts w:ascii="Times New Roman" w:hAnsi="Times New Roman" w:cs="Times New Roman"/>
          <w:sz w:val="24"/>
          <w:szCs w:val="24"/>
        </w:rPr>
        <w:t>mentolabial</w:t>
      </w:r>
      <w:proofErr w:type="spellEnd"/>
      <w:r w:rsidRPr="003F58B9">
        <w:rPr>
          <w:rFonts w:ascii="Times New Roman" w:hAnsi="Times New Roman" w:cs="Times New Roman"/>
          <w:sz w:val="24"/>
          <w:szCs w:val="24"/>
        </w:rPr>
        <w:t xml:space="preserve"> sulcus is shown in the figure above. It can be seen that the most prevalent depth in both parents was the average type, followed by the shallow and deep depth (n=86, 57.3%, n=38, 25.3%, and n=26, 17.3% in the father; n=83, 55.3%, n=42, 28.0%, and n=25, 16.7% respectively).</w:t>
      </w:r>
    </w:p>
    <w:p w14:paraId="1DA648F7" w14:textId="22CDA5DB" w:rsidR="00EA187E" w:rsidRPr="00EA187E" w:rsidRDefault="00EA187E" w:rsidP="004B621C">
      <w:pPr>
        <w:spacing w:line="360" w:lineRule="auto"/>
        <w:jc w:val="both"/>
        <w:rPr>
          <w:rFonts w:ascii="Times New Roman" w:hAnsi="Times New Roman" w:cs="Times New Roman"/>
          <w:b/>
          <w:sz w:val="24"/>
          <w:szCs w:val="24"/>
        </w:rPr>
      </w:pPr>
      <w:r w:rsidRPr="003F58B9">
        <w:rPr>
          <w:rFonts w:ascii="Times New Roman" w:hAnsi="Times New Roman" w:cs="Times New Roman"/>
          <w:b/>
          <w:sz w:val="24"/>
          <w:szCs w:val="24"/>
        </w:rPr>
        <w:t>Figure .4:</w:t>
      </w:r>
      <w:r w:rsidRPr="003F58B9">
        <w:rPr>
          <w:rFonts w:ascii="Times New Roman" w:hAnsi="Times New Roman" w:cs="Times New Roman"/>
          <w:b/>
          <w:sz w:val="24"/>
          <w:szCs w:val="24"/>
        </w:rPr>
        <w:tab/>
        <w:t xml:space="preserve">Prevalence of </w:t>
      </w:r>
      <w:proofErr w:type="spellStart"/>
      <w:r w:rsidRPr="003F58B9">
        <w:rPr>
          <w:rFonts w:ascii="Times New Roman" w:hAnsi="Times New Roman" w:cs="Times New Roman"/>
          <w:b/>
          <w:sz w:val="24"/>
          <w:szCs w:val="24"/>
        </w:rPr>
        <w:t>Mentolabial</w:t>
      </w:r>
      <w:proofErr w:type="spellEnd"/>
      <w:r w:rsidRPr="003F58B9">
        <w:rPr>
          <w:rFonts w:ascii="Times New Roman" w:hAnsi="Times New Roman" w:cs="Times New Roman"/>
          <w:b/>
          <w:sz w:val="24"/>
          <w:szCs w:val="24"/>
        </w:rPr>
        <w:t xml:space="preserve"> Sulcus Depth among the 1</w:t>
      </w:r>
      <w:r w:rsidRPr="003F58B9">
        <w:rPr>
          <w:rFonts w:ascii="Times New Roman" w:hAnsi="Times New Roman" w:cs="Times New Roman"/>
          <w:b/>
          <w:sz w:val="24"/>
          <w:szCs w:val="24"/>
          <w:vertAlign w:val="superscript"/>
        </w:rPr>
        <w:t>st</w:t>
      </w:r>
      <w:r w:rsidRPr="003F58B9">
        <w:rPr>
          <w:rFonts w:ascii="Times New Roman" w:hAnsi="Times New Roman" w:cs="Times New Roman"/>
          <w:b/>
          <w:sz w:val="24"/>
          <w:szCs w:val="24"/>
        </w:rPr>
        <w:t xml:space="preserve"> and 2</w:t>
      </w:r>
      <w:r w:rsidRPr="003F58B9">
        <w:rPr>
          <w:rFonts w:ascii="Times New Roman" w:hAnsi="Times New Roman" w:cs="Times New Roman"/>
          <w:b/>
          <w:sz w:val="24"/>
          <w:szCs w:val="24"/>
          <w:vertAlign w:val="superscript"/>
        </w:rPr>
        <w:t>nd</w:t>
      </w:r>
      <w:r w:rsidRPr="003F58B9">
        <w:rPr>
          <w:rFonts w:ascii="Times New Roman" w:hAnsi="Times New Roman" w:cs="Times New Roman"/>
          <w:b/>
          <w:sz w:val="24"/>
          <w:szCs w:val="24"/>
        </w:rPr>
        <w:t xml:space="preserve"> Child</w:t>
      </w:r>
    </w:p>
    <w:p w14:paraId="157BE2B9" w14:textId="77777777" w:rsidR="00B16A85" w:rsidRPr="003F58B9" w:rsidRDefault="00B16A85" w:rsidP="004B621C">
      <w:pPr>
        <w:spacing w:line="360" w:lineRule="auto"/>
        <w:jc w:val="both"/>
        <w:rPr>
          <w:rFonts w:ascii="Times New Roman" w:hAnsi="Times New Roman" w:cs="Times New Roman"/>
          <w:sz w:val="24"/>
          <w:szCs w:val="24"/>
        </w:rPr>
      </w:pPr>
      <w:r w:rsidRPr="003F58B9">
        <w:rPr>
          <w:rFonts w:eastAsiaTheme="minorHAnsi"/>
          <w:noProof/>
          <w:sz w:val="24"/>
          <w:szCs w:val="24"/>
          <w:lang w:val="en-GB" w:eastAsia="en-GB"/>
        </w:rPr>
        <w:drawing>
          <wp:inline distT="0" distB="0" distL="0" distR="0" wp14:anchorId="54C852C7" wp14:editId="241C7BAE">
            <wp:extent cx="5486400" cy="3480435"/>
            <wp:effectExtent l="0" t="0" r="0" b="571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9CC06F4" w14:textId="77777777" w:rsidR="00B16A85" w:rsidRDefault="00B16A85" w:rsidP="004B621C">
      <w:pPr>
        <w:spacing w:line="360" w:lineRule="auto"/>
        <w:jc w:val="both"/>
        <w:rPr>
          <w:rFonts w:ascii="Times New Roman" w:hAnsi="Times New Roman" w:cs="Times New Roman"/>
          <w:sz w:val="24"/>
          <w:szCs w:val="24"/>
        </w:rPr>
      </w:pPr>
      <w:r w:rsidRPr="003F58B9">
        <w:rPr>
          <w:rFonts w:ascii="Times New Roman" w:hAnsi="Times New Roman" w:cs="Times New Roman"/>
          <w:sz w:val="24"/>
          <w:szCs w:val="24"/>
        </w:rPr>
        <w:lastRenderedPageBreak/>
        <w:tab/>
        <w:t xml:space="preserve">It can be seen from the figure above that the most prevalence depth of </w:t>
      </w:r>
      <w:proofErr w:type="spellStart"/>
      <w:r w:rsidRPr="003F58B9">
        <w:rPr>
          <w:rFonts w:ascii="Times New Roman" w:hAnsi="Times New Roman" w:cs="Times New Roman"/>
          <w:sz w:val="24"/>
          <w:szCs w:val="24"/>
        </w:rPr>
        <w:t>mentolabial</w:t>
      </w:r>
      <w:proofErr w:type="spellEnd"/>
      <w:r w:rsidRPr="003F58B9">
        <w:rPr>
          <w:rFonts w:ascii="Times New Roman" w:hAnsi="Times New Roman" w:cs="Times New Roman"/>
          <w:sz w:val="24"/>
          <w:szCs w:val="24"/>
        </w:rPr>
        <w:t xml:space="preserve"> sulcus in both children was the average type (n=83, 55.3%, and n=81, 54.0% respectively), followed by the shallow depth (n=44, 29.3%, and n=51, 34.0% respectively). The least depth of </w:t>
      </w:r>
      <w:proofErr w:type="spellStart"/>
      <w:r w:rsidRPr="003F58B9">
        <w:rPr>
          <w:rFonts w:ascii="Times New Roman" w:hAnsi="Times New Roman" w:cs="Times New Roman"/>
          <w:sz w:val="24"/>
          <w:szCs w:val="24"/>
        </w:rPr>
        <w:t>mentolabial</w:t>
      </w:r>
      <w:proofErr w:type="spellEnd"/>
      <w:r w:rsidRPr="003F58B9">
        <w:rPr>
          <w:rFonts w:ascii="Times New Roman" w:hAnsi="Times New Roman" w:cs="Times New Roman"/>
          <w:sz w:val="24"/>
          <w:szCs w:val="24"/>
        </w:rPr>
        <w:t xml:space="preserve"> sulcus encountered in both children was the deep type (n=23, 15.3%, and n=18, 12.0% respectively).</w:t>
      </w:r>
    </w:p>
    <w:p w14:paraId="23D6C693" w14:textId="018CCAD3" w:rsidR="00EA187E" w:rsidRPr="003F58B9" w:rsidRDefault="00EA187E" w:rsidP="004B621C">
      <w:pPr>
        <w:spacing w:line="360" w:lineRule="auto"/>
        <w:jc w:val="both"/>
        <w:rPr>
          <w:rFonts w:ascii="Times New Roman" w:hAnsi="Times New Roman" w:cs="Times New Roman"/>
          <w:sz w:val="24"/>
          <w:szCs w:val="24"/>
        </w:rPr>
      </w:pPr>
      <w:r w:rsidRPr="003F58B9">
        <w:rPr>
          <w:rFonts w:ascii="Times New Roman" w:hAnsi="Times New Roman" w:cs="Times New Roman"/>
          <w:b/>
          <w:sz w:val="24"/>
          <w:szCs w:val="24"/>
        </w:rPr>
        <w:t>Figure 5:</w:t>
      </w:r>
      <w:r w:rsidRPr="003F58B9">
        <w:rPr>
          <w:rFonts w:ascii="Times New Roman" w:hAnsi="Times New Roman" w:cs="Times New Roman"/>
          <w:b/>
          <w:sz w:val="24"/>
          <w:szCs w:val="24"/>
        </w:rPr>
        <w:tab/>
        <w:t>Prevalence of Philtrum Depth among Both Parents</w:t>
      </w:r>
    </w:p>
    <w:p w14:paraId="7F955F85" w14:textId="12C155F2" w:rsidR="00B16A85" w:rsidRPr="00EA187E" w:rsidRDefault="00B16A85" w:rsidP="004B621C">
      <w:pPr>
        <w:spacing w:line="360" w:lineRule="auto"/>
        <w:jc w:val="both"/>
        <w:rPr>
          <w:rFonts w:ascii="Times New Roman" w:hAnsi="Times New Roman" w:cs="Times New Roman"/>
          <w:sz w:val="24"/>
          <w:szCs w:val="24"/>
        </w:rPr>
      </w:pPr>
      <w:r w:rsidRPr="003F58B9">
        <w:rPr>
          <w:rFonts w:eastAsiaTheme="minorHAnsi"/>
          <w:noProof/>
          <w:sz w:val="24"/>
          <w:szCs w:val="24"/>
          <w:lang w:val="en-GB" w:eastAsia="en-GB"/>
        </w:rPr>
        <w:drawing>
          <wp:inline distT="0" distB="0" distL="0" distR="0" wp14:anchorId="73C17E73" wp14:editId="611D037A">
            <wp:extent cx="5486400" cy="3480435"/>
            <wp:effectExtent l="0" t="0" r="0" b="571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3F58B9">
        <w:rPr>
          <w:rFonts w:ascii="Times New Roman" w:hAnsi="Times New Roman" w:cs="Times New Roman"/>
          <w:b/>
          <w:sz w:val="24"/>
          <w:szCs w:val="24"/>
        </w:rPr>
        <w:t xml:space="preserve"> </w:t>
      </w:r>
    </w:p>
    <w:p w14:paraId="207E7F75" w14:textId="77777777" w:rsidR="00B16A85" w:rsidRDefault="00B16A85" w:rsidP="004B621C">
      <w:pPr>
        <w:spacing w:line="360" w:lineRule="auto"/>
        <w:jc w:val="both"/>
        <w:rPr>
          <w:rFonts w:ascii="Times New Roman" w:hAnsi="Times New Roman" w:cs="Times New Roman"/>
          <w:sz w:val="24"/>
          <w:szCs w:val="24"/>
        </w:rPr>
      </w:pPr>
      <w:r w:rsidRPr="003F58B9">
        <w:rPr>
          <w:rFonts w:ascii="Times New Roman" w:hAnsi="Times New Roman" w:cs="Times New Roman"/>
          <w:sz w:val="24"/>
          <w:szCs w:val="24"/>
        </w:rPr>
        <w:tab/>
        <w:t>The figure above showed that from the 150 subjects used, the most prevalent depth of the philtrum in both parents was the shallow depth (n=87, 58%, and n=94, 62.7% respectively). The least philtrum depth in both parents was the deep depth (n=63, 42%, and n=56, 37.3% respectively).</w:t>
      </w:r>
    </w:p>
    <w:p w14:paraId="3EB8BBF2" w14:textId="6D381079" w:rsidR="00EA187E" w:rsidRPr="00EA187E" w:rsidRDefault="00EA187E" w:rsidP="004B621C">
      <w:pPr>
        <w:spacing w:line="360" w:lineRule="auto"/>
        <w:jc w:val="both"/>
        <w:rPr>
          <w:rFonts w:ascii="Times New Roman" w:hAnsi="Times New Roman" w:cs="Times New Roman"/>
          <w:b/>
          <w:sz w:val="24"/>
          <w:szCs w:val="24"/>
        </w:rPr>
      </w:pPr>
      <w:r w:rsidRPr="003F58B9">
        <w:rPr>
          <w:rFonts w:ascii="Times New Roman" w:hAnsi="Times New Roman" w:cs="Times New Roman"/>
          <w:b/>
          <w:sz w:val="24"/>
          <w:szCs w:val="24"/>
        </w:rPr>
        <w:t>Figure 6:</w:t>
      </w:r>
      <w:r w:rsidRPr="003F58B9">
        <w:rPr>
          <w:rFonts w:ascii="Times New Roman" w:hAnsi="Times New Roman" w:cs="Times New Roman"/>
          <w:b/>
          <w:sz w:val="24"/>
          <w:szCs w:val="24"/>
        </w:rPr>
        <w:tab/>
        <w:t>Prevalence of Philtrum Depth among the 1</w:t>
      </w:r>
      <w:r w:rsidRPr="003F58B9">
        <w:rPr>
          <w:rFonts w:ascii="Times New Roman" w:hAnsi="Times New Roman" w:cs="Times New Roman"/>
          <w:b/>
          <w:sz w:val="24"/>
          <w:szCs w:val="24"/>
          <w:vertAlign w:val="superscript"/>
        </w:rPr>
        <w:t>st</w:t>
      </w:r>
      <w:r w:rsidRPr="003F58B9">
        <w:rPr>
          <w:rFonts w:ascii="Times New Roman" w:hAnsi="Times New Roman" w:cs="Times New Roman"/>
          <w:b/>
          <w:sz w:val="24"/>
          <w:szCs w:val="24"/>
        </w:rPr>
        <w:t xml:space="preserve"> and 2</w:t>
      </w:r>
      <w:r w:rsidRPr="003F58B9">
        <w:rPr>
          <w:rFonts w:ascii="Times New Roman" w:hAnsi="Times New Roman" w:cs="Times New Roman"/>
          <w:b/>
          <w:sz w:val="24"/>
          <w:szCs w:val="24"/>
          <w:vertAlign w:val="superscript"/>
        </w:rPr>
        <w:t>nd</w:t>
      </w:r>
      <w:r w:rsidRPr="003F58B9">
        <w:rPr>
          <w:rFonts w:ascii="Times New Roman" w:hAnsi="Times New Roman" w:cs="Times New Roman"/>
          <w:b/>
          <w:sz w:val="24"/>
          <w:szCs w:val="24"/>
        </w:rPr>
        <w:t xml:space="preserve"> Child</w:t>
      </w:r>
    </w:p>
    <w:p w14:paraId="61AD0ACD" w14:textId="55594759" w:rsidR="00B16A85" w:rsidRDefault="00B16A85" w:rsidP="004B621C">
      <w:pPr>
        <w:spacing w:line="360" w:lineRule="auto"/>
        <w:jc w:val="both"/>
        <w:rPr>
          <w:rFonts w:ascii="Times New Roman" w:hAnsi="Times New Roman" w:cs="Times New Roman"/>
          <w:sz w:val="24"/>
          <w:szCs w:val="24"/>
        </w:rPr>
      </w:pPr>
      <w:r w:rsidRPr="003F58B9">
        <w:rPr>
          <w:rFonts w:eastAsiaTheme="minorHAnsi"/>
          <w:noProof/>
          <w:sz w:val="24"/>
          <w:szCs w:val="24"/>
          <w:lang w:val="en-GB" w:eastAsia="en-GB"/>
        </w:rPr>
        <w:lastRenderedPageBreak/>
        <w:drawing>
          <wp:inline distT="0" distB="0" distL="0" distR="0" wp14:anchorId="311B4958" wp14:editId="7ED98FA1">
            <wp:extent cx="5486400" cy="3480435"/>
            <wp:effectExtent l="0" t="0" r="0" b="571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3F58B9">
        <w:rPr>
          <w:rFonts w:ascii="Times New Roman" w:hAnsi="Times New Roman" w:cs="Times New Roman"/>
          <w:sz w:val="24"/>
          <w:szCs w:val="24"/>
        </w:rPr>
        <w:tab/>
        <w:t>Figure 6 above showed that the prevalent philtrum depth in the 1</w:t>
      </w:r>
      <w:r w:rsidRPr="003F58B9">
        <w:rPr>
          <w:rFonts w:ascii="Times New Roman" w:hAnsi="Times New Roman" w:cs="Times New Roman"/>
          <w:sz w:val="24"/>
          <w:szCs w:val="24"/>
          <w:vertAlign w:val="superscript"/>
        </w:rPr>
        <w:t>st</w:t>
      </w:r>
      <w:r w:rsidRPr="003F58B9">
        <w:rPr>
          <w:rFonts w:ascii="Times New Roman" w:hAnsi="Times New Roman" w:cs="Times New Roman"/>
          <w:sz w:val="24"/>
          <w:szCs w:val="24"/>
        </w:rPr>
        <w:t xml:space="preserve"> child was the shallow depth (n=89, 59.3%) while the deep depth had a lower prevalence of 61 (40.7%). The figure also showed that in the 2</w:t>
      </w:r>
      <w:r w:rsidRPr="003F58B9">
        <w:rPr>
          <w:rFonts w:ascii="Times New Roman" w:hAnsi="Times New Roman" w:cs="Times New Roman"/>
          <w:sz w:val="24"/>
          <w:szCs w:val="24"/>
          <w:vertAlign w:val="superscript"/>
        </w:rPr>
        <w:t>nd</w:t>
      </w:r>
      <w:r w:rsidRPr="003F58B9">
        <w:rPr>
          <w:rFonts w:ascii="Times New Roman" w:hAnsi="Times New Roman" w:cs="Times New Roman"/>
          <w:sz w:val="24"/>
          <w:szCs w:val="24"/>
        </w:rPr>
        <w:t xml:space="preserve"> child, the prevalent philtrum depth in the 2nd child was the shallow depth (n=83, 55.3%) while the deep depth had a lower prevalence of 67 (44.7%).</w:t>
      </w:r>
    </w:p>
    <w:p w14:paraId="7CA82203" w14:textId="592DCFEA" w:rsidR="00EA187E" w:rsidRPr="003F58B9" w:rsidRDefault="00EA187E" w:rsidP="004B621C">
      <w:pPr>
        <w:spacing w:line="360" w:lineRule="auto"/>
        <w:jc w:val="both"/>
        <w:rPr>
          <w:rFonts w:ascii="Times New Roman" w:hAnsi="Times New Roman" w:cs="Times New Roman"/>
          <w:sz w:val="24"/>
          <w:szCs w:val="24"/>
        </w:rPr>
      </w:pPr>
      <w:r w:rsidRPr="003F58B9">
        <w:rPr>
          <w:rFonts w:ascii="Times New Roman" w:hAnsi="Times New Roman" w:cs="Times New Roman"/>
          <w:b/>
          <w:sz w:val="24"/>
          <w:szCs w:val="24"/>
        </w:rPr>
        <w:t>Figure 7:</w:t>
      </w:r>
      <w:r w:rsidRPr="003F58B9">
        <w:rPr>
          <w:rFonts w:ascii="Times New Roman" w:hAnsi="Times New Roman" w:cs="Times New Roman"/>
          <w:b/>
          <w:sz w:val="24"/>
          <w:szCs w:val="24"/>
        </w:rPr>
        <w:tab/>
        <w:t>Prevalence of Dimple among Both Parents</w:t>
      </w:r>
    </w:p>
    <w:p w14:paraId="5C1C2D19" w14:textId="7FDFBAD5" w:rsidR="00B16A85" w:rsidRPr="00EA187E" w:rsidRDefault="00B16A85" w:rsidP="004B621C">
      <w:pPr>
        <w:spacing w:line="360" w:lineRule="auto"/>
        <w:jc w:val="both"/>
        <w:rPr>
          <w:rFonts w:ascii="Times New Roman" w:hAnsi="Times New Roman" w:cs="Times New Roman"/>
          <w:sz w:val="24"/>
          <w:szCs w:val="24"/>
        </w:rPr>
      </w:pPr>
      <w:r w:rsidRPr="003F58B9">
        <w:rPr>
          <w:rFonts w:eastAsiaTheme="minorHAnsi"/>
          <w:noProof/>
          <w:sz w:val="24"/>
          <w:szCs w:val="24"/>
          <w:lang w:val="en-GB" w:eastAsia="en-GB"/>
        </w:rPr>
        <w:drawing>
          <wp:inline distT="0" distB="0" distL="0" distR="0" wp14:anchorId="7B680B72" wp14:editId="618C0D46">
            <wp:extent cx="5486400" cy="3275463"/>
            <wp:effectExtent l="0" t="0" r="0" b="127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3F58B9">
        <w:rPr>
          <w:rFonts w:ascii="Times New Roman" w:hAnsi="Times New Roman" w:cs="Times New Roman"/>
          <w:b/>
          <w:sz w:val="24"/>
          <w:szCs w:val="24"/>
        </w:rPr>
        <w:t xml:space="preserve"> </w:t>
      </w:r>
    </w:p>
    <w:p w14:paraId="3FFB0DDF" w14:textId="77777777" w:rsidR="00B16A85" w:rsidRDefault="00B16A85" w:rsidP="004B621C">
      <w:pPr>
        <w:spacing w:line="360" w:lineRule="auto"/>
        <w:jc w:val="both"/>
        <w:rPr>
          <w:rFonts w:ascii="Times New Roman" w:hAnsi="Times New Roman" w:cs="Times New Roman"/>
          <w:sz w:val="24"/>
          <w:szCs w:val="24"/>
        </w:rPr>
      </w:pPr>
      <w:r w:rsidRPr="003F58B9">
        <w:rPr>
          <w:rFonts w:ascii="Times New Roman" w:hAnsi="Times New Roman" w:cs="Times New Roman"/>
          <w:sz w:val="24"/>
          <w:szCs w:val="24"/>
        </w:rPr>
        <w:lastRenderedPageBreak/>
        <w:tab/>
        <w:t>The figure above showed that the prevalence of dimple among both parents was not high (22% in father and 28.7% in mother).</w:t>
      </w:r>
    </w:p>
    <w:p w14:paraId="16BCEBE8" w14:textId="2EDA4E2D" w:rsidR="00EA187E" w:rsidRPr="00EA187E" w:rsidRDefault="00EA187E" w:rsidP="004B621C">
      <w:pPr>
        <w:spacing w:line="360" w:lineRule="auto"/>
        <w:jc w:val="both"/>
        <w:rPr>
          <w:rFonts w:ascii="Times New Roman" w:hAnsi="Times New Roman" w:cs="Times New Roman"/>
          <w:b/>
          <w:sz w:val="24"/>
          <w:szCs w:val="24"/>
        </w:rPr>
      </w:pPr>
      <w:r w:rsidRPr="003F58B9">
        <w:rPr>
          <w:rFonts w:ascii="Times New Roman" w:hAnsi="Times New Roman" w:cs="Times New Roman"/>
          <w:b/>
          <w:sz w:val="24"/>
          <w:szCs w:val="24"/>
        </w:rPr>
        <w:t>Figure 8:</w:t>
      </w:r>
      <w:r w:rsidRPr="003F58B9">
        <w:rPr>
          <w:rFonts w:ascii="Times New Roman" w:hAnsi="Times New Roman" w:cs="Times New Roman"/>
          <w:b/>
          <w:sz w:val="24"/>
          <w:szCs w:val="24"/>
        </w:rPr>
        <w:tab/>
        <w:t>Prevalence of Dimple among the 1</w:t>
      </w:r>
      <w:r w:rsidRPr="003F58B9">
        <w:rPr>
          <w:rFonts w:ascii="Times New Roman" w:hAnsi="Times New Roman" w:cs="Times New Roman"/>
          <w:b/>
          <w:sz w:val="24"/>
          <w:szCs w:val="24"/>
          <w:vertAlign w:val="superscript"/>
        </w:rPr>
        <w:t>st</w:t>
      </w:r>
      <w:r w:rsidRPr="003F58B9">
        <w:rPr>
          <w:rFonts w:ascii="Times New Roman" w:hAnsi="Times New Roman" w:cs="Times New Roman"/>
          <w:b/>
          <w:sz w:val="24"/>
          <w:szCs w:val="24"/>
        </w:rPr>
        <w:t xml:space="preserve"> and 2</w:t>
      </w:r>
      <w:r w:rsidRPr="003F58B9">
        <w:rPr>
          <w:rFonts w:ascii="Times New Roman" w:hAnsi="Times New Roman" w:cs="Times New Roman"/>
          <w:b/>
          <w:sz w:val="24"/>
          <w:szCs w:val="24"/>
          <w:vertAlign w:val="superscript"/>
        </w:rPr>
        <w:t>nd</w:t>
      </w:r>
      <w:r w:rsidRPr="003F58B9">
        <w:rPr>
          <w:rFonts w:ascii="Times New Roman" w:hAnsi="Times New Roman" w:cs="Times New Roman"/>
          <w:b/>
          <w:sz w:val="24"/>
          <w:szCs w:val="24"/>
        </w:rPr>
        <w:t xml:space="preserve"> Child</w:t>
      </w:r>
    </w:p>
    <w:p w14:paraId="66C930D7" w14:textId="6541A0F1" w:rsidR="00B16A85" w:rsidRPr="003F58B9" w:rsidRDefault="00B16A85" w:rsidP="004B621C">
      <w:pPr>
        <w:spacing w:line="360" w:lineRule="auto"/>
        <w:jc w:val="both"/>
        <w:rPr>
          <w:rFonts w:ascii="Times New Roman" w:hAnsi="Times New Roman" w:cs="Times New Roman"/>
          <w:sz w:val="24"/>
          <w:szCs w:val="24"/>
        </w:rPr>
      </w:pPr>
      <w:r w:rsidRPr="003F58B9">
        <w:rPr>
          <w:rFonts w:eastAsiaTheme="minorHAnsi"/>
          <w:noProof/>
          <w:sz w:val="24"/>
          <w:szCs w:val="24"/>
          <w:lang w:val="en-GB" w:eastAsia="en-GB"/>
        </w:rPr>
        <w:drawing>
          <wp:inline distT="0" distB="0" distL="0" distR="0" wp14:anchorId="54E60FD1" wp14:editId="18F9B984">
            <wp:extent cx="5486400" cy="2688609"/>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3F58B9">
        <w:rPr>
          <w:rFonts w:ascii="Times New Roman" w:hAnsi="Times New Roman" w:cs="Times New Roman"/>
          <w:sz w:val="24"/>
          <w:szCs w:val="24"/>
        </w:rPr>
        <w:tab/>
        <w:t>Figure 8 showed the prevalence of dimple among the 1st and 2nd child. It showed that the prevalence of facial dimple among both children was low (n=25.3% and 30.7% respectively).</w:t>
      </w:r>
    </w:p>
    <w:p w14:paraId="4F639101" w14:textId="3B46445F" w:rsidR="00B16A85" w:rsidRDefault="00B16A85" w:rsidP="004B621C">
      <w:pPr>
        <w:spacing w:line="360" w:lineRule="auto"/>
        <w:jc w:val="both"/>
        <w:rPr>
          <w:rFonts w:ascii="Times New Roman" w:hAnsi="Times New Roman" w:cs="Times New Roman"/>
          <w:b/>
          <w:sz w:val="24"/>
          <w:szCs w:val="24"/>
        </w:rPr>
      </w:pPr>
      <w:r w:rsidRPr="00312E0F">
        <w:rPr>
          <w:rFonts w:ascii="Times New Roman" w:hAnsi="Times New Roman" w:cs="Times New Roman"/>
          <w:b/>
          <w:sz w:val="24"/>
          <w:szCs w:val="24"/>
        </w:rPr>
        <w:t>Table 1:</w:t>
      </w:r>
      <w:r w:rsidRPr="00312E0F">
        <w:rPr>
          <w:rFonts w:ascii="Times New Roman" w:hAnsi="Times New Roman" w:cs="Times New Roman"/>
          <w:b/>
          <w:sz w:val="24"/>
          <w:szCs w:val="24"/>
        </w:rPr>
        <w:tab/>
        <w:t>Hereditary of Gap T</w:t>
      </w:r>
      <w:r w:rsidR="000B58F7">
        <w:rPr>
          <w:rFonts w:ascii="Times New Roman" w:hAnsi="Times New Roman" w:cs="Times New Roman"/>
          <w:b/>
          <w:sz w:val="24"/>
          <w:szCs w:val="24"/>
        </w:rPr>
        <w:t>ee</w:t>
      </w:r>
      <w:r w:rsidRPr="00312E0F">
        <w:rPr>
          <w:rFonts w:ascii="Times New Roman" w:hAnsi="Times New Roman" w:cs="Times New Roman"/>
          <w:b/>
          <w:sz w:val="24"/>
          <w:szCs w:val="24"/>
        </w:rPr>
        <w:t>th in the 1</w:t>
      </w:r>
      <w:r w:rsidRPr="00312E0F">
        <w:rPr>
          <w:rFonts w:ascii="Times New Roman" w:hAnsi="Times New Roman" w:cs="Times New Roman"/>
          <w:b/>
          <w:sz w:val="24"/>
          <w:szCs w:val="24"/>
          <w:vertAlign w:val="superscript"/>
        </w:rPr>
        <w:t>st</w:t>
      </w:r>
      <w:r w:rsidRPr="00312E0F">
        <w:rPr>
          <w:rFonts w:ascii="Times New Roman" w:hAnsi="Times New Roman" w:cs="Times New Roman"/>
          <w:b/>
          <w:sz w:val="24"/>
          <w:szCs w:val="24"/>
        </w:rPr>
        <w:t xml:space="preserve"> Child</w:t>
      </w:r>
    </w:p>
    <w:p w14:paraId="2706D00B" w14:textId="77777777" w:rsidR="000B58F7" w:rsidRPr="00312E0F" w:rsidRDefault="000B58F7" w:rsidP="004B621C">
      <w:pPr>
        <w:spacing w:line="360" w:lineRule="auto"/>
        <w:jc w:val="both"/>
        <w:rPr>
          <w:rFonts w:ascii="Times New Roman" w:hAnsi="Times New Roman" w:cs="Times New Roman"/>
          <w:b/>
          <w:sz w:val="24"/>
          <w:szCs w:val="24"/>
        </w:rPr>
      </w:pPr>
    </w:p>
    <w:tbl>
      <w:tblPr>
        <w:tblStyle w:val="ListTable2"/>
        <w:tblW w:w="5000" w:type="pct"/>
        <w:tblInd w:w="0" w:type="dxa"/>
        <w:tblLook w:val="06A0" w:firstRow="1" w:lastRow="0" w:firstColumn="1" w:lastColumn="0" w:noHBand="1" w:noVBand="1"/>
      </w:tblPr>
      <w:tblGrid>
        <w:gridCol w:w="1806"/>
        <w:gridCol w:w="1805"/>
        <w:gridCol w:w="1805"/>
        <w:gridCol w:w="1805"/>
        <w:gridCol w:w="1805"/>
      </w:tblGrid>
      <w:tr w:rsidR="00B16A85" w:rsidRPr="00312E0F" w14:paraId="0CAF823E" w14:textId="77777777" w:rsidTr="00601C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vMerge w:val="restart"/>
            <w:tcBorders>
              <w:top w:val="single" w:sz="4" w:space="0" w:color="666666" w:themeColor="text1" w:themeTint="99"/>
              <w:left w:val="nil"/>
              <w:bottom w:val="single" w:sz="4" w:space="0" w:color="666666" w:themeColor="text1" w:themeTint="99"/>
              <w:right w:val="nil"/>
            </w:tcBorders>
            <w:hideMark/>
          </w:tcPr>
          <w:p w14:paraId="39BEB898" w14:textId="77777777" w:rsidR="00B16A85" w:rsidRPr="00312E0F" w:rsidRDefault="00B16A85" w:rsidP="004B621C">
            <w:pPr>
              <w:spacing w:line="360" w:lineRule="auto"/>
              <w:jc w:val="both"/>
              <w:rPr>
                <w:rFonts w:ascii="Times New Roman" w:hAnsi="Times New Roman" w:cs="Times New Roman"/>
                <w:sz w:val="24"/>
                <w:szCs w:val="24"/>
              </w:rPr>
            </w:pPr>
            <w:r w:rsidRPr="00312E0F">
              <w:rPr>
                <w:rFonts w:ascii="Times New Roman" w:hAnsi="Times New Roman" w:cs="Times New Roman"/>
                <w:sz w:val="24"/>
                <w:szCs w:val="24"/>
              </w:rPr>
              <w:t>Mother</w:t>
            </w:r>
          </w:p>
        </w:tc>
        <w:tc>
          <w:tcPr>
            <w:tcW w:w="1000" w:type="pct"/>
            <w:vMerge w:val="restart"/>
            <w:tcBorders>
              <w:top w:val="single" w:sz="4" w:space="0" w:color="666666" w:themeColor="text1" w:themeTint="99"/>
              <w:left w:val="nil"/>
              <w:bottom w:val="single" w:sz="4" w:space="0" w:color="666666" w:themeColor="text1" w:themeTint="99"/>
              <w:right w:val="nil"/>
            </w:tcBorders>
            <w:hideMark/>
          </w:tcPr>
          <w:p w14:paraId="64BC61E7" w14:textId="77777777" w:rsidR="00B16A85" w:rsidRPr="00312E0F" w:rsidRDefault="00B16A85" w:rsidP="004B621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Father</w:t>
            </w:r>
          </w:p>
        </w:tc>
        <w:tc>
          <w:tcPr>
            <w:tcW w:w="2000" w:type="pct"/>
            <w:gridSpan w:val="2"/>
            <w:tcBorders>
              <w:top w:val="single" w:sz="4" w:space="0" w:color="666666" w:themeColor="text1" w:themeTint="99"/>
              <w:left w:val="nil"/>
              <w:bottom w:val="single" w:sz="4" w:space="0" w:color="666666" w:themeColor="text1" w:themeTint="99"/>
              <w:right w:val="nil"/>
            </w:tcBorders>
            <w:hideMark/>
          </w:tcPr>
          <w:p w14:paraId="2A04CE16" w14:textId="77777777" w:rsidR="00B16A85" w:rsidRPr="00312E0F" w:rsidRDefault="00B16A85" w:rsidP="004B621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1</w:t>
            </w:r>
            <w:r w:rsidRPr="00312E0F">
              <w:rPr>
                <w:rFonts w:ascii="Times New Roman" w:hAnsi="Times New Roman" w:cs="Times New Roman"/>
                <w:sz w:val="24"/>
                <w:szCs w:val="24"/>
                <w:vertAlign w:val="superscript"/>
              </w:rPr>
              <w:t>st</w:t>
            </w:r>
            <w:r w:rsidRPr="00312E0F">
              <w:rPr>
                <w:rFonts w:ascii="Times New Roman" w:hAnsi="Times New Roman" w:cs="Times New Roman"/>
                <w:sz w:val="24"/>
                <w:szCs w:val="24"/>
              </w:rPr>
              <w:t xml:space="preserve"> Child</w:t>
            </w:r>
          </w:p>
        </w:tc>
        <w:tc>
          <w:tcPr>
            <w:tcW w:w="1000" w:type="pct"/>
            <w:vMerge w:val="restart"/>
            <w:tcBorders>
              <w:top w:val="single" w:sz="4" w:space="0" w:color="666666" w:themeColor="text1" w:themeTint="99"/>
              <w:left w:val="nil"/>
              <w:bottom w:val="single" w:sz="4" w:space="0" w:color="666666" w:themeColor="text1" w:themeTint="99"/>
              <w:right w:val="nil"/>
            </w:tcBorders>
            <w:hideMark/>
          </w:tcPr>
          <w:p w14:paraId="1562DC70" w14:textId="77777777" w:rsidR="00B16A85" w:rsidRPr="00312E0F" w:rsidRDefault="00B16A85" w:rsidP="004B621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P value</w:t>
            </w:r>
          </w:p>
        </w:tc>
      </w:tr>
      <w:tr w:rsidR="00B16A85" w:rsidRPr="00312E0F" w14:paraId="53A069F8" w14:textId="77777777" w:rsidTr="00601CA9">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666666" w:themeColor="text1" w:themeTint="99"/>
              <w:left w:val="nil"/>
              <w:bottom w:val="single" w:sz="4" w:space="0" w:color="666666" w:themeColor="text1" w:themeTint="99"/>
              <w:right w:val="nil"/>
            </w:tcBorders>
            <w:vAlign w:val="center"/>
            <w:hideMark/>
          </w:tcPr>
          <w:p w14:paraId="442437ED" w14:textId="77777777" w:rsidR="00B16A85" w:rsidRPr="00312E0F" w:rsidRDefault="00B16A85" w:rsidP="004B621C">
            <w:pPr>
              <w:spacing w:line="360" w:lineRule="auto"/>
              <w:jc w:val="both"/>
              <w:rPr>
                <w:rFonts w:ascii="Times New Roman" w:hAnsi="Times New Roman" w:cs="Times New Roman"/>
                <w:sz w:val="24"/>
                <w:szCs w:val="24"/>
              </w:rPr>
            </w:pPr>
          </w:p>
        </w:tc>
        <w:tc>
          <w:tcPr>
            <w:tcW w:w="0" w:type="auto"/>
            <w:vMerge/>
            <w:tcBorders>
              <w:top w:val="single" w:sz="4" w:space="0" w:color="666666" w:themeColor="text1" w:themeTint="99"/>
              <w:left w:val="nil"/>
              <w:bottom w:val="single" w:sz="4" w:space="0" w:color="666666" w:themeColor="text1" w:themeTint="99"/>
              <w:right w:val="nil"/>
            </w:tcBorders>
            <w:vAlign w:val="center"/>
            <w:hideMark/>
          </w:tcPr>
          <w:p w14:paraId="3C8249CD"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000" w:type="pct"/>
            <w:tcBorders>
              <w:top w:val="single" w:sz="4" w:space="0" w:color="666666" w:themeColor="text1" w:themeTint="99"/>
              <w:left w:val="nil"/>
              <w:bottom w:val="single" w:sz="4" w:space="0" w:color="666666" w:themeColor="text1" w:themeTint="99"/>
              <w:right w:val="nil"/>
            </w:tcBorders>
            <w:hideMark/>
          </w:tcPr>
          <w:p w14:paraId="6D561AFB"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312E0F">
              <w:rPr>
                <w:rFonts w:ascii="Times New Roman" w:hAnsi="Times New Roman" w:cs="Times New Roman"/>
                <w:b/>
                <w:sz w:val="24"/>
                <w:szCs w:val="24"/>
              </w:rPr>
              <w:t>Absent</w:t>
            </w:r>
          </w:p>
        </w:tc>
        <w:tc>
          <w:tcPr>
            <w:tcW w:w="1000" w:type="pct"/>
            <w:tcBorders>
              <w:top w:val="single" w:sz="4" w:space="0" w:color="666666" w:themeColor="text1" w:themeTint="99"/>
              <w:left w:val="nil"/>
              <w:bottom w:val="single" w:sz="4" w:space="0" w:color="666666" w:themeColor="text1" w:themeTint="99"/>
              <w:right w:val="nil"/>
            </w:tcBorders>
            <w:hideMark/>
          </w:tcPr>
          <w:p w14:paraId="1B560366"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312E0F">
              <w:rPr>
                <w:rFonts w:ascii="Times New Roman" w:hAnsi="Times New Roman" w:cs="Times New Roman"/>
                <w:b/>
                <w:sz w:val="24"/>
                <w:szCs w:val="24"/>
              </w:rPr>
              <w:t>Present</w:t>
            </w:r>
          </w:p>
        </w:tc>
        <w:tc>
          <w:tcPr>
            <w:tcW w:w="0" w:type="auto"/>
            <w:vMerge/>
            <w:tcBorders>
              <w:top w:val="single" w:sz="4" w:space="0" w:color="666666" w:themeColor="text1" w:themeTint="99"/>
              <w:left w:val="nil"/>
              <w:bottom w:val="single" w:sz="4" w:space="0" w:color="666666" w:themeColor="text1" w:themeTint="99"/>
              <w:right w:val="nil"/>
            </w:tcBorders>
            <w:vAlign w:val="center"/>
            <w:hideMark/>
          </w:tcPr>
          <w:p w14:paraId="4DCD2F67"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r w:rsidR="00B16A85" w:rsidRPr="00312E0F" w14:paraId="1EBD052D" w14:textId="77777777" w:rsidTr="00601CA9">
        <w:tc>
          <w:tcPr>
            <w:cnfStyle w:val="001000000000" w:firstRow="0" w:lastRow="0" w:firstColumn="1" w:lastColumn="0" w:oddVBand="0" w:evenVBand="0" w:oddHBand="0" w:evenHBand="0" w:firstRowFirstColumn="0" w:firstRowLastColumn="0" w:lastRowFirstColumn="0" w:lastRowLastColumn="0"/>
            <w:tcW w:w="1000" w:type="pct"/>
            <w:tcBorders>
              <w:top w:val="single" w:sz="4" w:space="0" w:color="666666" w:themeColor="text1" w:themeTint="99"/>
              <w:left w:val="nil"/>
              <w:bottom w:val="single" w:sz="4" w:space="0" w:color="666666" w:themeColor="text1" w:themeTint="99"/>
              <w:right w:val="nil"/>
            </w:tcBorders>
            <w:hideMark/>
          </w:tcPr>
          <w:p w14:paraId="4C0E29FB" w14:textId="77777777" w:rsidR="00B16A85" w:rsidRPr="00312E0F" w:rsidRDefault="00B16A85" w:rsidP="004B621C">
            <w:pPr>
              <w:spacing w:line="360" w:lineRule="auto"/>
              <w:jc w:val="both"/>
              <w:rPr>
                <w:rFonts w:ascii="Times New Roman" w:hAnsi="Times New Roman" w:cs="Times New Roman"/>
                <w:sz w:val="24"/>
                <w:szCs w:val="24"/>
              </w:rPr>
            </w:pPr>
            <w:r w:rsidRPr="00312E0F">
              <w:rPr>
                <w:rFonts w:ascii="Times New Roman" w:hAnsi="Times New Roman" w:cs="Times New Roman"/>
                <w:sz w:val="24"/>
                <w:szCs w:val="24"/>
              </w:rPr>
              <w:t>Absent</w:t>
            </w:r>
          </w:p>
        </w:tc>
        <w:tc>
          <w:tcPr>
            <w:tcW w:w="1000" w:type="pct"/>
            <w:tcBorders>
              <w:top w:val="single" w:sz="4" w:space="0" w:color="666666" w:themeColor="text1" w:themeTint="99"/>
              <w:left w:val="nil"/>
              <w:bottom w:val="single" w:sz="4" w:space="0" w:color="666666" w:themeColor="text1" w:themeTint="99"/>
              <w:right w:val="nil"/>
            </w:tcBorders>
            <w:hideMark/>
          </w:tcPr>
          <w:p w14:paraId="566D68AF"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Absent</w:t>
            </w:r>
          </w:p>
          <w:p w14:paraId="3E55EDFF"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Present</w:t>
            </w:r>
          </w:p>
        </w:tc>
        <w:tc>
          <w:tcPr>
            <w:tcW w:w="1000" w:type="pct"/>
            <w:tcBorders>
              <w:top w:val="single" w:sz="4" w:space="0" w:color="666666" w:themeColor="text1" w:themeTint="99"/>
              <w:left w:val="nil"/>
              <w:bottom w:val="single" w:sz="4" w:space="0" w:color="666666" w:themeColor="text1" w:themeTint="99"/>
              <w:right w:val="nil"/>
            </w:tcBorders>
            <w:hideMark/>
          </w:tcPr>
          <w:p w14:paraId="0198231C"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74 (77.9%)</w:t>
            </w:r>
          </w:p>
          <w:p w14:paraId="4487A9FC"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21 (21.1%)</w:t>
            </w:r>
          </w:p>
        </w:tc>
        <w:tc>
          <w:tcPr>
            <w:tcW w:w="1000" w:type="pct"/>
            <w:tcBorders>
              <w:top w:val="single" w:sz="4" w:space="0" w:color="666666" w:themeColor="text1" w:themeTint="99"/>
              <w:left w:val="nil"/>
              <w:bottom w:val="single" w:sz="4" w:space="0" w:color="666666" w:themeColor="text1" w:themeTint="99"/>
              <w:right w:val="nil"/>
            </w:tcBorders>
            <w:hideMark/>
          </w:tcPr>
          <w:p w14:paraId="239106F6"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22 (78.6%)</w:t>
            </w:r>
          </w:p>
          <w:p w14:paraId="0DC4C537"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6 (21.4%)</w:t>
            </w:r>
          </w:p>
        </w:tc>
        <w:tc>
          <w:tcPr>
            <w:tcW w:w="1000" w:type="pct"/>
            <w:tcBorders>
              <w:top w:val="single" w:sz="4" w:space="0" w:color="666666" w:themeColor="text1" w:themeTint="99"/>
              <w:left w:val="nil"/>
              <w:bottom w:val="single" w:sz="4" w:space="0" w:color="666666" w:themeColor="text1" w:themeTint="99"/>
              <w:right w:val="nil"/>
            </w:tcBorders>
            <w:vAlign w:val="center"/>
            <w:hideMark/>
          </w:tcPr>
          <w:p w14:paraId="50CE8B26"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0.331</w:t>
            </w:r>
          </w:p>
        </w:tc>
      </w:tr>
      <w:tr w:rsidR="00B16A85" w:rsidRPr="00312E0F" w14:paraId="21592CF9" w14:textId="77777777" w:rsidTr="00601CA9">
        <w:tc>
          <w:tcPr>
            <w:cnfStyle w:val="001000000000" w:firstRow="0" w:lastRow="0" w:firstColumn="1" w:lastColumn="0" w:oddVBand="0" w:evenVBand="0" w:oddHBand="0" w:evenHBand="0" w:firstRowFirstColumn="0" w:firstRowLastColumn="0" w:lastRowFirstColumn="0" w:lastRowLastColumn="0"/>
            <w:tcW w:w="1000" w:type="pct"/>
            <w:tcBorders>
              <w:top w:val="single" w:sz="4" w:space="0" w:color="666666" w:themeColor="text1" w:themeTint="99"/>
              <w:left w:val="nil"/>
              <w:bottom w:val="single" w:sz="4" w:space="0" w:color="666666" w:themeColor="text1" w:themeTint="99"/>
              <w:right w:val="nil"/>
            </w:tcBorders>
            <w:hideMark/>
          </w:tcPr>
          <w:p w14:paraId="547C570E" w14:textId="77777777" w:rsidR="00B16A85" w:rsidRPr="00312E0F" w:rsidRDefault="00B16A85" w:rsidP="004B621C">
            <w:pPr>
              <w:spacing w:line="360" w:lineRule="auto"/>
              <w:jc w:val="both"/>
              <w:rPr>
                <w:rFonts w:ascii="Times New Roman" w:hAnsi="Times New Roman" w:cs="Times New Roman"/>
                <w:sz w:val="24"/>
                <w:szCs w:val="24"/>
              </w:rPr>
            </w:pPr>
            <w:r w:rsidRPr="00312E0F">
              <w:rPr>
                <w:rFonts w:ascii="Times New Roman" w:hAnsi="Times New Roman" w:cs="Times New Roman"/>
                <w:sz w:val="24"/>
                <w:szCs w:val="24"/>
              </w:rPr>
              <w:t>Present</w:t>
            </w:r>
          </w:p>
        </w:tc>
        <w:tc>
          <w:tcPr>
            <w:tcW w:w="1000" w:type="pct"/>
            <w:tcBorders>
              <w:top w:val="single" w:sz="4" w:space="0" w:color="666666" w:themeColor="text1" w:themeTint="99"/>
              <w:left w:val="nil"/>
              <w:bottom w:val="single" w:sz="4" w:space="0" w:color="666666" w:themeColor="text1" w:themeTint="99"/>
              <w:right w:val="nil"/>
            </w:tcBorders>
            <w:hideMark/>
          </w:tcPr>
          <w:p w14:paraId="41248768"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Absent</w:t>
            </w:r>
          </w:p>
          <w:p w14:paraId="316B7A06"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Present</w:t>
            </w:r>
          </w:p>
        </w:tc>
        <w:tc>
          <w:tcPr>
            <w:tcW w:w="1000" w:type="pct"/>
            <w:tcBorders>
              <w:top w:val="single" w:sz="4" w:space="0" w:color="666666" w:themeColor="text1" w:themeTint="99"/>
              <w:left w:val="nil"/>
              <w:bottom w:val="single" w:sz="4" w:space="0" w:color="666666" w:themeColor="text1" w:themeTint="99"/>
              <w:right w:val="nil"/>
            </w:tcBorders>
            <w:hideMark/>
          </w:tcPr>
          <w:p w14:paraId="0334F879"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15 (88.2%)</w:t>
            </w:r>
          </w:p>
          <w:p w14:paraId="222CE797"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2 (11.8%)</w:t>
            </w:r>
          </w:p>
        </w:tc>
        <w:tc>
          <w:tcPr>
            <w:tcW w:w="1000" w:type="pct"/>
            <w:tcBorders>
              <w:top w:val="single" w:sz="4" w:space="0" w:color="666666" w:themeColor="text1" w:themeTint="99"/>
              <w:left w:val="nil"/>
              <w:bottom w:val="single" w:sz="4" w:space="0" w:color="666666" w:themeColor="text1" w:themeTint="99"/>
              <w:right w:val="nil"/>
            </w:tcBorders>
            <w:hideMark/>
          </w:tcPr>
          <w:p w14:paraId="2FBD5716"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10 (100%)</w:t>
            </w:r>
          </w:p>
          <w:p w14:paraId="0DC2BF90"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0 (0%)</w:t>
            </w:r>
          </w:p>
        </w:tc>
        <w:tc>
          <w:tcPr>
            <w:tcW w:w="1000" w:type="pct"/>
            <w:tcBorders>
              <w:top w:val="single" w:sz="4" w:space="0" w:color="666666" w:themeColor="text1" w:themeTint="99"/>
              <w:left w:val="nil"/>
              <w:bottom w:val="single" w:sz="4" w:space="0" w:color="666666" w:themeColor="text1" w:themeTint="99"/>
              <w:right w:val="nil"/>
            </w:tcBorders>
            <w:vAlign w:val="center"/>
            <w:hideMark/>
          </w:tcPr>
          <w:p w14:paraId="033B9F41"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0.111</w:t>
            </w:r>
          </w:p>
        </w:tc>
      </w:tr>
      <w:tr w:rsidR="00B16A85" w:rsidRPr="00312E0F" w14:paraId="02ABD654" w14:textId="77777777" w:rsidTr="00601CA9">
        <w:tc>
          <w:tcPr>
            <w:cnfStyle w:val="001000000000" w:firstRow="0" w:lastRow="0" w:firstColumn="1" w:lastColumn="0" w:oddVBand="0" w:evenVBand="0" w:oddHBand="0" w:evenHBand="0" w:firstRowFirstColumn="0" w:firstRowLastColumn="0" w:lastRowFirstColumn="0" w:lastRowLastColumn="0"/>
            <w:tcW w:w="2000" w:type="pct"/>
            <w:gridSpan w:val="2"/>
            <w:tcBorders>
              <w:top w:val="single" w:sz="4" w:space="0" w:color="666666" w:themeColor="text1" w:themeTint="99"/>
              <w:left w:val="nil"/>
              <w:bottom w:val="single" w:sz="4" w:space="0" w:color="666666" w:themeColor="text1" w:themeTint="99"/>
              <w:right w:val="nil"/>
            </w:tcBorders>
            <w:hideMark/>
          </w:tcPr>
          <w:p w14:paraId="751F1450" w14:textId="77777777" w:rsidR="00B16A85" w:rsidRPr="00312E0F" w:rsidRDefault="00B16A85" w:rsidP="004B621C">
            <w:pPr>
              <w:spacing w:line="360" w:lineRule="auto"/>
              <w:jc w:val="both"/>
              <w:rPr>
                <w:rFonts w:ascii="Times New Roman" w:hAnsi="Times New Roman" w:cs="Times New Roman"/>
                <w:sz w:val="24"/>
                <w:szCs w:val="24"/>
              </w:rPr>
            </w:pPr>
            <w:r w:rsidRPr="00312E0F">
              <w:rPr>
                <w:rFonts w:ascii="Times New Roman" w:hAnsi="Times New Roman" w:cs="Times New Roman"/>
                <w:sz w:val="24"/>
                <w:szCs w:val="24"/>
              </w:rPr>
              <w:t>Total</w:t>
            </w:r>
          </w:p>
        </w:tc>
        <w:tc>
          <w:tcPr>
            <w:tcW w:w="1000" w:type="pct"/>
            <w:tcBorders>
              <w:top w:val="single" w:sz="4" w:space="0" w:color="666666" w:themeColor="text1" w:themeTint="99"/>
              <w:left w:val="nil"/>
              <w:bottom w:val="single" w:sz="4" w:space="0" w:color="666666" w:themeColor="text1" w:themeTint="99"/>
              <w:right w:val="nil"/>
            </w:tcBorders>
            <w:hideMark/>
          </w:tcPr>
          <w:p w14:paraId="445B3953"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112</w:t>
            </w:r>
          </w:p>
        </w:tc>
        <w:tc>
          <w:tcPr>
            <w:tcW w:w="1000" w:type="pct"/>
            <w:tcBorders>
              <w:top w:val="single" w:sz="4" w:space="0" w:color="666666" w:themeColor="text1" w:themeTint="99"/>
              <w:left w:val="nil"/>
              <w:bottom w:val="single" w:sz="4" w:space="0" w:color="666666" w:themeColor="text1" w:themeTint="99"/>
              <w:right w:val="nil"/>
            </w:tcBorders>
            <w:hideMark/>
          </w:tcPr>
          <w:p w14:paraId="7AB2ED28"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38</w:t>
            </w:r>
          </w:p>
        </w:tc>
        <w:tc>
          <w:tcPr>
            <w:tcW w:w="1000" w:type="pct"/>
            <w:tcBorders>
              <w:top w:val="single" w:sz="4" w:space="0" w:color="666666" w:themeColor="text1" w:themeTint="99"/>
              <w:left w:val="nil"/>
              <w:bottom w:val="single" w:sz="4" w:space="0" w:color="666666" w:themeColor="text1" w:themeTint="99"/>
              <w:right w:val="nil"/>
            </w:tcBorders>
            <w:vAlign w:val="center"/>
            <w:hideMark/>
          </w:tcPr>
          <w:p w14:paraId="3D4106BA"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0.083</w:t>
            </w:r>
          </w:p>
        </w:tc>
      </w:tr>
    </w:tbl>
    <w:p w14:paraId="154A164E" w14:textId="77777777" w:rsidR="00B16A85" w:rsidRPr="00312E0F" w:rsidRDefault="00B16A85" w:rsidP="004B621C">
      <w:pPr>
        <w:spacing w:after="0" w:line="360" w:lineRule="auto"/>
        <w:jc w:val="both"/>
        <w:rPr>
          <w:rFonts w:ascii="Times New Roman" w:hAnsi="Times New Roman" w:cs="Times New Roman"/>
          <w:sz w:val="24"/>
          <w:szCs w:val="24"/>
        </w:rPr>
      </w:pPr>
    </w:p>
    <w:p w14:paraId="5646743F" w14:textId="77777777" w:rsidR="00B16A85" w:rsidRPr="00312E0F" w:rsidRDefault="00B16A85" w:rsidP="004B621C">
      <w:pPr>
        <w:spacing w:line="360" w:lineRule="auto"/>
        <w:ind w:firstLine="720"/>
        <w:jc w:val="both"/>
        <w:rPr>
          <w:rFonts w:ascii="Times New Roman" w:hAnsi="Times New Roman" w:cs="Times New Roman"/>
          <w:sz w:val="24"/>
          <w:szCs w:val="24"/>
        </w:rPr>
      </w:pPr>
      <w:r w:rsidRPr="00312E0F">
        <w:rPr>
          <w:rFonts w:ascii="Times New Roman" w:hAnsi="Times New Roman" w:cs="Times New Roman"/>
          <w:sz w:val="24"/>
          <w:szCs w:val="24"/>
        </w:rPr>
        <w:t>The table above showed that the presence of absence of gap tooth in either parents affected the presence or absence of gap tooth in the first child. However, there was no statistical association between the presence or absence of gap tooth between parents and the first child (p&gt;0.05).</w:t>
      </w:r>
    </w:p>
    <w:p w14:paraId="67E6716C" w14:textId="77777777" w:rsidR="00B16A85" w:rsidRPr="00312E0F" w:rsidRDefault="00B16A85" w:rsidP="004B621C">
      <w:pPr>
        <w:spacing w:line="360" w:lineRule="auto"/>
        <w:jc w:val="both"/>
        <w:rPr>
          <w:rFonts w:ascii="Times New Roman" w:hAnsi="Times New Roman" w:cs="Times New Roman"/>
          <w:b/>
          <w:sz w:val="24"/>
          <w:szCs w:val="24"/>
        </w:rPr>
      </w:pPr>
    </w:p>
    <w:p w14:paraId="0E9A2297" w14:textId="77777777" w:rsidR="00B16A85" w:rsidRPr="00312E0F" w:rsidRDefault="00B16A85" w:rsidP="004B621C">
      <w:pPr>
        <w:spacing w:line="360" w:lineRule="auto"/>
        <w:jc w:val="both"/>
        <w:rPr>
          <w:rFonts w:ascii="Times New Roman" w:hAnsi="Times New Roman" w:cs="Times New Roman"/>
          <w:b/>
          <w:sz w:val="24"/>
          <w:szCs w:val="24"/>
        </w:rPr>
      </w:pPr>
    </w:p>
    <w:p w14:paraId="4A2DB2FA" w14:textId="77777777" w:rsidR="00B16A85" w:rsidRPr="00312E0F" w:rsidRDefault="00B16A85" w:rsidP="004B621C">
      <w:pPr>
        <w:spacing w:line="360" w:lineRule="auto"/>
        <w:jc w:val="both"/>
        <w:rPr>
          <w:rFonts w:ascii="Times New Roman" w:hAnsi="Times New Roman" w:cs="Times New Roman"/>
          <w:b/>
          <w:sz w:val="24"/>
          <w:szCs w:val="24"/>
        </w:rPr>
      </w:pPr>
    </w:p>
    <w:p w14:paraId="5637FC88" w14:textId="701538E3" w:rsidR="00B16A85" w:rsidRDefault="00B16A85" w:rsidP="004B621C">
      <w:pPr>
        <w:spacing w:line="360" w:lineRule="auto"/>
        <w:jc w:val="both"/>
        <w:rPr>
          <w:rFonts w:ascii="Times New Roman" w:hAnsi="Times New Roman" w:cs="Times New Roman"/>
          <w:b/>
          <w:sz w:val="24"/>
          <w:szCs w:val="24"/>
        </w:rPr>
      </w:pPr>
      <w:r w:rsidRPr="00312E0F">
        <w:rPr>
          <w:rFonts w:ascii="Times New Roman" w:hAnsi="Times New Roman" w:cs="Times New Roman"/>
          <w:b/>
          <w:sz w:val="24"/>
          <w:szCs w:val="24"/>
        </w:rPr>
        <w:t>Table 2:</w:t>
      </w:r>
      <w:r w:rsidRPr="00312E0F">
        <w:rPr>
          <w:rFonts w:ascii="Times New Roman" w:hAnsi="Times New Roman" w:cs="Times New Roman"/>
          <w:b/>
          <w:sz w:val="24"/>
          <w:szCs w:val="24"/>
        </w:rPr>
        <w:tab/>
        <w:t>Hereditary of Gap T</w:t>
      </w:r>
      <w:r w:rsidR="000B58F7">
        <w:rPr>
          <w:rFonts w:ascii="Times New Roman" w:hAnsi="Times New Roman" w:cs="Times New Roman"/>
          <w:b/>
          <w:sz w:val="24"/>
          <w:szCs w:val="24"/>
        </w:rPr>
        <w:t>ee</w:t>
      </w:r>
      <w:r w:rsidRPr="00312E0F">
        <w:rPr>
          <w:rFonts w:ascii="Times New Roman" w:hAnsi="Times New Roman" w:cs="Times New Roman"/>
          <w:b/>
          <w:sz w:val="24"/>
          <w:szCs w:val="24"/>
        </w:rPr>
        <w:t>th in the 2</w:t>
      </w:r>
      <w:r w:rsidRPr="00312E0F">
        <w:rPr>
          <w:rFonts w:ascii="Times New Roman" w:hAnsi="Times New Roman" w:cs="Times New Roman"/>
          <w:b/>
          <w:sz w:val="24"/>
          <w:szCs w:val="24"/>
          <w:vertAlign w:val="superscript"/>
        </w:rPr>
        <w:t>nd</w:t>
      </w:r>
      <w:r w:rsidRPr="00312E0F">
        <w:rPr>
          <w:rFonts w:ascii="Times New Roman" w:hAnsi="Times New Roman" w:cs="Times New Roman"/>
          <w:b/>
          <w:sz w:val="24"/>
          <w:szCs w:val="24"/>
        </w:rPr>
        <w:t xml:space="preserve"> Child</w:t>
      </w:r>
    </w:p>
    <w:p w14:paraId="1AE09F91" w14:textId="77777777" w:rsidR="000B58F7" w:rsidRPr="00312E0F" w:rsidRDefault="000B58F7" w:rsidP="004B621C">
      <w:pPr>
        <w:spacing w:line="360" w:lineRule="auto"/>
        <w:jc w:val="both"/>
        <w:rPr>
          <w:rFonts w:ascii="Times New Roman" w:hAnsi="Times New Roman" w:cs="Times New Roman"/>
          <w:b/>
          <w:sz w:val="24"/>
          <w:szCs w:val="24"/>
        </w:rPr>
      </w:pPr>
    </w:p>
    <w:tbl>
      <w:tblPr>
        <w:tblStyle w:val="ListTable2"/>
        <w:tblW w:w="5000" w:type="pct"/>
        <w:tblInd w:w="0" w:type="dxa"/>
        <w:tblLook w:val="06A0" w:firstRow="1" w:lastRow="0" w:firstColumn="1" w:lastColumn="0" w:noHBand="1" w:noVBand="1"/>
      </w:tblPr>
      <w:tblGrid>
        <w:gridCol w:w="1806"/>
        <w:gridCol w:w="1805"/>
        <w:gridCol w:w="1805"/>
        <w:gridCol w:w="1805"/>
        <w:gridCol w:w="1805"/>
      </w:tblGrid>
      <w:tr w:rsidR="00B16A85" w:rsidRPr="00312E0F" w14:paraId="252087FF" w14:textId="77777777" w:rsidTr="00601C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vMerge w:val="restart"/>
            <w:tcBorders>
              <w:top w:val="single" w:sz="4" w:space="0" w:color="666666" w:themeColor="text1" w:themeTint="99"/>
              <w:left w:val="nil"/>
              <w:bottom w:val="single" w:sz="4" w:space="0" w:color="666666" w:themeColor="text1" w:themeTint="99"/>
              <w:right w:val="nil"/>
            </w:tcBorders>
            <w:hideMark/>
          </w:tcPr>
          <w:p w14:paraId="3CDFD3D5" w14:textId="77777777" w:rsidR="00B16A85" w:rsidRPr="00312E0F" w:rsidRDefault="00B16A85" w:rsidP="004B621C">
            <w:pPr>
              <w:spacing w:line="360" w:lineRule="auto"/>
              <w:jc w:val="both"/>
              <w:rPr>
                <w:rFonts w:ascii="Times New Roman" w:hAnsi="Times New Roman" w:cs="Times New Roman"/>
                <w:sz w:val="24"/>
                <w:szCs w:val="24"/>
              </w:rPr>
            </w:pPr>
            <w:r w:rsidRPr="00312E0F">
              <w:rPr>
                <w:rFonts w:ascii="Times New Roman" w:hAnsi="Times New Roman" w:cs="Times New Roman"/>
                <w:sz w:val="24"/>
                <w:szCs w:val="24"/>
              </w:rPr>
              <w:t>Mother</w:t>
            </w:r>
          </w:p>
        </w:tc>
        <w:tc>
          <w:tcPr>
            <w:tcW w:w="1000" w:type="pct"/>
            <w:vMerge w:val="restart"/>
            <w:tcBorders>
              <w:top w:val="single" w:sz="4" w:space="0" w:color="666666" w:themeColor="text1" w:themeTint="99"/>
              <w:left w:val="nil"/>
              <w:bottom w:val="single" w:sz="4" w:space="0" w:color="666666" w:themeColor="text1" w:themeTint="99"/>
              <w:right w:val="nil"/>
            </w:tcBorders>
            <w:hideMark/>
          </w:tcPr>
          <w:p w14:paraId="71CE77D4" w14:textId="77777777" w:rsidR="00B16A85" w:rsidRPr="00312E0F" w:rsidRDefault="00B16A85" w:rsidP="004B621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Father</w:t>
            </w:r>
          </w:p>
        </w:tc>
        <w:tc>
          <w:tcPr>
            <w:tcW w:w="2000" w:type="pct"/>
            <w:gridSpan w:val="2"/>
            <w:tcBorders>
              <w:top w:val="single" w:sz="4" w:space="0" w:color="666666" w:themeColor="text1" w:themeTint="99"/>
              <w:left w:val="nil"/>
              <w:bottom w:val="single" w:sz="4" w:space="0" w:color="666666" w:themeColor="text1" w:themeTint="99"/>
              <w:right w:val="nil"/>
            </w:tcBorders>
            <w:hideMark/>
          </w:tcPr>
          <w:p w14:paraId="18D7FDF9" w14:textId="77777777" w:rsidR="00B16A85" w:rsidRPr="00312E0F" w:rsidRDefault="00B16A85" w:rsidP="004B621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2</w:t>
            </w:r>
            <w:r w:rsidRPr="00312E0F">
              <w:rPr>
                <w:rFonts w:ascii="Times New Roman" w:hAnsi="Times New Roman" w:cs="Times New Roman"/>
                <w:sz w:val="24"/>
                <w:szCs w:val="24"/>
                <w:vertAlign w:val="superscript"/>
              </w:rPr>
              <w:t>nd</w:t>
            </w:r>
            <w:r w:rsidRPr="00312E0F">
              <w:rPr>
                <w:rFonts w:ascii="Times New Roman" w:hAnsi="Times New Roman" w:cs="Times New Roman"/>
                <w:sz w:val="24"/>
                <w:szCs w:val="24"/>
              </w:rPr>
              <w:t xml:space="preserve"> Child</w:t>
            </w:r>
          </w:p>
        </w:tc>
        <w:tc>
          <w:tcPr>
            <w:tcW w:w="1000" w:type="pct"/>
            <w:vMerge w:val="restart"/>
            <w:tcBorders>
              <w:top w:val="single" w:sz="4" w:space="0" w:color="666666" w:themeColor="text1" w:themeTint="99"/>
              <w:left w:val="nil"/>
              <w:bottom w:val="single" w:sz="4" w:space="0" w:color="666666" w:themeColor="text1" w:themeTint="99"/>
              <w:right w:val="nil"/>
            </w:tcBorders>
            <w:hideMark/>
          </w:tcPr>
          <w:p w14:paraId="3136F9F9" w14:textId="77777777" w:rsidR="00B16A85" w:rsidRPr="00312E0F" w:rsidRDefault="00B16A85" w:rsidP="004B621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P value</w:t>
            </w:r>
          </w:p>
        </w:tc>
      </w:tr>
      <w:tr w:rsidR="00B16A85" w:rsidRPr="00312E0F" w14:paraId="0E95F0EE" w14:textId="77777777" w:rsidTr="00601CA9">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666666" w:themeColor="text1" w:themeTint="99"/>
              <w:left w:val="nil"/>
              <w:bottom w:val="single" w:sz="4" w:space="0" w:color="666666" w:themeColor="text1" w:themeTint="99"/>
              <w:right w:val="nil"/>
            </w:tcBorders>
            <w:vAlign w:val="center"/>
            <w:hideMark/>
          </w:tcPr>
          <w:p w14:paraId="6C0E0080" w14:textId="77777777" w:rsidR="00B16A85" w:rsidRPr="00312E0F" w:rsidRDefault="00B16A85" w:rsidP="004B621C">
            <w:pPr>
              <w:spacing w:line="360" w:lineRule="auto"/>
              <w:jc w:val="both"/>
              <w:rPr>
                <w:rFonts w:ascii="Times New Roman" w:hAnsi="Times New Roman" w:cs="Times New Roman"/>
                <w:sz w:val="24"/>
                <w:szCs w:val="24"/>
              </w:rPr>
            </w:pPr>
          </w:p>
        </w:tc>
        <w:tc>
          <w:tcPr>
            <w:tcW w:w="0" w:type="auto"/>
            <w:vMerge/>
            <w:tcBorders>
              <w:top w:val="single" w:sz="4" w:space="0" w:color="666666" w:themeColor="text1" w:themeTint="99"/>
              <w:left w:val="nil"/>
              <w:bottom w:val="single" w:sz="4" w:space="0" w:color="666666" w:themeColor="text1" w:themeTint="99"/>
              <w:right w:val="nil"/>
            </w:tcBorders>
            <w:vAlign w:val="center"/>
            <w:hideMark/>
          </w:tcPr>
          <w:p w14:paraId="7036178C"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000" w:type="pct"/>
            <w:tcBorders>
              <w:top w:val="single" w:sz="4" w:space="0" w:color="666666" w:themeColor="text1" w:themeTint="99"/>
              <w:left w:val="nil"/>
              <w:bottom w:val="single" w:sz="4" w:space="0" w:color="666666" w:themeColor="text1" w:themeTint="99"/>
              <w:right w:val="nil"/>
            </w:tcBorders>
            <w:hideMark/>
          </w:tcPr>
          <w:p w14:paraId="6632492C"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312E0F">
              <w:rPr>
                <w:rFonts w:ascii="Times New Roman" w:hAnsi="Times New Roman" w:cs="Times New Roman"/>
                <w:b/>
                <w:sz w:val="24"/>
                <w:szCs w:val="24"/>
              </w:rPr>
              <w:t>Absent</w:t>
            </w:r>
          </w:p>
        </w:tc>
        <w:tc>
          <w:tcPr>
            <w:tcW w:w="1000" w:type="pct"/>
            <w:tcBorders>
              <w:top w:val="single" w:sz="4" w:space="0" w:color="666666" w:themeColor="text1" w:themeTint="99"/>
              <w:left w:val="nil"/>
              <w:bottom w:val="single" w:sz="4" w:space="0" w:color="666666" w:themeColor="text1" w:themeTint="99"/>
              <w:right w:val="nil"/>
            </w:tcBorders>
            <w:hideMark/>
          </w:tcPr>
          <w:p w14:paraId="322E0BCE"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312E0F">
              <w:rPr>
                <w:rFonts w:ascii="Times New Roman" w:hAnsi="Times New Roman" w:cs="Times New Roman"/>
                <w:b/>
                <w:sz w:val="24"/>
                <w:szCs w:val="24"/>
              </w:rPr>
              <w:t>Present</w:t>
            </w:r>
          </w:p>
        </w:tc>
        <w:tc>
          <w:tcPr>
            <w:tcW w:w="0" w:type="auto"/>
            <w:vMerge/>
            <w:tcBorders>
              <w:top w:val="single" w:sz="4" w:space="0" w:color="666666" w:themeColor="text1" w:themeTint="99"/>
              <w:left w:val="nil"/>
              <w:bottom w:val="single" w:sz="4" w:space="0" w:color="666666" w:themeColor="text1" w:themeTint="99"/>
              <w:right w:val="nil"/>
            </w:tcBorders>
            <w:vAlign w:val="center"/>
            <w:hideMark/>
          </w:tcPr>
          <w:p w14:paraId="2B87AA1D"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r w:rsidR="00B16A85" w:rsidRPr="00312E0F" w14:paraId="7B575392" w14:textId="77777777" w:rsidTr="00601CA9">
        <w:tc>
          <w:tcPr>
            <w:cnfStyle w:val="001000000000" w:firstRow="0" w:lastRow="0" w:firstColumn="1" w:lastColumn="0" w:oddVBand="0" w:evenVBand="0" w:oddHBand="0" w:evenHBand="0" w:firstRowFirstColumn="0" w:firstRowLastColumn="0" w:lastRowFirstColumn="0" w:lastRowLastColumn="0"/>
            <w:tcW w:w="1000" w:type="pct"/>
            <w:tcBorders>
              <w:top w:val="single" w:sz="4" w:space="0" w:color="666666" w:themeColor="text1" w:themeTint="99"/>
              <w:left w:val="nil"/>
              <w:bottom w:val="single" w:sz="4" w:space="0" w:color="666666" w:themeColor="text1" w:themeTint="99"/>
              <w:right w:val="nil"/>
            </w:tcBorders>
            <w:hideMark/>
          </w:tcPr>
          <w:p w14:paraId="29489E7F" w14:textId="77777777" w:rsidR="00B16A85" w:rsidRPr="00312E0F" w:rsidRDefault="00B16A85" w:rsidP="004B621C">
            <w:pPr>
              <w:spacing w:line="360" w:lineRule="auto"/>
              <w:jc w:val="both"/>
              <w:rPr>
                <w:rFonts w:ascii="Times New Roman" w:hAnsi="Times New Roman" w:cs="Times New Roman"/>
                <w:sz w:val="24"/>
                <w:szCs w:val="24"/>
              </w:rPr>
            </w:pPr>
            <w:r w:rsidRPr="00312E0F">
              <w:rPr>
                <w:rFonts w:ascii="Times New Roman" w:hAnsi="Times New Roman" w:cs="Times New Roman"/>
                <w:sz w:val="24"/>
                <w:szCs w:val="24"/>
              </w:rPr>
              <w:t>Absent</w:t>
            </w:r>
          </w:p>
        </w:tc>
        <w:tc>
          <w:tcPr>
            <w:tcW w:w="1000" w:type="pct"/>
            <w:tcBorders>
              <w:top w:val="single" w:sz="4" w:space="0" w:color="666666" w:themeColor="text1" w:themeTint="99"/>
              <w:left w:val="nil"/>
              <w:bottom w:val="single" w:sz="4" w:space="0" w:color="666666" w:themeColor="text1" w:themeTint="99"/>
              <w:right w:val="nil"/>
            </w:tcBorders>
            <w:hideMark/>
          </w:tcPr>
          <w:p w14:paraId="61F54547"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Absent</w:t>
            </w:r>
          </w:p>
          <w:p w14:paraId="196F9827"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Present</w:t>
            </w:r>
          </w:p>
        </w:tc>
        <w:tc>
          <w:tcPr>
            <w:tcW w:w="1000" w:type="pct"/>
            <w:tcBorders>
              <w:top w:val="single" w:sz="4" w:space="0" w:color="666666" w:themeColor="text1" w:themeTint="99"/>
              <w:left w:val="nil"/>
              <w:bottom w:val="single" w:sz="4" w:space="0" w:color="666666" w:themeColor="text1" w:themeTint="99"/>
              <w:right w:val="nil"/>
            </w:tcBorders>
            <w:hideMark/>
          </w:tcPr>
          <w:p w14:paraId="692CBE19"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81 (81.0%)</w:t>
            </w:r>
          </w:p>
          <w:p w14:paraId="7485AC2E"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19 (19.0%)</w:t>
            </w:r>
          </w:p>
        </w:tc>
        <w:tc>
          <w:tcPr>
            <w:tcW w:w="1000" w:type="pct"/>
            <w:tcBorders>
              <w:top w:val="single" w:sz="4" w:space="0" w:color="666666" w:themeColor="text1" w:themeTint="99"/>
              <w:left w:val="nil"/>
              <w:bottom w:val="single" w:sz="4" w:space="0" w:color="666666" w:themeColor="text1" w:themeTint="99"/>
              <w:right w:val="nil"/>
            </w:tcBorders>
            <w:hideMark/>
          </w:tcPr>
          <w:p w14:paraId="472B5E84"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15 (65.2%)</w:t>
            </w:r>
          </w:p>
          <w:p w14:paraId="65D5C6E4"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8 (34.8%)</w:t>
            </w:r>
          </w:p>
        </w:tc>
        <w:tc>
          <w:tcPr>
            <w:tcW w:w="1000" w:type="pct"/>
            <w:tcBorders>
              <w:top w:val="single" w:sz="4" w:space="0" w:color="666666" w:themeColor="text1" w:themeTint="99"/>
              <w:left w:val="nil"/>
              <w:bottom w:val="single" w:sz="4" w:space="0" w:color="666666" w:themeColor="text1" w:themeTint="99"/>
              <w:right w:val="nil"/>
            </w:tcBorders>
            <w:vAlign w:val="center"/>
            <w:hideMark/>
          </w:tcPr>
          <w:p w14:paraId="553C09F8"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0.038</w:t>
            </w:r>
          </w:p>
        </w:tc>
      </w:tr>
      <w:tr w:rsidR="00B16A85" w:rsidRPr="00312E0F" w14:paraId="2B7B44E3" w14:textId="77777777" w:rsidTr="00601CA9">
        <w:tc>
          <w:tcPr>
            <w:cnfStyle w:val="001000000000" w:firstRow="0" w:lastRow="0" w:firstColumn="1" w:lastColumn="0" w:oddVBand="0" w:evenVBand="0" w:oddHBand="0" w:evenHBand="0" w:firstRowFirstColumn="0" w:firstRowLastColumn="0" w:lastRowFirstColumn="0" w:lastRowLastColumn="0"/>
            <w:tcW w:w="1000" w:type="pct"/>
            <w:tcBorders>
              <w:top w:val="single" w:sz="4" w:space="0" w:color="666666" w:themeColor="text1" w:themeTint="99"/>
              <w:left w:val="nil"/>
              <w:bottom w:val="single" w:sz="4" w:space="0" w:color="666666" w:themeColor="text1" w:themeTint="99"/>
              <w:right w:val="nil"/>
            </w:tcBorders>
            <w:hideMark/>
          </w:tcPr>
          <w:p w14:paraId="602DF821" w14:textId="77777777" w:rsidR="00B16A85" w:rsidRPr="00312E0F" w:rsidRDefault="00B16A85" w:rsidP="004B621C">
            <w:pPr>
              <w:spacing w:line="360" w:lineRule="auto"/>
              <w:jc w:val="both"/>
              <w:rPr>
                <w:rFonts w:ascii="Times New Roman" w:hAnsi="Times New Roman" w:cs="Times New Roman"/>
                <w:sz w:val="24"/>
                <w:szCs w:val="24"/>
              </w:rPr>
            </w:pPr>
            <w:r w:rsidRPr="00312E0F">
              <w:rPr>
                <w:rFonts w:ascii="Times New Roman" w:hAnsi="Times New Roman" w:cs="Times New Roman"/>
                <w:sz w:val="24"/>
                <w:szCs w:val="24"/>
              </w:rPr>
              <w:t>Present</w:t>
            </w:r>
          </w:p>
        </w:tc>
        <w:tc>
          <w:tcPr>
            <w:tcW w:w="1000" w:type="pct"/>
            <w:tcBorders>
              <w:top w:val="single" w:sz="4" w:space="0" w:color="666666" w:themeColor="text1" w:themeTint="99"/>
              <w:left w:val="nil"/>
              <w:bottom w:val="single" w:sz="4" w:space="0" w:color="666666" w:themeColor="text1" w:themeTint="99"/>
              <w:right w:val="nil"/>
            </w:tcBorders>
            <w:hideMark/>
          </w:tcPr>
          <w:p w14:paraId="5E950000"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Absent</w:t>
            </w:r>
          </w:p>
          <w:p w14:paraId="152DDD10"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Present</w:t>
            </w:r>
          </w:p>
        </w:tc>
        <w:tc>
          <w:tcPr>
            <w:tcW w:w="1000" w:type="pct"/>
            <w:tcBorders>
              <w:top w:val="single" w:sz="4" w:space="0" w:color="666666" w:themeColor="text1" w:themeTint="99"/>
              <w:left w:val="nil"/>
              <w:bottom w:val="single" w:sz="4" w:space="0" w:color="666666" w:themeColor="text1" w:themeTint="99"/>
              <w:right w:val="nil"/>
            </w:tcBorders>
            <w:hideMark/>
          </w:tcPr>
          <w:p w14:paraId="1B867938"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19 (100%)</w:t>
            </w:r>
          </w:p>
          <w:p w14:paraId="10E51AFC"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0 (0%)</w:t>
            </w:r>
          </w:p>
        </w:tc>
        <w:tc>
          <w:tcPr>
            <w:tcW w:w="1000" w:type="pct"/>
            <w:tcBorders>
              <w:top w:val="single" w:sz="4" w:space="0" w:color="666666" w:themeColor="text1" w:themeTint="99"/>
              <w:left w:val="nil"/>
              <w:bottom w:val="single" w:sz="4" w:space="0" w:color="666666" w:themeColor="text1" w:themeTint="99"/>
              <w:right w:val="nil"/>
            </w:tcBorders>
            <w:hideMark/>
          </w:tcPr>
          <w:p w14:paraId="4048ED85"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6 (75%)</w:t>
            </w:r>
          </w:p>
          <w:p w14:paraId="48CCD517"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2 (25%)</w:t>
            </w:r>
          </w:p>
        </w:tc>
        <w:tc>
          <w:tcPr>
            <w:tcW w:w="1000" w:type="pct"/>
            <w:tcBorders>
              <w:top w:val="single" w:sz="4" w:space="0" w:color="666666" w:themeColor="text1" w:themeTint="99"/>
              <w:left w:val="nil"/>
              <w:bottom w:val="single" w:sz="4" w:space="0" w:color="666666" w:themeColor="text1" w:themeTint="99"/>
              <w:right w:val="nil"/>
            </w:tcBorders>
            <w:vAlign w:val="center"/>
            <w:hideMark/>
          </w:tcPr>
          <w:p w14:paraId="7517C206"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0.610</w:t>
            </w:r>
          </w:p>
        </w:tc>
      </w:tr>
      <w:tr w:rsidR="00B16A85" w:rsidRPr="00312E0F" w14:paraId="535E3D11" w14:textId="77777777" w:rsidTr="00601CA9">
        <w:tc>
          <w:tcPr>
            <w:cnfStyle w:val="001000000000" w:firstRow="0" w:lastRow="0" w:firstColumn="1" w:lastColumn="0" w:oddVBand="0" w:evenVBand="0" w:oddHBand="0" w:evenHBand="0" w:firstRowFirstColumn="0" w:firstRowLastColumn="0" w:lastRowFirstColumn="0" w:lastRowLastColumn="0"/>
            <w:tcW w:w="2000" w:type="pct"/>
            <w:gridSpan w:val="2"/>
            <w:tcBorders>
              <w:top w:val="single" w:sz="4" w:space="0" w:color="666666" w:themeColor="text1" w:themeTint="99"/>
              <w:left w:val="nil"/>
              <w:bottom w:val="single" w:sz="4" w:space="0" w:color="666666" w:themeColor="text1" w:themeTint="99"/>
              <w:right w:val="nil"/>
            </w:tcBorders>
            <w:hideMark/>
          </w:tcPr>
          <w:p w14:paraId="330E70BD" w14:textId="77777777" w:rsidR="00B16A85" w:rsidRPr="00312E0F" w:rsidRDefault="00B16A85" w:rsidP="004B621C">
            <w:pPr>
              <w:spacing w:line="360" w:lineRule="auto"/>
              <w:jc w:val="both"/>
              <w:rPr>
                <w:rFonts w:ascii="Times New Roman" w:hAnsi="Times New Roman" w:cs="Times New Roman"/>
                <w:sz w:val="24"/>
                <w:szCs w:val="24"/>
              </w:rPr>
            </w:pPr>
            <w:r w:rsidRPr="00312E0F">
              <w:rPr>
                <w:rFonts w:ascii="Times New Roman" w:hAnsi="Times New Roman" w:cs="Times New Roman"/>
                <w:sz w:val="24"/>
                <w:szCs w:val="24"/>
              </w:rPr>
              <w:t>Total</w:t>
            </w:r>
          </w:p>
        </w:tc>
        <w:tc>
          <w:tcPr>
            <w:tcW w:w="1000" w:type="pct"/>
            <w:tcBorders>
              <w:top w:val="single" w:sz="4" w:space="0" w:color="666666" w:themeColor="text1" w:themeTint="99"/>
              <w:left w:val="nil"/>
              <w:bottom w:val="single" w:sz="4" w:space="0" w:color="666666" w:themeColor="text1" w:themeTint="99"/>
              <w:right w:val="nil"/>
            </w:tcBorders>
            <w:hideMark/>
          </w:tcPr>
          <w:p w14:paraId="4C07C5F2"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123</w:t>
            </w:r>
          </w:p>
        </w:tc>
        <w:tc>
          <w:tcPr>
            <w:tcW w:w="1000" w:type="pct"/>
            <w:tcBorders>
              <w:top w:val="single" w:sz="4" w:space="0" w:color="666666" w:themeColor="text1" w:themeTint="99"/>
              <w:left w:val="nil"/>
              <w:bottom w:val="single" w:sz="4" w:space="0" w:color="666666" w:themeColor="text1" w:themeTint="99"/>
              <w:right w:val="nil"/>
            </w:tcBorders>
            <w:hideMark/>
          </w:tcPr>
          <w:p w14:paraId="6141B319"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27</w:t>
            </w:r>
          </w:p>
        </w:tc>
        <w:tc>
          <w:tcPr>
            <w:tcW w:w="1000" w:type="pct"/>
            <w:tcBorders>
              <w:top w:val="single" w:sz="4" w:space="0" w:color="666666" w:themeColor="text1" w:themeTint="99"/>
              <w:left w:val="nil"/>
              <w:bottom w:val="single" w:sz="4" w:space="0" w:color="666666" w:themeColor="text1" w:themeTint="99"/>
              <w:right w:val="nil"/>
            </w:tcBorders>
            <w:vAlign w:val="center"/>
            <w:hideMark/>
          </w:tcPr>
          <w:p w14:paraId="3080AC49"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0.083</w:t>
            </w:r>
          </w:p>
        </w:tc>
      </w:tr>
    </w:tbl>
    <w:p w14:paraId="61599921" w14:textId="77777777" w:rsidR="00B16A85" w:rsidRPr="00312E0F" w:rsidRDefault="00B16A85" w:rsidP="004B621C">
      <w:pPr>
        <w:spacing w:after="0" w:line="360" w:lineRule="auto"/>
        <w:jc w:val="both"/>
        <w:rPr>
          <w:rFonts w:ascii="Times New Roman" w:hAnsi="Times New Roman" w:cs="Times New Roman"/>
          <w:sz w:val="24"/>
          <w:szCs w:val="24"/>
        </w:rPr>
      </w:pPr>
    </w:p>
    <w:p w14:paraId="45546CAA" w14:textId="77777777" w:rsidR="00B16A85" w:rsidRPr="00312E0F" w:rsidRDefault="00B16A85" w:rsidP="004B621C">
      <w:pPr>
        <w:spacing w:line="360" w:lineRule="auto"/>
        <w:jc w:val="both"/>
        <w:rPr>
          <w:rFonts w:ascii="Times New Roman" w:hAnsi="Times New Roman" w:cs="Times New Roman"/>
          <w:sz w:val="24"/>
          <w:szCs w:val="24"/>
        </w:rPr>
      </w:pPr>
      <w:r w:rsidRPr="00312E0F">
        <w:rPr>
          <w:rFonts w:ascii="Times New Roman" w:hAnsi="Times New Roman" w:cs="Times New Roman"/>
          <w:sz w:val="24"/>
          <w:szCs w:val="24"/>
        </w:rPr>
        <w:t>The table above showed the hereditary of gap tooth in the second child. It was seen that when gap tooth was absent in both parents the incidence of gap tooth in the second tooth was very low. However, the prevalence of gap tooth was present in the parents, it increased the likelihood of acquiring gap tooth. There was no significant association in the presence of gap tooth between that of parents (p&gt;0.05). There was however a significant association in the presence of gap tooth between that of parents (p&gt;0.05).</w:t>
      </w:r>
    </w:p>
    <w:p w14:paraId="52D9A241" w14:textId="77777777" w:rsidR="00B16A85" w:rsidRPr="00312E0F" w:rsidRDefault="00B16A85" w:rsidP="004B621C">
      <w:pPr>
        <w:spacing w:line="360" w:lineRule="auto"/>
        <w:jc w:val="both"/>
        <w:rPr>
          <w:rFonts w:ascii="Times New Roman" w:hAnsi="Times New Roman" w:cs="Times New Roman"/>
          <w:b/>
          <w:sz w:val="24"/>
          <w:szCs w:val="24"/>
        </w:rPr>
      </w:pPr>
    </w:p>
    <w:p w14:paraId="0232720E" w14:textId="77777777" w:rsidR="00B16A85" w:rsidRPr="00312E0F" w:rsidRDefault="00B16A85" w:rsidP="004B621C">
      <w:pPr>
        <w:spacing w:line="360" w:lineRule="auto"/>
        <w:jc w:val="both"/>
        <w:rPr>
          <w:rFonts w:ascii="Times New Roman" w:hAnsi="Times New Roman" w:cs="Times New Roman"/>
          <w:b/>
          <w:sz w:val="24"/>
          <w:szCs w:val="24"/>
        </w:rPr>
      </w:pPr>
    </w:p>
    <w:p w14:paraId="644E3FC7" w14:textId="77777777" w:rsidR="00B16A85" w:rsidRPr="00312E0F" w:rsidRDefault="00B16A85" w:rsidP="004B621C">
      <w:pPr>
        <w:spacing w:line="360" w:lineRule="auto"/>
        <w:jc w:val="both"/>
        <w:rPr>
          <w:rFonts w:ascii="Times New Roman" w:hAnsi="Times New Roman" w:cs="Times New Roman"/>
          <w:b/>
          <w:sz w:val="24"/>
          <w:szCs w:val="24"/>
        </w:rPr>
      </w:pPr>
    </w:p>
    <w:p w14:paraId="28F19415" w14:textId="7A9FC46A" w:rsidR="00B16A85" w:rsidRDefault="00B16A85" w:rsidP="004B621C">
      <w:pPr>
        <w:spacing w:line="360" w:lineRule="auto"/>
        <w:jc w:val="both"/>
        <w:rPr>
          <w:rFonts w:ascii="Times New Roman" w:hAnsi="Times New Roman" w:cs="Times New Roman"/>
          <w:b/>
          <w:sz w:val="24"/>
          <w:szCs w:val="24"/>
        </w:rPr>
      </w:pPr>
      <w:r w:rsidRPr="00312E0F">
        <w:rPr>
          <w:rFonts w:ascii="Times New Roman" w:hAnsi="Times New Roman" w:cs="Times New Roman"/>
          <w:b/>
          <w:sz w:val="24"/>
          <w:szCs w:val="24"/>
        </w:rPr>
        <w:t>Table 3:</w:t>
      </w:r>
      <w:r w:rsidRPr="00312E0F">
        <w:rPr>
          <w:rFonts w:ascii="Times New Roman" w:hAnsi="Times New Roman" w:cs="Times New Roman"/>
          <w:b/>
          <w:sz w:val="24"/>
          <w:szCs w:val="24"/>
        </w:rPr>
        <w:tab/>
        <w:t xml:space="preserve">Hereditary of </w:t>
      </w:r>
      <w:proofErr w:type="spellStart"/>
      <w:r w:rsidRPr="00312E0F">
        <w:rPr>
          <w:rFonts w:ascii="Times New Roman" w:hAnsi="Times New Roman" w:cs="Times New Roman"/>
          <w:b/>
          <w:sz w:val="24"/>
          <w:szCs w:val="24"/>
        </w:rPr>
        <w:t>Mentolabial</w:t>
      </w:r>
      <w:proofErr w:type="spellEnd"/>
      <w:r w:rsidRPr="00312E0F">
        <w:rPr>
          <w:rFonts w:ascii="Times New Roman" w:hAnsi="Times New Roman" w:cs="Times New Roman"/>
          <w:b/>
          <w:sz w:val="24"/>
          <w:szCs w:val="24"/>
        </w:rPr>
        <w:t xml:space="preserve"> Sulcus in the 1st Child</w:t>
      </w:r>
    </w:p>
    <w:p w14:paraId="74081300" w14:textId="77777777" w:rsidR="000B58F7" w:rsidRPr="00312E0F" w:rsidRDefault="000B58F7" w:rsidP="004B621C">
      <w:pPr>
        <w:spacing w:line="360" w:lineRule="auto"/>
        <w:jc w:val="both"/>
        <w:rPr>
          <w:rFonts w:ascii="Times New Roman" w:hAnsi="Times New Roman" w:cs="Times New Roman"/>
          <w:b/>
          <w:sz w:val="24"/>
          <w:szCs w:val="24"/>
        </w:rPr>
      </w:pPr>
    </w:p>
    <w:tbl>
      <w:tblPr>
        <w:tblStyle w:val="ListTable2"/>
        <w:tblW w:w="5000" w:type="pct"/>
        <w:tblInd w:w="0" w:type="dxa"/>
        <w:tblLook w:val="06A0" w:firstRow="1" w:lastRow="0" w:firstColumn="1" w:lastColumn="0" w:noHBand="1" w:noVBand="1"/>
      </w:tblPr>
      <w:tblGrid>
        <w:gridCol w:w="1505"/>
        <w:gridCol w:w="1503"/>
        <w:gridCol w:w="1504"/>
        <w:gridCol w:w="1504"/>
        <w:gridCol w:w="1506"/>
        <w:gridCol w:w="1504"/>
      </w:tblGrid>
      <w:tr w:rsidR="00B16A85" w:rsidRPr="00312E0F" w14:paraId="725B6909" w14:textId="77777777" w:rsidTr="00601C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4" w:type="pct"/>
            <w:vMerge w:val="restart"/>
            <w:tcBorders>
              <w:top w:val="single" w:sz="4" w:space="0" w:color="666666" w:themeColor="text1" w:themeTint="99"/>
              <w:left w:val="nil"/>
              <w:bottom w:val="single" w:sz="4" w:space="0" w:color="666666" w:themeColor="text1" w:themeTint="99"/>
              <w:right w:val="nil"/>
            </w:tcBorders>
            <w:hideMark/>
          </w:tcPr>
          <w:p w14:paraId="56CAAB7D" w14:textId="77777777" w:rsidR="00B16A85" w:rsidRPr="00312E0F" w:rsidRDefault="00B16A85" w:rsidP="004B621C">
            <w:pPr>
              <w:spacing w:line="360" w:lineRule="auto"/>
              <w:jc w:val="both"/>
              <w:rPr>
                <w:rFonts w:ascii="Times New Roman" w:hAnsi="Times New Roman" w:cs="Times New Roman"/>
                <w:sz w:val="24"/>
                <w:szCs w:val="24"/>
              </w:rPr>
            </w:pPr>
            <w:r w:rsidRPr="00312E0F">
              <w:rPr>
                <w:rFonts w:ascii="Times New Roman" w:hAnsi="Times New Roman" w:cs="Times New Roman"/>
                <w:sz w:val="24"/>
                <w:szCs w:val="24"/>
              </w:rPr>
              <w:t>Mother</w:t>
            </w:r>
          </w:p>
        </w:tc>
        <w:tc>
          <w:tcPr>
            <w:tcW w:w="833" w:type="pct"/>
            <w:vMerge w:val="restart"/>
            <w:tcBorders>
              <w:top w:val="single" w:sz="4" w:space="0" w:color="666666" w:themeColor="text1" w:themeTint="99"/>
              <w:left w:val="nil"/>
              <w:bottom w:val="single" w:sz="4" w:space="0" w:color="666666" w:themeColor="text1" w:themeTint="99"/>
              <w:right w:val="nil"/>
            </w:tcBorders>
            <w:hideMark/>
          </w:tcPr>
          <w:p w14:paraId="3821CDA7" w14:textId="77777777" w:rsidR="00B16A85" w:rsidRPr="00312E0F" w:rsidRDefault="00B16A85" w:rsidP="004B621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Father</w:t>
            </w:r>
          </w:p>
        </w:tc>
        <w:tc>
          <w:tcPr>
            <w:tcW w:w="833" w:type="pct"/>
            <w:tcBorders>
              <w:top w:val="single" w:sz="4" w:space="0" w:color="666666" w:themeColor="text1" w:themeTint="99"/>
              <w:left w:val="nil"/>
              <w:bottom w:val="single" w:sz="4" w:space="0" w:color="666666" w:themeColor="text1" w:themeTint="99"/>
              <w:right w:val="nil"/>
            </w:tcBorders>
          </w:tcPr>
          <w:p w14:paraId="03DB4116" w14:textId="77777777" w:rsidR="00B16A85" w:rsidRPr="00312E0F" w:rsidRDefault="00B16A85" w:rsidP="004B621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667" w:type="pct"/>
            <w:gridSpan w:val="2"/>
            <w:tcBorders>
              <w:top w:val="single" w:sz="4" w:space="0" w:color="666666" w:themeColor="text1" w:themeTint="99"/>
              <w:left w:val="nil"/>
              <w:bottom w:val="single" w:sz="4" w:space="0" w:color="666666" w:themeColor="text1" w:themeTint="99"/>
              <w:right w:val="nil"/>
            </w:tcBorders>
            <w:hideMark/>
          </w:tcPr>
          <w:p w14:paraId="0D5C8C10" w14:textId="77777777" w:rsidR="00B16A85" w:rsidRPr="00312E0F" w:rsidRDefault="00B16A85" w:rsidP="004B621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1</w:t>
            </w:r>
            <w:r w:rsidRPr="00312E0F">
              <w:rPr>
                <w:rFonts w:ascii="Times New Roman" w:hAnsi="Times New Roman" w:cs="Times New Roman"/>
                <w:sz w:val="24"/>
                <w:szCs w:val="24"/>
                <w:vertAlign w:val="superscript"/>
              </w:rPr>
              <w:t>st</w:t>
            </w:r>
            <w:r w:rsidRPr="00312E0F">
              <w:rPr>
                <w:rFonts w:ascii="Times New Roman" w:hAnsi="Times New Roman" w:cs="Times New Roman"/>
                <w:sz w:val="24"/>
                <w:szCs w:val="24"/>
              </w:rPr>
              <w:t xml:space="preserve"> Child</w:t>
            </w:r>
          </w:p>
        </w:tc>
        <w:tc>
          <w:tcPr>
            <w:tcW w:w="833" w:type="pct"/>
            <w:vMerge w:val="restart"/>
            <w:tcBorders>
              <w:top w:val="single" w:sz="4" w:space="0" w:color="666666" w:themeColor="text1" w:themeTint="99"/>
              <w:left w:val="nil"/>
              <w:bottom w:val="single" w:sz="4" w:space="0" w:color="666666" w:themeColor="text1" w:themeTint="99"/>
              <w:right w:val="nil"/>
            </w:tcBorders>
            <w:hideMark/>
          </w:tcPr>
          <w:p w14:paraId="3275F597" w14:textId="77777777" w:rsidR="00B16A85" w:rsidRPr="00312E0F" w:rsidRDefault="00B16A85" w:rsidP="004B621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P value</w:t>
            </w:r>
          </w:p>
        </w:tc>
      </w:tr>
      <w:tr w:rsidR="00B16A85" w:rsidRPr="00312E0F" w14:paraId="17C45210" w14:textId="77777777" w:rsidTr="00601CA9">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666666" w:themeColor="text1" w:themeTint="99"/>
              <w:left w:val="nil"/>
              <w:bottom w:val="single" w:sz="4" w:space="0" w:color="666666" w:themeColor="text1" w:themeTint="99"/>
              <w:right w:val="nil"/>
            </w:tcBorders>
            <w:vAlign w:val="center"/>
            <w:hideMark/>
          </w:tcPr>
          <w:p w14:paraId="37D96D8A" w14:textId="77777777" w:rsidR="00B16A85" w:rsidRPr="00312E0F" w:rsidRDefault="00B16A85" w:rsidP="004B621C">
            <w:pPr>
              <w:spacing w:line="360" w:lineRule="auto"/>
              <w:jc w:val="both"/>
              <w:rPr>
                <w:rFonts w:ascii="Times New Roman" w:hAnsi="Times New Roman" w:cs="Times New Roman"/>
                <w:sz w:val="24"/>
                <w:szCs w:val="24"/>
              </w:rPr>
            </w:pPr>
          </w:p>
        </w:tc>
        <w:tc>
          <w:tcPr>
            <w:tcW w:w="0" w:type="auto"/>
            <w:vMerge/>
            <w:tcBorders>
              <w:top w:val="single" w:sz="4" w:space="0" w:color="666666" w:themeColor="text1" w:themeTint="99"/>
              <w:left w:val="nil"/>
              <w:bottom w:val="single" w:sz="4" w:space="0" w:color="666666" w:themeColor="text1" w:themeTint="99"/>
              <w:right w:val="nil"/>
            </w:tcBorders>
            <w:vAlign w:val="center"/>
            <w:hideMark/>
          </w:tcPr>
          <w:p w14:paraId="2B4C16EF"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833" w:type="pct"/>
            <w:tcBorders>
              <w:top w:val="single" w:sz="4" w:space="0" w:color="666666" w:themeColor="text1" w:themeTint="99"/>
              <w:left w:val="nil"/>
              <w:bottom w:val="single" w:sz="4" w:space="0" w:color="666666" w:themeColor="text1" w:themeTint="99"/>
              <w:right w:val="nil"/>
            </w:tcBorders>
            <w:hideMark/>
          </w:tcPr>
          <w:p w14:paraId="21189376"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312E0F">
              <w:rPr>
                <w:rFonts w:ascii="Times New Roman" w:hAnsi="Times New Roman" w:cs="Times New Roman"/>
                <w:b/>
                <w:sz w:val="24"/>
                <w:szCs w:val="24"/>
              </w:rPr>
              <w:t>Average</w:t>
            </w:r>
          </w:p>
        </w:tc>
        <w:tc>
          <w:tcPr>
            <w:tcW w:w="833" w:type="pct"/>
            <w:tcBorders>
              <w:top w:val="single" w:sz="4" w:space="0" w:color="666666" w:themeColor="text1" w:themeTint="99"/>
              <w:left w:val="nil"/>
              <w:bottom w:val="single" w:sz="4" w:space="0" w:color="666666" w:themeColor="text1" w:themeTint="99"/>
              <w:right w:val="nil"/>
            </w:tcBorders>
            <w:hideMark/>
          </w:tcPr>
          <w:p w14:paraId="46DDD807"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312E0F">
              <w:rPr>
                <w:rFonts w:ascii="Times New Roman" w:hAnsi="Times New Roman" w:cs="Times New Roman"/>
                <w:b/>
                <w:sz w:val="24"/>
                <w:szCs w:val="24"/>
              </w:rPr>
              <w:t>Deep</w:t>
            </w:r>
          </w:p>
        </w:tc>
        <w:tc>
          <w:tcPr>
            <w:tcW w:w="834" w:type="pct"/>
            <w:tcBorders>
              <w:top w:val="single" w:sz="4" w:space="0" w:color="666666" w:themeColor="text1" w:themeTint="99"/>
              <w:left w:val="nil"/>
              <w:bottom w:val="single" w:sz="4" w:space="0" w:color="666666" w:themeColor="text1" w:themeTint="99"/>
              <w:right w:val="nil"/>
            </w:tcBorders>
            <w:hideMark/>
          </w:tcPr>
          <w:p w14:paraId="47B56D4B"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312E0F">
              <w:rPr>
                <w:rFonts w:ascii="Times New Roman" w:hAnsi="Times New Roman" w:cs="Times New Roman"/>
                <w:b/>
                <w:sz w:val="24"/>
                <w:szCs w:val="24"/>
              </w:rPr>
              <w:t>Shallow</w:t>
            </w:r>
          </w:p>
        </w:tc>
        <w:tc>
          <w:tcPr>
            <w:tcW w:w="0" w:type="auto"/>
            <w:vMerge/>
            <w:tcBorders>
              <w:top w:val="single" w:sz="4" w:space="0" w:color="666666" w:themeColor="text1" w:themeTint="99"/>
              <w:left w:val="nil"/>
              <w:bottom w:val="single" w:sz="4" w:space="0" w:color="666666" w:themeColor="text1" w:themeTint="99"/>
              <w:right w:val="nil"/>
            </w:tcBorders>
            <w:vAlign w:val="center"/>
            <w:hideMark/>
          </w:tcPr>
          <w:p w14:paraId="162EAD8A"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r w:rsidR="00B16A85" w:rsidRPr="00312E0F" w14:paraId="3B1F8F78" w14:textId="77777777" w:rsidTr="00601CA9">
        <w:tc>
          <w:tcPr>
            <w:cnfStyle w:val="001000000000" w:firstRow="0" w:lastRow="0" w:firstColumn="1" w:lastColumn="0" w:oddVBand="0" w:evenVBand="0" w:oddHBand="0" w:evenHBand="0" w:firstRowFirstColumn="0" w:firstRowLastColumn="0" w:lastRowFirstColumn="0" w:lastRowLastColumn="0"/>
            <w:tcW w:w="834" w:type="pct"/>
            <w:tcBorders>
              <w:top w:val="single" w:sz="4" w:space="0" w:color="666666" w:themeColor="text1" w:themeTint="99"/>
              <w:left w:val="nil"/>
              <w:bottom w:val="single" w:sz="4" w:space="0" w:color="666666" w:themeColor="text1" w:themeTint="99"/>
              <w:right w:val="nil"/>
            </w:tcBorders>
            <w:hideMark/>
          </w:tcPr>
          <w:p w14:paraId="618CFBDD" w14:textId="77777777" w:rsidR="00B16A85" w:rsidRPr="00312E0F" w:rsidRDefault="00B16A85" w:rsidP="004B621C">
            <w:pPr>
              <w:spacing w:line="360" w:lineRule="auto"/>
              <w:jc w:val="both"/>
              <w:rPr>
                <w:rFonts w:ascii="Times New Roman" w:hAnsi="Times New Roman" w:cs="Times New Roman"/>
                <w:sz w:val="24"/>
                <w:szCs w:val="24"/>
              </w:rPr>
            </w:pPr>
            <w:r w:rsidRPr="00312E0F">
              <w:rPr>
                <w:rFonts w:ascii="Times New Roman" w:hAnsi="Times New Roman" w:cs="Times New Roman"/>
                <w:sz w:val="24"/>
                <w:szCs w:val="24"/>
              </w:rPr>
              <w:t>Average</w:t>
            </w:r>
          </w:p>
        </w:tc>
        <w:tc>
          <w:tcPr>
            <w:tcW w:w="833" w:type="pct"/>
            <w:tcBorders>
              <w:top w:val="single" w:sz="4" w:space="0" w:color="666666" w:themeColor="text1" w:themeTint="99"/>
              <w:left w:val="nil"/>
              <w:bottom w:val="single" w:sz="4" w:space="0" w:color="666666" w:themeColor="text1" w:themeTint="99"/>
              <w:right w:val="nil"/>
            </w:tcBorders>
            <w:hideMark/>
          </w:tcPr>
          <w:p w14:paraId="78A73522"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Average</w:t>
            </w:r>
          </w:p>
          <w:p w14:paraId="41AE501D"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Deep</w:t>
            </w:r>
          </w:p>
          <w:p w14:paraId="57443EA0"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Shallow</w:t>
            </w:r>
          </w:p>
        </w:tc>
        <w:tc>
          <w:tcPr>
            <w:tcW w:w="833" w:type="pct"/>
            <w:tcBorders>
              <w:top w:val="single" w:sz="4" w:space="0" w:color="666666" w:themeColor="text1" w:themeTint="99"/>
              <w:left w:val="nil"/>
              <w:bottom w:val="single" w:sz="4" w:space="0" w:color="666666" w:themeColor="text1" w:themeTint="99"/>
              <w:right w:val="nil"/>
            </w:tcBorders>
            <w:hideMark/>
          </w:tcPr>
          <w:p w14:paraId="70237503"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25 (55.6%)</w:t>
            </w:r>
          </w:p>
          <w:p w14:paraId="1B4CDBB8"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9 (20.0%)</w:t>
            </w:r>
          </w:p>
          <w:p w14:paraId="6E95DD69"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11 (24.4%)</w:t>
            </w:r>
          </w:p>
        </w:tc>
        <w:tc>
          <w:tcPr>
            <w:tcW w:w="833" w:type="pct"/>
            <w:tcBorders>
              <w:top w:val="single" w:sz="4" w:space="0" w:color="666666" w:themeColor="text1" w:themeTint="99"/>
              <w:left w:val="nil"/>
              <w:bottom w:val="single" w:sz="4" w:space="0" w:color="666666" w:themeColor="text1" w:themeTint="99"/>
              <w:right w:val="nil"/>
            </w:tcBorders>
            <w:hideMark/>
          </w:tcPr>
          <w:p w14:paraId="065BEE7F"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8 (53.3%)</w:t>
            </w:r>
          </w:p>
          <w:p w14:paraId="0FD9409A"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6 (40%)</w:t>
            </w:r>
          </w:p>
          <w:p w14:paraId="1C900BD8"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1 (6.7%)</w:t>
            </w:r>
          </w:p>
        </w:tc>
        <w:tc>
          <w:tcPr>
            <w:tcW w:w="834" w:type="pct"/>
            <w:tcBorders>
              <w:top w:val="single" w:sz="4" w:space="0" w:color="666666" w:themeColor="text1" w:themeTint="99"/>
              <w:left w:val="nil"/>
              <w:bottom w:val="single" w:sz="4" w:space="0" w:color="666666" w:themeColor="text1" w:themeTint="99"/>
              <w:right w:val="nil"/>
            </w:tcBorders>
            <w:hideMark/>
          </w:tcPr>
          <w:p w14:paraId="5D232446"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15 (65.2%)</w:t>
            </w:r>
          </w:p>
          <w:p w14:paraId="28338439"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1 (4.3%)</w:t>
            </w:r>
          </w:p>
          <w:p w14:paraId="5B643CAC"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7 (30.4%)</w:t>
            </w:r>
          </w:p>
        </w:tc>
        <w:tc>
          <w:tcPr>
            <w:tcW w:w="833" w:type="pct"/>
            <w:tcBorders>
              <w:top w:val="single" w:sz="4" w:space="0" w:color="666666" w:themeColor="text1" w:themeTint="99"/>
              <w:left w:val="nil"/>
              <w:bottom w:val="single" w:sz="4" w:space="0" w:color="666666" w:themeColor="text1" w:themeTint="99"/>
              <w:right w:val="nil"/>
            </w:tcBorders>
            <w:vAlign w:val="center"/>
            <w:hideMark/>
          </w:tcPr>
          <w:p w14:paraId="2F7874A4"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0.114</w:t>
            </w:r>
          </w:p>
        </w:tc>
      </w:tr>
      <w:tr w:rsidR="00B16A85" w:rsidRPr="00312E0F" w14:paraId="75E72442" w14:textId="77777777" w:rsidTr="00601CA9">
        <w:tc>
          <w:tcPr>
            <w:cnfStyle w:val="001000000000" w:firstRow="0" w:lastRow="0" w:firstColumn="1" w:lastColumn="0" w:oddVBand="0" w:evenVBand="0" w:oddHBand="0" w:evenHBand="0" w:firstRowFirstColumn="0" w:firstRowLastColumn="0" w:lastRowFirstColumn="0" w:lastRowLastColumn="0"/>
            <w:tcW w:w="834" w:type="pct"/>
            <w:tcBorders>
              <w:top w:val="single" w:sz="4" w:space="0" w:color="666666" w:themeColor="text1" w:themeTint="99"/>
              <w:left w:val="nil"/>
              <w:bottom w:val="single" w:sz="4" w:space="0" w:color="666666" w:themeColor="text1" w:themeTint="99"/>
              <w:right w:val="nil"/>
            </w:tcBorders>
            <w:hideMark/>
          </w:tcPr>
          <w:p w14:paraId="44CFCAE8" w14:textId="77777777" w:rsidR="00B16A85" w:rsidRPr="00312E0F" w:rsidRDefault="00B16A85" w:rsidP="004B621C">
            <w:pPr>
              <w:spacing w:line="360" w:lineRule="auto"/>
              <w:jc w:val="both"/>
              <w:rPr>
                <w:rFonts w:ascii="Times New Roman" w:hAnsi="Times New Roman" w:cs="Times New Roman"/>
                <w:sz w:val="24"/>
                <w:szCs w:val="24"/>
              </w:rPr>
            </w:pPr>
            <w:r w:rsidRPr="00312E0F">
              <w:rPr>
                <w:rFonts w:ascii="Times New Roman" w:hAnsi="Times New Roman" w:cs="Times New Roman"/>
                <w:sz w:val="24"/>
                <w:szCs w:val="24"/>
              </w:rPr>
              <w:t>Deep</w:t>
            </w:r>
          </w:p>
        </w:tc>
        <w:tc>
          <w:tcPr>
            <w:tcW w:w="833" w:type="pct"/>
            <w:tcBorders>
              <w:top w:val="single" w:sz="4" w:space="0" w:color="666666" w:themeColor="text1" w:themeTint="99"/>
              <w:left w:val="nil"/>
              <w:bottom w:val="single" w:sz="4" w:space="0" w:color="666666" w:themeColor="text1" w:themeTint="99"/>
              <w:right w:val="nil"/>
            </w:tcBorders>
            <w:hideMark/>
          </w:tcPr>
          <w:p w14:paraId="72A7F7BA"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Average</w:t>
            </w:r>
          </w:p>
          <w:p w14:paraId="30D7856B"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lastRenderedPageBreak/>
              <w:t>Deep</w:t>
            </w:r>
          </w:p>
          <w:p w14:paraId="5726349C"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Shallow</w:t>
            </w:r>
          </w:p>
        </w:tc>
        <w:tc>
          <w:tcPr>
            <w:tcW w:w="833" w:type="pct"/>
            <w:tcBorders>
              <w:top w:val="single" w:sz="4" w:space="0" w:color="666666" w:themeColor="text1" w:themeTint="99"/>
              <w:left w:val="nil"/>
              <w:bottom w:val="single" w:sz="4" w:space="0" w:color="666666" w:themeColor="text1" w:themeTint="99"/>
              <w:right w:val="nil"/>
            </w:tcBorders>
            <w:hideMark/>
          </w:tcPr>
          <w:p w14:paraId="6FBD1D3C"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lastRenderedPageBreak/>
              <w:t>6 (40%)</w:t>
            </w:r>
          </w:p>
          <w:p w14:paraId="45177B76"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lastRenderedPageBreak/>
              <w:t>1 (6.7%)</w:t>
            </w:r>
          </w:p>
          <w:p w14:paraId="30E830AA"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8 (53.3%)</w:t>
            </w:r>
          </w:p>
        </w:tc>
        <w:tc>
          <w:tcPr>
            <w:tcW w:w="833" w:type="pct"/>
            <w:tcBorders>
              <w:top w:val="single" w:sz="4" w:space="0" w:color="666666" w:themeColor="text1" w:themeTint="99"/>
              <w:left w:val="nil"/>
              <w:bottom w:val="single" w:sz="4" w:space="0" w:color="666666" w:themeColor="text1" w:themeTint="99"/>
              <w:right w:val="nil"/>
            </w:tcBorders>
            <w:hideMark/>
          </w:tcPr>
          <w:p w14:paraId="569FB895"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lastRenderedPageBreak/>
              <w:t>3 (75%)</w:t>
            </w:r>
          </w:p>
          <w:p w14:paraId="48790944"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lastRenderedPageBreak/>
              <w:t>0 (0%)</w:t>
            </w:r>
          </w:p>
          <w:p w14:paraId="66654713"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1 (25%)</w:t>
            </w:r>
          </w:p>
        </w:tc>
        <w:tc>
          <w:tcPr>
            <w:tcW w:w="834" w:type="pct"/>
            <w:tcBorders>
              <w:top w:val="single" w:sz="4" w:space="0" w:color="666666" w:themeColor="text1" w:themeTint="99"/>
              <w:left w:val="nil"/>
              <w:bottom w:val="single" w:sz="4" w:space="0" w:color="666666" w:themeColor="text1" w:themeTint="99"/>
              <w:right w:val="nil"/>
            </w:tcBorders>
            <w:hideMark/>
          </w:tcPr>
          <w:p w14:paraId="566487C8"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lastRenderedPageBreak/>
              <w:t>3 (50%)</w:t>
            </w:r>
          </w:p>
          <w:p w14:paraId="69B9E25D"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lastRenderedPageBreak/>
              <w:t>2 (33.3%)</w:t>
            </w:r>
          </w:p>
          <w:p w14:paraId="1B2DFA68"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1 (16.7%)</w:t>
            </w:r>
          </w:p>
        </w:tc>
        <w:tc>
          <w:tcPr>
            <w:tcW w:w="833" w:type="pct"/>
            <w:tcBorders>
              <w:top w:val="single" w:sz="4" w:space="0" w:color="666666" w:themeColor="text1" w:themeTint="99"/>
              <w:left w:val="nil"/>
              <w:bottom w:val="single" w:sz="4" w:space="0" w:color="666666" w:themeColor="text1" w:themeTint="99"/>
              <w:right w:val="nil"/>
            </w:tcBorders>
            <w:vAlign w:val="center"/>
            <w:hideMark/>
          </w:tcPr>
          <w:p w14:paraId="4DEC1B7B"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lastRenderedPageBreak/>
              <w:t>0.293</w:t>
            </w:r>
          </w:p>
        </w:tc>
      </w:tr>
      <w:tr w:rsidR="00B16A85" w:rsidRPr="00312E0F" w14:paraId="58ED67A1" w14:textId="77777777" w:rsidTr="00601CA9">
        <w:tc>
          <w:tcPr>
            <w:cnfStyle w:val="001000000000" w:firstRow="0" w:lastRow="0" w:firstColumn="1" w:lastColumn="0" w:oddVBand="0" w:evenVBand="0" w:oddHBand="0" w:evenHBand="0" w:firstRowFirstColumn="0" w:firstRowLastColumn="0" w:lastRowFirstColumn="0" w:lastRowLastColumn="0"/>
            <w:tcW w:w="834" w:type="pct"/>
            <w:tcBorders>
              <w:top w:val="single" w:sz="4" w:space="0" w:color="666666" w:themeColor="text1" w:themeTint="99"/>
              <w:left w:val="nil"/>
              <w:bottom w:val="single" w:sz="4" w:space="0" w:color="666666" w:themeColor="text1" w:themeTint="99"/>
              <w:right w:val="nil"/>
            </w:tcBorders>
            <w:hideMark/>
          </w:tcPr>
          <w:p w14:paraId="3F66EB5E" w14:textId="77777777" w:rsidR="00B16A85" w:rsidRPr="00312E0F" w:rsidRDefault="00B16A85" w:rsidP="004B621C">
            <w:pPr>
              <w:spacing w:line="360" w:lineRule="auto"/>
              <w:jc w:val="both"/>
              <w:rPr>
                <w:rFonts w:ascii="Times New Roman" w:hAnsi="Times New Roman" w:cs="Times New Roman"/>
                <w:sz w:val="24"/>
                <w:szCs w:val="24"/>
              </w:rPr>
            </w:pPr>
            <w:r w:rsidRPr="00312E0F">
              <w:rPr>
                <w:rFonts w:ascii="Times New Roman" w:hAnsi="Times New Roman" w:cs="Times New Roman"/>
                <w:sz w:val="24"/>
                <w:szCs w:val="24"/>
              </w:rPr>
              <w:t>Shallow</w:t>
            </w:r>
          </w:p>
        </w:tc>
        <w:tc>
          <w:tcPr>
            <w:tcW w:w="833" w:type="pct"/>
            <w:tcBorders>
              <w:top w:val="single" w:sz="4" w:space="0" w:color="666666" w:themeColor="text1" w:themeTint="99"/>
              <w:left w:val="nil"/>
              <w:bottom w:val="single" w:sz="4" w:space="0" w:color="666666" w:themeColor="text1" w:themeTint="99"/>
              <w:right w:val="nil"/>
            </w:tcBorders>
            <w:hideMark/>
          </w:tcPr>
          <w:p w14:paraId="6A60447F"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Average</w:t>
            </w:r>
          </w:p>
          <w:p w14:paraId="0A30A3B1"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Deep</w:t>
            </w:r>
          </w:p>
          <w:p w14:paraId="070471D4"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Shallow</w:t>
            </w:r>
          </w:p>
        </w:tc>
        <w:tc>
          <w:tcPr>
            <w:tcW w:w="833" w:type="pct"/>
            <w:tcBorders>
              <w:top w:val="single" w:sz="4" w:space="0" w:color="666666" w:themeColor="text1" w:themeTint="99"/>
              <w:left w:val="nil"/>
              <w:bottom w:val="single" w:sz="4" w:space="0" w:color="666666" w:themeColor="text1" w:themeTint="99"/>
              <w:right w:val="nil"/>
            </w:tcBorders>
            <w:hideMark/>
          </w:tcPr>
          <w:p w14:paraId="508F9227"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16 (69.6%)</w:t>
            </w:r>
          </w:p>
          <w:p w14:paraId="2EE6CE97"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3 (13.0%)</w:t>
            </w:r>
          </w:p>
          <w:p w14:paraId="67904A53"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4 (17.4%)</w:t>
            </w:r>
          </w:p>
        </w:tc>
        <w:tc>
          <w:tcPr>
            <w:tcW w:w="833" w:type="pct"/>
            <w:tcBorders>
              <w:top w:val="single" w:sz="4" w:space="0" w:color="666666" w:themeColor="text1" w:themeTint="99"/>
              <w:left w:val="nil"/>
              <w:bottom w:val="single" w:sz="4" w:space="0" w:color="666666" w:themeColor="text1" w:themeTint="99"/>
              <w:right w:val="nil"/>
            </w:tcBorders>
            <w:hideMark/>
          </w:tcPr>
          <w:p w14:paraId="25803955"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3 (75.0%)</w:t>
            </w:r>
          </w:p>
          <w:p w14:paraId="432429ED"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0 (0%)</w:t>
            </w:r>
          </w:p>
          <w:p w14:paraId="5D693DD7"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1 (25%)</w:t>
            </w:r>
          </w:p>
        </w:tc>
        <w:tc>
          <w:tcPr>
            <w:tcW w:w="834" w:type="pct"/>
            <w:tcBorders>
              <w:top w:val="single" w:sz="4" w:space="0" w:color="666666" w:themeColor="text1" w:themeTint="99"/>
              <w:left w:val="nil"/>
              <w:bottom w:val="single" w:sz="4" w:space="0" w:color="666666" w:themeColor="text1" w:themeTint="99"/>
              <w:right w:val="nil"/>
            </w:tcBorders>
            <w:hideMark/>
          </w:tcPr>
          <w:p w14:paraId="29764BA8"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7 (46.7%)</w:t>
            </w:r>
          </w:p>
          <w:p w14:paraId="3A412ABF"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4 (26.7%)</w:t>
            </w:r>
          </w:p>
          <w:p w14:paraId="7111BC7F"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4 (26.7%)</w:t>
            </w:r>
          </w:p>
        </w:tc>
        <w:tc>
          <w:tcPr>
            <w:tcW w:w="833" w:type="pct"/>
            <w:tcBorders>
              <w:top w:val="single" w:sz="4" w:space="0" w:color="666666" w:themeColor="text1" w:themeTint="99"/>
              <w:left w:val="nil"/>
              <w:bottom w:val="single" w:sz="4" w:space="0" w:color="666666" w:themeColor="text1" w:themeTint="99"/>
              <w:right w:val="nil"/>
            </w:tcBorders>
            <w:vAlign w:val="center"/>
            <w:hideMark/>
          </w:tcPr>
          <w:p w14:paraId="50794F8B"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0.276</w:t>
            </w:r>
          </w:p>
        </w:tc>
      </w:tr>
      <w:tr w:rsidR="00B16A85" w:rsidRPr="00312E0F" w14:paraId="3694769F" w14:textId="77777777" w:rsidTr="00601CA9">
        <w:tc>
          <w:tcPr>
            <w:cnfStyle w:val="001000000000" w:firstRow="0" w:lastRow="0" w:firstColumn="1" w:lastColumn="0" w:oddVBand="0" w:evenVBand="0" w:oddHBand="0" w:evenHBand="0" w:firstRowFirstColumn="0" w:firstRowLastColumn="0" w:lastRowFirstColumn="0" w:lastRowLastColumn="0"/>
            <w:tcW w:w="1666" w:type="pct"/>
            <w:gridSpan w:val="2"/>
            <w:tcBorders>
              <w:top w:val="single" w:sz="4" w:space="0" w:color="666666" w:themeColor="text1" w:themeTint="99"/>
              <w:left w:val="nil"/>
              <w:bottom w:val="single" w:sz="4" w:space="0" w:color="666666" w:themeColor="text1" w:themeTint="99"/>
              <w:right w:val="nil"/>
            </w:tcBorders>
            <w:hideMark/>
          </w:tcPr>
          <w:p w14:paraId="26AD670D" w14:textId="77777777" w:rsidR="00B16A85" w:rsidRPr="00312E0F" w:rsidRDefault="00B16A85" w:rsidP="004B621C">
            <w:pPr>
              <w:spacing w:line="360" w:lineRule="auto"/>
              <w:jc w:val="both"/>
              <w:rPr>
                <w:rFonts w:ascii="Times New Roman" w:hAnsi="Times New Roman" w:cs="Times New Roman"/>
                <w:sz w:val="24"/>
                <w:szCs w:val="24"/>
              </w:rPr>
            </w:pPr>
            <w:r w:rsidRPr="00312E0F">
              <w:rPr>
                <w:rFonts w:ascii="Times New Roman" w:hAnsi="Times New Roman" w:cs="Times New Roman"/>
                <w:sz w:val="24"/>
                <w:szCs w:val="24"/>
              </w:rPr>
              <w:t>Total</w:t>
            </w:r>
          </w:p>
        </w:tc>
        <w:tc>
          <w:tcPr>
            <w:tcW w:w="833" w:type="pct"/>
            <w:tcBorders>
              <w:top w:val="single" w:sz="4" w:space="0" w:color="666666" w:themeColor="text1" w:themeTint="99"/>
              <w:left w:val="nil"/>
              <w:bottom w:val="single" w:sz="4" w:space="0" w:color="666666" w:themeColor="text1" w:themeTint="99"/>
              <w:right w:val="nil"/>
            </w:tcBorders>
            <w:hideMark/>
          </w:tcPr>
          <w:p w14:paraId="65573636"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83</w:t>
            </w:r>
          </w:p>
        </w:tc>
        <w:tc>
          <w:tcPr>
            <w:tcW w:w="833" w:type="pct"/>
            <w:tcBorders>
              <w:top w:val="single" w:sz="4" w:space="0" w:color="666666" w:themeColor="text1" w:themeTint="99"/>
              <w:left w:val="nil"/>
              <w:bottom w:val="single" w:sz="4" w:space="0" w:color="666666" w:themeColor="text1" w:themeTint="99"/>
              <w:right w:val="nil"/>
            </w:tcBorders>
            <w:hideMark/>
          </w:tcPr>
          <w:p w14:paraId="5DC7A350"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23</w:t>
            </w:r>
          </w:p>
        </w:tc>
        <w:tc>
          <w:tcPr>
            <w:tcW w:w="834" w:type="pct"/>
            <w:tcBorders>
              <w:top w:val="single" w:sz="4" w:space="0" w:color="666666" w:themeColor="text1" w:themeTint="99"/>
              <w:left w:val="nil"/>
              <w:bottom w:val="single" w:sz="4" w:space="0" w:color="666666" w:themeColor="text1" w:themeTint="99"/>
              <w:right w:val="nil"/>
            </w:tcBorders>
            <w:hideMark/>
          </w:tcPr>
          <w:p w14:paraId="4ED10AE7"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44</w:t>
            </w:r>
          </w:p>
        </w:tc>
        <w:tc>
          <w:tcPr>
            <w:tcW w:w="833" w:type="pct"/>
            <w:tcBorders>
              <w:top w:val="single" w:sz="4" w:space="0" w:color="666666" w:themeColor="text1" w:themeTint="99"/>
              <w:left w:val="nil"/>
              <w:bottom w:val="single" w:sz="4" w:space="0" w:color="666666" w:themeColor="text1" w:themeTint="99"/>
              <w:right w:val="nil"/>
            </w:tcBorders>
            <w:vAlign w:val="center"/>
            <w:hideMark/>
          </w:tcPr>
          <w:p w14:paraId="449C2DC3"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0.447</w:t>
            </w:r>
          </w:p>
        </w:tc>
      </w:tr>
    </w:tbl>
    <w:p w14:paraId="78977100" w14:textId="77777777" w:rsidR="00B16A85" w:rsidRPr="00312E0F" w:rsidRDefault="00B16A85" w:rsidP="004B621C">
      <w:pPr>
        <w:spacing w:after="0" w:line="360" w:lineRule="auto"/>
        <w:jc w:val="both"/>
        <w:rPr>
          <w:rFonts w:ascii="Times New Roman" w:hAnsi="Times New Roman" w:cs="Times New Roman"/>
          <w:sz w:val="24"/>
          <w:szCs w:val="24"/>
        </w:rPr>
      </w:pPr>
    </w:p>
    <w:p w14:paraId="4B50ED7F" w14:textId="507B6866" w:rsidR="00B16A85" w:rsidRPr="00312E0F" w:rsidRDefault="00B16A85" w:rsidP="004B621C">
      <w:pPr>
        <w:spacing w:line="360" w:lineRule="auto"/>
        <w:jc w:val="both"/>
        <w:rPr>
          <w:rFonts w:ascii="Times New Roman" w:hAnsi="Times New Roman" w:cs="Times New Roman"/>
          <w:sz w:val="24"/>
          <w:szCs w:val="24"/>
        </w:rPr>
      </w:pPr>
      <w:r w:rsidRPr="00312E0F">
        <w:rPr>
          <w:rFonts w:ascii="Times New Roman" w:hAnsi="Times New Roman" w:cs="Times New Roman"/>
          <w:sz w:val="24"/>
          <w:szCs w:val="24"/>
        </w:rPr>
        <w:t xml:space="preserve">As seen in the table above, the most common depth of </w:t>
      </w:r>
      <w:proofErr w:type="spellStart"/>
      <w:r w:rsidRPr="00312E0F">
        <w:rPr>
          <w:rFonts w:ascii="Times New Roman" w:hAnsi="Times New Roman" w:cs="Times New Roman"/>
          <w:sz w:val="24"/>
          <w:szCs w:val="24"/>
        </w:rPr>
        <w:t>mentolabial</w:t>
      </w:r>
      <w:proofErr w:type="spellEnd"/>
      <w:r w:rsidRPr="00312E0F">
        <w:rPr>
          <w:rFonts w:ascii="Times New Roman" w:hAnsi="Times New Roman" w:cs="Times New Roman"/>
          <w:sz w:val="24"/>
          <w:szCs w:val="24"/>
        </w:rPr>
        <w:t xml:space="preserve"> sulcus in the 1</w:t>
      </w:r>
      <w:r w:rsidRPr="00312E0F">
        <w:rPr>
          <w:rFonts w:ascii="Times New Roman" w:hAnsi="Times New Roman" w:cs="Times New Roman"/>
          <w:sz w:val="24"/>
          <w:szCs w:val="24"/>
          <w:vertAlign w:val="superscript"/>
        </w:rPr>
        <w:t>st</w:t>
      </w:r>
      <w:r w:rsidRPr="00312E0F">
        <w:rPr>
          <w:rFonts w:ascii="Times New Roman" w:hAnsi="Times New Roman" w:cs="Times New Roman"/>
          <w:sz w:val="24"/>
          <w:szCs w:val="24"/>
        </w:rPr>
        <w:t xml:space="preserve"> child was the average depth. It was also seen that there was no significant association in the hereditary of </w:t>
      </w:r>
      <w:proofErr w:type="spellStart"/>
      <w:r w:rsidRPr="00312E0F">
        <w:rPr>
          <w:rFonts w:ascii="Times New Roman" w:hAnsi="Times New Roman" w:cs="Times New Roman"/>
          <w:sz w:val="24"/>
          <w:szCs w:val="24"/>
        </w:rPr>
        <w:t>mentolabial</w:t>
      </w:r>
      <w:proofErr w:type="spellEnd"/>
      <w:r w:rsidRPr="00312E0F">
        <w:rPr>
          <w:rFonts w:ascii="Times New Roman" w:hAnsi="Times New Roman" w:cs="Times New Roman"/>
          <w:sz w:val="24"/>
          <w:szCs w:val="24"/>
        </w:rPr>
        <w:t xml:space="preserve"> sulcus in the first child (p&gt;0.05).</w:t>
      </w:r>
    </w:p>
    <w:p w14:paraId="7AB3FF51" w14:textId="34D2DBD0" w:rsidR="00B16A85" w:rsidRDefault="00B16A85" w:rsidP="004B621C">
      <w:pPr>
        <w:spacing w:line="360" w:lineRule="auto"/>
        <w:jc w:val="both"/>
        <w:rPr>
          <w:rFonts w:ascii="Times New Roman" w:hAnsi="Times New Roman" w:cs="Times New Roman"/>
          <w:b/>
          <w:sz w:val="24"/>
          <w:szCs w:val="24"/>
        </w:rPr>
      </w:pPr>
      <w:r w:rsidRPr="00312E0F">
        <w:rPr>
          <w:rFonts w:ascii="Times New Roman" w:hAnsi="Times New Roman" w:cs="Times New Roman"/>
          <w:b/>
          <w:sz w:val="24"/>
          <w:szCs w:val="24"/>
        </w:rPr>
        <w:t>Table 4:</w:t>
      </w:r>
      <w:r w:rsidRPr="00312E0F">
        <w:rPr>
          <w:rFonts w:ascii="Times New Roman" w:hAnsi="Times New Roman" w:cs="Times New Roman"/>
          <w:b/>
          <w:sz w:val="24"/>
          <w:szCs w:val="24"/>
        </w:rPr>
        <w:tab/>
        <w:t xml:space="preserve">Hereditary of </w:t>
      </w:r>
      <w:proofErr w:type="spellStart"/>
      <w:r w:rsidRPr="00312E0F">
        <w:rPr>
          <w:rFonts w:ascii="Times New Roman" w:hAnsi="Times New Roman" w:cs="Times New Roman"/>
          <w:b/>
          <w:sz w:val="24"/>
          <w:szCs w:val="24"/>
        </w:rPr>
        <w:t>Mentolabial</w:t>
      </w:r>
      <w:proofErr w:type="spellEnd"/>
      <w:r w:rsidRPr="00312E0F">
        <w:rPr>
          <w:rFonts w:ascii="Times New Roman" w:hAnsi="Times New Roman" w:cs="Times New Roman"/>
          <w:b/>
          <w:sz w:val="24"/>
          <w:szCs w:val="24"/>
        </w:rPr>
        <w:t xml:space="preserve"> Sulcus in the 2nd Child</w:t>
      </w:r>
    </w:p>
    <w:p w14:paraId="51214848" w14:textId="77777777" w:rsidR="000B58F7" w:rsidRPr="00312E0F" w:rsidRDefault="000B58F7" w:rsidP="004B621C">
      <w:pPr>
        <w:spacing w:line="360" w:lineRule="auto"/>
        <w:jc w:val="both"/>
        <w:rPr>
          <w:rFonts w:ascii="Times New Roman" w:hAnsi="Times New Roman" w:cs="Times New Roman"/>
          <w:b/>
          <w:sz w:val="24"/>
          <w:szCs w:val="24"/>
        </w:rPr>
      </w:pPr>
    </w:p>
    <w:tbl>
      <w:tblPr>
        <w:tblStyle w:val="ListTable2"/>
        <w:tblW w:w="5000" w:type="pct"/>
        <w:tblInd w:w="0" w:type="dxa"/>
        <w:tblLook w:val="06A0" w:firstRow="1" w:lastRow="0" w:firstColumn="1" w:lastColumn="0" w:noHBand="1" w:noVBand="1"/>
      </w:tblPr>
      <w:tblGrid>
        <w:gridCol w:w="1505"/>
        <w:gridCol w:w="1503"/>
        <w:gridCol w:w="1504"/>
        <w:gridCol w:w="1504"/>
        <w:gridCol w:w="1506"/>
        <w:gridCol w:w="1504"/>
      </w:tblGrid>
      <w:tr w:rsidR="00B16A85" w:rsidRPr="00312E0F" w14:paraId="61E7339E" w14:textId="77777777" w:rsidTr="00601C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4" w:type="pct"/>
            <w:vMerge w:val="restart"/>
            <w:tcBorders>
              <w:top w:val="single" w:sz="4" w:space="0" w:color="666666" w:themeColor="text1" w:themeTint="99"/>
              <w:left w:val="nil"/>
              <w:bottom w:val="single" w:sz="4" w:space="0" w:color="666666" w:themeColor="text1" w:themeTint="99"/>
              <w:right w:val="nil"/>
            </w:tcBorders>
            <w:hideMark/>
          </w:tcPr>
          <w:p w14:paraId="6656D2FD" w14:textId="77777777" w:rsidR="00B16A85" w:rsidRPr="00312E0F" w:rsidRDefault="00B16A85" w:rsidP="004B621C">
            <w:pPr>
              <w:spacing w:line="360" w:lineRule="auto"/>
              <w:jc w:val="both"/>
              <w:rPr>
                <w:rFonts w:ascii="Times New Roman" w:hAnsi="Times New Roman" w:cs="Times New Roman"/>
                <w:sz w:val="24"/>
                <w:szCs w:val="24"/>
              </w:rPr>
            </w:pPr>
            <w:r w:rsidRPr="00312E0F">
              <w:rPr>
                <w:rFonts w:ascii="Times New Roman" w:hAnsi="Times New Roman" w:cs="Times New Roman"/>
                <w:sz w:val="24"/>
                <w:szCs w:val="24"/>
              </w:rPr>
              <w:t>Mother</w:t>
            </w:r>
          </w:p>
        </w:tc>
        <w:tc>
          <w:tcPr>
            <w:tcW w:w="833" w:type="pct"/>
            <w:vMerge w:val="restart"/>
            <w:tcBorders>
              <w:top w:val="single" w:sz="4" w:space="0" w:color="666666" w:themeColor="text1" w:themeTint="99"/>
              <w:left w:val="nil"/>
              <w:bottom w:val="single" w:sz="4" w:space="0" w:color="666666" w:themeColor="text1" w:themeTint="99"/>
              <w:right w:val="nil"/>
            </w:tcBorders>
            <w:hideMark/>
          </w:tcPr>
          <w:p w14:paraId="2BE92AD3" w14:textId="77777777" w:rsidR="00B16A85" w:rsidRPr="00312E0F" w:rsidRDefault="00B16A85" w:rsidP="004B621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Father</w:t>
            </w:r>
          </w:p>
        </w:tc>
        <w:tc>
          <w:tcPr>
            <w:tcW w:w="833" w:type="pct"/>
            <w:tcBorders>
              <w:top w:val="single" w:sz="4" w:space="0" w:color="666666" w:themeColor="text1" w:themeTint="99"/>
              <w:left w:val="nil"/>
              <w:bottom w:val="single" w:sz="4" w:space="0" w:color="666666" w:themeColor="text1" w:themeTint="99"/>
              <w:right w:val="nil"/>
            </w:tcBorders>
          </w:tcPr>
          <w:p w14:paraId="2B1C9E3F" w14:textId="77777777" w:rsidR="00B16A85" w:rsidRPr="00312E0F" w:rsidRDefault="00B16A85" w:rsidP="004B621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667" w:type="pct"/>
            <w:gridSpan w:val="2"/>
            <w:tcBorders>
              <w:top w:val="single" w:sz="4" w:space="0" w:color="666666" w:themeColor="text1" w:themeTint="99"/>
              <w:left w:val="nil"/>
              <w:bottom w:val="single" w:sz="4" w:space="0" w:color="666666" w:themeColor="text1" w:themeTint="99"/>
              <w:right w:val="nil"/>
            </w:tcBorders>
            <w:hideMark/>
          </w:tcPr>
          <w:p w14:paraId="03EF9635" w14:textId="77777777" w:rsidR="00B16A85" w:rsidRPr="00312E0F" w:rsidRDefault="00B16A85" w:rsidP="004B621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2nd Child</w:t>
            </w:r>
          </w:p>
        </w:tc>
        <w:tc>
          <w:tcPr>
            <w:tcW w:w="833" w:type="pct"/>
            <w:vMerge w:val="restart"/>
            <w:tcBorders>
              <w:top w:val="single" w:sz="4" w:space="0" w:color="666666" w:themeColor="text1" w:themeTint="99"/>
              <w:left w:val="nil"/>
              <w:bottom w:val="single" w:sz="4" w:space="0" w:color="666666" w:themeColor="text1" w:themeTint="99"/>
              <w:right w:val="nil"/>
            </w:tcBorders>
            <w:hideMark/>
          </w:tcPr>
          <w:p w14:paraId="19620F07" w14:textId="77777777" w:rsidR="00B16A85" w:rsidRPr="00312E0F" w:rsidRDefault="00B16A85" w:rsidP="004B621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P value</w:t>
            </w:r>
          </w:p>
        </w:tc>
      </w:tr>
      <w:tr w:rsidR="00B16A85" w:rsidRPr="00312E0F" w14:paraId="51596FEA" w14:textId="77777777" w:rsidTr="00601CA9">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666666" w:themeColor="text1" w:themeTint="99"/>
              <w:left w:val="nil"/>
              <w:bottom w:val="single" w:sz="4" w:space="0" w:color="666666" w:themeColor="text1" w:themeTint="99"/>
              <w:right w:val="nil"/>
            </w:tcBorders>
            <w:vAlign w:val="center"/>
            <w:hideMark/>
          </w:tcPr>
          <w:p w14:paraId="7DB41773" w14:textId="77777777" w:rsidR="00B16A85" w:rsidRPr="00312E0F" w:rsidRDefault="00B16A85" w:rsidP="004B621C">
            <w:pPr>
              <w:spacing w:line="360" w:lineRule="auto"/>
              <w:jc w:val="both"/>
              <w:rPr>
                <w:rFonts w:ascii="Times New Roman" w:hAnsi="Times New Roman" w:cs="Times New Roman"/>
                <w:sz w:val="24"/>
                <w:szCs w:val="24"/>
              </w:rPr>
            </w:pPr>
          </w:p>
        </w:tc>
        <w:tc>
          <w:tcPr>
            <w:tcW w:w="0" w:type="auto"/>
            <w:vMerge/>
            <w:tcBorders>
              <w:top w:val="single" w:sz="4" w:space="0" w:color="666666" w:themeColor="text1" w:themeTint="99"/>
              <w:left w:val="nil"/>
              <w:bottom w:val="single" w:sz="4" w:space="0" w:color="666666" w:themeColor="text1" w:themeTint="99"/>
              <w:right w:val="nil"/>
            </w:tcBorders>
            <w:vAlign w:val="center"/>
            <w:hideMark/>
          </w:tcPr>
          <w:p w14:paraId="00F49BEE"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833" w:type="pct"/>
            <w:tcBorders>
              <w:top w:val="single" w:sz="4" w:space="0" w:color="666666" w:themeColor="text1" w:themeTint="99"/>
              <w:left w:val="nil"/>
              <w:bottom w:val="single" w:sz="4" w:space="0" w:color="666666" w:themeColor="text1" w:themeTint="99"/>
              <w:right w:val="nil"/>
            </w:tcBorders>
            <w:hideMark/>
          </w:tcPr>
          <w:p w14:paraId="430EA465"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312E0F">
              <w:rPr>
                <w:rFonts w:ascii="Times New Roman" w:hAnsi="Times New Roman" w:cs="Times New Roman"/>
                <w:b/>
                <w:sz w:val="24"/>
                <w:szCs w:val="24"/>
              </w:rPr>
              <w:t>Average</w:t>
            </w:r>
          </w:p>
        </w:tc>
        <w:tc>
          <w:tcPr>
            <w:tcW w:w="833" w:type="pct"/>
            <w:tcBorders>
              <w:top w:val="single" w:sz="4" w:space="0" w:color="666666" w:themeColor="text1" w:themeTint="99"/>
              <w:left w:val="nil"/>
              <w:bottom w:val="single" w:sz="4" w:space="0" w:color="666666" w:themeColor="text1" w:themeTint="99"/>
              <w:right w:val="nil"/>
            </w:tcBorders>
            <w:hideMark/>
          </w:tcPr>
          <w:p w14:paraId="23C5939B"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312E0F">
              <w:rPr>
                <w:rFonts w:ascii="Times New Roman" w:hAnsi="Times New Roman" w:cs="Times New Roman"/>
                <w:b/>
                <w:sz w:val="24"/>
                <w:szCs w:val="24"/>
              </w:rPr>
              <w:t>Deep</w:t>
            </w:r>
          </w:p>
        </w:tc>
        <w:tc>
          <w:tcPr>
            <w:tcW w:w="834" w:type="pct"/>
            <w:tcBorders>
              <w:top w:val="single" w:sz="4" w:space="0" w:color="666666" w:themeColor="text1" w:themeTint="99"/>
              <w:left w:val="nil"/>
              <w:bottom w:val="single" w:sz="4" w:space="0" w:color="666666" w:themeColor="text1" w:themeTint="99"/>
              <w:right w:val="nil"/>
            </w:tcBorders>
            <w:hideMark/>
          </w:tcPr>
          <w:p w14:paraId="6DBC693D"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312E0F">
              <w:rPr>
                <w:rFonts w:ascii="Times New Roman" w:hAnsi="Times New Roman" w:cs="Times New Roman"/>
                <w:b/>
                <w:sz w:val="24"/>
                <w:szCs w:val="24"/>
              </w:rPr>
              <w:t>Shallow</w:t>
            </w:r>
          </w:p>
        </w:tc>
        <w:tc>
          <w:tcPr>
            <w:tcW w:w="0" w:type="auto"/>
            <w:vMerge/>
            <w:tcBorders>
              <w:top w:val="single" w:sz="4" w:space="0" w:color="666666" w:themeColor="text1" w:themeTint="99"/>
              <w:left w:val="nil"/>
              <w:bottom w:val="single" w:sz="4" w:space="0" w:color="666666" w:themeColor="text1" w:themeTint="99"/>
              <w:right w:val="nil"/>
            </w:tcBorders>
            <w:vAlign w:val="center"/>
            <w:hideMark/>
          </w:tcPr>
          <w:p w14:paraId="701E3162"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r w:rsidR="00B16A85" w:rsidRPr="00312E0F" w14:paraId="6BFC35D3" w14:textId="77777777" w:rsidTr="00601CA9">
        <w:tc>
          <w:tcPr>
            <w:cnfStyle w:val="001000000000" w:firstRow="0" w:lastRow="0" w:firstColumn="1" w:lastColumn="0" w:oddVBand="0" w:evenVBand="0" w:oddHBand="0" w:evenHBand="0" w:firstRowFirstColumn="0" w:firstRowLastColumn="0" w:lastRowFirstColumn="0" w:lastRowLastColumn="0"/>
            <w:tcW w:w="834" w:type="pct"/>
            <w:tcBorders>
              <w:top w:val="single" w:sz="4" w:space="0" w:color="666666" w:themeColor="text1" w:themeTint="99"/>
              <w:left w:val="nil"/>
              <w:bottom w:val="single" w:sz="4" w:space="0" w:color="666666" w:themeColor="text1" w:themeTint="99"/>
              <w:right w:val="nil"/>
            </w:tcBorders>
            <w:hideMark/>
          </w:tcPr>
          <w:p w14:paraId="6F2752D3" w14:textId="77777777" w:rsidR="00B16A85" w:rsidRPr="00312E0F" w:rsidRDefault="00B16A85" w:rsidP="004B621C">
            <w:pPr>
              <w:spacing w:line="360" w:lineRule="auto"/>
              <w:jc w:val="both"/>
              <w:rPr>
                <w:rFonts w:ascii="Times New Roman" w:hAnsi="Times New Roman" w:cs="Times New Roman"/>
                <w:sz w:val="24"/>
                <w:szCs w:val="24"/>
              </w:rPr>
            </w:pPr>
            <w:r w:rsidRPr="00312E0F">
              <w:rPr>
                <w:rFonts w:ascii="Times New Roman" w:hAnsi="Times New Roman" w:cs="Times New Roman"/>
                <w:sz w:val="24"/>
                <w:szCs w:val="24"/>
              </w:rPr>
              <w:t>Average</w:t>
            </w:r>
          </w:p>
        </w:tc>
        <w:tc>
          <w:tcPr>
            <w:tcW w:w="833" w:type="pct"/>
            <w:tcBorders>
              <w:top w:val="single" w:sz="4" w:space="0" w:color="666666" w:themeColor="text1" w:themeTint="99"/>
              <w:left w:val="nil"/>
              <w:bottom w:val="single" w:sz="4" w:space="0" w:color="666666" w:themeColor="text1" w:themeTint="99"/>
              <w:right w:val="nil"/>
            </w:tcBorders>
            <w:hideMark/>
          </w:tcPr>
          <w:p w14:paraId="52A15B4B"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Average</w:t>
            </w:r>
          </w:p>
          <w:p w14:paraId="133822CB"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Deep</w:t>
            </w:r>
          </w:p>
          <w:p w14:paraId="6B9B715A"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Shallow</w:t>
            </w:r>
          </w:p>
        </w:tc>
        <w:tc>
          <w:tcPr>
            <w:tcW w:w="833" w:type="pct"/>
            <w:tcBorders>
              <w:top w:val="single" w:sz="4" w:space="0" w:color="666666" w:themeColor="text1" w:themeTint="99"/>
              <w:left w:val="nil"/>
              <w:bottom w:val="single" w:sz="4" w:space="0" w:color="666666" w:themeColor="text1" w:themeTint="99"/>
              <w:right w:val="nil"/>
            </w:tcBorders>
            <w:hideMark/>
          </w:tcPr>
          <w:p w14:paraId="45587EF5"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37 (71.2%)</w:t>
            </w:r>
          </w:p>
          <w:p w14:paraId="6F0B612E"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7 (13.5%)</w:t>
            </w:r>
          </w:p>
          <w:p w14:paraId="229C1C4C"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8 (15.4%)</w:t>
            </w:r>
          </w:p>
        </w:tc>
        <w:tc>
          <w:tcPr>
            <w:tcW w:w="833" w:type="pct"/>
            <w:tcBorders>
              <w:top w:val="single" w:sz="4" w:space="0" w:color="666666" w:themeColor="text1" w:themeTint="99"/>
              <w:left w:val="nil"/>
              <w:bottom w:val="single" w:sz="4" w:space="0" w:color="666666" w:themeColor="text1" w:themeTint="99"/>
              <w:right w:val="nil"/>
            </w:tcBorders>
            <w:hideMark/>
          </w:tcPr>
          <w:p w14:paraId="59F64961"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4 (40%)</w:t>
            </w:r>
          </w:p>
          <w:p w14:paraId="5869E9CD"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6 (60%)</w:t>
            </w:r>
          </w:p>
          <w:p w14:paraId="723B35F6"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0 (0%)</w:t>
            </w:r>
          </w:p>
        </w:tc>
        <w:tc>
          <w:tcPr>
            <w:tcW w:w="834" w:type="pct"/>
            <w:tcBorders>
              <w:top w:val="single" w:sz="4" w:space="0" w:color="666666" w:themeColor="text1" w:themeTint="99"/>
              <w:left w:val="nil"/>
              <w:bottom w:val="single" w:sz="4" w:space="0" w:color="666666" w:themeColor="text1" w:themeTint="99"/>
              <w:right w:val="nil"/>
            </w:tcBorders>
            <w:hideMark/>
          </w:tcPr>
          <w:p w14:paraId="64920C0F"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7 (33.3%)</w:t>
            </w:r>
          </w:p>
          <w:p w14:paraId="51E598A7"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3 (14.3%)</w:t>
            </w:r>
          </w:p>
          <w:p w14:paraId="701E2C83"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11 (52.4%)</w:t>
            </w:r>
          </w:p>
        </w:tc>
        <w:tc>
          <w:tcPr>
            <w:tcW w:w="833" w:type="pct"/>
            <w:tcBorders>
              <w:top w:val="single" w:sz="4" w:space="0" w:color="666666" w:themeColor="text1" w:themeTint="99"/>
              <w:left w:val="nil"/>
              <w:bottom w:val="single" w:sz="4" w:space="0" w:color="666666" w:themeColor="text1" w:themeTint="99"/>
              <w:right w:val="nil"/>
            </w:tcBorders>
            <w:vAlign w:val="center"/>
            <w:hideMark/>
          </w:tcPr>
          <w:p w14:paraId="509E825E"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0.730</w:t>
            </w:r>
          </w:p>
        </w:tc>
      </w:tr>
      <w:tr w:rsidR="00B16A85" w:rsidRPr="00312E0F" w14:paraId="7E739F9E" w14:textId="77777777" w:rsidTr="00601CA9">
        <w:tc>
          <w:tcPr>
            <w:cnfStyle w:val="001000000000" w:firstRow="0" w:lastRow="0" w:firstColumn="1" w:lastColumn="0" w:oddVBand="0" w:evenVBand="0" w:oddHBand="0" w:evenHBand="0" w:firstRowFirstColumn="0" w:firstRowLastColumn="0" w:lastRowFirstColumn="0" w:lastRowLastColumn="0"/>
            <w:tcW w:w="834" w:type="pct"/>
            <w:tcBorders>
              <w:top w:val="single" w:sz="4" w:space="0" w:color="666666" w:themeColor="text1" w:themeTint="99"/>
              <w:left w:val="nil"/>
              <w:bottom w:val="single" w:sz="4" w:space="0" w:color="666666" w:themeColor="text1" w:themeTint="99"/>
              <w:right w:val="nil"/>
            </w:tcBorders>
            <w:hideMark/>
          </w:tcPr>
          <w:p w14:paraId="45A9CC26" w14:textId="77777777" w:rsidR="00B16A85" w:rsidRPr="00312E0F" w:rsidRDefault="00B16A85" w:rsidP="004B621C">
            <w:pPr>
              <w:spacing w:line="360" w:lineRule="auto"/>
              <w:jc w:val="both"/>
              <w:rPr>
                <w:rFonts w:ascii="Times New Roman" w:hAnsi="Times New Roman" w:cs="Times New Roman"/>
                <w:sz w:val="24"/>
                <w:szCs w:val="24"/>
              </w:rPr>
            </w:pPr>
            <w:r w:rsidRPr="00312E0F">
              <w:rPr>
                <w:rFonts w:ascii="Times New Roman" w:hAnsi="Times New Roman" w:cs="Times New Roman"/>
                <w:sz w:val="24"/>
                <w:szCs w:val="24"/>
              </w:rPr>
              <w:t>Deep</w:t>
            </w:r>
          </w:p>
        </w:tc>
        <w:tc>
          <w:tcPr>
            <w:tcW w:w="833" w:type="pct"/>
            <w:tcBorders>
              <w:top w:val="single" w:sz="4" w:space="0" w:color="666666" w:themeColor="text1" w:themeTint="99"/>
              <w:left w:val="nil"/>
              <w:bottom w:val="single" w:sz="4" w:space="0" w:color="666666" w:themeColor="text1" w:themeTint="99"/>
              <w:right w:val="nil"/>
            </w:tcBorders>
            <w:hideMark/>
          </w:tcPr>
          <w:p w14:paraId="1E09A83F"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Average</w:t>
            </w:r>
          </w:p>
          <w:p w14:paraId="73883593"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Deep</w:t>
            </w:r>
          </w:p>
          <w:p w14:paraId="4B7C4D8D"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Shallow</w:t>
            </w:r>
          </w:p>
        </w:tc>
        <w:tc>
          <w:tcPr>
            <w:tcW w:w="833" w:type="pct"/>
            <w:tcBorders>
              <w:top w:val="single" w:sz="4" w:space="0" w:color="666666" w:themeColor="text1" w:themeTint="99"/>
              <w:left w:val="nil"/>
              <w:bottom w:val="single" w:sz="4" w:space="0" w:color="666666" w:themeColor="text1" w:themeTint="99"/>
              <w:right w:val="nil"/>
            </w:tcBorders>
            <w:hideMark/>
          </w:tcPr>
          <w:p w14:paraId="7AB7EB84"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8 (88.9%)</w:t>
            </w:r>
          </w:p>
          <w:p w14:paraId="7CD32A39"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0 (0%)</w:t>
            </w:r>
          </w:p>
          <w:p w14:paraId="4C07D5E6"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1 (11.1%)</w:t>
            </w:r>
          </w:p>
        </w:tc>
        <w:tc>
          <w:tcPr>
            <w:tcW w:w="833" w:type="pct"/>
            <w:tcBorders>
              <w:top w:val="single" w:sz="4" w:space="0" w:color="666666" w:themeColor="text1" w:themeTint="99"/>
              <w:left w:val="nil"/>
              <w:bottom w:val="single" w:sz="4" w:space="0" w:color="666666" w:themeColor="text1" w:themeTint="99"/>
              <w:right w:val="nil"/>
            </w:tcBorders>
            <w:hideMark/>
          </w:tcPr>
          <w:p w14:paraId="63A5C8DF"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4 (57.1%)</w:t>
            </w:r>
          </w:p>
          <w:p w14:paraId="6A17F790"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0 (0%)</w:t>
            </w:r>
          </w:p>
          <w:p w14:paraId="34814660"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3 (42.9%)</w:t>
            </w:r>
          </w:p>
        </w:tc>
        <w:tc>
          <w:tcPr>
            <w:tcW w:w="834" w:type="pct"/>
            <w:tcBorders>
              <w:top w:val="single" w:sz="4" w:space="0" w:color="666666" w:themeColor="text1" w:themeTint="99"/>
              <w:left w:val="nil"/>
              <w:bottom w:val="single" w:sz="4" w:space="0" w:color="666666" w:themeColor="text1" w:themeTint="99"/>
              <w:right w:val="nil"/>
            </w:tcBorders>
            <w:hideMark/>
          </w:tcPr>
          <w:p w14:paraId="5E759C67"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0 (0%)</w:t>
            </w:r>
          </w:p>
          <w:p w14:paraId="60FDF8DA"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3 (33.3%)</w:t>
            </w:r>
          </w:p>
          <w:p w14:paraId="0A40B072"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6 (66.7%)</w:t>
            </w:r>
          </w:p>
        </w:tc>
        <w:tc>
          <w:tcPr>
            <w:tcW w:w="833" w:type="pct"/>
            <w:tcBorders>
              <w:top w:val="single" w:sz="4" w:space="0" w:color="666666" w:themeColor="text1" w:themeTint="99"/>
              <w:left w:val="nil"/>
              <w:bottom w:val="single" w:sz="4" w:space="0" w:color="666666" w:themeColor="text1" w:themeTint="99"/>
              <w:right w:val="nil"/>
            </w:tcBorders>
            <w:vAlign w:val="center"/>
            <w:hideMark/>
          </w:tcPr>
          <w:p w14:paraId="6EBDB272"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0.128</w:t>
            </w:r>
          </w:p>
        </w:tc>
      </w:tr>
      <w:tr w:rsidR="00B16A85" w:rsidRPr="00312E0F" w14:paraId="5C813DB9" w14:textId="77777777" w:rsidTr="00601CA9">
        <w:tc>
          <w:tcPr>
            <w:cnfStyle w:val="001000000000" w:firstRow="0" w:lastRow="0" w:firstColumn="1" w:lastColumn="0" w:oddVBand="0" w:evenVBand="0" w:oddHBand="0" w:evenHBand="0" w:firstRowFirstColumn="0" w:firstRowLastColumn="0" w:lastRowFirstColumn="0" w:lastRowLastColumn="0"/>
            <w:tcW w:w="834" w:type="pct"/>
            <w:tcBorders>
              <w:top w:val="single" w:sz="4" w:space="0" w:color="666666" w:themeColor="text1" w:themeTint="99"/>
              <w:left w:val="nil"/>
              <w:bottom w:val="single" w:sz="4" w:space="0" w:color="666666" w:themeColor="text1" w:themeTint="99"/>
              <w:right w:val="nil"/>
            </w:tcBorders>
            <w:hideMark/>
          </w:tcPr>
          <w:p w14:paraId="34BF794B" w14:textId="77777777" w:rsidR="00B16A85" w:rsidRPr="00312E0F" w:rsidRDefault="00B16A85" w:rsidP="004B621C">
            <w:pPr>
              <w:spacing w:line="360" w:lineRule="auto"/>
              <w:jc w:val="both"/>
              <w:rPr>
                <w:rFonts w:ascii="Times New Roman" w:hAnsi="Times New Roman" w:cs="Times New Roman"/>
                <w:sz w:val="24"/>
                <w:szCs w:val="24"/>
              </w:rPr>
            </w:pPr>
            <w:r w:rsidRPr="00312E0F">
              <w:rPr>
                <w:rFonts w:ascii="Times New Roman" w:hAnsi="Times New Roman" w:cs="Times New Roman"/>
                <w:sz w:val="24"/>
                <w:szCs w:val="24"/>
              </w:rPr>
              <w:t>Shallow</w:t>
            </w:r>
          </w:p>
        </w:tc>
        <w:tc>
          <w:tcPr>
            <w:tcW w:w="833" w:type="pct"/>
            <w:tcBorders>
              <w:top w:val="single" w:sz="4" w:space="0" w:color="666666" w:themeColor="text1" w:themeTint="99"/>
              <w:left w:val="nil"/>
              <w:bottom w:val="single" w:sz="4" w:space="0" w:color="666666" w:themeColor="text1" w:themeTint="99"/>
              <w:right w:val="nil"/>
            </w:tcBorders>
            <w:hideMark/>
          </w:tcPr>
          <w:p w14:paraId="309D06B1"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Average</w:t>
            </w:r>
          </w:p>
          <w:p w14:paraId="131682FB"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Deep</w:t>
            </w:r>
          </w:p>
          <w:p w14:paraId="61AB8005"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Shallow</w:t>
            </w:r>
          </w:p>
        </w:tc>
        <w:tc>
          <w:tcPr>
            <w:tcW w:w="833" w:type="pct"/>
            <w:tcBorders>
              <w:top w:val="single" w:sz="4" w:space="0" w:color="666666" w:themeColor="text1" w:themeTint="99"/>
              <w:left w:val="nil"/>
              <w:bottom w:val="single" w:sz="4" w:space="0" w:color="666666" w:themeColor="text1" w:themeTint="99"/>
              <w:right w:val="nil"/>
            </w:tcBorders>
            <w:hideMark/>
          </w:tcPr>
          <w:p w14:paraId="0B5B196F"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16 (80.0%)</w:t>
            </w:r>
          </w:p>
          <w:p w14:paraId="40EB7417"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2 (10.0%)</w:t>
            </w:r>
          </w:p>
          <w:p w14:paraId="23D17C1C"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2 (10%)</w:t>
            </w:r>
          </w:p>
        </w:tc>
        <w:tc>
          <w:tcPr>
            <w:tcW w:w="833" w:type="pct"/>
            <w:tcBorders>
              <w:top w:val="single" w:sz="4" w:space="0" w:color="666666" w:themeColor="text1" w:themeTint="99"/>
              <w:left w:val="nil"/>
              <w:bottom w:val="single" w:sz="4" w:space="0" w:color="666666" w:themeColor="text1" w:themeTint="99"/>
              <w:right w:val="nil"/>
            </w:tcBorders>
            <w:hideMark/>
          </w:tcPr>
          <w:p w14:paraId="36930B46"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0 (0.0%)</w:t>
            </w:r>
          </w:p>
          <w:p w14:paraId="422452BF"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1 (100%)</w:t>
            </w:r>
          </w:p>
          <w:p w14:paraId="06874CD2"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0 (0%)</w:t>
            </w:r>
          </w:p>
        </w:tc>
        <w:tc>
          <w:tcPr>
            <w:tcW w:w="834" w:type="pct"/>
            <w:tcBorders>
              <w:top w:val="single" w:sz="4" w:space="0" w:color="666666" w:themeColor="text1" w:themeTint="99"/>
              <w:left w:val="nil"/>
              <w:bottom w:val="single" w:sz="4" w:space="0" w:color="666666" w:themeColor="text1" w:themeTint="99"/>
              <w:right w:val="nil"/>
            </w:tcBorders>
            <w:hideMark/>
          </w:tcPr>
          <w:p w14:paraId="0F9AC931"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10 (47.6%)</w:t>
            </w:r>
          </w:p>
          <w:p w14:paraId="4025196B"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4 (19%)</w:t>
            </w:r>
          </w:p>
          <w:p w14:paraId="6A4CF5AF"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7 (33.3%)</w:t>
            </w:r>
          </w:p>
        </w:tc>
        <w:tc>
          <w:tcPr>
            <w:tcW w:w="833" w:type="pct"/>
            <w:tcBorders>
              <w:top w:val="single" w:sz="4" w:space="0" w:color="666666" w:themeColor="text1" w:themeTint="99"/>
              <w:left w:val="nil"/>
              <w:bottom w:val="single" w:sz="4" w:space="0" w:color="666666" w:themeColor="text1" w:themeTint="99"/>
              <w:right w:val="nil"/>
            </w:tcBorders>
            <w:vAlign w:val="center"/>
            <w:hideMark/>
          </w:tcPr>
          <w:p w14:paraId="257A3648"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0.447</w:t>
            </w:r>
          </w:p>
        </w:tc>
      </w:tr>
      <w:tr w:rsidR="00B16A85" w:rsidRPr="00312E0F" w14:paraId="4FEDE158" w14:textId="77777777" w:rsidTr="00601CA9">
        <w:tc>
          <w:tcPr>
            <w:cnfStyle w:val="001000000000" w:firstRow="0" w:lastRow="0" w:firstColumn="1" w:lastColumn="0" w:oddVBand="0" w:evenVBand="0" w:oddHBand="0" w:evenHBand="0" w:firstRowFirstColumn="0" w:firstRowLastColumn="0" w:lastRowFirstColumn="0" w:lastRowLastColumn="0"/>
            <w:tcW w:w="1666" w:type="pct"/>
            <w:gridSpan w:val="2"/>
            <w:tcBorders>
              <w:top w:val="single" w:sz="4" w:space="0" w:color="666666" w:themeColor="text1" w:themeTint="99"/>
              <w:left w:val="nil"/>
              <w:bottom w:val="single" w:sz="4" w:space="0" w:color="666666" w:themeColor="text1" w:themeTint="99"/>
              <w:right w:val="nil"/>
            </w:tcBorders>
            <w:hideMark/>
          </w:tcPr>
          <w:p w14:paraId="6529CCAE" w14:textId="77777777" w:rsidR="00B16A85" w:rsidRPr="00312E0F" w:rsidRDefault="00B16A85" w:rsidP="004B621C">
            <w:pPr>
              <w:spacing w:line="360" w:lineRule="auto"/>
              <w:jc w:val="both"/>
              <w:rPr>
                <w:rFonts w:ascii="Times New Roman" w:hAnsi="Times New Roman" w:cs="Times New Roman"/>
                <w:sz w:val="24"/>
                <w:szCs w:val="24"/>
              </w:rPr>
            </w:pPr>
            <w:r w:rsidRPr="00312E0F">
              <w:rPr>
                <w:rFonts w:ascii="Times New Roman" w:hAnsi="Times New Roman" w:cs="Times New Roman"/>
                <w:sz w:val="24"/>
                <w:szCs w:val="24"/>
              </w:rPr>
              <w:t>Total</w:t>
            </w:r>
          </w:p>
        </w:tc>
        <w:tc>
          <w:tcPr>
            <w:tcW w:w="833" w:type="pct"/>
            <w:tcBorders>
              <w:top w:val="single" w:sz="4" w:space="0" w:color="666666" w:themeColor="text1" w:themeTint="99"/>
              <w:left w:val="nil"/>
              <w:bottom w:val="single" w:sz="4" w:space="0" w:color="666666" w:themeColor="text1" w:themeTint="99"/>
              <w:right w:val="nil"/>
            </w:tcBorders>
            <w:hideMark/>
          </w:tcPr>
          <w:p w14:paraId="0F9E0D53"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81</w:t>
            </w:r>
          </w:p>
        </w:tc>
        <w:tc>
          <w:tcPr>
            <w:tcW w:w="833" w:type="pct"/>
            <w:tcBorders>
              <w:top w:val="single" w:sz="4" w:space="0" w:color="666666" w:themeColor="text1" w:themeTint="99"/>
              <w:left w:val="nil"/>
              <w:bottom w:val="single" w:sz="4" w:space="0" w:color="666666" w:themeColor="text1" w:themeTint="99"/>
              <w:right w:val="nil"/>
            </w:tcBorders>
            <w:hideMark/>
          </w:tcPr>
          <w:p w14:paraId="3D71E206"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18</w:t>
            </w:r>
          </w:p>
        </w:tc>
        <w:tc>
          <w:tcPr>
            <w:tcW w:w="834" w:type="pct"/>
            <w:tcBorders>
              <w:top w:val="single" w:sz="4" w:space="0" w:color="666666" w:themeColor="text1" w:themeTint="99"/>
              <w:left w:val="nil"/>
              <w:bottom w:val="single" w:sz="4" w:space="0" w:color="666666" w:themeColor="text1" w:themeTint="99"/>
              <w:right w:val="nil"/>
            </w:tcBorders>
            <w:hideMark/>
          </w:tcPr>
          <w:p w14:paraId="54F8D4D9"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51</w:t>
            </w:r>
          </w:p>
        </w:tc>
        <w:tc>
          <w:tcPr>
            <w:tcW w:w="833" w:type="pct"/>
            <w:tcBorders>
              <w:top w:val="single" w:sz="4" w:space="0" w:color="666666" w:themeColor="text1" w:themeTint="99"/>
              <w:left w:val="nil"/>
              <w:bottom w:val="single" w:sz="4" w:space="0" w:color="666666" w:themeColor="text1" w:themeTint="99"/>
              <w:right w:val="nil"/>
            </w:tcBorders>
            <w:vAlign w:val="center"/>
            <w:hideMark/>
          </w:tcPr>
          <w:p w14:paraId="690A6C69"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0.447</w:t>
            </w:r>
          </w:p>
        </w:tc>
      </w:tr>
    </w:tbl>
    <w:p w14:paraId="73EAC7B4" w14:textId="77777777" w:rsidR="00B16A85" w:rsidRPr="00312E0F" w:rsidRDefault="00B16A85" w:rsidP="004B621C">
      <w:pPr>
        <w:spacing w:after="0" w:line="360" w:lineRule="auto"/>
        <w:jc w:val="both"/>
        <w:rPr>
          <w:rFonts w:ascii="Times New Roman" w:hAnsi="Times New Roman" w:cs="Times New Roman"/>
          <w:sz w:val="24"/>
          <w:szCs w:val="24"/>
        </w:rPr>
      </w:pPr>
    </w:p>
    <w:p w14:paraId="3D4B57D1" w14:textId="0CBF2DDF" w:rsidR="00B16A85" w:rsidRPr="000B58F7" w:rsidRDefault="00B16A85" w:rsidP="004B621C">
      <w:pPr>
        <w:spacing w:line="360" w:lineRule="auto"/>
        <w:jc w:val="both"/>
        <w:rPr>
          <w:rFonts w:ascii="Times New Roman" w:hAnsi="Times New Roman" w:cs="Times New Roman"/>
          <w:sz w:val="24"/>
          <w:szCs w:val="24"/>
        </w:rPr>
      </w:pPr>
      <w:r w:rsidRPr="00312E0F">
        <w:rPr>
          <w:rFonts w:ascii="Times New Roman" w:hAnsi="Times New Roman" w:cs="Times New Roman"/>
          <w:sz w:val="24"/>
          <w:szCs w:val="24"/>
        </w:rPr>
        <w:t xml:space="preserve">As seen in the table above, the most common depth of </w:t>
      </w:r>
      <w:proofErr w:type="spellStart"/>
      <w:r w:rsidRPr="00312E0F">
        <w:rPr>
          <w:rFonts w:ascii="Times New Roman" w:hAnsi="Times New Roman" w:cs="Times New Roman"/>
          <w:sz w:val="24"/>
          <w:szCs w:val="24"/>
        </w:rPr>
        <w:t>mentolabial</w:t>
      </w:r>
      <w:proofErr w:type="spellEnd"/>
      <w:r w:rsidRPr="00312E0F">
        <w:rPr>
          <w:rFonts w:ascii="Times New Roman" w:hAnsi="Times New Roman" w:cs="Times New Roman"/>
          <w:sz w:val="24"/>
          <w:szCs w:val="24"/>
        </w:rPr>
        <w:t xml:space="preserve"> sulcus in the 2nd child was the average depth. It was also seen that there was no significant association in the hereditary of </w:t>
      </w:r>
      <w:proofErr w:type="spellStart"/>
      <w:r w:rsidRPr="00312E0F">
        <w:rPr>
          <w:rFonts w:ascii="Times New Roman" w:hAnsi="Times New Roman" w:cs="Times New Roman"/>
          <w:sz w:val="24"/>
          <w:szCs w:val="24"/>
        </w:rPr>
        <w:t>mentolabial</w:t>
      </w:r>
      <w:proofErr w:type="spellEnd"/>
      <w:r w:rsidRPr="00312E0F">
        <w:rPr>
          <w:rFonts w:ascii="Times New Roman" w:hAnsi="Times New Roman" w:cs="Times New Roman"/>
          <w:sz w:val="24"/>
          <w:szCs w:val="24"/>
        </w:rPr>
        <w:t xml:space="preserve"> sulcus in the second child (p&gt;0.05).</w:t>
      </w:r>
    </w:p>
    <w:p w14:paraId="0E74D2E8" w14:textId="0DB8DDB9" w:rsidR="00B16A85" w:rsidRDefault="00B16A85" w:rsidP="004B621C">
      <w:pPr>
        <w:spacing w:line="360" w:lineRule="auto"/>
        <w:jc w:val="both"/>
        <w:rPr>
          <w:rFonts w:ascii="Times New Roman" w:hAnsi="Times New Roman" w:cs="Times New Roman"/>
          <w:b/>
          <w:sz w:val="24"/>
          <w:szCs w:val="24"/>
        </w:rPr>
      </w:pPr>
      <w:r w:rsidRPr="00312E0F">
        <w:rPr>
          <w:rFonts w:ascii="Times New Roman" w:hAnsi="Times New Roman" w:cs="Times New Roman"/>
          <w:b/>
          <w:sz w:val="24"/>
          <w:szCs w:val="24"/>
        </w:rPr>
        <w:t>Table 5:</w:t>
      </w:r>
      <w:r w:rsidRPr="00312E0F">
        <w:rPr>
          <w:rFonts w:ascii="Times New Roman" w:hAnsi="Times New Roman" w:cs="Times New Roman"/>
          <w:b/>
          <w:sz w:val="24"/>
          <w:szCs w:val="24"/>
        </w:rPr>
        <w:tab/>
        <w:t>Hereditary of Philtrum in the 1st Child</w:t>
      </w:r>
    </w:p>
    <w:p w14:paraId="1DECDC42" w14:textId="77777777" w:rsidR="000B58F7" w:rsidRPr="00312E0F" w:rsidRDefault="000B58F7" w:rsidP="004B621C">
      <w:pPr>
        <w:spacing w:line="360" w:lineRule="auto"/>
        <w:jc w:val="both"/>
        <w:rPr>
          <w:rFonts w:ascii="Times New Roman" w:hAnsi="Times New Roman" w:cs="Times New Roman"/>
          <w:b/>
          <w:sz w:val="24"/>
          <w:szCs w:val="24"/>
        </w:rPr>
      </w:pPr>
    </w:p>
    <w:tbl>
      <w:tblPr>
        <w:tblStyle w:val="ListTable2"/>
        <w:tblW w:w="5000" w:type="pct"/>
        <w:tblInd w:w="0" w:type="dxa"/>
        <w:tblLook w:val="06A0" w:firstRow="1" w:lastRow="0" w:firstColumn="1" w:lastColumn="0" w:noHBand="1" w:noVBand="1"/>
      </w:tblPr>
      <w:tblGrid>
        <w:gridCol w:w="1806"/>
        <w:gridCol w:w="1803"/>
        <w:gridCol w:w="1805"/>
        <w:gridCol w:w="1807"/>
        <w:gridCol w:w="1805"/>
      </w:tblGrid>
      <w:tr w:rsidR="00B16A85" w:rsidRPr="00312E0F" w14:paraId="2F5E3F61" w14:textId="77777777" w:rsidTr="00601C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vMerge w:val="restart"/>
            <w:tcBorders>
              <w:top w:val="single" w:sz="4" w:space="0" w:color="666666" w:themeColor="text1" w:themeTint="99"/>
              <w:left w:val="nil"/>
              <w:bottom w:val="single" w:sz="4" w:space="0" w:color="666666" w:themeColor="text1" w:themeTint="99"/>
              <w:right w:val="nil"/>
            </w:tcBorders>
            <w:hideMark/>
          </w:tcPr>
          <w:p w14:paraId="32CBC9ED" w14:textId="77777777" w:rsidR="00B16A85" w:rsidRPr="00312E0F" w:rsidRDefault="00B16A85" w:rsidP="004B621C">
            <w:pPr>
              <w:spacing w:line="360" w:lineRule="auto"/>
              <w:jc w:val="both"/>
              <w:rPr>
                <w:rFonts w:ascii="Times New Roman" w:hAnsi="Times New Roman" w:cs="Times New Roman"/>
                <w:sz w:val="24"/>
                <w:szCs w:val="24"/>
              </w:rPr>
            </w:pPr>
            <w:r w:rsidRPr="00312E0F">
              <w:rPr>
                <w:rFonts w:ascii="Times New Roman" w:hAnsi="Times New Roman" w:cs="Times New Roman"/>
                <w:sz w:val="24"/>
                <w:szCs w:val="24"/>
              </w:rPr>
              <w:t>Mother</w:t>
            </w:r>
          </w:p>
        </w:tc>
        <w:tc>
          <w:tcPr>
            <w:tcW w:w="999" w:type="pct"/>
            <w:vMerge w:val="restart"/>
            <w:tcBorders>
              <w:top w:val="single" w:sz="4" w:space="0" w:color="666666" w:themeColor="text1" w:themeTint="99"/>
              <w:left w:val="nil"/>
              <w:bottom w:val="single" w:sz="4" w:space="0" w:color="666666" w:themeColor="text1" w:themeTint="99"/>
              <w:right w:val="nil"/>
            </w:tcBorders>
            <w:hideMark/>
          </w:tcPr>
          <w:p w14:paraId="4F0E530D" w14:textId="77777777" w:rsidR="00B16A85" w:rsidRPr="00312E0F" w:rsidRDefault="00B16A85" w:rsidP="004B621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Father</w:t>
            </w:r>
          </w:p>
        </w:tc>
        <w:tc>
          <w:tcPr>
            <w:tcW w:w="2001" w:type="pct"/>
            <w:gridSpan w:val="2"/>
            <w:tcBorders>
              <w:top w:val="single" w:sz="4" w:space="0" w:color="666666" w:themeColor="text1" w:themeTint="99"/>
              <w:left w:val="nil"/>
              <w:bottom w:val="single" w:sz="4" w:space="0" w:color="666666" w:themeColor="text1" w:themeTint="99"/>
              <w:right w:val="nil"/>
            </w:tcBorders>
            <w:hideMark/>
          </w:tcPr>
          <w:p w14:paraId="7394FE46" w14:textId="77777777" w:rsidR="00B16A85" w:rsidRPr="00312E0F" w:rsidRDefault="00B16A85" w:rsidP="004B621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1st Child</w:t>
            </w:r>
          </w:p>
        </w:tc>
        <w:tc>
          <w:tcPr>
            <w:tcW w:w="1000" w:type="pct"/>
            <w:vMerge w:val="restart"/>
            <w:tcBorders>
              <w:top w:val="single" w:sz="4" w:space="0" w:color="666666" w:themeColor="text1" w:themeTint="99"/>
              <w:left w:val="nil"/>
              <w:bottom w:val="single" w:sz="4" w:space="0" w:color="666666" w:themeColor="text1" w:themeTint="99"/>
              <w:right w:val="nil"/>
            </w:tcBorders>
            <w:hideMark/>
          </w:tcPr>
          <w:p w14:paraId="35EBBA7E" w14:textId="77777777" w:rsidR="00B16A85" w:rsidRPr="00312E0F" w:rsidRDefault="00B16A85" w:rsidP="004B621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P value</w:t>
            </w:r>
          </w:p>
        </w:tc>
      </w:tr>
      <w:tr w:rsidR="00B16A85" w:rsidRPr="00312E0F" w14:paraId="00428F3C" w14:textId="77777777" w:rsidTr="00601CA9">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666666" w:themeColor="text1" w:themeTint="99"/>
              <w:left w:val="nil"/>
              <w:bottom w:val="single" w:sz="4" w:space="0" w:color="666666" w:themeColor="text1" w:themeTint="99"/>
              <w:right w:val="nil"/>
            </w:tcBorders>
            <w:vAlign w:val="center"/>
            <w:hideMark/>
          </w:tcPr>
          <w:p w14:paraId="4DB22A47" w14:textId="77777777" w:rsidR="00B16A85" w:rsidRPr="00312E0F" w:rsidRDefault="00B16A85" w:rsidP="004B621C">
            <w:pPr>
              <w:spacing w:line="360" w:lineRule="auto"/>
              <w:jc w:val="both"/>
              <w:rPr>
                <w:rFonts w:ascii="Times New Roman" w:hAnsi="Times New Roman" w:cs="Times New Roman"/>
                <w:sz w:val="24"/>
                <w:szCs w:val="24"/>
              </w:rPr>
            </w:pPr>
          </w:p>
        </w:tc>
        <w:tc>
          <w:tcPr>
            <w:tcW w:w="0" w:type="auto"/>
            <w:vMerge/>
            <w:tcBorders>
              <w:top w:val="single" w:sz="4" w:space="0" w:color="666666" w:themeColor="text1" w:themeTint="99"/>
              <w:left w:val="nil"/>
              <w:bottom w:val="single" w:sz="4" w:space="0" w:color="666666" w:themeColor="text1" w:themeTint="99"/>
              <w:right w:val="nil"/>
            </w:tcBorders>
            <w:vAlign w:val="center"/>
            <w:hideMark/>
          </w:tcPr>
          <w:p w14:paraId="470CCEEB"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000" w:type="pct"/>
            <w:tcBorders>
              <w:top w:val="single" w:sz="4" w:space="0" w:color="666666" w:themeColor="text1" w:themeTint="99"/>
              <w:left w:val="nil"/>
              <w:bottom w:val="single" w:sz="4" w:space="0" w:color="666666" w:themeColor="text1" w:themeTint="99"/>
              <w:right w:val="nil"/>
            </w:tcBorders>
            <w:hideMark/>
          </w:tcPr>
          <w:p w14:paraId="516AE124"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312E0F">
              <w:rPr>
                <w:rFonts w:ascii="Times New Roman" w:hAnsi="Times New Roman" w:cs="Times New Roman"/>
                <w:b/>
                <w:sz w:val="24"/>
                <w:szCs w:val="24"/>
              </w:rPr>
              <w:t>Deep</w:t>
            </w:r>
          </w:p>
        </w:tc>
        <w:tc>
          <w:tcPr>
            <w:tcW w:w="1001" w:type="pct"/>
            <w:tcBorders>
              <w:top w:val="single" w:sz="4" w:space="0" w:color="666666" w:themeColor="text1" w:themeTint="99"/>
              <w:left w:val="nil"/>
              <w:bottom w:val="single" w:sz="4" w:space="0" w:color="666666" w:themeColor="text1" w:themeTint="99"/>
              <w:right w:val="nil"/>
            </w:tcBorders>
            <w:hideMark/>
          </w:tcPr>
          <w:p w14:paraId="0C4BFEC5"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312E0F">
              <w:rPr>
                <w:rFonts w:ascii="Times New Roman" w:hAnsi="Times New Roman" w:cs="Times New Roman"/>
                <w:b/>
                <w:sz w:val="24"/>
                <w:szCs w:val="24"/>
              </w:rPr>
              <w:t>Shallow</w:t>
            </w:r>
          </w:p>
        </w:tc>
        <w:tc>
          <w:tcPr>
            <w:tcW w:w="0" w:type="auto"/>
            <w:vMerge/>
            <w:tcBorders>
              <w:top w:val="single" w:sz="4" w:space="0" w:color="666666" w:themeColor="text1" w:themeTint="99"/>
              <w:left w:val="nil"/>
              <w:bottom w:val="single" w:sz="4" w:space="0" w:color="666666" w:themeColor="text1" w:themeTint="99"/>
              <w:right w:val="nil"/>
            </w:tcBorders>
            <w:vAlign w:val="center"/>
            <w:hideMark/>
          </w:tcPr>
          <w:p w14:paraId="5A797321"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r w:rsidR="00B16A85" w:rsidRPr="00312E0F" w14:paraId="41980DB7" w14:textId="77777777" w:rsidTr="00601CA9">
        <w:tc>
          <w:tcPr>
            <w:cnfStyle w:val="001000000000" w:firstRow="0" w:lastRow="0" w:firstColumn="1" w:lastColumn="0" w:oddVBand="0" w:evenVBand="0" w:oddHBand="0" w:evenHBand="0" w:firstRowFirstColumn="0" w:firstRowLastColumn="0" w:lastRowFirstColumn="0" w:lastRowLastColumn="0"/>
            <w:tcW w:w="1000" w:type="pct"/>
            <w:tcBorders>
              <w:top w:val="single" w:sz="4" w:space="0" w:color="666666" w:themeColor="text1" w:themeTint="99"/>
              <w:left w:val="nil"/>
              <w:bottom w:val="single" w:sz="4" w:space="0" w:color="666666" w:themeColor="text1" w:themeTint="99"/>
              <w:right w:val="nil"/>
            </w:tcBorders>
            <w:hideMark/>
          </w:tcPr>
          <w:p w14:paraId="147DA6E6" w14:textId="77777777" w:rsidR="00B16A85" w:rsidRPr="00312E0F" w:rsidRDefault="00B16A85" w:rsidP="004B621C">
            <w:pPr>
              <w:spacing w:line="360" w:lineRule="auto"/>
              <w:jc w:val="both"/>
              <w:rPr>
                <w:rFonts w:ascii="Times New Roman" w:hAnsi="Times New Roman" w:cs="Times New Roman"/>
                <w:sz w:val="24"/>
                <w:szCs w:val="24"/>
              </w:rPr>
            </w:pPr>
            <w:r w:rsidRPr="00312E0F">
              <w:rPr>
                <w:rFonts w:ascii="Times New Roman" w:hAnsi="Times New Roman" w:cs="Times New Roman"/>
                <w:sz w:val="24"/>
                <w:szCs w:val="24"/>
              </w:rPr>
              <w:t>Deep</w:t>
            </w:r>
          </w:p>
        </w:tc>
        <w:tc>
          <w:tcPr>
            <w:tcW w:w="999" w:type="pct"/>
            <w:tcBorders>
              <w:top w:val="single" w:sz="4" w:space="0" w:color="666666" w:themeColor="text1" w:themeTint="99"/>
              <w:left w:val="nil"/>
              <w:bottom w:val="single" w:sz="4" w:space="0" w:color="666666" w:themeColor="text1" w:themeTint="99"/>
              <w:right w:val="nil"/>
            </w:tcBorders>
            <w:hideMark/>
          </w:tcPr>
          <w:p w14:paraId="33787E94"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Deep</w:t>
            </w:r>
          </w:p>
          <w:p w14:paraId="309CBE60"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Shallow</w:t>
            </w:r>
          </w:p>
        </w:tc>
        <w:tc>
          <w:tcPr>
            <w:tcW w:w="1000" w:type="pct"/>
            <w:tcBorders>
              <w:top w:val="single" w:sz="4" w:space="0" w:color="666666" w:themeColor="text1" w:themeTint="99"/>
              <w:left w:val="nil"/>
              <w:bottom w:val="single" w:sz="4" w:space="0" w:color="666666" w:themeColor="text1" w:themeTint="99"/>
              <w:right w:val="nil"/>
            </w:tcBorders>
            <w:hideMark/>
          </w:tcPr>
          <w:p w14:paraId="0840474A"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12 (46.2%)</w:t>
            </w:r>
          </w:p>
          <w:p w14:paraId="24FB9044"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14 (53.8%)</w:t>
            </w:r>
          </w:p>
        </w:tc>
        <w:tc>
          <w:tcPr>
            <w:tcW w:w="1001" w:type="pct"/>
            <w:tcBorders>
              <w:top w:val="single" w:sz="4" w:space="0" w:color="666666" w:themeColor="text1" w:themeTint="99"/>
              <w:left w:val="nil"/>
              <w:bottom w:val="single" w:sz="4" w:space="0" w:color="666666" w:themeColor="text1" w:themeTint="99"/>
              <w:right w:val="nil"/>
            </w:tcBorders>
            <w:hideMark/>
          </w:tcPr>
          <w:p w14:paraId="61DA44E3"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8 (26.7%)</w:t>
            </w:r>
          </w:p>
          <w:p w14:paraId="0D919D8C"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22 (73.3%)</w:t>
            </w:r>
          </w:p>
        </w:tc>
        <w:tc>
          <w:tcPr>
            <w:tcW w:w="1000" w:type="pct"/>
            <w:tcBorders>
              <w:top w:val="single" w:sz="4" w:space="0" w:color="666666" w:themeColor="text1" w:themeTint="99"/>
              <w:left w:val="nil"/>
              <w:bottom w:val="single" w:sz="4" w:space="0" w:color="666666" w:themeColor="text1" w:themeTint="99"/>
              <w:right w:val="nil"/>
            </w:tcBorders>
            <w:vAlign w:val="center"/>
            <w:hideMark/>
          </w:tcPr>
          <w:p w14:paraId="2655B89C"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0.078</w:t>
            </w:r>
          </w:p>
        </w:tc>
      </w:tr>
      <w:tr w:rsidR="00B16A85" w:rsidRPr="00312E0F" w14:paraId="276904E7" w14:textId="77777777" w:rsidTr="00601CA9">
        <w:tc>
          <w:tcPr>
            <w:cnfStyle w:val="001000000000" w:firstRow="0" w:lastRow="0" w:firstColumn="1" w:lastColumn="0" w:oddVBand="0" w:evenVBand="0" w:oddHBand="0" w:evenHBand="0" w:firstRowFirstColumn="0" w:firstRowLastColumn="0" w:lastRowFirstColumn="0" w:lastRowLastColumn="0"/>
            <w:tcW w:w="1000" w:type="pct"/>
            <w:tcBorders>
              <w:top w:val="single" w:sz="4" w:space="0" w:color="666666" w:themeColor="text1" w:themeTint="99"/>
              <w:left w:val="nil"/>
              <w:bottom w:val="single" w:sz="4" w:space="0" w:color="666666" w:themeColor="text1" w:themeTint="99"/>
              <w:right w:val="nil"/>
            </w:tcBorders>
            <w:hideMark/>
          </w:tcPr>
          <w:p w14:paraId="0153058B" w14:textId="77777777" w:rsidR="00B16A85" w:rsidRPr="00312E0F" w:rsidRDefault="00B16A85" w:rsidP="004B621C">
            <w:pPr>
              <w:spacing w:line="360" w:lineRule="auto"/>
              <w:jc w:val="both"/>
              <w:rPr>
                <w:rFonts w:ascii="Times New Roman" w:hAnsi="Times New Roman" w:cs="Times New Roman"/>
                <w:sz w:val="24"/>
                <w:szCs w:val="24"/>
              </w:rPr>
            </w:pPr>
            <w:r w:rsidRPr="00312E0F">
              <w:rPr>
                <w:rFonts w:ascii="Times New Roman" w:hAnsi="Times New Roman" w:cs="Times New Roman"/>
                <w:sz w:val="24"/>
                <w:szCs w:val="24"/>
              </w:rPr>
              <w:t>Shallow</w:t>
            </w:r>
          </w:p>
        </w:tc>
        <w:tc>
          <w:tcPr>
            <w:tcW w:w="999" w:type="pct"/>
            <w:tcBorders>
              <w:top w:val="single" w:sz="4" w:space="0" w:color="666666" w:themeColor="text1" w:themeTint="99"/>
              <w:left w:val="nil"/>
              <w:bottom w:val="single" w:sz="4" w:space="0" w:color="666666" w:themeColor="text1" w:themeTint="99"/>
              <w:right w:val="nil"/>
            </w:tcBorders>
            <w:hideMark/>
          </w:tcPr>
          <w:p w14:paraId="690853BA"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Deep</w:t>
            </w:r>
          </w:p>
          <w:p w14:paraId="7F80E32E"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Shallow</w:t>
            </w:r>
          </w:p>
        </w:tc>
        <w:tc>
          <w:tcPr>
            <w:tcW w:w="1000" w:type="pct"/>
            <w:tcBorders>
              <w:top w:val="single" w:sz="4" w:space="0" w:color="666666" w:themeColor="text1" w:themeTint="99"/>
              <w:left w:val="nil"/>
              <w:bottom w:val="single" w:sz="4" w:space="0" w:color="666666" w:themeColor="text1" w:themeTint="99"/>
              <w:right w:val="nil"/>
            </w:tcBorders>
            <w:hideMark/>
          </w:tcPr>
          <w:p w14:paraId="0E985480"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24 (68.6%)</w:t>
            </w:r>
          </w:p>
          <w:p w14:paraId="04EE5E7D"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11 (31.4%)</w:t>
            </w:r>
          </w:p>
        </w:tc>
        <w:tc>
          <w:tcPr>
            <w:tcW w:w="1001" w:type="pct"/>
            <w:tcBorders>
              <w:top w:val="single" w:sz="4" w:space="0" w:color="666666" w:themeColor="text1" w:themeTint="99"/>
              <w:left w:val="nil"/>
              <w:bottom w:val="single" w:sz="4" w:space="0" w:color="666666" w:themeColor="text1" w:themeTint="99"/>
              <w:right w:val="nil"/>
            </w:tcBorders>
            <w:hideMark/>
          </w:tcPr>
          <w:p w14:paraId="47AB866D"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19 (32.2%)</w:t>
            </w:r>
          </w:p>
          <w:p w14:paraId="1A50D319"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40 (67.8%)</w:t>
            </w:r>
          </w:p>
        </w:tc>
        <w:tc>
          <w:tcPr>
            <w:tcW w:w="1000" w:type="pct"/>
            <w:tcBorders>
              <w:top w:val="single" w:sz="4" w:space="0" w:color="666666" w:themeColor="text1" w:themeTint="99"/>
              <w:left w:val="nil"/>
              <w:bottom w:val="single" w:sz="4" w:space="0" w:color="666666" w:themeColor="text1" w:themeTint="99"/>
              <w:right w:val="nil"/>
            </w:tcBorders>
            <w:vAlign w:val="center"/>
            <w:hideMark/>
          </w:tcPr>
          <w:p w14:paraId="29BF3535"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0.591</w:t>
            </w:r>
          </w:p>
        </w:tc>
      </w:tr>
      <w:tr w:rsidR="00B16A85" w:rsidRPr="00312E0F" w14:paraId="2BEA0860" w14:textId="77777777" w:rsidTr="00601CA9">
        <w:tc>
          <w:tcPr>
            <w:cnfStyle w:val="001000000000" w:firstRow="0" w:lastRow="0" w:firstColumn="1" w:lastColumn="0" w:oddVBand="0" w:evenVBand="0" w:oddHBand="0" w:evenHBand="0" w:firstRowFirstColumn="0" w:firstRowLastColumn="0" w:lastRowFirstColumn="0" w:lastRowLastColumn="0"/>
            <w:tcW w:w="1999" w:type="pct"/>
            <w:gridSpan w:val="2"/>
            <w:tcBorders>
              <w:top w:val="single" w:sz="4" w:space="0" w:color="666666" w:themeColor="text1" w:themeTint="99"/>
              <w:left w:val="nil"/>
              <w:bottom w:val="single" w:sz="4" w:space="0" w:color="666666" w:themeColor="text1" w:themeTint="99"/>
              <w:right w:val="nil"/>
            </w:tcBorders>
            <w:hideMark/>
          </w:tcPr>
          <w:p w14:paraId="02EDD2CF" w14:textId="77777777" w:rsidR="00B16A85" w:rsidRPr="00312E0F" w:rsidRDefault="00B16A85" w:rsidP="004B621C">
            <w:pPr>
              <w:spacing w:line="360" w:lineRule="auto"/>
              <w:jc w:val="both"/>
              <w:rPr>
                <w:rFonts w:ascii="Times New Roman" w:hAnsi="Times New Roman" w:cs="Times New Roman"/>
                <w:sz w:val="24"/>
                <w:szCs w:val="24"/>
              </w:rPr>
            </w:pPr>
            <w:r w:rsidRPr="00312E0F">
              <w:rPr>
                <w:rFonts w:ascii="Times New Roman" w:hAnsi="Times New Roman" w:cs="Times New Roman"/>
                <w:sz w:val="24"/>
                <w:szCs w:val="24"/>
              </w:rPr>
              <w:t>Total</w:t>
            </w:r>
          </w:p>
        </w:tc>
        <w:tc>
          <w:tcPr>
            <w:tcW w:w="1000" w:type="pct"/>
            <w:tcBorders>
              <w:top w:val="single" w:sz="4" w:space="0" w:color="666666" w:themeColor="text1" w:themeTint="99"/>
              <w:left w:val="nil"/>
              <w:bottom w:val="single" w:sz="4" w:space="0" w:color="666666" w:themeColor="text1" w:themeTint="99"/>
              <w:right w:val="nil"/>
            </w:tcBorders>
            <w:hideMark/>
          </w:tcPr>
          <w:p w14:paraId="78BD0E36"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61</w:t>
            </w:r>
          </w:p>
        </w:tc>
        <w:tc>
          <w:tcPr>
            <w:tcW w:w="1001" w:type="pct"/>
            <w:tcBorders>
              <w:top w:val="single" w:sz="4" w:space="0" w:color="666666" w:themeColor="text1" w:themeTint="99"/>
              <w:left w:val="nil"/>
              <w:bottom w:val="single" w:sz="4" w:space="0" w:color="666666" w:themeColor="text1" w:themeTint="99"/>
              <w:right w:val="nil"/>
            </w:tcBorders>
            <w:hideMark/>
          </w:tcPr>
          <w:p w14:paraId="07D7249C"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89</w:t>
            </w:r>
          </w:p>
        </w:tc>
        <w:tc>
          <w:tcPr>
            <w:tcW w:w="1000" w:type="pct"/>
            <w:tcBorders>
              <w:top w:val="single" w:sz="4" w:space="0" w:color="666666" w:themeColor="text1" w:themeTint="99"/>
              <w:left w:val="nil"/>
              <w:bottom w:val="single" w:sz="4" w:space="0" w:color="666666" w:themeColor="text1" w:themeTint="99"/>
              <w:right w:val="nil"/>
            </w:tcBorders>
            <w:vAlign w:val="center"/>
            <w:hideMark/>
          </w:tcPr>
          <w:p w14:paraId="63A429F2"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0.229</w:t>
            </w:r>
          </w:p>
        </w:tc>
      </w:tr>
    </w:tbl>
    <w:p w14:paraId="4C500E16" w14:textId="77777777" w:rsidR="00B16A85" w:rsidRPr="00312E0F" w:rsidRDefault="00B16A85" w:rsidP="004B621C">
      <w:pPr>
        <w:spacing w:line="360" w:lineRule="auto"/>
        <w:jc w:val="both"/>
        <w:rPr>
          <w:rFonts w:ascii="Times New Roman" w:hAnsi="Times New Roman" w:cs="Times New Roman"/>
          <w:sz w:val="24"/>
          <w:szCs w:val="24"/>
        </w:rPr>
      </w:pPr>
    </w:p>
    <w:p w14:paraId="36393936" w14:textId="1C66752C" w:rsidR="00B16A85" w:rsidRPr="00312E0F" w:rsidRDefault="00B16A85" w:rsidP="004B621C">
      <w:pPr>
        <w:spacing w:line="360" w:lineRule="auto"/>
        <w:ind w:firstLine="720"/>
        <w:jc w:val="both"/>
        <w:rPr>
          <w:rFonts w:ascii="Times New Roman" w:hAnsi="Times New Roman" w:cs="Times New Roman"/>
          <w:sz w:val="24"/>
          <w:szCs w:val="24"/>
        </w:rPr>
      </w:pPr>
      <w:r w:rsidRPr="00312E0F">
        <w:rPr>
          <w:rFonts w:ascii="Times New Roman" w:hAnsi="Times New Roman" w:cs="Times New Roman"/>
          <w:sz w:val="24"/>
          <w:szCs w:val="24"/>
        </w:rPr>
        <w:t>As seen in the table.4 above, the most common depth of the philtrum in the 1</w:t>
      </w:r>
      <w:r w:rsidRPr="00312E0F">
        <w:rPr>
          <w:rFonts w:ascii="Times New Roman" w:hAnsi="Times New Roman" w:cs="Times New Roman"/>
          <w:sz w:val="24"/>
          <w:szCs w:val="24"/>
          <w:vertAlign w:val="superscript"/>
        </w:rPr>
        <w:t>st</w:t>
      </w:r>
      <w:r w:rsidRPr="00312E0F">
        <w:rPr>
          <w:rFonts w:ascii="Times New Roman" w:hAnsi="Times New Roman" w:cs="Times New Roman"/>
          <w:sz w:val="24"/>
          <w:szCs w:val="24"/>
        </w:rPr>
        <w:t xml:space="preserve"> child is the shallow depth. When both parents had the deep philtrum depth, the deep philtrum was prevalent in the 1</w:t>
      </w:r>
      <w:r w:rsidRPr="00312E0F">
        <w:rPr>
          <w:rFonts w:ascii="Times New Roman" w:hAnsi="Times New Roman" w:cs="Times New Roman"/>
          <w:sz w:val="24"/>
          <w:szCs w:val="24"/>
          <w:vertAlign w:val="superscript"/>
        </w:rPr>
        <w:t>st</w:t>
      </w:r>
      <w:r w:rsidRPr="00312E0F">
        <w:rPr>
          <w:rFonts w:ascii="Times New Roman" w:hAnsi="Times New Roman" w:cs="Times New Roman"/>
          <w:sz w:val="24"/>
          <w:szCs w:val="24"/>
        </w:rPr>
        <w:t xml:space="preserve"> child. However, when the shallow philtrum was present in both parents, the shallow philtrum was prevalent in the 1</w:t>
      </w:r>
      <w:r w:rsidRPr="00312E0F">
        <w:rPr>
          <w:rFonts w:ascii="Times New Roman" w:hAnsi="Times New Roman" w:cs="Times New Roman"/>
          <w:sz w:val="24"/>
          <w:szCs w:val="24"/>
          <w:vertAlign w:val="superscript"/>
        </w:rPr>
        <w:t>st</w:t>
      </w:r>
      <w:r w:rsidRPr="00312E0F">
        <w:rPr>
          <w:rFonts w:ascii="Times New Roman" w:hAnsi="Times New Roman" w:cs="Times New Roman"/>
          <w:sz w:val="24"/>
          <w:szCs w:val="24"/>
        </w:rPr>
        <w:t xml:space="preserve"> child. It was also seen that there was no significant association in the hereditary of philtrum in the first child (p&gt;0.05).</w:t>
      </w:r>
    </w:p>
    <w:p w14:paraId="614368AD" w14:textId="77777777" w:rsidR="00B16A85" w:rsidRPr="00312E0F" w:rsidRDefault="00B16A85" w:rsidP="004B621C">
      <w:pPr>
        <w:spacing w:line="360" w:lineRule="auto"/>
        <w:jc w:val="both"/>
        <w:rPr>
          <w:rFonts w:ascii="Times New Roman" w:hAnsi="Times New Roman" w:cs="Times New Roman"/>
          <w:b/>
          <w:sz w:val="24"/>
          <w:szCs w:val="24"/>
        </w:rPr>
      </w:pPr>
    </w:p>
    <w:p w14:paraId="72139F78" w14:textId="0C62E208" w:rsidR="00B16A85" w:rsidRDefault="00B16A85" w:rsidP="004B621C">
      <w:pPr>
        <w:spacing w:line="360" w:lineRule="auto"/>
        <w:jc w:val="both"/>
        <w:rPr>
          <w:rFonts w:ascii="Times New Roman" w:hAnsi="Times New Roman" w:cs="Times New Roman"/>
          <w:b/>
          <w:sz w:val="24"/>
          <w:szCs w:val="24"/>
        </w:rPr>
      </w:pPr>
      <w:r w:rsidRPr="00312E0F">
        <w:rPr>
          <w:rFonts w:ascii="Times New Roman" w:hAnsi="Times New Roman" w:cs="Times New Roman"/>
          <w:b/>
          <w:sz w:val="24"/>
          <w:szCs w:val="24"/>
        </w:rPr>
        <w:t>Table 6:</w:t>
      </w:r>
      <w:r w:rsidRPr="00312E0F">
        <w:rPr>
          <w:rFonts w:ascii="Times New Roman" w:hAnsi="Times New Roman" w:cs="Times New Roman"/>
          <w:b/>
          <w:sz w:val="24"/>
          <w:szCs w:val="24"/>
        </w:rPr>
        <w:tab/>
        <w:t>Hereditary of Philtrum in the 2nd Child</w:t>
      </w:r>
    </w:p>
    <w:p w14:paraId="0FAA256D" w14:textId="77777777" w:rsidR="000B58F7" w:rsidRPr="00312E0F" w:rsidRDefault="000B58F7" w:rsidP="004B621C">
      <w:pPr>
        <w:spacing w:line="360" w:lineRule="auto"/>
        <w:jc w:val="both"/>
        <w:rPr>
          <w:rFonts w:ascii="Times New Roman" w:hAnsi="Times New Roman" w:cs="Times New Roman"/>
          <w:b/>
          <w:sz w:val="24"/>
          <w:szCs w:val="24"/>
        </w:rPr>
      </w:pPr>
    </w:p>
    <w:tbl>
      <w:tblPr>
        <w:tblStyle w:val="ListTable2"/>
        <w:tblW w:w="5000" w:type="pct"/>
        <w:tblInd w:w="0" w:type="dxa"/>
        <w:tblLook w:val="06A0" w:firstRow="1" w:lastRow="0" w:firstColumn="1" w:lastColumn="0" w:noHBand="1" w:noVBand="1"/>
      </w:tblPr>
      <w:tblGrid>
        <w:gridCol w:w="1806"/>
        <w:gridCol w:w="1803"/>
        <w:gridCol w:w="1805"/>
        <w:gridCol w:w="1807"/>
        <w:gridCol w:w="1805"/>
      </w:tblGrid>
      <w:tr w:rsidR="00B16A85" w:rsidRPr="00312E0F" w14:paraId="5039E348" w14:textId="77777777" w:rsidTr="00601C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vMerge w:val="restart"/>
            <w:tcBorders>
              <w:top w:val="single" w:sz="4" w:space="0" w:color="666666" w:themeColor="text1" w:themeTint="99"/>
              <w:left w:val="nil"/>
              <w:bottom w:val="single" w:sz="4" w:space="0" w:color="666666" w:themeColor="text1" w:themeTint="99"/>
              <w:right w:val="nil"/>
            </w:tcBorders>
            <w:hideMark/>
          </w:tcPr>
          <w:p w14:paraId="75D9AAA3" w14:textId="77777777" w:rsidR="00B16A85" w:rsidRPr="00312E0F" w:rsidRDefault="00B16A85" w:rsidP="004B621C">
            <w:pPr>
              <w:spacing w:line="360" w:lineRule="auto"/>
              <w:jc w:val="both"/>
              <w:rPr>
                <w:rFonts w:ascii="Times New Roman" w:hAnsi="Times New Roman" w:cs="Times New Roman"/>
                <w:sz w:val="24"/>
                <w:szCs w:val="24"/>
              </w:rPr>
            </w:pPr>
            <w:r w:rsidRPr="00312E0F">
              <w:rPr>
                <w:rFonts w:ascii="Times New Roman" w:hAnsi="Times New Roman" w:cs="Times New Roman"/>
                <w:sz w:val="24"/>
                <w:szCs w:val="24"/>
              </w:rPr>
              <w:t>Mother</w:t>
            </w:r>
          </w:p>
        </w:tc>
        <w:tc>
          <w:tcPr>
            <w:tcW w:w="999" w:type="pct"/>
            <w:vMerge w:val="restart"/>
            <w:tcBorders>
              <w:top w:val="single" w:sz="4" w:space="0" w:color="666666" w:themeColor="text1" w:themeTint="99"/>
              <w:left w:val="nil"/>
              <w:bottom w:val="single" w:sz="4" w:space="0" w:color="666666" w:themeColor="text1" w:themeTint="99"/>
              <w:right w:val="nil"/>
            </w:tcBorders>
            <w:hideMark/>
          </w:tcPr>
          <w:p w14:paraId="3A742CB8" w14:textId="77777777" w:rsidR="00B16A85" w:rsidRPr="00312E0F" w:rsidRDefault="00B16A85" w:rsidP="004B621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Father</w:t>
            </w:r>
          </w:p>
        </w:tc>
        <w:tc>
          <w:tcPr>
            <w:tcW w:w="2001" w:type="pct"/>
            <w:gridSpan w:val="2"/>
            <w:tcBorders>
              <w:top w:val="single" w:sz="4" w:space="0" w:color="666666" w:themeColor="text1" w:themeTint="99"/>
              <w:left w:val="nil"/>
              <w:bottom w:val="single" w:sz="4" w:space="0" w:color="666666" w:themeColor="text1" w:themeTint="99"/>
              <w:right w:val="nil"/>
            </w:tcBorders>
            <w:hideMark/>
          </w:tcPr>
          <w:p w14:paraId="15E47247" w14:textId="77777777" w:rsidR="00B16A85" w:rsidRPr="00312E0F" w:rsidRDefault="00B16A85" w:rsidP="004B621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2nd Child</w:t>
            </w:r>
          </w:p>
        </w:tc>
        <w:tc>
          <w:tcPr>
            <w:tcW w:w="1000" w:type="pct"/>
            <w:vMerge w:val="restart"/>
            <w:tcBorders>
              <w:top w:val="single" w:sz="4" w:space="0" w:color="666666" w:themeColor="text1" w:themeTint="99"/>
              <w:left w:val="nil"/>
              <w:bottom w:val="single" w:sz="4" w:space="0" w:color="666666" w:themeColor="text1" w:themeTint="99"/>
              <w:right w:val="nil"/>
            </w:tcBorders>
            <w:hideMark/>
          </w:tcPr>
          <w:p w14:paraId="7800C2B0" w14:textId="77777777" w:rsidR="00B16A85" w:rsidRPr="00312E0F" w:rsidRDefault="00B16A85" w:rsidP="004B621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P value</w:t>
            </w:r>
          </w:p>
        </w:tc>
      </w:tr>
      <w:tr w:rsidR="00B16A85" w:rsidRPr="00312E0F" w14:paraId="77B46B82" w14:textId="77777777" w:rsidTr="00601CA9">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666666" w:themeColor="text1" w:themeTint="99"/>
              <w:left w:val="nil"/>
              <w:bottom w:val="single" w:sz="4" w:space="0" w:color="666666" w:themeColor="text1" w:themeTint="99"/>
              <w:right w:val="nil"/>
            </w:tcBorders>
            <w:vAlign w:val="center"/>
            <w:hideMark/>
          </w:tcPr>
          <w:p w14:paraId="57D1190C" w14:textId="77777777" w:rsidR="00B16A85" w:rsidRPr="00312E0F" w:rsidRDefault="00B16A85" w:rsidP="004B621C">
            <w:pPr>
              <w:spacing w:line="360" w:lineRule="auto"/>
              <w:jc w:val="both"/>
              <w:rPr>
                <w:rFonts w:ascii="Times New Roman" w:hAnsi="Times New Roman" w:cs="Times New Roman"/>
                <w:sz w:val="24"/>
                <w:szCs w:val="24"/>
              </w:rPr>
            </w:pPr>
          </w:p>
        </w:tc>
        <w:tc>
          <w:tcPr>
            <w:tcW w:w="0" w:type="auto"/>
            <w:vMerge/>
            <w:tcBorders>
              <w:top w:val="single" w:sz="4" w:space="0" w:color="666666" w:themeColor="text1" w:themeTint="99"/>
              <w:left w:val="nil"/>
              <w:bottom w:val="single" w:sz="4" w:space="0" w:color="666666" w:themeColor="text1" w:themeTint="99"/>
              <w:right w:val="nil"/>
            </w:tcBorders>
            <w:vAlign w:val="center"/>
            <w:hideMark/>
          </w:tcPr>
          <w:p w14:paraId="0BBABDAD"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000" w:type="pct"/>
            <w:tcBorders>
              <w:top w:val="single" w:sz="4" w:space="0" w:color="666666" w:themeColor="text1" w:themeTint="99"/>
              <w:left w:val="nil"/>
              <w:bottom w:val="single" w:sz="4" w:space="0" w:color="666666" w:themeColor="text1" w:themeTint="99"/>
              <w:right w:val="nil"/>
            </w:tcBorders>
            <w:hideMark/>
          </w:tcPr>
          <w:p w14:paraId="160B40EF"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312E0F">
              <w:rPr>
                <w:rFonts w:ascii="Times New Roman" w:hAnsi="Times New Roman" w:cs="Times New Roman"/>
                <w:b/>
                <w:sz w:val="24"/>
                <w:szCs w:val="24"/>
              </w:rPr>
              <w:t>Deep</w:t>
            </w:r>
          </w:p>
        </w:tc>
        <w:tc>
          <w:tcPr>
            <w:tcW w:w="1001" w:type="pct"/>
            <w:tcBorders>
              <w:top w:val="single" w:sz="4" w:space="0" w:color="666666" w:themeColor="text1" w:themeTint="99"/>
              <w:left w:val="nil"/>
              <w:bottom w:val="single" w:sz="4" w:space="0" w:color="666666" w:themeColor="text1" w:themeTint="99"/>
              <w:right w:val="nil"/>
            </w:tcBorders>
            <w:hideMark/>
          </w:tcPr>
          <w:p w14:paraId="48C6D54F"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312E0F">
              <w:rPr>
                <w:rFonts w:ascii="Times New Roman" w:hAnsi="Times New Roman" w:cs="Times New Roman"/>
                <w:b/>
                <w:sz w:val="24"/>
                <w:szCs w:val="24"/>
              </w:rPr>
              <w:t>Shallow</w:t>
            </w:r>
          </w:p>
        </w:tc>
        <w:tc>
          <w:tcPr>
            <w:tcW w:w="0" w:type="auto"/>
            <w:vMerge/>
            <w:tcBorders>
              <w:top w:val="single" w:sz="4" w:space="0" w:color="666666" w:themeColor="text1" w:themeTint="99"/>
              <w:left w:val="nil"/>
              <w:bottom w:val="single" w:sz="4" w:space="0" w:color="666666" w:themeColor="text1" w:themeTint="99"/>
              <w:right w:val="nil"/>
            </w:tcBorders>
            <w:vAlign w:val="center"/>
            <w:hideMark/>
          </w:tcPr>
          <w:p w14:paraId="0EF2124A"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r w:rsidR="00B16A85" w:rsidRPr="00312E0F" w14:paraId="2793A16D" w14:textId="77777777" w:rsidTr="00601CA9">
        <w:tc>
          <w:tcPr>
            <w:cnfStyle w:val="001000000000" w:firstRow="0" w:lastRow="0" w:firstColumn="1" w:lastColumn="0" w:oddVBand="0" w:evenVBand="0" w:oddHBand="0" w:evenHBand="0" w:firstRowFirstColumn="0" w:firstRowLastColumn="0" w:lastRowFirstColumn="0" w:lastRowLastColumn="0"/>
            <w:tcW w:w="1000" w:type="pct"/>
            <w:tcBorders>
              <w:top w:val="single" w:sz="4" w:space="0" w:color="666666" w:themeColor="text1" w:themeTint="99"/>
              <w:left w:val="nil"/>
              <w:bottom w:val="single" w:sz="4" w:space="0" w:color="666666" w:themeColor="text1" w:themeTint="99"/>
              <w:right w:val="nil"/>
            </w:tcBorders>
            <w:hideMark/>
          </w:tcPr>
          <w:p w14:paraId="5F8D5721" w14:textId="77777777" w:rsidR="00B16A85" w:rsidRPr="00312E0F" w:rsidRDefault="00B16A85" w:rsidP="004B621C">
            <w:pPr>
              <w:spacing w:line="360" w:lineRule="auto"/>
              <w:jc w:val="both"/>
              <w:rPr>
                <w:rFonts w:ascii="Times New Roman" w:hAnsi="Times New Roman" w:cs="Times New Roman"/>
                <w:sz w:val="24"/>
                <w:szCs w:val="24"/>
              </w:rPr>
            </w:pPr>
            <w:r w:rsidRPr="00312E0F">
              <w:rPr>
                <w:rFonts w:ascii="Times New Roman" w:hAnsi="Times New Roman" w:cs="Times New Roman"/>
                <w:sz w:val="24"/>
                <w:szCs w:val="24"/>
              </w:rPr>
              <w:t>Deep</w:t>
            </w:r>
          </w:p>
        </w:tc>
        <w:tc>
          <w:tcPr>
            <w:tcW w:w="999" w:type="pct"/>
            <w:tcBorders>
              <w:top w:val="single" w:sz="4" w:space="0" w:color="666666" w:themeColor="text1" w:themeTint="99"/>
              <w:left w:val="nil"/>
              <w:bottom w:val="single" w:sz="4" w:space="0" w:color="666666" w:themeColor="text1" w:themeTint="99"/>
              <w:right w:val="nil"/>
            </w:tcBorders>
            <w:hideMark/>
          </w:tcPr>
          <w:p w14:paraId="4C548566"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Deep</w:t>
            </w:r>
          </w:p>
          <w:p w14:paraId="618E6FEC"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Shallow</w:t>
            </w:r>
          </w:p>
        </w:tc>
        <w:tc>
          <w:tcPr>
            <w:tcW w:w="1000" w:type="pct"/>
            <w:tcBorders>
              <w:top w:val="single" w:sz="4" w:space="0" w:color="666666" w:themeColor="text1" w:themeTint="99"/>
              <w:left w:val="nil"/>
              <w:bottom w:val="single" w:sz="4" w:space="0" w:color="666666" w:themeColor="text1" w:themeTint="99"/>
              <w:right w:val="nil"/>
            </w:tcBorders>
            <w:hideMark/>
          </w:tcPr>
          <w:p w14:paraId="306890B8"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12 (46.2%)</w:t>
            </w:r>
          </w:p>
          <w:p w14:paraId="3684B078"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14 (53.8%)</w:t>
            </w:r>
          </w:p>
        </w:tc>
        <w:tc>
          <w:tcPr>
            <w:tcW w:w="1001" w:type="pct"/>
            <w:tcBorders>
              <w:top w:val="single" w:sz="4" w:space="0" w:color="666666" w:themeColor="text1" w:themeTint="99"/>
              <w:left w:val="nil"/>
              <w:bottom w:val="single" w:sz="4" w:space="0" w:color="666666" w:themeColor="text1" w:themeTint="99"/>
              <w:right w:val="nil"/>
            </w:tcBorders>
            <w:hideMark/>
          </w:tcPr>
          <w:p w14:paraId="1B72CC54"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8 (26.7%)</w:t>
            </w:r>
          </w:p>
          <w:p w14:paraId="1E15791A"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22 (73.3%)</w:t>
            </w:r>
          </w:p>
        </w:tc>
        <w:tc>
          <w:tcPr>
            <w:tcW w:w="1000" w:type="pct"/>
            <w:tcBorders>
              <w:top w:val="single" w:sz="4" w:space="0" w:color="666666" w:themeColor="text1" w:themeTint="99"/>
              <w:left w:val="nil"/>
              <w:bottom w:val="single" w:sz="4" w:space="0" w:color="666666" w:themeColor="text1" w:themeTint="99"/>
              <w:right w:val="nil"/>
            </w:tcBorders>
            <w:vAlign w:val="center"/>
            <w:hideMark/>
          </w:tcPr>
          <w:p w14:paraId="38D391F8"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0.706</w:t>
            </w:r>
          </w:p>
        </w:tc>
      </w:tr>
      <w:tr w:rsidR="00B16A85" w:rsidRPr="00312E0F" w14:paraId="007A8DE0" w14:textId="77777777" w:rsidTr="00601CA9">
        <w:tc>
          <w:tcPr>
            <w:cnfStyle w:val="001000000000" w:firstRow="0" w:lastRow="0" w:firstColumn="1" w:lastColumn="0" w:oddVBand="0" w:evenVBand="0" w:oddHBand="0" w:evenHBand="0" w:firstRowFirstColumn="0" w:firstRowLastColumn="0" w:lastRowFirstColumn="0" w:lastRowLastColumn="0"/>
            <w:tcW w:w="1000" w:type="pct"/>
            <w:tcBorders>
              <w:top w:val="single" w:sz="4" w:space="0" w:color="666666" w:themeColor="text1" w:themeTint="99"/>
              <w:left w:val="nil"/>
              <w:bottom w:val="single" w:sz="4" w:space="0" w:color="666666" w:themeColor="text1" w:themeTint="99"/>
              <w:right w:val="nil"/>
            </w:tcBorders>
            <w:hideMark/>
          </w:tcPr>
          <w:p w14:paraId="65A48D44" w14:textId="77777777" w:rsidR="00B16A85" w:rsidRPr="00312E0F" w:rsidRDefault="00B16A85" w:rsidP="004B621C">
            <w:pPr>
              <w:spacing w:line="360" w:lineRule="auto"/>
              <w:jc w:val="both"/>
              <w:rPr>
                <w:rFonts w:ascii="Times New Roman" w:hAnsi="Times New Roman" w:cs="Times New Roman"/>
                <w:sz w:val="24"/>
                <w:szCs w:val="24"/>
              </w:rPr>
            </w:pPr>
            <w:r w:rsidRPr="00312E0F">
              <w:rPr>
                <w:rFonts w:ascii="Times New Roman" w:hAnsi="Times New Roman" w:cs="Times New Roman"/>
                <w:sz w:val="24"/>
                <w:szCs w:val="24"/>
              </w:rPr>
              <w:t>Shallow</w:t>
            </w:r>
          </w:p>
        </w:tc>
        <w:tc>
          <w:tcPr>
            <w:tcW w:w="999" w:type="pct"/>
            <w:tcBorders>
              <w:top w:val="single" w:sz="4" w:space="0" w:color="666666" w:themeColor="text1" w:themeTint="99"/>
              <w:left w:val="nil"/>
              <w:bottom w:val="single" w:sz="4" w:space="0" w:color="666666" w:themeColor="text1" w:themeTint="99"/>
              <w:right w:val="nil"/>
            </w:tcBorders>
            <w:hideMark/>
          </w:tcPr>
          <w:p w14:paraId="74CC4C28"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Deep</w:t>
            </w:r>
          </w:p>
          <w:p w14:paraId="5C928E4B"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Shallow</w:t>
            </w:r>
          </w:p>
        </w:tc>
        <w:tc>
          <w:tcPr>
            <w:tcW w:w="1000" w:type="pct"/>
            <w:tcBorders>
              <w:top w:val="single" w:sz="4" w:space="0" w:color="666666" w:themeColor="text1" w:themeTint="99"/>
              <w:left w:val="nil"/>
              <w:bottom w:val="single" w:sz="4" w:space="0" w:color="666666" w:themeColor="text1" w:themeTint="99"/>
              <w:right w:val="nil"/>
            </w:tcBorders>
            <w:hideMark/>
          </w:tcPr>
          <w:p w14:paraId="7D69C582"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17 (41.5%)</w:t>
            </w:r>
          </w:p>
          <w:p w14:paraId="5DCB0C81"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24 (58.5%)</w:t>
            </w:r>
          </w:p>
        </w:tc>
        <w:tc>
          <w:tcPr>
            <w:tcW w:w="1001" w:type="pct"/>
            <w:tcBorders>
              <w:top w:val="single" w:sz="4" w:space="0" w:color="666666" w:themeColor="text1" w:themeTint="99"/>
              <w:left w:val="nil"/>
              <w:bottom w:val="single" w:sz="4" w:space="0" w:color="666666" w:themeColor="text1" w:themeTint="99"/>
              <w:right w:val="nil"/>
            </w:tcBorders>
            <w:hideMark/>
          </w:tcPr>
          <w:p w14:paraId="51AB8981"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26 (49.1%)</w:t>
            </w:r>
          </w:p>
          <w:p w14:paraId="3CC6EF22"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27 (50.9%)</w:t>
            </w:r>
          </w:p>
        </w:tc>
        <w:tc>
          <w:tcPr>
            <w:tcW w:w="1000" w:type="pct"/>
            <w:tcBorders>
              <w:top w:val="single" w:sz="4" w:space="0" w:color="666666" w:themeColor="text1" w:themeTint="99"/>
              <w:left w:val="nil"/>
              <w:bottom w:val="single" w:sz="4" w:space="0" w:color="666666" w:themeColor="text1" w:themeTint="99"/>
              <w:right w:val="nil"/>
            </w:tcBorders>
            <w:vAlign w:val="center"/>
            <w:hideMark/>
          </w:tcPr>
          <w:p w14:paraId="36D0B9F4"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0.046</w:t>
            </w:r>
          </w:p>
        </w:tc>
      </w:tr>
      <w:tr w:rsidR="00B16A85" w:rsidRPr="00312E0F" w14:paraId="5D163606" w14:textId="77777777" w:rsidTr="00601CA9">
        <w:tc>
          <w:tcPr>
            <w:cnfStyle w:val="001000000000" w:firstRow="0" w:lastRow="0" w:firstColumn="1" w:lastColumn="0" w:oddVBand="0" w:evenVBand="0" w:oddHBand="0" w:evenHBand="0" w:firstRowFirstColumn="0" w:firstRowLastColumn="0" w:lastRowFirstColumn="0" w:lastRowLastColumn="0"/>
            <w:tcW w:w="1999" w:type="pct"/>
            <w:gridSpan w:val="2"/>
            <w:tcBorders>
              <w:top w:val="single" w:sz="4" w:space="0" w:color="666666" w:themeColor="text1" w:themeTint="99"/>
              <w:left w:val="nil"/>
              <w:bottom w:val="single" w:sz="4" w:space="0" w:color="666666" w:themeColor="text1" w:themeTint="99"/>
              <w:right w:val="nil"/>
            </w:tcBorders>
            <w:hideMark/>
          </w:tcPr>
          <w:p w14:paraId="78A181BE" w14:textId="77777777" w:rsidR="00B16A85" w:rsidRPr="00312E0F" w:rsidRDefault="00B16A85" w:rsidP="004B621C">
            <w:pPr>
              <w:spacing w:line="360" w:lineRule="auto"/>
              <w:jc w:val="both"/>
              <w:rPr>
                <w:rFonts w:ascii="Times New Roman" w:hAnsi="Times New Roman" w:cs="Times New Roman"/>
                <w:sz w:val="24"/>
                <w:szCs w:val="24"/>
              </w:rPr>
            </w:pPr>
            <w:r w:rsidRPr="00312E0F">
              <w:rPr>
                <w:rFonts w:ascii="Times New Roman" w:hAnsi="Times New Roman" w:cs="Times New Roman"/>
                <w:sz w:val="24"/>
                <w:szCs w:val="24"/>
              </w:rPr>
              <w:t>Total</w:t>
            </w:r>
          </w:p>
        </w:tc>
        <w:tc>
          <w:tcPr>
            <w:tcW w:w="1000" w:type="pct"/>
            <w:tcBorders>
              <w:top w:val="single" w:sz="4" w:space="0" w:color="666666" w:themeColor="text1" w:themeTint="99"/>
              <w:left w:val="nil"/>
              <w:bottom w:val="single" w:sz="4" w:space="0" w:color="666666" w:themeColor="text1" w:themeTint="99"/>
              <w:right w:val="nil"/>
            </w:tcBorders>
            <w:hideMark/>
          </w:tcPr>
          <w:p w14:paraId="66FB5F24"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18</w:t>
            </w:r>
          </w:p>
        </w:tc>
        <w:tc>
          <w:tcPr>
            <w:tcW w:w="1001" w:type="pct"/>
            <w:tcBorders>
              <w:top w:val="single" w:sz="4" w:space="0" w:color="666666" w:themeColor="text1" w:themeTint="99"/>
              <w:left w:val="nil"/>
              <w:bottom w:val="single" w:sz="4" w:space="0" w:color="666666" w:themeColor="text1" w:themeTint="99"/>
              <w:right w:val="nil"/>
            </w:tcBorders>
            <w:hideMark/>
          </w:tcPr>
          <w:p w14:paraId="547DDCE4"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51</w:t>
            </w:r>
          </w:p>
        </w:tc>
        <w:tc>
          <w:tcPr>
            <w:tcW w:w="1000" w:type="pct"/>
            <w:tcBorders>
              <w:top w:val="single" w:sz="4" w:space="0" w:color="666666" w:themeColor="text1" w:themeTint="99"/>
              <w:left w:val="nil"/>
              <w:bottom w:val="single" w:sz="4" w:space="0" w:color="666666" w:themeColor="text1" w:themeTint="99"/>
              <w:right w:val="nil"/>
            </w:tcBorders>
            <w:vAlign w:val="center"/>
            <w:hideMark/>
          </w:tcPr>
          <w:p w14:paraId="7B8FF77B"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0.229</w:t>
            </w:r>
          </w:p>
        </w:tc>
      </w:tr>
    </w:tbl>
    <w:p w14:paraId="38236643" w14:textId="77777777" w:rsidR="00B16A85" w:rsidRPr="00312E0F" w:rsidRDefault="00B16A85" w:rsidP="004B621C">
      <w:pPr>
        <w:spacing w:line="360" w:lineRule="auto"/>
        <w:jc w:val="both"/>
        <w:rPr>
          <w:rFonts w:ascii="Times New Roman" w:hAnsi="Times New Roman" w:cs="Times New Roman"/>
          <w:sz w:val="24"/>
          <w:szCs w:val="24"/>
        </w:rPr>
      </w:pPr>
    </w:p>
    <w:p w14:paraId="353B7001" w14:textId="1AB16AA8" w:rsidR="00B16A85" w:rsidRPr="00312E0F" w:rsidRDefault="00B16A85" w:rsidP="004B621C">
      <w:pPr>
        <w:spacing w:line="360" w:lineRule="auto"/>
        <w:ind w:firstLine="720"/>
        <w:jc w:val="both"/>
        <w:rPr>
          <w:rFonts w:ascii="Times New Roman" w:hAnsi="Times New Roman" w:cs="Times New Roman"/>
          <w:b/>
          <w:sz w:val="24"/>
          <w:szCs w:val="24"/>
        </w:rPr>
      </w:pPr>
      <w:r w:rsidRPr="00312E0F">
        <w:rPr>
          <w:rFonts w:ascii="Times New Roman" w:hAnsi="Times New Roman" w:cs="Times New Roman"/>
          <w:sz w:val="24"/>
          <w:szCs w:val="24"/>
        </w:rPr>
        <w:t>As seen in the table above, the most common depth of the philtrum in the 2nd child is the shallow depth. When both parents had the deep philtrum depth, the deep philtrum was prevalent in the 2nd child. However, when the shallow philtrum was present in both parents, the shallow philtrum was prevalent in the 2nd child.  It was also seen that there was no significant association in the hereditary of philtrum in the second child (p&gt;0.05) when the shallow philtrum was prevalent. However, there was a significant association in the hereditary of philtrum in the second child (p&lt;0.05) when the deep philtrum was prevalent</w:t>
      </w:r>
      <w:r w:rsidR="000B58F7">
        <w:rPr>
          <w:rFonts w:ascii="Times New Roman" w:hAnsi="Times New Roman" w:cs="Times New Roman"/>
          <w:sz w:val="24"/>
          <w:szCs w:val="24"/>
        </w:rPr>
        <w:t>.</w:t>
      </w:r>
    </w:p>
    <w:p w14:paraId="44449E5F" w14:textId="5798A379" w:rsidR="00B16A85" w:rsidRDefault="00B16A85" w:rsidP="004B621C">
      <w:pPr>
        <w:spacing w:line="360" w:lineRule="auto"/>
        <w:jc w:val="both"/>
        <w:rPr>
          <w:rFonts w:ascii="Times New Roman" w:hAnsi="Times New Roman" w:cs="Times New Roman"/>
          <w:b/>
          <w:sz w:val="24"/>
          <w:szCs w:val="24"/>
        </w:rPr>
      </w:pPr>
      <w:r w:rsidRPr="00312E0F">
        <w:rPr>
          <w:rFonts w:ascii="Times New Roman" w:hAnsi="Times New Roman" w:cs="Times New Roman"/>
          <w:b/>
          <w:sz w:val="24"/>
          <w:szCs w:val="24"/>
        </w:rPr>
        <w:t>Table 7:</w:t>
      </w:r>
      <w:r w:rsidRPr="00312E0F">
        <w:rPr>
          <w:rFonts w:ascii="Times New Roman" w:hAnsi="Times New Roman" w:cs="Times New Roman"/>
          <w:b/>
          <w:sz w:val="24"/>
          <w:szCs w:val="24"/>
        </w:rPr>
        <w:tab/>
        <w:t>Hereditary of Dimple in the 1</w:t>
      </w:r>
      <w:r w:rsidRPr="00312E0F">
        <w:rPr>
          <w:rFonts w:ascii="Times New Roman" w:hAnsi="Times New Roman" w:cs="Times New Roman"/>
          <w:b/>
          <w:sz w:val="24"/>
          <w:szCs w:val="24"/>
          <w:vertAlign w:val="superscript"/>
        </w:rPr>
        <w:t>st</w:t>
      </w:r>
      <w:r w:rsidRPr="00312E0F">
        <w:rPr>
          <w:rFonts w:ascii="Times New Roman" w:hAnsi="Times New Roman" w:cs="Times New Roman"/>
          <w:b/>
          <w:sz w:val="24"/>
          <w:szCs w:val="24"/>
        </w:rPr>
        <w:t xml:space="preserve"> Child</w:t>
      </w:r>
    </w:p>
    <w:p w14:paraId="1F3D950E" w14:textId="77777777" w:rsidR="000B58F7" w:rsidRPr="00312E0F" w:rsidRDefault="000B58F7" w:rsidP="004B621C">
      <w:pPr>
        <w:spacing w:line="360" w:lineRule="auto"/>
        <w:jc w:val="both"/>
        <w:rPr>
          <w:rFonts w:ascii="Times New Roman" w:hAnsi="Times New Roman" w:cs="Times New Roman"/>
          <w:b/>
          <w:sz w:val="24"/>
          <w:szCs w:val="24"/>
        </w:rPr>
      </w:pPr>
    </w:p>
    <w:tbl>
      <w:tblPr>
        <w:tblStyle w:val="ListTable2"/>
        <w:tblW w:w="5000" w:type="pct"/>
        <w:tblInd w:w="0" w:type="dxa"/>
        <w:tblLook w:val="06A0" w:firstRow="1" w:lastRow="0" w:firstColumn="1" w:lastColumn="0" w:noHBand="1" w:noVBand="1"/>
      </w:tblPr>
      <w:tblGrid>
        <w:gridCol w:w="1806"/>
        <w:gridCol w:w="1805"/>
        <w:gridCol w:w="1805"/>
        <w:gridCol w:w="1805"/>
        <w:gridCol w:w="1805"/>
      </w:tblGrid>
      <w:tr w:rsidR="00B16A85" w:rsidRPr="00312E0F" w14:paraId="2A9F117D" w14:textId="77777777" w:rsidTr="00601C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vMerge w:val="restart"/>
            <w:tcBorders>
              <w:top w:val="single" w:sz="4" w:space="0" w:color="666666" w:themeColor="text1" w:themeTint="99"/>
              <w:left w:val="nil"/>
              <w:bottom w:val="single" w:sz="4" w:space="0" w:color="666666" w:themeColor="text1" w:themeTint="99"/>
              <w:right w:val="nil"/>
            </w:tcBorders>
            <w:hideMark/>
          </w:tcPr>
          <w:p w14:paraId="177C6B58" w14:textId="77777777" w:rsidR="00B16A85" w:rsidRPr="00312E0F" w:rsidRDefault="00B16A85" w:rsidP="004B621C">
            <w:pPr>
              <w:spacing w:line="360" w:lineRule="auto"/>
              <w:jc w:val="both"/>
              <w:rPr>
                <w:rFonts w:ascii="Times New Roman" w:hAnsi="Times New Roman" w:cs="Times New Roman"/>
                <w:sz w:val="24"/>
                <w:szCs w:val="24"/>
              </w:rPr>
            </w:pPr>
            <w:r w:rsidRPr="00312E0F">
              <w:rPr>
                <w:rFonts w:ascii="Times New Roman" w:hAnsi="Times New Roman" w:cs="Times New Roman"/>
                <w:sz w:val="24"/>
                <w:szCs w:val="24"/>
              </w:rPr>
              <w:t>Mother</w:t>
            </w:r>
          </w:p>
        </w:tc>
        <w:tc>
          <w:tcPr>
            <w:tcW w:w="1000" w:type="pct"/>
            <w:vMerge w:val="restart"/>
            <w:tcBorders>
              <w:top w:val="single" w:sz="4" w:space="0" w:color="666666" w:themeColor="text1" w:themeTint="99"/>
              <w:left w:val="nil"/>
              <w:bottom w:val="single" w:sz="4" w:space="0" w:color="666666" w:themeColor="text1" w:themeTint="99"/>
              <w:right w:val="nil"/>
            </w:tcBorders>
            <w:hideMark/>
          </w:tcPr>
          <w:p w14:paraId="1B2ED7BA" w14:textId="77777777" w:rsidR="00B16A85" w:rsidRPr="00312E0F" w:rsidRDefault="00B16A85" w:rsidP="004B621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Father</w:t>
            </w:r>
          </w:p>
        </w:tc>
        <w:tc>
          <w:tcPr>
            <w:tcW w:w="2000" w:type="pct"/>
            <w:gridSpan w:val="2"/>
            <w:tcBorders>
              <w:top w:val="single" w:sz="4" w:space="0" w:color="666666" w:themeColor="text1" w:themeTint="99"/>
              <w:left w:val="nil"/>
              <w:bottom w:val="single" w:sz="4" w:space="0" w:color="666666" w:themeColor="text1" w:themeTint="99"/>
              <w:right w:val="nil"/>
            </w:tcBorders>
            <w:hideMark/>
          </w:tcPr>
          <w:p w14:paraId="6F16BC5B" w14:textId="77777777" w:rsidR="00B16A85" w:rsidRPr="00312E0F" w:rsidRDefault="00B16A85" w:rsidP="004B621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1</w:t>
            </w:r>
            <w:r w:rsidRPr="00312E0F">
              <w:rPr>
                <w:rFonts w:ascii="Times New Roman" w:hAnsi="Times New Roman" w:cs="Times New Roman"/>
                <w:sz w:val="24"/>
                <w:szCs w:val="24"/>
                <w:vertAlign w:val="superscript"/>
              </w:rPr>
              <w:t>st</w:t>
            </w:r>
            <w:r w:rsidRPr="00312E0F">
              <w:rPr>
                <w:rFonts w:ascii="Times New Roman" w:hAnsi="Times New Roman" w:cs="Times New Roman"/>
                <w:sz w:val="24"/>
                <w:szCs w:val="24"/>
              </w:rPr>
              <w:t xml:space="preserve"> Child</w:t>
            </w:r>
          </w:p>
        </w:tc>
        <w:tc>
          <w:tcPr>
            <w:tcW w:w="1000" w:type="pct"/>
            <w:vMerge w:val="restart"/>
            <w:tcBorders>
              <w:top w:val="single" w:sz="4" w:space="0" w:color="666666" w:themeColor="text1" w:themeTint="99"/>
              <w:left w:val="nil"/>
              <w:bottom w:val="single" w:sz="4" w:space="0" w:color="666666" w:themeColor="text1" w:themeTint="99"/>
              <w:right w:val="nil"/>
            </w:tcBorders>
            <w:hideMark/>
          </w:tcPr>
          <w:p w14:paraId="5644DB54" w14:textId="77777777" w:rsidR="00B16A85" w:rsidRPr="00312E0F" w:rsidRDefault="00B16A85" w:rsidP="004B621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P value</w:t>
            </w:r>
          </w:p>
        </w:tc>
      </w:tr>
      <w:tr w:rsidR="00B16A85" w:rsidRPr="00312E0F" w14:paraId="0CB88D84" w14:textId="77777777" w:rsidTr="00601CA9">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666666" w:themeColor="text1" w:themeTint="99"/>
              <w:left w:val="nil"/>
              <w:bottom w:val="single" w:sz="4" w:space="0" w:color="666666" w:themeColor="text1" w:themeTint="99"/>
              <w:right w:val="nil"/>
            </w:tcBorders>
            <w:vAlign w:val="center"/>
            <w:hideMark/>
          </w:tcPr>
          <w:p w14:paraId="336EB86F" w14:textId="77777777" w:rsidR="00B16A85" w:rsidRPr="00312E0F" w:rsidRDefault="00B16A85" w:rsidP="004B621C">
            <w:pPr>
              <w:spacing w:line="360" w:lineRule="auto"/>
              <w:jc w:val="both"/>
              <w:rPr>
                <w:rFonts w:ascii="Times New Roman" w:hAnsi="Times New Roman" w:cs="Times New Roman"/>
                <w:sz w:val="24"/>
                <w:szCs w:val="24"/>
              </w:rPr>
            </w:pPr>
          </w:p>
        </w:tc>
        <w:tc>
          <w:tcPr>
            <w:tcW w:w="0" w:type="auto"/>
            <w:vMerge/>
            <w:tcBorders>
              <w:top w:val="single" w:sz="4" w:space="0" w:color="666666" w:themeColor="text1" w:themeTint="99"/>
              <w:left w:val="nil"/>
              <w:bottom w:val="single" w:sz="4" w:space="0" w:color="666666" w:themeColor="text1" w:themeTint="99"/>
              <w:right w:val="nil"/>
            </w:tcBorders>
            <w:vAlign w:val="center"/>
            <w:hideMark/>
          </w:tcPr>
          <w:p w14:paraId="39A653DD"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000" w:type="pct"/>
            <w:tcBorders>
              <w:top w:val="single" w:sz="4" w:space="0" w:color="666666" w:themeColor="text1" w:themeTint="99"/>
              <w:left w:val="nil"/>
              <w:bottom w:val="single" w:sz="4" w:space="0" w:color="666666" w:themeColor="text1" w:themeTint="99"/>
              <w:right w:val="nil"/>
            </w:tcBorders>
            <w:hideMark/>
          </w:tcPr>
          <w:p w14:paraId="3CEC2173"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312E0F">
              <w:rPr>
                <w:rFonts w:ascii="Times New Roman" w:hAnsi="Times New Roman" w:cs="Times New Roman"/>
                <w:b/>
                <w:sz w:val="24"/>
                <w:szCs w:val="24"/>
              </w:rPr>
              <w:t>Absent</w:t>
            </w:r>
          </w:p>
        </w:tc>
        <w:tc>
          <w:tcPr>
            <w:tcW w:w="1000" w:type="pct"/>
            <w:tcBorders>
              <w:top w:val="single" w:sz="4" w:space="0" w:color="666666" w:themeColor="text1" w:themeTint="99"/>
              <w:left w:val="nil"/>
              <w:bottom w:val="single" w:sz="4" w:space="0" w:color="666666" w:themeColor="text1" w:themeTint="99"/>
              <w:right w:val="nil"/>
            </w:tcBorders>
            <w:hideMark/>
          </w:tcPr>
          <w:p w14:paraId="49CBFC4A"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312E0F">
              <w:rPr>
                <w:rFonts w:ascii="Times New Roman" w:hAnsi="Times New Roman" w:cs="Times New Roman"/>
                <w:b/>
                <w:sz w:val="24"/>
                <w:szCs w:val="24"/>
              </w:rPr>
              <w:t>Present</w:t>
            </w:r>
          </w:p>
        </w:tc>
        <w:tc>
          <w:tcPr>
            <w:tcW w:w="0" w:type="auto"/>
            <w:vMerge/>
            <w:tcBorders>
              <w:top w:val="single" w:sz="4" w:space="0" w:color="666666" w:themeColor="text1" w:themeTint="99"/>
              <w:left w:val="nil"/>
              <w:bottom w:val="single" w:sz="4" w:space="0" w:color="666666" w:themeColor="text1" w:themeTint="99"/>
              <w:right w:val="nil"/>
            </w:tcBorders>
            <w:vAlign w:val="center"/>
            <w:hideMark/>
          </w:tcPr>
          <w:p w14:paraId="319A6F9C"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r w:rsidR="00B16A85" w:rsidRPr="00312E0F" w14:paraId="60BAD60B" w14:textId="77777777" w:rsidTr="00601CA9">
        <w:tc>
          <w:tcPr>
            <w:cnfStyle w:val="001000000000" w:firstRow="0" w:lastRow="0" w:firstColumn="1" w:lastColumn="0" w:oddVBand="0" w:evenVBand="0" w:oddHBand="0" w:evenHBand="0" w:firstRowFirstColumn="0" w:firstRowLastColumn="0" w:lastRowFirstColumn="0" w:lastRowLastColumn="0"/>
            <w:tcW w:w="1000" w:type="pct"/>
            <w:tcBorders>
              <w:top w:val="single" w:sz="4" w:space="0" w:color="666666" w:themeColor="text1" w:themeTint="99"/>
              <w:left w:val="nil"/>
              <w:bottom w:val="single" w:sz="4" w:space="0" w:color="666666" w:themeColor="text1" w:themeTint="99"/>
              <w:right w:val="nil"/>
            </w:tcBorders>
            <w:hideMark/>
          </w:tcPr>
          <w:p w14:paraId="1F19AC44" w14:textId="77777777" w:rsidR="00B16A85" w:rsidRPr="00312E0F" w:rsidRDefault="00B16A85" w:rsidP="004B621C">
            <w:pPr>
              <w:spacing w:line="360" w:lineRule="auto"/>
              <w:jc w:val="both"/>
              <w:rPr>
                <w:rFonts w:ascii="Times New Roman" w:hAnsi="Times New Roman" w:cs="Times New Roman"/>
                <w:sz w:val="24"/>
                <w:szCs w:val="24"/>
              </w:rPr>
            </w:pPr>
            <w:r w:rsidRPr="00312E0F">
              <w:rPr>
                <w:rFonts w:ascii="Times New Roman" w:hAnsi="Times New Roman" w:cs="Times New Roman"/>
                <w:sz w:val="24"/>
                <w:szCs w:val="24"/>
              </w:rPr>
              <w:t>Absent</w:t>
            </w:r>
          </w:p>
        </w:tc>
        <w:tc>
          <w:tcPr>
            <w:tcW w:w="1000" w:type="pct"/>
            <w:tcBorders>
              <w:top w:val="single" w:sz="4" w:space="0" w:color="666666" w:themeColor="text1" w:themeTint="99"/>
              <w:left w:val="nil"/>
              <w:bottom w:val="single" w:sz="4" w:space="0" w:color="666666" w:themeColor="text1" w:themeTint="99"/>
              <w:right w:val="nil"/>
            </w:tcBorders>
            <w:hideMark/>
          </w:tcPr>
          <w:p w14:paraId="36F25FBB"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Absent</w:t>
            </w:r>
          </w:p>
          <w:p w14:paraId="0B4F572A"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Present</w:t>
            </w:r>
          </w:p>
        </w:tc>
        <w:tc>
          <w:tcPr>
            <w:tcW w:w="1000" w:type="pct"/>
            <w:tcBorders>
              <w:top w:val="single" w:sz="4" w:space="0" w:color="666666" w:themeColor="text1" w:themeTint="99"/>
              <w:left w:val="nil"/>
              <w:bottom w:val="single" w:sz="4" w:space="0" w:color="666666" w:themeColor="text1" w:themeTint="99"/>
              <w:right w:val="nil"/>
            </w:tcBorders>
            <w:hideMark/>
          </w:tcPr>
          <w:p w14:paraId="7DCF8BA5"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61 (74.4%)</w:t>
            </w:r>
          </w:p>
          <w:p w14:paraId="1E2D2B49"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21 (25.6%)</w:t>
            </w:r>
          </w:p>
        </w:tc>
        <w:tc>
          <w:tcPr>
            <w:tcW w:w="1000" w:type="pct"/>
            <w:tcBorders>
              <w:top w:val="single" w:sz="4" w:space="0" w:color="666666" w:themeColor="text1" w:themeTint="99"/>
              <w:left w:val="nil"/>
              <w:bottom w:val="single" w:sz="4" w:space="0" w:color="666666" w:themeColor="text1" w:themeTint="99"/>
              <w:right w:val="nil"/>
            </w:tcBorders>
            <w:hideMark/>
          </w:tcPr>
          <w:p w14:paraId="45E24A30"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16 (64%)</w:t>
            </w:r>
          </w:p>
          <w:p w14:paraId="1544F5E5"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9 (36%)</w:t>
            </w:r>
          </w:p>
        </w:tc>
        <w:tc>
          <w:tcPr>
            <w:tcW w:w="1000" w:type="pct"/>
            <w:tcBorders>
              <w:top w:val="single" w:sz="4" w:space="0" w:color="666666" w:themeColor="text1" w:themeTint="99"/>
              <w:left w:val="nil"/>
              <w:bottom w:val="single" w:sz="4" w:space="0" w:color="666666" w:themeColor="text1" w:themeTint="99"/>
              <w:right w:val="nil"/>
            </w:tcBorders>
            <w:vAlign w:val="center"/>
            <w:hideMark/>
          </w:tcPr>
          <w:p w14:paraId="119A1F98"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0.028</w:t>
            </w:r>
          </w:p>
        </w:tc>
      </w:tr>
      <w:tr w:rsidR="00B16A85" w:rsidRPr="00312E0F" w14:paraId="3E173E14" w14:textId="77777777" w:rsidTr="00601CA9">
        <w:tc>
          <w:tcPr>
            <w:cnfStyle w:val="001000000000" w:firstRow="0" w:lastRow="0" w:firstColumn="1" w:lastColumn="0" w:oddVBand="0" w:evenVBand="0" w:oddHBand="0" w:evenHBand="0" w:firstRowFirstColumn="0" w:firstRowLastColumn="0" w:lastRowFirstColumn="0" w:lastRowLastColumn="0"/>
            <w:tcW w:w="1000" w:type="pct"/>
            <w:tcBorders>
              <w:top w:val="single" w:sz="4" w:space="0" w:color="666666" w:themeColor="text1" w:themeTint="99"/>
              <w:left w:val="nil"/>
              <w:bottom w:val="single" w:sz="4" w:space="0" w:color="666666" w:themeColor="text1" w:themeTint="99"/>
              <w:right w:val="nil"/>
            </w:tcBorders>
            <w:hideMark/>
          </w:tcPr>
          <w:p w14:paraId="7AB25D4D" w14:textId="77777777" w:rsidR="00B16A85" w:rsidRPr="00312E0F" w:rsidRDefault="00B16A85" w:rsidP="004B621C">
            <w:pPr>
              <w:spacing w:line="360" w:lineRule="auto"/>
              <w:jc w:val="both"/>
              <w:rPr>
                <w:rFonts w:ascii="Times New Roman" w:hAnsi="Times New Roman" w:cs="Times New Roman"/>
                <w:sz w:val="24"/>
                <w:szCs w:val="24"/>
              </w:rPr>
            </w:pPr>
            <w:r w:rsidRPr="00312E0F">
              <w:rPr>
                <w:rFonts w:ascii="Times New Roman" w:hAnsi="Times New Roman" w:cs="Times New Roman"/>
                <w:sz w:val="24"/>
                <w:szCs w:val="24"/>
              </w:rPr>
              <w:t>Present</w:t>
            </w:r>
          </w:p>
        </w:tc>
        <w:tc>
          <w:tcPr>
            <w:tcW w:w="1000" w:type="pct"/>
            <w:tcBorders>
              <w:top w:val="single" w:sz="4" w:space="0" w:color="666666" w:themeColor="text1" w:themeTint="99"/>
              <w:left w:val="nil"/>
              <w:bottom w:val="single" w:sz="4" w:space="0" w:color="666666" w:themeColor="text1" w:themeTint="99"/>
              <w:right w:val="nil"/>
            </w:tcBorders>
            <w:hideMark/>
          </w:tcPr>
          <w:p w14:paraId="27B25619"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Absent</w:t>
            </w:r>
          </w:p>
          <w:p w14:paraId="7F9DD21F"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Present</w:t>
            </w:r>
          </w:p>
        </w:tc>
        <w:tc>
          <w:tcPr>
            <w:tcW w:w="1000" w:type="pct"/>
            <w:tcBorders>
              <w:top w:val="single" w:sz="4" w:space="0" w:color="666666" w:themeColor="text1" w:themeTint="99"/>
              <w:left w:val="nil"/>
              <w:bottom w:val="single" w:sz="4" w:space="0" w:color="666666" w:themeColor="text1" w:themeTint="99"/>
              <w:right w:val="nil"/>
            </w:tcBorders>
            <w:hideMark/>
          </w:tcPr>
          <w:p w14:paraId="6492F5AE"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28 (93.3%)</w:t>
            </w:r>
          </w:p>
          <w:p w14:paraId="74E80F51"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2 (6.7%)</w:t>
            </w:r>
          </w:p>
        </w:tc>
        <w:tc>
          <w:tcPr>
            <w:tcW w:w="1000" w:type="pct"/>
            <w:tcBorders>
              <w:top w:val="single" w:sz="4" w:space="0" w:color="666666" w:themeColor="text1" w:themeTint="99"/>
              <w:left w:val="nil"/>
              <w:bottom w:val="single" w:sz="4" w:space="0" w:color="666666" w:themeColor="text1" w:themeTint="99"/>
              <w:right w:val="nil"/>
            </w:tcBorders>
            <w:hideMark/>
          </w:tcPr>
          <w:p w14:paraId="05A080FA"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12 (92.3%)</w:t>
            </w:r>
          </w:p>
          <w:p w14:paraId="7980B5AF"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1 (7.7%)</w:t>
            </w:r>
          </w:p>
        </w:tc>
        <w:tc>
          <w:tcPr>
            <w:tcW w:w="1000" w:type="pct"/>
            <w:tcBorders>
              <w:top w:val="single" w:sz="4" w:space="0" w:color="666666" w:themeColor="text1" w:themeTint="99"/>
              <w:left w:val="nil"/>
              <w:bottom w:val="single" w:sz="4" w:space="0" w:color="666666" w:themeColor="text1" w:themeTint="99"/>
              <w:right w:val="nil"/>
            </w:tcBorders>
            <w:vAlign w:val="center"/>
            <w:hideMark/>
          </w:tcPr>
          <w:p w14:paraId="59C6E39F"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0.060</w:t>
            </w:r>
          </w:p>
        </w:tc>
      </w:tr>
      <w:tr w:rsidR="00B16A85" w:rsidRPr="00312E0F" w14:paraId="7A26CBC3" w14:textId="77777777" w:rsidTr="00601CA9">
        <w:tc>
          <w:tcPr>
            <w:cnfStyle w:val="001000000000" w:firstRow="0" w:lastRow="0" w:firstColumn="1" w:lastColumn="0" w:oddVBand="0" w:evenVBand="0" w:oddHBand="0" w:evenHBand="0" w:firstRowFirstColumn="0" w:firstRowLastColumn="0" w:lastRowFirstColumn="0" w:lastRowLastColumn="0"/>
            <w:tcW w:w="2000" w:type="pct"/>
            <w:gridSpan w:val="2"/>
            <w:tcBorders>
              <w:top w:val="single" w:sz="4" w:space="0" w:color="666666" w:themeColor="text1" w:themeTint="99"/>
              <w:left w:val="nil"/>
              <w:bottom w:val="single" w:sz="4" w:space="0" w:color="666666" w:themeColor="text1" w:themeTint="99"/>
              <w:right w:val="nil"/>
            </w:tcBorders>
            <w:hideMark/>
          </w:tcPr>
          <w:p w14:paraId="1CB54DA6" w14:textId="77777777" w:rsidR="00B16A85" w:rsidRPr="00312E0F" w:rsidRDefault="00B16A85" w:rsidP="004B621C">
            <w:pPr>
              <w:spacing w:line="360" w:lineRule="auto"/>
              <w:jc w:val="both"/>
              <w:rPr>
                <w:rFonts w:ascii="Times New Roman" w:hAnsi="Times New Roman" w:cs="Times New Roman"/>
                <w:sz w:val="24"/>
                <w:szCs w:val="24"/>
              </w:rPr>
            </w:pPr>
            <w:r w:rsidRPr="00312E0F">
              <w:rPr>
                <w:rFonts w:ascii="Times New Roman" w:hAnsi="Times New Roman" w:cs="Times New Roman"/>
                <w:sz w:val="24"/>
                <w:szCs w:val="24"/>
              </w:rPr>
              <w:t>Total</w:t>
            </w:r>
          </w:p>
        </w:tc>
        <w:tc>
          <w:tcPr>
            <w:tcW w:w="1000" w:type="pct"/>
            <w:tcBorders>
              <w:top w:val="single" w:sz="4" w:space="0" w:color="666666" w:themeColor="text1" w:themeTint="99"/>
              <w:left w:val="nil"/>
              <w:bottom w:val="single" w:sz="4" w:space="0" w:color="666666" w:themeColor="text1" w:themeTint="99"/>
              <w:right w:val="nil"/>
            </w:tcBorders>
            <w:hideMark/>
          </w:tcPr>
          <w:p w14:paraId="72709E9C"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112</w:t>
            </w:r>
          </w:p>
        </w:tc>
        <w:tc>
          <w:tcPr>
            <w:tcW w:w="1000" w:type="pct"/>
            <w:tcBorders>
              <w:top w:val="single" w:sz="4" w:space="0" w:color="666666" w:themeColor="text1" w:themeTint="99"/>
              <w:left w:val="nil"/>
              <w:bottom w:val="single" w:sz="4" w:space="0" w:color="666666" w:themeColor="text1" w:themeTint="99"/>
              <w:right w:val="nil"/>
            </w:tcBorders>
            <w:hideMark/>
          </w:tcPr>
          <w:p w14:paraId="6581C78C"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38</w:t>
            </w:r>
          </w:p>
        </w:tc>
        <w:tc>
          <w:tcPr>
            <w:tcW w:w="1000" w:type="pct"/>
            <w:tcBorders>
              <w:top w:val="single" w:sz="4" w:space="0" w:color="666666" w:themeColor="text1" w:themeTint="99"/>
              <w:left w:val="nil"/>
              <w:bottom w:val="single" w:sz="4" w:space="0" w:color="666666" w:themeColor="text1" w:themeTint="99"/>
              <w:right w:val="nil"/>
            </w:tcBorders>
            <w:vAlign w:val="center"/>
            <w:hideMark/>
          </w:tcPr>
          <w:p w14:paraId="3ED12FE2"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0.005</w:t>
            </w:r>
          </w:p>
        </w:tc>
      </w:tr>
    </w:tbl>
    <w:p w14:paraId="3D63EFCD" w14:textId="77777777" w:rsidR="00B16A85" w:rsidRPr="00312E0F" w:rsidRDefault="00B16A85" w:rsidP="004B621C">
      <w:pPr>
        <w:spacing w:line="360" w:lineRule="auto"/>
        <w:jc w:val="both"/>
        <w:rPr>
          <w:rFonts w:ascii="Times New Roman" w:hAnsi="Times New Roman" w:cs="Times New Roman"/>
          <w:sz w:val="24"/>
          <w:szCs w:val="24"/>
        </w:rPr>
      </w:pPr>
    </w:p>
    <w:p w14:paraId="6A3AC2D9" w14:textId="188BF3DC" w:rsidR="00B16A85" w:rsidRPr="000B58F7" w:rsidRDefault="00B16A85" w:rsidP="004B621C">
      <w:pPr>
        <w:spacing w:line="360" w:lineRule="auto"/>
        <w:ind w:firstLine="720"/>
        <w:jc w:val="both"/>
        <w:rPr>
          <w:rFonts w:ascii="Times New Roman" w:hAnsi="Times New Roman" w:cs="Times New Roman"/>
          <w:sz w:val="24"/>
          <w:szCs w:val="24"/>
        </w:rPr>
      </w:pPr>
      <w:r w:rsidRPr="00312E0F">
        <w:rPr>
          <w:rFonts w:ascii="Times New Roman" w:hAnsi="Times New Roman" w:cs="Times New Roman"/>
          <w:sz w:val="24"/>
          <w:szCs w:val="24"/>
        </w:rPr>
        <w:t>The table above showed the hereditary of dimple in the first child. The prevalence of the facial dimple was low. When the dimple was absent in both parents, the prevalence was low in the first child. There was however a significant association in the dimple when it was absent in the first child (p&lt;0.05). The table also showed that there was no a significant association in the dimple when it was present in the first child (p&gt;0.05).</w:t>
      </w:r>
    </w:p>
    <w:p w14:paraId="6B51E33C" w14:textId="15C42BAE" w:rsidR="00B16A85" w:rsidRDefault="00B16A85" w:rsidP="004B621C">
      <w:pPr>
        <w:spacing w:line="360" w:lineRule="auto"/>
        <w:jc w:val="both"/>
        <w:rPr>
          <w:rFonts w:ascii="Times New Roman" w:hAnsi="Times New Roman" w:cs="Times New Roman"/>
          <w:b/>
          <w:sz w:val="24"/>
          <w:szCs w:val="24"/>
        </w:rPr>
      </w:pPr>
      <w:r w:rsidRPr="00312E0F">
        <w:rPr>
          <w:rFonts w:ascii="Times New Roman" w:hAnsi="Times New Roman" w:cs="Times New Roman"/>
          <w:b/>
          <w:sz w:val="24"/>
          <w:szCs w:val="24"/>
        </w:rPr>
        <w:t>Table .8:</w:t>
      </w:r>
      <w:r w:rsidRPr="00312E0F">
        <w:rPr>
          <w:rFonts w:ascii="Times New Roman" w:hAnsi="Times New Roman" w:cs="Times New Roman"/>
          <w:b/>
          <w:sz w:val="24"/>
          <w:szCs w:val="24"/>
        </w:rPr>
        <w:tab/>
        <w:t>Hereditary of Dimple in the 2</w:t>
      </w:r>
      <w:r w:rsidRPr="00312E0F">
        <w:rPr>
          <w:rFonts w:ascii="Times New Roman" w:hAnsi="Times New Roman" w:cs="Times New Roman"/>
          <w:b/>
          <w:sz w:val="24"/>
          <w:szCs w:val="24"/>
          <w:vertAlign w:val="superscript"/>
        </w:rPr>
        <w:t>nd</w:t>
      </w:r>
      <w:r w:rsidRPr="00312E0F">
        <w:rPr>
          <w:rFonts w:ascii="Times New Roman" w:hAnsi="Times New Roman" w:cs="Times New Roman"/>
          <w:b/>
          <w:sz w:val="24"/>
          <w:szCs w:val="24"/>
        </w:rPr>
        <w:t xml:space="preserve"> Child</w:t>
      </w:r>
    </w:p>
    <w:p w14:paraId="27A021C1" w14:textId="77777777" w:rsidR="000B58F7" w:rsidRPr="00312E0F" w:rsidRDefault="000B58F7" w:rsidP="004B621C">
      <w:pPr>
        <w:spacing w:line="360" w:lineRule="auto"/>
        <w:jc w:val="both"/>
        <w:rPr>
          <w:rFonts w:ascii="Times New Roman" w:hAnsi="Times New Roman" w:cs="Times New Roman"/>
          <w:b/>
          <w:sz w:val="24"/>
          <w:szCs w:val="24"/>
        </w:rPr>
      </w:pPr>
    </w:p>
    <w:tbl>
      <w:tblPr>
        <w:tblStyle w:val="ListTable2"/>
        <w:tblW w:w="5000" w:type="pct"/>
        <w:tblInd w:w="0" w:type="dxa"/>
        <w:tblLook w:val="06A0" w:firstRow="1" w:lastRow="0" w:firstColumn="1" w:lastColumn="0" w:noHBand="1" w:noVBand="1"/>
      </w:tblPr>
      <w:tblGrid>
        <w:gridCol w:w="1806"/>
        <w:gridCol w:w="1805"/>
        <w:gridCol w:w="1805"/>
        <w:gridCol w:w="1805"/>
        <w:gridCol w:w="1805"/>
      </w:tblGrid>
      <w:tr w:rsidR="00B16A85" w:rsidRPr="00312E0F" w14:paraId="27C70640" w14:textId="77777777" w:rsidTr="00601C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vMerge w:val="restart"/>
            <w:tcBorders>
              <w:top w:val="single" w:sz="4" w:space="0" w:color="666666" w:themeColor="text1" w:themeTint="99"/>
              <w:left w:val="nil"/>
              <w:bottom w:val="single" w:sz="4" w:space="0" w:color="666666" w:themeColor="text1" w:themeTint="99"/>
              <w:right w:val="nil"/>
            </w:tcBorders>
            <w:hideMark/>
          </w:tcPr>
          <w:p w14:paraId="3F875DEC" w14:textId="77777777" w:rsidR="00B16A85" w:rsidRPr="00312E0F" w:rsidRDefault="00B16A85" w:rsidP="004B621C">
            <w:pPr>
              <w:spacing w:line="360" w:lineRule="auto"/>
              <w:jc w:val="both"/>
              <w:rPr>
                <w:rFonts w:ascii="Times New Roman" w:hAnsi="Times New Roman" w:cs="Times New Roman"/>
                <w:sz w:val="24"/>
                <w:szCs w:val="24"/>
              </w:rPr>
            </w:pPr>
            <w:r w:rsidRPr="00312E0F">
              <w:rPr>
                <w:rFonts w:ascii="Times New Roman" w:hAnsi="Times New Roman" w:cs="Times New Roman"/>
                <w:sz w:val="24"/>
                <w:szCs w:val="24"/>
              </w:rPr>
              <w:t>Mother</w:t>
            </w:r>
          </w:p>
        </w:tc>
        <w:tc>
          <w:tcPr>
            <w:tcW w:w="1000" w:type="pct"/>
            <w:vMerge w:val="restart"/>
            <w:tcBorders>
              <w:top w:val="single" w:sz="4" w:space="0" w:color="666666" w:themeColor="text1" w:themeTint="99"/>
              <w:left w:val="nil"/>
              <w:bottom w:val="single" w:sz="4" w:space="0" w:color="666666" w:themeColor="text1" w:themeTint="99"/>
              <w:right w:val="nil"/>
            </w:tcBorders>
            <w:hideMark/>
          </w:tcPr>
          <w:p w14:paraId="472AFA94" w14:textId="77777777" w:rsidR="00B16A85" w:rsidRPr="00312E0F" w:rsidRDefault="00B16A85" w:rsidP="004B621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Father</w:t>
            </w:r>
          </w:p>
        </w:tc>
        <w:tc>
          <w:tcPr>
            <w:tcW w:w="2000" w:type="pct"/>
            <w:gridSpan w:val="2"/>
            <w:tcBorders>
              <w:top w:val="single" w:sz="4" w:space="0" w:color="666666" w:themeColor="text1" w:themeTint="99"/>
              <w:left w:val="nil"/>
              <w:bottom w:val="single" w:sz="4" w:space="0" w:color="666666" w:themeColor="text1" w:themeTint="99"/>
              <w:right w:val="nil"/>
            </w:tcBorders>
            <w:hideMark/>
          </w:tcPr>
          <w:p w14:paraId="56DBE36B" w14:textId="77777777" w:rsidR="00B16A85" w:rsidRPr="00312E0F" w:rsidRDefault="00B16A85" w:rsidP="004B621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2</w:t>
            </w:r>
            <w:r w:rsidRPr="00312E0F">
              <w:rPr>
                <w:rFonts w:ascii="Times New Roman" w:hAnsi="Times New Roman" w:cs="Times New Roman"/>
                <w:sz w:val="24"/>
                <w:szCs w:val="24"/>
                <w:vertAlign w:val="superscript"/>
              </w:rPr>
              <w:t>nd</w:t>
            </w:r>
            <w:r w:rsidRPr="00312E0F">
              <w:rPr>
                <w:rFonts w:ascii="Times New Roman" w:hAnsi="Times New Roman" w:cs="Times New Roman"/>
                <w:sz w:val="24"/>
                <w:szCs w:val="24"/>
              </w:rPr>
              <w:t xml:space="preserve"> Child</w:t>
            </w:r>
          </w:p>
        </w:tc>
        <w:tc>
          <w:tcPr>
            <w:tcW w:w="1000" w:type="pct"/>
            <w:vMerge w:val="restart"/>
            <w:tcBorders>
              <w:top w:val="single" w:sz="4" w:space="0" w:color="666666" w:themeColor="text1" w:themeTint="99"/>
              <w:left w:val="nil"/>
              <w:bottom w:val="single" w:sz="4" w:space="0" w:color="666666" w:themeColor="text1" w:themeTint="99"/>
              <w:right w:val="nil"/>
            </w:tcBorders>
            <w:hideMark/>
          </w:tcPr>
          <w:p w14:paraId="4CB0700A" w14:textId="77777777" w:rsidR="00B16A85" w:rsidRPr="00312E0F" w:rsidRDefault="00B16A85" w:rsidP="004B621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P value</w:t>
            </w:r>
          </w:p>
        </w:tc>
      </w:tr>
      <w:tr w:rsidR="00B16A85" w:rsidRPr="00312E0F" w14:paraId="5F9C684F" w14:textId="77777777" w:rsidTr="00601CA9">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666666" w:themeColor="text1" w:themeTint="99"/>
              <w:left w:val="nil"/>
              <w:bottom w:val="single" w:sz="4" w:space="0" w:color="666666" w:themeColor="text1" w:themeTint="99"/>
              <w:right w:val="nil"/>
            </w:tcBorders>
            <w:vAlign w:val="center"/>
            <w:hideMark/>
          </w:tcPr>
          <w:p w14:paraId="19479E31" w14:textId="77777777" w:rsidR="00B16A85" w:rsidRPr="00312E0F" w:rsidRDefault="00B16A85" w:rsidP="004B621C">
            <w:pPr>
              <w:spacing w:line="360" w:lineRule="auto"/>
              <w:jc w:val="both"/>
              <w:rPr>
                <w:rFonts w:ascii="Times New Roman" w:hAnsi="Times New Roman" w:cs="Times New Roman"/>
                <w:sz w:val="24"/>
                <w:szCs w:val="24"/>
              </w:rPr>
            </w:pPr>
          </w:p>
        </w:tc>
        <w:tc>
          <w:tcPr>
            <w:tcW w:w="0" w:type="auto"/>
            <w:vMerge/>
            <w:tcBorders>
              <w:top w:val="single" w:sz="4" w:space="0" w:color="666666" w:themeColor="text1" w:themeTint="99"/>
              <w:left w:val="nil"/>
              <w:bottom w:val="single" w:sz="4" w:space="0" w:color="666666" w:themeColor="text1" w:themeTint="99"/>
              <w:right w:val="nil"/>
            </w:tcBorders>
            <w:vAlign w:val="center"/>
            <w:hideMark/>
          </w:tcPr>
          <w:p w14:paraId="6B8C8894"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000" w:type="pct"/>
            <w:tcBorders>
              <w:top w:val="single" w:sz="4" w:space="0" w:color="666666" w:themeColor="text1" w:themeTint="99"/>
              <w:left w:val="nil"/>
              <w:bottom w:val="single" w:sz="4" w:space="0" w:color="666666" w:themeColor="text1" w:themeTint="99"/>
              <w:right w:val="nil"/>
            </w:tcBorders>
            <w:hideMark/>
          </w:tcPr>
          <w:p w14:paraId="09607A40"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312E0F">
              <w:rPr>
                <w:rFonts w:ascii="Times New Roman" w:hAnsi="Times New Roman" w:cs="Times New Roman"/>
                <w:b/>
                <w:sz w:val="24"/>
                <w:szCs w:val="24"/>
              </w:rPr>
              <w:t>Absent</w:t>
            </w:r>
          </w:p>
        </w:tc>
        <w:tc>
          <w:tcPr>
            <w:tcW w:w="1000" w:type="pct"/>
            <w:tcBorders>
              <w:top w:val="single" w:sz="4" w:space="0" w:color="666666" w:themeColor="text1" w:themeTint="99"/>
              <w:left w:val="nil"/>
              <w:bottom w:val="single" w:sz="4" w:space="0" w:color="666666" w:themeColor="text1" w:themeTint="99"/>
              <w:right w:val="nil"/>
            </w:tcBorders>
            <w:hideMark/>
          </w:tcPr>
          <w:p w14:paraId="553E8CB1"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312E0F">
              <w:rPr>
                <w:rFonts w:ascii="Times New Roman" w:hAnsi="Times New Roman" w:cs="Times New Roman"/>
                <w:b/>
                <w:sz w:val="24"/>
                <w:szCs w:val="24"/>
              </w:rPr>
              <w:t>Present</w:t>
            </w:r>
          </w:p>
        </w:tc>
        <w:tc>
          <w:tcPr>
            <w:tcW w:w="0" w:type="auto"/>
            <w:vMerge/>
            <w:tcBorders>
              <w:top w:val="single" w:sz="4" w:space="0" w:color="666666" w:themeColor="text1" w:themeTint="99"/>
              <w:left w:val="nil"/>
              <w:bottom w:val="single" w:sz="4" w:space="0" w:color="666666" w:themeColor="text1" w:themeTint="99"/>
              <w:right w:val="nil"/>
            </w:tcBorders>
            <w:vAlign w:val="center"/>
            <w:hideMark/>
          </w:tcPr>
          <w:p w14:paraId="5BA838EB"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r w:rsidR="00B16A85" w:rsidRPr="00312E0F" w14:paraId="081B05B6" w14:textId="77777777" w:rsidTr="00601CA9">
        <w:tc>
          <w:tcPr>
            <w:cnfStyle w:val="001000000000" w:firstRow="0" w:lastRow="0" w:firstColumn="1" w:lastColumn="0" w:oddVBand="0" w:evenVBand="0" w:oddHBand="0" w:evenHBand="0" w:firstRowFirstColumn="0" w:firstRowLastColumn="0" w:lastRowFirstColumn="0" w:lastRowLastColumn="0"/>
            <w:tcW w:w="1000" w:type="pct"/>
            <w:tcBorders>
              <w:top w:val="single" w:sz="4" w:space="0" w:color="666666" w:themeColor="text1" w:themeTint="99"/>
              <w:left w:val="nil"/>
              <w:bottom w:val="single" w:sz="4" w:space="0" w:color="666666" w:themeColor="text1" w:themeTint="99"/>
              <w:right w:val="nil"/>
            </w:tcBorders>
            <w:hideMark/>
          </w:tcPr>
          <w:p w14:paraId="0E5A8FD8" w14:textId="77777777" w:rsidR="00B16A85" w:rsidRPr="00312E0F" w:rsidRDefault="00B16A85" w:rsidP="004B621C">
            <w:pPr>
              <w:spacing w:line="360" w:lineRule="auto"/>
              <w:jc w:val="both"/>
              <w:rPr>
                <w:rFonts w:ascii="Times New Roman" w:hAnsi="Times New Roman" w:cs="Times New Roman"/>
                <w:sz w:val="24"/>
                <w:szCs w:val="24"/>
              </w:rPr>
            </w:pPr>
            <w:r w:rsidRPr="00312E0F">
              <w:rPr>
                <w:rFonts w:ascii="Times New Roman" w:hAnsi="Times New Roman" w:cs="Times New Roman"/>
                <w:sz w:val="24"/>
                <w:szCs w:val="24"/>
              </w:rPr>
              <w:t>Absent</w:t>
            </w:r>
          </w:p>
        </w:tc>
        <w:tc>
          <w:tcPr>
            <w:tcW w:w="1000" w:type="pct"/>
            <w:tcBorders>
              <w:top w:val="single" w:sz="4" w:space="0" w:color="666666" w:themeColor="text1" w:themeTint="99"/>
              <w:left w:val="nil"/>
              <w:bottom w:val="single" w:sz="4" w:space="0" w:color="666666" w:themeColor="text1" w:themeTint="99"/>
              <w:right w:val="nil"/>
            </w:tcBorders>
            <w:hideMark/>
          </w:tcPr>
          <w:p w14:paraId="434D0F96"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Absent</w:t>
            </w:r>
          </w:p>
          <w:p w14:paraId="7E5BB738"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Present</w:t>
            </w:r>
          </w:p>
        </w:tc>
        <w:tc>
          <w:tcPr>
            <w:tcW w:w="1000" w:type="pct"/>
            <w:tcBorders>
              <w:top w:val="single" w:sz="4" w:space="0" w:color="666666" w:themeColor="text1" w:themeTint="99"/>
              <w:left w:val="nil"/>
              <w:bottom w:val="single" w:sz="4" w:space="0" w:color="666666" w:themeColor="text1" w:themeTint="99"/>
              <w:right w:val="nil"/>
            </w:tcBorders>
            <w:hideMark/>
          </w:tcPr>
          <w:p w14:paraId="1F90D55C"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56 (70.0%)</w:t>
            </w:r>
          </w:p>
          <w:p w14:paraId="1255E133"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24 (30.0%)</w:t>
            </w:r>
          </w:p>
        </w:tc>
        <w:tc>
          <w:tcPr>
            <w:tcW w:w="1000" w:type="pct"/>
            <w:tcBorders>
              <w:top w:val="single" w:sz="4" w:space="0" w:color="666666" w:themeColor="text1" w:themeTint="99"/>
              <w:left w:val="nil"/>
              <w:bottom w:val="single" w:sz="4" w:space="0" w:color="666666" w:themeColor="text1" w:themeTint="99"/>
              <w:right w:val="nil"/>
            </w:tcBorders>
            <w:hideMark/>
          </w:tcPr>
          <w:p w14:paraId="03AD0C8A"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21 (77.8%)</w:t>
            </w:r>
          </w:p>
          <w:p w14:paraId="20C6C7A7"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6 (22.2%)</w:t>
            </w:r>
          </w:p>
        </w:tc>
        <w:tc>
          <w:tcPr>
            <w:tcW w:w="1000" w:type="pct"/>
            <w:tcBorders>
              <w:top w:val="single" w:sz="4" w:space="0" w:color="666666" w:themeColor="text1" w:themeTint="99"/>
              <w:left w:val="nil"/>
              <w:bottom w:val="single" w:sz="4" w:space="0" w:color="666666" w:themeColor="text1" w:themeTint="99"/>
              <w:right w:val="nil"/>
            </w:tcBorders>
            <w:vAlign w:val="center"/>
            <w:hideMark/>
          </w:tcPr>
          <w:p w14:paraId="04E60A05"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0.009</w:t>
            </w:r>
          </w:p>
        </w:tc>
      </w:tr>
      <w:tr w:rsidR="00B16A85" w:rsidRPr="00312E0F" w14:paraId="1925894E" w14:textId="77777777" w:rsidTr="00601CA9">
        <w:tc>
          <w:tcPr>
            <w:cnfStyle w:val="001000000000" w:firstRow="0" w:lastRow="0" w:firstColumn="1" w:lastColumn="0" w:oddVBand="0" w:evenVBand="0" w:oddHBand="0" w:evenHBand="0" w:firstRowFirstColumn="0" w:firstRowLastColumn="0" w:lastRowFirstColumn="0" w:lastRowLastColumn="0"/>
            <w:tcW w:w="1000" w:type="pct"/>
            <w:tcBorders>
              <w:top w:val="single" w:sz="4" w:space="0" w:color="666666" w:themeColor="text1" w:themeTint="99"/>
              <w:left w:val="nil"/>
              <w:bottom w:val="single" w:sz="4" w:space="0" w:color="666666" w:themeColor="text1" w:themeTint="99"/>
              <w:right w:val="nil"/>
            </w:tcBorders>
            <w:hideMark/>
          </w:tcPr>
          <w:p w14:paraId="0FB6CAD2" w14:textId="77777777" w:rsidR="00B16A85" w:rsidRPr="00312E0F" w:rsidRDefault="00B16A85" w:rsidP="004B621C">
            <w:pPr>
              <w:spacing w:line="360" w:lineRule="auto"/>
              <w:jc w:val="both"/>
              <w:rPr>
                <w:rFonts w:ascii="Times New Roman" w:hAnsi="Times New Roman" w:cs="Times New Roman"/>
                <w:sz w:val="24"/>
                <w:szCs w:val="24"/>
              </w:rPr>
            </w:pPr>
            <w:r w:rsidRPr="00312E0F">
              <w:rPr>
                <w:rFonts w:ascii="Times New Roman" w:hAnsi="Times New Roman" w:cs="Times New Roman"/>
                <w:sz w:val="24"/>
                <w:szCs w:val="24"/>
              </w:rPr>
              <w:t>Present</w:t>
            </w:r>
          </w:p>
        </w:tc>
        <w:tc>
          <w:tcPr>
            <w:tcW w:w="1000" w:type="pct"/>
            <w:tcBorders>
              <w:top w:val="single" w:sz="4" w:space="0" w:color="666666" w:themeColor="text1" w:themeTint="99"/>
              <w:left w:val="nil"/>
              <w:bottom w:val="single" w:sz="4" w:space="0" w:color="666666" w:themeColor="text1" w:themeTint="99"/>
              <w:right w:val="nil"/>
            </w:tcBorders>
            <w:hideMark/>
          </w:tcPr>
          <w:p w14:paraId="728F9A80"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Absent</w:t>
            </w:r>
          </w:p>
          <w:p w14:paraId="0A2713E5"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Present</w:t>
            </w:r>
          </w:p>
        </w:tc>
        <w:tc>
          <w:tcPr>
            <w:tcW w:w="1000" w:type="pct"/>
            <w:tcBorders>
              <w:top w:val="single" w:sz="4" w:space="0" w:color="666666" w:themeColor="text1" w:themeTint="99"/>
              <w:left w:val="nil"/>
              <w:bottom w:val="single" w:sz="4" w:space="0" w:color="666666" w:themeColor="text1" w:themeTint="99"/>
              <w:right w:val="nil"/>
            </w:tcBorders>
            <w:hideMark/>
          </w:tcPr>
          <w:p w14:paraId="1832E12E"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23 (95.8%)</w:t>
            </w:r>
          </w:p>
          <w:p w14:paraId="72F562E5"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1 (4.2%)</w:t>
            </w:r>
          </w:p>
        </w:tc>
        <w:tc>
          <w:tcPr>
            <w:tcW w:w="1000" w:type="pct"/>
            <w:tcBorders>
              <w:top w:val="single" w:sz="4" w:space="0" w:color="666666" w:themeColor="text1" w:themeTint="99"/>
              <w:left w:val="nil"/>
              <w:bottom w:val="single" w:sz="4" w:space="0" w:color="666666" w:themeColor="text1" w:themeTint="99"/>
              <w:right w:val="nil"/>
            </w:tcBorders>
            <w:hideMark/>
          </w:tcPr>
          <w:p w14:paraId="4ADFEC71"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17 (89.5%)</w:t>
            </w:r>
          </w:p>
          <w:p w14:paraId="0B7E91A2"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2 (10.5%)</w:t>
            </w:r>
          </w:p>
        </w:tc>
        <w:tc>
          <w:tcPr>
            <w:tcW w:w="1000" w:type="pct"/>
            <w:tcBorders>
              <w:top w:val="single" w:sz="4" w:space="0" w:color="666666" w:themeColor="text1" w:themeTint="99"/>
              <w:left w:val="nil"/>
              <w:bottom w:val="single" w:sz="4" w:space="0" w:color="666666" w:themeColor="text1" w:themeTint="99"/>
              <w:right w:val="nil"/>
            </w:tcBorders>
            <w:vAlign w:val="center"/>
            <w:hideMark/>
          </w:tcPr>
          <w:p w14:paraId="11A59A85"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0.303</w:t>
            </w:r>
          </w:p>
        </w:tc>
      </w:tr>
      <w:tr w:rsidR="00B16A85" w:rsidRPr="00312E0F" w14:paraId="24BC450A" w14:textId="77777777" w:rsidTr="00601CA9">
        <w:tc>
          <w:tcPr>
            <w:cnfStyle w:val="001000000000" w:firstRow="0" w:lastRow="0" w:firstColumn="1" w:lastColumn="0" w:oddVBand="0" w:evenVBand="0" w:oddHBand="0" w:evenHBand="0" w:firstRowFirstColumn="0" w:firstRowLastColumn="0" w:lastRowFirstColumn="0" w:lastRowLastColumn="0"/>
            <w:tcW w:w="2000" w:type="pct"/>
            <w:gridSpan w:val="2"/>
            <w:tcBorders>
              <w:top w:val="single" w:sz="4" w:space="0" w:color="666666" w:themeColor="text1" w:themeTint="99"/>
              <w:left w:val="nil"/>
              <w:bottom w:val="single" w:sz="4" w:space="0" w:color="666666" w:themeColor="text1" w:themeTint="99"/>
              <w:right w:val="nil"/>
            </w:tcBorders>
            <w:hideMark/>
          </w:tcPr>
          <w:p w14:paraId="50113686" w14:textId="77777777" w:rsidR="00B16A85" w:rsidRPr="00312E0F" w:rsidRDefault="00B16A85" w:rsidP="004B621C">
            <w:pPr>
              <w:spacing w:line="360" w:lineRule="auto"/>
              <w:jc w:val="both"/>
              <w:rPr>
                <w:rFonts w:ascii="Times New Roman" w:hAnsi="Times New Roman" w:cs="Times New Roman"/>
                <w:sz w:val="24"/>
                <w:szCs w:val="24"/>
              </w:rPr>
            </w:pPr>
            <w:r w:rsidRPr="00312E0F">
              <w:rPr>
                <w:rFonts w:ascii="Times New Roman" w:hAnsi="Times New Roman" w:cs="Times New Roman"/>
                <w:sz w:val="24"/>
                <w:szCs w:val="24"/>
              </w:rPr>
              <w:t>Total</w:t>
            </w:r>
          </w:p>
        </w:tc>
        <w:tc>
          <w:tcPr>
            <w:tcW w:w="1000" w:type="pct"/>
            <w:tcBorders>
              <w:top w:val="single" w:sz="4" w:space="0" w:color="666666" w:themeColor="text1" w:themeTint="99"/>
              <w:left w:val="nil"/>
              <w:bottom w:val="single" w:sz="4" w:space="0" w:color="666666" w:themeColor="text1" w:themeTint="99"/>
              <w:right w:val="nil"/>
            </w:tcBorders>
            <w:hideMark/>
          </w:tcPr>
          <w:p w14:paraId="3F658D91"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123</w:t>
            </w:r>
          </w:p>
        </w:tc>
        <w:tc>
          <w:tcPr>
            <w:tcW w:w="1000" w:type="pct"/>
            <w:tcBorders>
              <w:top w:val="single" w:sz="4" w:space="0" w:color="666666" w:themeColor="text1" w:themeTint="99"/>
              <w:left w:val="nil"/>
              <w:bottom w:val="single" w:sz="4" w:space="0" w:color="666666" w:themeColor="text1" w:themeTint="99"/>
              <w:right w:val="nil"/>
            </w:tcBorders>
            <w:hideMark/>
          </w:tcPr>
          <w:p w14:paraId="35F4DA2E"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27</w:t>
            </w:r>
          </w:p>
        </w:tc>
        <w:tc>
          <w:tcPr>
            <w:tcW w:w="1000" w:type="pct"/>
            <w:tcBorders>
              <w:top w:val="single" w:sz="4" w:space="0" w:color="666666" w:themeColor="text1" w:themeTint="99"/>
              <w:left w:val="nil"/>
              <w:bottom w:val="single" w:sz="4" w:space="0" w:color="666666" w:themeColor="text1" w:themeTint="99"/>
              <w:right w:val="nil"/>
            </w:tcBorders>
            <w:vAlign w:val="center"/>
            <w:hideMark/>
          </w:tcPr>
          <w:p w14:paraId="0D62DCC6" w14:textId="77777777" w:rsidR="00B16A85" w:rsidRPr="00312E0F" w:rsidRDefault="00B16A85" w:rsidP="004B621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12E0F">
              <w:rPr>
                <w:rFonts w:ascii="Times New Roman" w:hAnsi="Times New Roman" w:cs="Times New Roman"/>
                <w:sz w:val="24"/>
                <w:szCs w:val="24"/>
              </w:rPr>
              <w:t>0.005</w:t>
            </w:r>
          </w:p>
        </w:tc>
      </w:tr>
    </w:tbl>
    <w:p w14:paraId="65B15172" w14:textId="77777777" w:rsidR="00B16A85" w:rsidRPr="00312E0F" w:rsidRDefault="00B16A85" w:rsidP="004B621C">
      <w:pPr>
        <w:spacing w:line="360" w:lineRule="auto"/>
        <w:jc w:val="both"/>
        <w:rPr>
          <w:rFonts w:ascii="Times New Roman" w:hAnsi="Times New Roman" w:cs="Times New Roman"/>
          <w:sz w:val="24"/>
          <w:szCs w:val="24"/>
        </w:rPr>
      </w:pPr>
    </w:p>
    <w:p w14:paraId="5E8E60D2" w14:textId="3C73BF6F" w:rsidR="00B16A85" w:rsidRPr="00312E0F" w:rsidRDefault="00B16A85" w:rsidP="004B621C">
      <w:pPr>
        <w:spacing w:line="360" w:lineRule="auto"/>
        <w:ind w:firstLine="720"/>
        <w:jc w:val="both"/>
        <w:rPr>
          <w:rFonts w:ascii="Times New Roman" w:hAnsi="Times New Roman" w:cs="Times New Roman"/>
          <w:sz w:val="24"/>
          <w:szCs w:val="24"/>
        </w:rPr>
      </w:pPr>
      <w:r w:rsidRPr="00312E0F">
        <w:rPr>
          <w:rFonts w:ascii="Times New Roman" w:hAnsi="Times New Roman" w:cs="Times New Roman"/>
          <w:sz w:val="24"/>
          <w:szCs w:val="24"/>
        </w:rPr>
        <w:t>The table 7 above showed the hereditary of dimple in the second child. The prevalence of the facial dimple was also low. When the dimple was absent in both parents, the prevalence was low in the first child, and when the dimple was present in both parents, the prevalence was however not high. There was however a significant association in the dimple when it was absent in the second child (p&lt;0.05). The table also showed that there was no a significant association in the dimple when it was present in the second child (p&gt;0.05).</w:t>
      </w:r>
    </w:p>
    <w:p w14:paraId="2065A418" w14:textId="77777777" w:rsidR="00B16A85" w:rsidRDefault="00B16A85" w:rsidP="004B621C">
      <w:pPr>
        <w:spacing w:line="480" w:lineRule="auto"/>
        <w:jc w:val="both"/>
        <w:rPr>
          <w:rFonts w:ascii="Times New Roman" w:hAnsi="Times New Roman" w:cs="Times New Roman"/>
          <w:b/>
          <w:bCs/>
          <w:sz w:val="24"/>
          <w:szCs w:val="24"/>
          <w:lang w:val="en-GB"/>
        </w:rPr>
      </w:pPr>
    </w:p>
    <w:p w14:paraId="7654E1EA" w14:textId="77777777" w:rsidR="00B16A85" w:rsidRPr="00F55CA3" w:rsidRDefault="00B16A85" w:rsidP="004B621C">
      <w:pPr>
        <w:spacing w:line="480" w:lineRule="auto"/>
        <w:jc w:val="both"/>
        <w:rPr>
          <w:rFonts w:ascii="Times New Roman" w:hAnsi="Times New Roman" w:cs="Times New Roman"/>
          <w:b/>
          <w:bCs/>
          <w:sz w:val="24"/>
          <w:szCs w:val="24"/>
        </w:rPr>
      </w:pPr>
      <w:r w:rsidRPr="00F55CA3">
        <w:rPr>
          <w:rFonts w:ascii="Times New Roman" w:hAnsi="Times New Roman" w:cs="Times New Roman"/>
          <w:b/>
          <w:bCs/>
          <w:sz w:val="24"/>
          <w:szCs w:val="24"/>
        </w:rPr>
        <w:lastRenderedPageBreak/>
        <w:t>Discussion</w:t>
      </w:r>
    </w:p>
    <w:p w14:paraId="316BCCDD" w14:textId="4B421BE8" w:rsidR="00B16A85" w:rsidRPr="00F55CA3" w:rsidRDefault="00B16A85" w:rsidP="004B621C">
      <w:pPr>
        <w:spacing w:line="480" w:lineRule="auto"/>
        <w:jc w:val="both"/>
        <w:rPr>
          <w:rFonts w:ascii="Times New Roman" w:hAnsi="Times New Roman" w:cs="Times New Roman"/>
          <w:sz w:val="24"/>
          <w:szCs w:val="24"/>
        </w:rPr>
      </w:pPr>
      <w:r w:rsidRPr="00F55CA3">
        <w:rPr>
          <w:rFonts w:ascii="Times New Roman" w:hAnsi="Times New Roman" w:cs="Times New Roman"/>
          <w:sz w:val="24"/>
          <w:szCs w:val="24"/>
        </w:rPr>
        <w:t>A total of 150 subjects were used for this study. The subjects comprised of both information about the parents an</w:t>
      </w:r>
      <w:r w:rsidR="000B58F7">
        <w:rPr>
          <w:rFonts w:ascii="Times New Roman" w:hAnsi="Times New Roman" w:cs="Times New Roman"/>
          <w:sz w:val="24"/>
          <w:szCs w:val="24"/>
        </w:rPr>
        <w:t>d</w:t>
      </w:r>
      <w:r w:rsidRPr="00F55CA3">
        <w:rPr>
          <w:rFonts w:ascii="Times New Roman" w:hAnsi="Times New Roman" w:cs="Times New Roman"/>
          <w:sz w:val="24"/>
          <w:szCs w:val="24"/>
        </w:rPr>
        <w:t xml:space="preserve"> their first two children.</w:t>
      </w:r>
    </w:p>
    <w:p w14:paraId="0F9F01B2" w14:textId="5F0FFFD3" w:rsidR="00B16A85" w:rsidRPr="00F55CA3" w:rsidRDefault="00B16A85" w:rsidP="004B621C">
      <w:pPr>
        <w:spacing w:line="480" w:lineRule="auto"/>
        <w:jc w:val="both"/>
        <w:rPr>
          <w:rFonts w:ascii="Times New Roman" w:hAnsi="Times New Roman" w:cs="Times New Roman"/>
          <w:b/>
          <w:sz w:val="24"/>
          <w:szCs w:val="24"/>
        </w:rPr>
      </w:pPr>
      <w:r w:rsidRPr="00F55CA3">
        <w:rPr>
          <w:rFonts w:ascii="Times New Roman" w:hAnsi="Times New Roman" w:cs="Times New Roman"/>
          <w:b/>
          <w:sz w:val="24"/>
          <w:szCs w:val="24"/>
        </w:rPr>
        <w:t>Heritability of Gap T</w:t>
      </w:r>
      <w:r w:rsidR="000B58F7">
        <w:rPr>
          <w:rFonts w:ascii="Times New Roman" w:hAnsi="Times New Roman" w:cs="Times New Roman"/>
          <w:b/>
          <w:sz w:val="24"/>
          <w:szCs w:val="24"/>
        </w:rPr>
        <w:t>ee</w:t>
      </w:r>
      <w:r w:rsidRPr="00F55CA3">
        <w:rPr>
          <w:rFonts w:ascii="Times New Roman" w:hAnsi="Times New Roman" w:cs="Times New Roman"/>
          <w:b/>
          <w:sz w:val="24"/>
          <w:szCs w:val="24"/>
        </w:rPr>
        <w:t>th</w:t>
      </w:r>
    </w:p>
    <w:p w14:paraId="6210C11C" w14:textId="4B00C495" w:rsidR="00B16A85" w:rsidRPr="00F55CA3" w:rsidRDefault="00B16A85" w:rsidP="004B621C">
      <w:pPr>
        <w:spacing w:line="480" w:lineRule="auto"/>
        <w:jc w:val="both"/>
        <w:rPr>
          <w:rFonts w:ascii="Times New Roman" w:hAnsi="Times New Roman" w:cs="Times New Roman"/>
          <w:sz w:val="24"/>
          <w:szCs w:val="24"/>
        </w:rPr>
      </w:pPr>
      <w:r w:rsidRPr="00F55CA3">
        <w:rPr>
          <w:rFonts w:ascii="Times New Roman" w:hAnsi="Times New Roman" w:cs="Times New Roman"/>
          <w:sz w:val="24"/>
          <w:szCs w:val="24"/>
        </w:rPr>
        <w:t xml:space="preserve">The study showed that the prevalence of gap tooth among both parents was low. It also showed that the prevalence of gap tooth among both the first and second children was also low. The presence of absence of gap tooth in either </w:t>
      </w:r>
      <w:r w:rsidR="00B862DF">
        <w:rPr>
          <w:rFonts w:ascii="Times New Roman" w:hAnsi="Times New Roman" w:cs="Times New Roman"/>
          <w:sz w:val="24"/>
          <w:szCs w:val="24"/>
        </w:rPr>
        <w:t>parent</w:t>
      </w:r>
      <w:r w:rsidRPr="00F55CA3">
        <w:rPr>
          <w:rFonts w:ascii="Times New Roman" w:hAnsi="Times New Roman" w:cs="Times New Roman"/>
          <w:sz w:val="24"/>
          <w:szCs w:val="24"/>
        </w:rPr>
        <w:t xml:space="preserve"> affected the presence or absence of gap tooth in the first and second child. However, there was no statistical association between the presence or absence of </w:t>
      </w:r>
      <w:r w:rsidR="00B862DF">
        <w:rPr>
          <w:rFonts w:ascii="Times New Roman" w:hAnsi="Times New Roman" w:cs="Times New Roman"/>
          <w:sz w:val="24"/>
          <w:szCs w:val="24"/>
        </w:rPr>
        <w:t xml:space="preserve">a </w:t>
      </w:r>
      <w:r w:rsidRPr="00F55CA3">
        <w:rPr>
          <w:rFonts w:ascii="Times New Roman" w:hAnsi="Times New Roman" w:cs="Times New Roman"/>
          <w:sz w:val="24"/>
          <w:szCs w:val="24"/>
        </w:rPr>
        <w:t>gap tooth between parents and the first child (p&gt;0.05).</w:t>
      </w:r>
    </w:p>
    <w:p w14:paraId="37CD38E6" w14:textId="27A97585" w:rsidR="00B16A85" w:rsidRPr="00F55CA3" w:rsidRDefault="00B16A85" w:rsidP="004B621C">
      <w:pPr>
        <w:spacing w:line="480" w:lineRule="auto"/>
        <w:jc w:val="both"/>
        <w:rPr>
          <w:rFonts w:ascii="Times New Roman" w:hAnsi="Times New Roman" w:cs="Times New Roman"/>
          <w:sz w:val="24"/>
          <w:szCs w:val="24"/>
        </w:rPr>
      </w:pPr>
      <w:r w:rsidRPr="00F55CA3">
        <w:rPr>
          <w:rFonts w:ascii="Times New Roman" w:hAnsi="Times New Roman" w:cs="Times New Roman"/>
          <w:sz w:val="24"/>
          <w:szCs w:val="24"/>
        </w:rPr>
        <w:t>The study by Omotoso and Kadir (2009)</w:t>
      </w:r>
      <w:r w:rsidR="00B862DF">
        <w:rPr>
          <w:rFonts w:ascii="Times New Roman" w:hAnsi="Times New Roman" w:cs="Times New Roman"/>
          <w:sz w:val="24"/>
          <w:szCs w:val="24"/>
        </w:rPr>
        <w:t>,</w:t>
      </w:r>
      <w:r w:rsidRPr="00F55CA3">
        <w:rPr>
          <w:rFonts w:ascii="Times New Roman" w:hAnsi="Times New Roman" w:cs="Times New Roman"/>
          <w:sz w:val="24"/>
          <w:szCs w:val="24"/>
        </w:rPr>
        <w:t xml:space="preserve"> who also found a low prevalence of gap tooth</w:t>
      </w:r>
      <w:r w:rsidR="00B862DF">
        <w:rPr>
          <w:rFonts w:ascii="Times New Roman" w:hAnsi="Times New Roman" w:cs="Times New Roman"/>
          <w:sz w:val="24"/>
          <w:szCs w:val="24"/>
        </w:rPr>
        <w:t>,</w:t>
      </w:r>
      <w:r w:rsidRPr="00F55CA3">
        <w:rPr>
          <w:rFonts w:ascii="Times New Roman" w:hAnsi="Times New Roman" w:cs="Times New Roman"/>
          <w:sz w:val="24"/>
          <w:szCs w:val="24"/>
        </w:rPr>
        <w:t xml:space="preserve"> and that close to two-thirds (p&gt;0.05) of the cases of diastema were inherited</w:t>
      </w:r>
      <w:r w:rsidR="00B862DF">
        <w:rPr>
          <w:rFonts w:ascii="Times New Roman" w:hAnsi="Times New Roman" w:cs="Times New Roman"/>
          <w:sz w:val="24"/>
          <w:szCs w:val="24"/>
        </w:rPr>
        <w:t>,</w:t>
      </w:r>
      <w:r w:rsidRPr="00F55CA3">
        <w:rPr>
          <w:rFonts w:ascii="Times New Roman" w:hAnsi="Times New Roman" w:cs="Times New Roman"/>
          <w:sz w:val="24"/>
          <w:szCs w:val="24"/>
        </w:rPr>
        <w:t xml:space="preserve"> supported the findings of this study. The findings </w:t>
      </w:r>
      <w:r w:rsidR="00B862DF">
        <w:rPr>
          <w:rFonts w:ascii="Times New Roman" w:hAnsi="Times New Roman" w:cs="Times New Roman"/>
          <w:sz w:val="24"/>
          <w:szCs w:val="24"/>
        </w:rPr>
        <w:t>were</w:t>
      </w:r>
      <w:r w:rsidRPr="00F55CA3">
        <w:rPr>
          <w:rFonts w:ascii="Times New Roman" w:hAnsi="Times New Roman" w:cs="Times New Roman"/>
          <w:sz w:val="24"/>
          <w:szCs w:val="24"/>
        </w:rPr>
        <w:t xml:space="preserve"> also supported by </w:t>
      </w:r>
      <w:r w:rsidR="00B862DF">
        <w:rPr>
          <w:rFonts w:ascii="Times New Roman" w:hAnsi="Times New Roman" w:cs="Times New Roman"/>
          <w:sz w:val="24"/>
          <w:szCs w:val="24"/>
        </w:rPr>
        <w:t>those</w:t>
      </w:r>
      <w:r w:rsidRPr="00F55CA3">
        <w:rPr>
          <w:rFonts w:ascii="Times New Roman" w:hAnsi="Times New Roman" w:cs="Times New Roman"/>
          <w:sz w:val="24"/>
          <w:szCs w:val="24"/>
        </w:rPr>
        <w:t xml:space="preserve"> of</w:t>
      </w:r>
      <w:r w:rsidR="00F06F5F">
        <w:rPr>
          <w:rFonts w:ascii="Times New Roman" w:hAnsi="Times New Roman" w:cs="Times New Roman"/>
          <w:sz w:val="24"/>
          <w:szCs w:val="24"/>
        </w:rPr>
        <w:t xml:space="preserve"> </w:t>
      </w:r>
      <w:r w:rsidR="00F06F5F" w:rsidRPr="00F06F5F">
        <w:rPr>
          <w:rFonts w:ascii="Times New Roman" w:hAnsi="Times New Roman" w:cs="Times New Roman"/>
          <w:sz w:val="24"/>
          <w:szCs w:val="24"/>
        </w:rPr>
        <w:t>Amin</w:t>
      </w:r>
      <w:r w:rsidR="00F06F5F">
        <w:rPr>
          <w:rFonts w:ascii="Times New Roman" w:hAnsi="Times New Roman" w:cs="Times New Roman"/>
          <w:sz w:val="24"/>
          <w:szCs w:val="24"/>
        </w:rPr>
        <w:t xml:space="preserve"> </w:t>
      </w:r>
      <w:r w:rsidRPr="00F55CA3">
        <w:rPr>
          <w:rFonts w:ascii="Times New Roman" w:hAnsi="Times New Roman" w:cs="Times New Roman"/>
          <w:i/>
          <w:iCs/>
          <w:sz w:val="24"/>
          <w:szCs w:val="24"/>
        </w:rPr>
        <w:t>et al</w:t>
      </w:r>
      <w:r w:rsidRPr="00F55CA3">
        <w:rPr>
          <w:rFonts w:ascii="Times New Roman" w:hAnsi="Times New Roman" w:cs="Times New Roman"/>
          <w:sz w:val="24"/>
          <w:szCs w:val="24"/>
        </w:rPr>
        <w:t>. (20</w:t>
      </w:r>
      <w:r w:rsidR="00F06F5F">
        <w:rPr>
          <w:rFonts w:ascii="Times New Roman" w:hAnsi="Times New Roman" w:cs="Times New Roman"/>
          <w:sz w:val="24"/>
          <w:szCs w:val="24"/>
        </w:rPr>
        <w:t>21</w:t>
      </w:r>
      <w:r w:rsidRPr="00F55CA3">
        <w:rPr>
          <w:rFonts w:ascii="Times New Roman" w:hAnsi="Times New Roman" w:cs="Times New Roman"/>
          <w:sz w:val="24"/>
          <w:szCs w:val="24"/>
        </w:rPr>
        <w:t xml:space="preserve">), </w:t>
      </w:r>
      <w:proofErr w:type="spellStart"/>
      <w:r w:rsidRPr="00F55CA3">
        <w:rPr>
          <w:rFonts w:ascii="Times New Roman" w:hAnsi="Times New Roman" w:cs="Times New Roman"/>
          <w:sz w:val="24"/>
          <w:szCs w:val="24"/>
        </w:rPr>
        <w:t>Anibor</w:t>
      </w:r>
      <w:proofErr w:type="spellEnd"/>
      <w:r w:rsidRPr="00F55CA3">
        <w:rPr>
          <w:rFonts w:ascii="Times New Roman" w:hAnsi="Times New Roman" w:cs="Times New Roman"/>
          <w:sz w:val="24"/>
          <w:szCs w:val="24"/>
        </w:rPr>
        <w:t xml:space="preserve"> (2016), and Rabia </w:t>
      </w:r>
      <w:r w:rsidRPr="00F55CA3">
        <w:rPr>
          <w:rFonts w:ascii="Times New Roman" w:hAnsi="Times New Roman" w:cs="Times New Roman"/>
          <w:i/>
          <w:iCs/>
          <w:sz w:val="24"/>
          <w:szCs w:val="24"/>
        </w:rPr>
        <w:t>et al</w:t>
      </w:r>
      <w:r w:rsidRPr="00F55CA3">
        <w:rPr>
          <w:rFonts w:ascii="Times New Roman" w:hAnsi="Times New Roman" w:cs="Times New Roman"/>
          <w:sz w:val="24"/>
          <w:szCs w:val="24"/>
        </w:rPr>
        <w:t xml:space="preserve">., (2015) who reported that the incidence of gap tooth was low. These similarities seen </w:t>
      </w:r>
      <w:proofErr w:type="spellStart"/>
      <w:r w:rsidRPr="00F55CA3">
        <w:rPr>
          <w:rFonts w:ascii="Times New Roman" w:hAnsi="Times New Roman" w:cs="Times New Roman"/>
          <w:sz w:val="24"/>
          <w:szCs w:val="24"/>
        </w:rPr>
        <w:t>seen</w:t>
      </w:r>
      <w:proofErr w:type="spellEnd"/>
      <w:r w:rsidRPr="00F55CA3">
        <w:rPr>
          <w:rFonts w:ascii="Times New Roman" w:hAnsi="Times New Roman" w:cs="Times New Roman"/>
          <w:sz w:val="24"/>
          <w:szCs w:val="24"/>
        </w:rPr>
        <w:t xml:space="preserve"> showed that the incidence of diastema is low.</w:t>
      </w:r>
    </w:p>
    <w:p w14:paraId="570C8E58" w14:textId="77777777" w:rsidR="00B16A85" w:rsidRPr="00F55CA3" w:rsidRDefault="00B16A85" w:rsidP="004B621C">
      <w:pPr>
        <w:spacing w:line="480" w:lineRule="auto"/>
        <w:jc w:val="both"/>
        <w:rPr>
          <w:rFonts w:ascii="Times New Roman" w:hAnsi="Times New Roman" w:cs="Times New Roman"/>
          <w:b/>
          <w:sz w:val="24"/>
          <w:szCs w:val="24"/>
        </w:rPr>
      </w:pPr>
      <w:r w:rsidRPr="00F55CA3">
        <w:rPr>
          <w:rFonts w:ascii="Times New Roman" w:hAnsi="Times New Roman" w:cs="Times New Roman"/>
          <w:b/>
          <w:sz w:val="24"/>
          <w:szCs w:val="24"/>
        </w:rPr>
        <w:t xml:space="preserve">Heritability of </w:t>
      </w:r>
      <w:proofErr w:type="spellStart"/>
      <w:r w:rsidRPr="00F55CA3">
        <w:rPr>
          <w:rFonts w:ascii="Times New Roman" w:hAnsi="Times New Roman" w:cs="Times New Roman"/>
          <w:b/>
          <w:sz w:val="24"/>
          <w:szCs w:val="24"/>
        </w:rPr>
        <w:t>Mentolabial</w:t>
      </w:r>
      <w:proofErr w:type="spellEnd"/>
      <w:r w:rsidRPr="00F55CA3">
        <w:rPr>
          <w:rFonts w:ascii="Times New Roman" w:hAnsi="Times New Roman" w:cs="Times New Roman"/>
          <w:b/>
          <w:sz w:val="24"/>
          <w:szCs w:val="24"/>
        </w:rPr>
        <w:t xml:space="preserve"> Sulcus</w:t>
      </w:r>
    </w:p>
    <w:p w14:paraId="17BDA80D" w14:textId="77777777" w:rsidR="00B16A85" w:rsidRPr="00F55CA3" w:rsidRDefault="00B16A85" w:rsidP="004B621C">
      <w:pPr>
        <w:spacing w:line="480" w:lineRule="auto"/>
        <w:jc w:val="both"/>
        <w:rPr>
          <w:rFonts w:ascii="Times New Roman" w:hAnsi="Times New Roman" w:cs="Times New Roman"/>
          <w:sz w:val="24"/>
          <w:szCs w:val="24"/>
        </w:rPr>
      </w:pPr>
      <w:r w:rsidRPr="00F55CA3">
        <w:rPr>
          <w:rFonts w:ascii="Times New Roman" w:hAnsi="Times New Roman" w:cs="Times New Roman"/>
          <w:sz w:val="24"/>
          <w:szCs w:val="24"/>
        </w:rPr>
        <w:t xml:space="preserve">This present study showed that the most prevalent depth in both parents was the average type, followed by the shallow and deep depth. The most prevalent depth of </w:t>
      </w:r>
      <w:proofErr w:type="spellStart"/>
      <w:r w:rsidRPr="00F55CA3">
        <w:rPr>
          <w:rFonts w:ascii="Times New Roman" w:hAnsi="Times New Roman" w:cs="Times New Roman"/>
          <w:sz w:val="24"/>
          <w:szCs w:val="24"/>
        </w:rPr>
        <w:t>mentolabial</w:t>
      </w:r>
      <w:proofErr w:type="spellEnd"/>
      <w:r w:rsidRPr="00F55CA3">
        <w:rPr>
          <w:rFonts w:ascii="Times New Roman" w:hAnsi="Times New Roman" w:cs="Times New Roman"/>
          <w:sz w:val="24"/>
          <w:szCs w:val="24"/>
        </w:rPr>
        <w:t xml:space="preserve"> sulcus in both children was the average type, followed by the shallow depth, and the deep depth. This </w:t>
      </w:r>
      <w:proofErr w:type="spellStart"/>
      <w:r w:rsidRPr="00F55CA3">
        <w:rPr>
          <w:rFonts w:ascii="Times New Roman" w:hAnsi="Times New Roman" w:cs="Times New Roman"/>
          <w:sz w:val="24"/>
          <w:szCs w:val="24"/>
        </w:rPr>
        <w:t>findigs</w:t>
      </w:r>
      <w:proofErr w:type="spellEnd"/>
      <w:r w:rsidRPr="00F55CA3">
        <w:rPr>
          <w:rFonts w:ascii="Times New Roman" w:hAnsi="Times New Roman" w:cs="Times New Roman"/>
          <w:sz w:val="24"/>
          <w:szCs w:val="24"/>
        </w:rPr>
        <w:t xml:space="preserve"> were not in harmony with that of Manish </w:t>
      </w:r>
      <w:r w:rsidRPr="00F55CA3">
        <w:rPr>
          <w:rFonts w:ascii="Times New Roman" w:hAnsi="Times New Roman" w:cs="Times New Roman"/>
          <w:i/>
          <w:sz w:val="24"/>
          <w:szCs w:val="24"/>
        </w:rPr>
        <w:t>et al.</w:t>
      </w:r>
      <w:r w:rsidRPr="00F55CA3">
        <w:rPr>
          <w:rFonts w:ascii="Times New Roman" w:hAnsi="Times New Roman" w:cs="Times New Roman"/>
          <w:sz w:val="24"/>
          <w:szCs w:val="24"/>
        </w:rPr>
        <w:t xml:space="preserve">, (2019) who reported that the deep </w:t>
      </w:r>
      <w:proofErr w:type="spellStart"/>
      <w:r w:rsidRPr="00F55CA3">
        <w:rPr>
          <w:rFonts w:ascii="Times New Roman" w:hAnsi="Times New Roman" w:cs="Times New Roman"/>
          <w:sz w:val="24"/>
          <w:szCs w:val="24"/>
        </w:rPr>
        <w:t>mentolabial</w:t>
      </w:r>
      <w:proofErr w:type="spellEnd"/>
      <w:r w:rsidRPr="00F55CA3">
        <w:rPr>
          <w:rFonts w:ascii="Times New Roman" w:hAnsi="Times New Roman" w:cs="Times New Roman"/>
          <w:sz w:val="24"/>
          <w:szCs w:val="24"/>
        </w:rPr>
        <w:t xml:space="preserve"> sulcus was more prevalent, followed by the shallow and average </w:t>
      </w:r>
      <w:proofErr w:type="spellStart"/>
      <w:r w:rsidRPr="00F55CA3">
        <w:rPr>
          <w:rFonts w:ascii="Times New Roman" w:hAnsi="Times New Roman" w:cs="Times New Roman"/>
          <w:sz w:val="24"/>
          <w:szCs w:val="24"/>
        </w:rPr>
        <w:t>mentolabial</w:t>
      </w:r>
      <w:proofErr w:type="spellEnd"/>
      <w:r w:rsidRPr="00F55CA3">
        <w:rPr>
          <w:rFonts w:ascii="Times New Roman" w:hAnsi="Times New Roman" w:cs="Times New Roman"/>
          <w:sz w:val="24"/>
          <w:szCs w:val="24"/>
        </w:rPr>
        <w:t xml:space="preserve"> sulcus. However, the study by Dinesh </w:t>
      </w:r>
      <w:r w:rsidRPr="00F55CA3">
        <w:rPr>
          <w:rFonts w:ascii="Times New Roman" w:hAnsi="Times New Roman" w:cs="Times New Roman"/>
          <w:i/>
          <w:sz w:val="24"/>
          <w:szCs w:val="24"/>
        </w:rPr>
        <w:t>et al.</w:t>
      </w:r>
      <w:r w:rsidRPr="00F55CA3">
        <w:rPr>
          <w:rFonts w:ascii="Times New Roman" w:hAnsi="Times New Roman" w:cs="Times New Roman"/>
          <w:sz w:val="24"/>
          <w:szCs w:val="24"/>
        </w:rPr>
        <w:t xml:space="preserve">, (2018) and Rokaya </w:t>
      </w:r>
      <w:r w:rsidRPr="00F55CA3">
        <w:rPr>
          <w:rFonts w:ascii="Times New Roman" w:hAnsi="Times New Roman" w:cs="Times New Roman"/>
          <w:i/>
          <w:iCs/>
          <w:sz w:val="24"/>
          <w:szCs w:val="24"/>
        </w:rPr>
        <w:t xml:space="preserve">et al., </w:t>
      </w:r>
      <w:r w:rsidRPr="00F55CA3">
        <w:rPr>
          <w:rFonts w:ascii="Times New Roman" w:hAnsi="Times New Roman" w:cs="Times New Roman"/>
          <w:sz w:val="24"/>
          <w:szCs w:val="24"/>
        </w:rPr>
        <w:t xml:space="preserve">(2013) who reported that the average </w:t>
      </w:r>
      <w:proofErr w:type="spellStart"/>
      <w:r w:rsidRPr="00F55CA3">
        <w:rPr>
          <w:rFonts w:ascii="Times New Roman" w:hAnsi="Times New Roman" w:cs="Times New Roman"/>
          <w:sz w:val="24"/>
          <w:szCs w:val="24"/>
        </w:rPr>
        <w:t>mentolabial</w:t>
      </w:r>
      <w:proofErr w:type="spellEnd"/>
      <w:r w:rsidRPr="00F55CA3">
        <w:rPr>
          <w:rFonts w:ascii="Times New Roman" w:hAnsi="Times New Roman" w:cs="Times New Roman"/>
          <w:sz w:val="24"/>
          <w:szCs w:val="24"/>
        </w:rPr>
        <w:t xml:space="preserve"> sulcus was more predominant supported the findings of this study.</w:t>
      </w:r>
    </w:p>
    <w:p w14:paraId="61E4CBA5" w14:textId="77777777" w:rsidR="00B16A85" w:rsidRPr="00F55CA3" w:rsidRDefault="00B16A85" w:rsidP="004B621C">
      <w:pPr>
        <w:spacing w:line="480" w:lineRule="auto"/>
        <w:jc w:val="both"/>
        <w:rPr>
          <w:rFonts w:ascii="Times New Roman" w:hAnsi="Times New Roman" w:cs="Times New Roman"/>
          <w:sz w:val="24"/>
          <w:szCs w:val="24"/>
        </w:rPr>
      </w:pPr>
      <w:r w:rsidRPr="00F55CA3">
        <w:rPr>
          <w:rFonts w:ascii="Times New Roman" w:hAnsi="Times New Roman" w:cs="Times New Roman"/>
          <w:sz w:val="24"/>
          <w:szCs w:val="24"/>
        </w:rPr>
        <w:lastRenderedPageBreak/>
        <w:t xml:space="preserve">It was also seen that there was no significant association in the hereditary of </w:t>
      </w:r>
      <w:proofErr w:type="spellStart"/>
      <w:r w:rsidRPr="00F55CA3">
        <w:rPr>
          <w:rFonts w:ascii="Times New Roman" w:hAnsi="Times New Roman" w:cs="Times New Roman"/>
          <w:sz w:val="24"/>
          <w:szCs w:val="24"/>
        </w:rPr>
        <w:t>mentolabial</w:t>
      </w:r>
      <w:proofErr w:type="spellEnd"/>
      <w:r w:rsidRPr="00F55CA3">
        <w:rPr>
          <w:rFonts w:ascii="Times New Roman" w:hAnsi="Times New Roman" w:cs="Times New Roman"/>
          <w:sz w:val="24"/>
          <w:szCs w:val="24"/>
        </w:rPr>
        <w:t xml:space="preserve"> sulcus in the first child (p&gt;0.05). </w:t>
      </w:r>
    </w:p>
    <w:p w14:paraId="21655960" w14:textId="77777777" w:rsidR="00B16A85" w:rsidRPr="00F55CA3" w:rsidRDefault="00B16A85" w:rsidP="004B621C">
      <w:pPr>
        <w:spacing w:line="480" w:lineRule="auto"/>
        <w:jc w:val="both"/>
        <w:rPr>
          <w:rFonts w:ascii="Times New Roman" w:hAnsi="Times New Roman" w:cs="Times New Roman"/>
          <w:b/>
          <w:sz w:val="24"/>
          <w:szCs w:val="24"/>
        </w:rPr>
      </w:pPr>
      <w:r w:rsidRPr="00F55CA3">
        <w:rPr>
          <w:rFonts w:ascii="Times New Roman" w:hAnsi="Times New Roman" w:cs="Times New Roman"/>
          <w:b/>
          <w:sz w:val="24"/>
          <w:szCs w:val="24"/>
        </w:rPr>
        <w:t>Heritability of Philtrum</w:t>
      </w:r>
    </w:p>
    <w:p w14:paraId="120FAEBF" w14:textId="77777777" w:rsidR="00D04ED8" w:rsidRDefault="00D04ED8" w:rsidP="004B621C">
      <w:pPr>
        <w:spacing w:line="480" w:lineRule="auto"/>
        <w:jc w:val="both"/>
        <w:rPr>
          <w:rFonts w:ascii="Times New Roman" w:hAnsi="Times New Roman" w:cs="Times New Roman"/>
          <w:sz w:val="24"/>
          <w:szCs w:val="24"/>
        </w:rPr>
      </w:pPr>
      <w:r w:rsidRPr="00F55CA3">
        <w:rPr>
          <w:rFonts w:ascii="Times New Roman" w:hAnsi="Times New Roman" w:cs="Times New Roman"/>
          <w:sz w:val="24"/>
          <w:szCs w:val="24"/>
        </w:rPr>
        <w:t>It was seen in this current study that the most prevalent depth of the philtrum in both parents was the shallow depth while the least philtrum depth in both parents was the deep depth. The prevalent philtrum depth in the both the 1</w:t>
      </w:r>
      <w:r w:rsidRPr="00F55CA3">
        <w:rPr>
          <w:rFonts w:ascii="Times New Roman" w:hAnsi="Times New Roman" w:cs="Times New Roman"/>
          <w:sz w:val="24"/>
          <w:szCs w:val="24"/>
          <w:vertAlign w:val="superscript"/>
        </w:rPr>
        <w:t>st</w:t>
      </w:r>
      <w:r w:rsidRPr="00F55CA3">
        <w:rPr>
          <w:rFonts w:ascii="Times New Roman" w:hAnsi="Times New Roman" w:cs="Times New Roman"/>
          <w:sz w:val="24"/>
          <w:szCs w:val="24"/>
        </w:rPr>
        <w:t xml:space="preserve"> child and 2nd child was the shallow depth while the deep depth had a lower prevalence. It was also seen that there was no significant association in the hereditary of philtrum in the first child (p&gt;0.05). There was </w:t>
      </w:r>
      <w:r>
        <w:rPr>
          <w:rFonts w:ascii="Times New Roman" w:hAnsi="Times New Roman" w:cs="Times New Roman"/>
          <w:sz w:val="24"/>
          <w:szCs w:val="24"/>
        </w:rPr>
        <w:t>a</w:t>
      </w:r>
      <w:r w:rsidRPr="00F55CA3">
        <w:rPr>
          <w:rFonts w:ascii="Times New Roman" w:hAnsi="Times New Roman" w:cs="Times New Roman"/>
          <w:sz w:val="24"/>
          <w:szCs w:val="24"/>
        </w:rPr>
        <w:t xml:space="preserve"> significant association in the hereditary of philtrum in the second child (p</w:t>
      </w:r>
      <w:r>
        <w:rPr>
          <w:rFonts w:ascii="Times New Roman" w:hAnsi="Times New Roman" w:cs="Times New Roman"/>
          <w:sz w:val="24"/>
          <w:szCs w:val="24"/>
        </w:rPr>
        <w:t>&lt;</w:t>
      </w:r>
      <w:r w:rsidRPr="00F55CA3">
        <w:rPr>
          <w:rFonts w:ascii="Times New Roman" w:hAnsi="Times New Roman" w:cs="Times New Roman"/>
          <w:sz w:val="24"/>
          <w:szCs w:val="24"/>
        </w:rPr>
        <w:t xml:space="preserve">0.05) when the shallow philtrum was prevalent. However, there was </w:t>
      </w:r>
      <w:r>
        <w:rPr>
          <w:rFonts w:ascii="Times New Roman" w:hAnsi="Times New Roman" w:cs="Times New Roman"/>
          <w:sz w:val="24"/>
          <w:szCs w:val="24"/>
        </w:rPr>
        <w:t>no</w:t>
      </w:r>
      <w:r w:rsidRPr="00F55CA3">
        <w:rPr>
          <w:rFonts w:ascii="Times New Roman" w:hAnsi="Times New Roman" w:cs="Times New Roman"/>
          <w:sz w:val="24"/>
          <w:szCs w:val="24"/>
        </w:rPr>
        <w:t xml:space="preserve"> significant association in the hereditary of philtrum in the second child (p&lt;0.05) when the deep philtrum was prevalent.</w:t>
      </w:r>
      <w:r>
        <w:rPr>
          <w:rFonts w:ascii="Times New Roman" w:hAnsi="Times New Roman" w:cs="Times New Roman"/>
          <w:sz w:val="24"/>
          <w:szCs w:val="24"/>
        </w:rPr>
        <w:t xml:space="preserve"> </w:t>
      </w:r>
      <w:r w:rsidRPr="00D159EC">
        <w:rPr>
          <w:rFonts w:ascii="Times New Roman" w:hAnsi="Times New Roman" w:cs="Times New Roman"/>
          <w:sz w:val="24"/>
          <w:szCs w:val="24"/>
        </w:rPr>
        <w:t>The findings of th</w:t>
      </w:r>
      <w:r>
        <w:rPr>
          <w:rFonts w:ascii="Times New Roman" w:hAnsi="Times New Roman" w:cs="Times New Roman"/>
          <w:sz w:val="24"/>
          <w:szCs w:val="24"/>
        </w:rPr>
        <w:t xml:space="preserve">is </w:t>
      </w:r>
      <w:r w:rsidRPr="00D159EC">
        <w:rPr>
          <w:rFonts w:ascii="Times New Roman" w:hAnsi="Times New Roman" w:cs="Times New Roman"/>
          <w:sz w:val="24"/>
          <w:szCs w:val="24"/>
        </w:rPr>
        <w:t>study agree with those of Chris-</w:t>
      </w:r>
      <w:proofErr w:type="spellStart"/>
      <w:r w:rsidRPr="00D159EC">
        <w:rPr>
          <w:rFonts w:ascii="Times New Roman" w:hAnsi="Times New Roman" w:cs="Times New Roman"/>
          <w:sz w:val="24"/>
          <w:szCs w:val="24"/>
        </w:rPr>
        <w:t>ozoko</w:t>
      </w:r>
      <w:proofErr w:type="spellEnd"/>
      <w:r>
        <w:rPr>
          <w:rFonts w:ascii="Times New Roman" w:hAnsi="Times New Roman" w:cs="Times New Roman"/>
          <w:sz w:val="24"/>
          <w:szCs w:val="24"/>
        </w:rPr>
        <w:t xml:space="preserve"> and </w:t>
      </w:r>
      <w:r w:rsidRPr="00D159EC">
        <w:rPr>
          <w:rFonts w:ascii="Times New Roman" w:hAnsi="Times New Roman" w:cs="Times New Roman"/>
          <w:sz w:val="24"/>
          <w:szCs w:val="24"/>
        </w:rPr>
        <w:t>Jaiyeoba-</w:t>
      </w:r>
      <w:proofErr w:type="spellStart"/>
      <w:r w:rsidRPr="00D159EC">
        <w:rPr>
          <w:rFonts w:ascii="Times New Roman" w:hAnsi="Times New Roman" w:cs="Times New Roman"/>
          <w:sz w:val="24"/>
          <w:szCs w:val="24"/>
        </w:rPr>
        <w:t>Ojigho</w:t>
      </w:r>
      <w:proofErr w:type="spellEnd"/>
      <w:r>
        <w:rPr>
          <w:rFonts w:ascii="Times New Roman" w:hAnsi="Times New Roman" w:cs="Times New Roman"/>
          <w:sz w:val="24"/>
          <w:szCs w:val="24"/>
        </w:rPr>
        <w:t xml:space="preserve"> (2020),</w:t>
      </w:r>
      <w:r w:rsidRPr="00D159EC">
        <w:rPr>
          <w:rFonts w:ascii="Times New Roman" w:hAnsi="Times New Roman" w:cs="Times New Roman"/>
          <w:sz w:val="24"/>
          <w:szCs w:val="24"/>
        </w:rPr>
        <w:t xml:space="preserve"> showing that philtrum morphology is inherited across generations but does not follow a strict Mendelian pattern. While </w:t>
      </w:r>
      <w:r>
        <w:rPr>
          <w:rFonts w:ascii="Times New Roman" w:hAnsi="Times New Roman" w:cs="Times New Roman"/>
          <w:sz w:val="24"/>
          <w:szCs w:val="24"/>
        </w:rPr>
        <w:t xml:space="preserve">it was </w:t>
      </w:r>
      <w:r w:rsidRPr="00D159EC">
        <w:rPr>
          <w:rFonts w:ascii="Times New Roman" w:hAnsi="Times New Roman" w:cs="Times New Roman"/>
          <w:sz w:val="24"/>
          <w:szCs w:val="24"/>
        </w:rPr>
        <w:t xml:space="preserve">reported that the deep philtrum appeared more dominant, this study found that the shallow philtrum was more common and showed stronger hereditary association among second children. </w:t>
      </w:r>
    </w:p>
    <w:p w14:paraId="6FEC9A48" w14:textId="77777777" w:rsidR="00B16A85" w:rsidRPr="00F55CA3" w:rsidRDefault="00B16A85" w:rsidP="004B621C">
      <w:pPr>
        <w:spacing w:line="480" w:lineRule="auto"/>
        <w:jc w:val="both"/>
        <w:rPr>
          <w:rFonts w:ascii="Times New Roman" w:hAnsi="Times New Roman" w:cs="Times New Roman"/>
          <w:b/>
          <w:sz w:val="24"/>
          <w:szCs w:val="24"/>
        </w:rPr>
      </w:pPr>
      <w:r w:rsidRPr="00F55CA3">
        <w:rPr>
          <w:rFonts w:ascii="Times New Roman" w:hAnsi="Times New Roman" w:cs="Times New Roman"/>
          <w:b/>
          <w:sz w:val="24"/>
          <w:szCs w:val="24"/>
        </w:rPr>
        <w:t>Heritability of Dimple</w:t>
      </w:r>
    </w:p>
    <w:p w14:paraId="62E7AB59" w14:textId="77777777" w:rsidR="00B16A85" w:rsidRPr="00F55CA3" w:rsidRDefault="00B16A85" w:rsidP="004B621C">
      <w:pPr>
        <w:spacing w:line="480" w:lineRule="auto"/>
        <w:jc w:val="both"/>
        <w:rPr>
          <w:rFonts w:ascii="Times New Roman" w:hAnsi="Times New Roman" w:cs="Times New Roman"/>
          <w:sz w:val="24"/>
          <w:szCs w:val="24"/>
        </w:rPr>
      </w:pPr>
      <w:r w:rsidRPr="00F55CA3">
        <w:rPr>
          <w:rFonts w:ascii="Times New Roman" w:hAnsi="Times New Roman" w:cs="Times New Roman"/>
          <w:sz w:val="24"/>
          <w:szCs w:val="24"/>
        </w:rPr>
        <w:t xml:space="preserve">The prevalence of dimple among both parents in this study was not high. The prevalence of facial dimple among both children was also low. There was however a significant association in the dimple when it was absent in the first and second child (p&lt;0.05). However, there was no a significant association in the dimple when it was present in the </w:t>
      </w:r>
      <w:proofErr w:type="gramStart"/>
      <w:r w:rsidRPr="00F55CA3">
        <w:rPr>
          <w:rFonts w:ascii="Times New Roman" w:hAnsi="Times New Roman" w:cs="Times New Roman"/>
          <w:sz w:val="24"/>
          <w:szCs w:val="24"/>
        </w:rPr>
        <w:t>first  and</w:t>
      </w:r>
      <w:proofErr w:type="gramEnd"/>
      <w:r w:rsidRPr="00F55CA3">
        <w:rPr>
          <w:rFonts w:ascii="Times New Roman" w:hAnsi="Times New Roman" w:cs="Times New Roman"/>
          <w:sz w:val="24"/>
          <w:szCs w:val="24"/>
        </w:rPr>
        <w:t xml:space="preserve"> second child (p&gt;0.05). The prevalence of dimple which was found to be low in this study was supported by that of </w:t>
      </w:r>
      <w:proofErr w:type="spellStart"/>
      <w:r w:rsidRPr="00F55CA3">
        <w:rPr>
          <w:rFonts w:ascii="Times New Roman" w:hAnsi="Times New Roman" w:cs="Times New Roman"/>
          <w:sz w:val="24"/>
          <w:szCs w:val="24"/>
        </w:rPr>
        <w:t>Mahabaleshwara</w:t>
      </w:r>
      <w:proofErr w:type="spellEnd"/>
      <w:r w:rsidRPr="00F55CA3">
        <w:rPr>
          <w:rFonts w:ascii="Times New Roman" w:hAnsi="Times New Roman" w:cs="Times New Roman"/>
          <w:sz w:val="24"/>
          <w:szCs w:val="24"/>
        </w:rPr>
        <w:t xml:space="preserve"> </w:t>
      </w:r>
      <w:r w:rsidRPr="00F55CA3">
        <w:rPr>
          <w:rFonts w:ascii="Times New Roman" w:hAnsi="Times New Roman" w:cs="Times New Roman"/>
          <w:i/>
          <w:sz w:val="24"/>
          <w:szCs w:val="24"/>
        </w:rPr>
        <w:t>et al.</w:t>
      </w:r>
      <w:r w:rsidRPr="00F55CA3">
        <w:rPr>
          <w:rFonts w:ascii="Times New Roman" w:hAnsi="Times New Roman" w:cs="Times New Roman"/>
          <w:sz w:val="24"/>
          <w:szCs w:val="24"/>
        </w:rPr>
        <w:t xml:space="preserve">, (2019) who reported that the prevalence of dimple was low. The study by </w:t>
      </w:r>
      <w:proofErr w:type="spellStart"/>
      <w:r w:rsidRPr="00F55CA3">
        <w:rPr>
          <w:rFonts w:ascii="Times New Roman" w:hAnsi="Times New Roman" w:cs="Times New Roman"/>
          <w:sz w:val="24"/>
          <w:szCs w:val="24"/>
        </w:rPr>
        <w:t>Anibor</w:t>
      </w:r>
      <w:proofErr w:type="spellEnd"/>
      <w:r w:rsidRPr="00F55CA3">
        <w:rPr>
          <w:rFonts w:ascii="Times New Roman" w:hAnsi="Times New Roman" w:cs="Times New Roman"/>
          <w:sz w:val="24"/>
          <w:szCs w:val="24"/>
        </w:rPr>
        <w:t xml:space="preserve"> (2016) and </w:t>
      </w:r>
      <w:proofErr w:type="spellStart"/>
      <w:r w:rsidRPr="00F55CA3">
        <w:rPr>
          <w:rFonts w:ascii="Times New Roman" w:hAnsi="Times New Roman" w:cs="Times New Roman"/>
          <w:sz w:val="24"/>
          <w:szCs w:val="24"/>
        </w:rPr>
        <w:t>Kooffreh</w:t>
      </w:r>
      <w:proofErr w:type="spellEnd"/>
      <w:r w:rsidRPr="00F55CA3">
        <w:rPr>
          <w:rFonts w:ascii="Times New Roman" w:hAnsi="Times New Roman" w:cs="Times New Roman"/>
          <w:sz w:val="24"/>
          <w:szCs w:val="24"/>
        </w:rPr>
        <w:t xml:space="preserve"> </w:t>
      </w:r>
      <w:r w:rsidRPr="00F55CA3">
        <w:rPr>
          <w:rFonts w:ascii="Times New Roman" w:hAnsi="Times New Roman" w:cs="Times New Roman"/>
          <w:i/>
          <w:sz w:val="24"/>
          <w:szCs w:val="24"/>
        </w:rPr>
        <w:t>et al.</w:t>
      </w:r>
      <w:r w:rsidRPr="00F55CA3">
        <w:rPr>
          <w:rFonts w:ascii="Times New Roman" w:hAnsi="Times New Roman" w:cs="Times New Roman"/>
          <w:sz w:val="24"/>
          <w:szCs w:val="24"/>
        </w:rPr>
        <w:t>, (2015) who also saw a low prevalence of dimple also supported the findings of this study.</w:t>
      </w:r>
    </w:p>
    <w:p w14:paraId="6CA56473" w14:textId="77777777" w:rsidR="00B16A85" w:rsidRPr="00F55CA3" w:rsidRDefault="00B16A85" w:rsidP="004B621C">
      <w:pPr>
        <w:spacing w:line="480" w:lineRule="auto"/>
        <w:jc w:val="both"/>
        <w:rPr>
          <w:rFonts w:ascii="Times New Roman" w:hAnsi="Times New Roman" w:cs="Times New Roman"/>
          <w:b/>
          <w:sz w:val="24"/>
          <w:szCs w:val="24"/>
        </w:rPr>
      </w:pPr>
      <w:r w:rsidRPr="00F55CA3">
        <w:rPr>
          <w:rFonts w:ascii="Times New Roman" w:hAnsi="Times New Roman" w:cs="Times New Roman"/>
          <w:b/>
          <w:sz w:val="24"/>
          <w:szCs w:val="24"/>
        </w:rPr>
        <w:lastRenderedPageBreak/>
        <w:t>Conclusion</w:t>
      </w:r>
    </w:p>
    <w:p w14:paraId="1D2E0258" w14:textId="77777777" w:rsidR="002331B1" w:rsidRDefault="002331B1" w:rsidP="004B621C">
      <w:pPr>
        <w:spacing w:line="480" w:lineRule="auto"/>
        <w:jc w:val="both"/>
        <w:rPr>
          <w:rFonts w:ascii="Times New Roman" w:hAnsi="Times New Roman" w:cs="Times New Roman"/>
          <w:sz w:val="24"/>
          <w:szCs w:val="24"/>
        </w:rPr>
      </w:pPr>
      <w:r w:rsidRPr="002331B1">
        <w:rPr>
          <w:rFonts w:ascii="Times New Roman" w:hAnsi="Times New Roman" w:cs="Times New Roman"/>
          <w:sz w:val="24"/>
          <w:szCs w:val="24"/>
        </w:rPr>
        <w:t xml:space="preserve">This study demonstrated that selected facial morphogenetic traits among the Ijaw population of Yenagoa show variable inheritance patterns, with significant parent–offspring associations observed particularly in philtrum morphology and absence of dimples, while gap teeth and </w:t>
      </w:r>
      <w:proofErr w:type="spellStart"/>
      <w:r w:rsidRPr="002331B1">
        <w:rPr>
          <w:rFonts w:ascii="Times New Roman" w:hAnsi="Times New Roman" w:cs="Times New Roman"/>
          <w:sz w:val="24"/>
          <w:szCs w:val="24"/>
        </w:rPr>
        <w:t>mentolabial</w:t>
      </w:r>
      <w:proofErr w:type="spellEnd"/>
      <w:r w:rsidRPr="002331B1">
        <w:rPr>
          <w:rFonts w:ascii="Times New Roman" w:hAnsi="Times New Roman" w:cs="Times New Roman"/>
          <w:sz w:val="24"/>
          <w:szCs w:val="24"/>
        </w:rPr>
        <w:t xml:space="preserve"> sulcus showed no significant inheritance relationship. These findings highlight the complex nature of craniofacial trait transmission and underscore the importance of family-based morphogenetic studies in understanding population-specific hereditary characteristics. The study contributes valuable baseline anthropogenetic reference data for Nigerian populations and supports the relevance of facial morphogenetic traits in forensic identification and future craniofacial genetic research.</w:t>
      </w:r>
    </w:p>
    <w:p w14:paraId="28A06659" w14:textId="0B3C2397" w:rsidR="00B16A85" w:rsidRPr="00F55CA3" w:rsidRDefault="00B16A85" w:rsidP="004B621C">
      <w:pPr>
        <w:spacing w:line="480" w:lineRule="auto"/>
        <w:jc w:val="both"/>
        <w:rPr>
          <w:rFonts w:ascii="Times New Roman" w:hAnsi="Times New Roman" w:cs="Times New Roman"/>
          <w:b/>
          <w:sz w:val="24"/>
          <w:szCs w:val="24"/>
        </w:rPr>
      </w:pPr>
      <w:r w:rsidRPr="00F55CA3">
        <w:rPr>
          <w:rFonts w:ascii="Times New Roman" w:hAnsi="Times New Roman" w:cs="Times New Roman"/>
          <w:b/>
          <w:sz w:val="24"/>
          <w:szCs w:val="24"/>
        </w:rPr>
        <w:t>Contribution to Knowledge</w:t>
      </w:r>
    </w:p>
    <w:p w14:paraId="3AC78665" w14:textId="1E907DDE" w:rsidR="00DB7F79" w:rsidRDefault="00DB7F79" w:rsidP="004B621C">
      <w:pPr>
        <w:spacing w:line="480" w:lineRule="auto"/>
        <w:jc w:val="both"/>
        <w:rPr>
          <w:rFonts w:ascii="Times New Roman" w:hAnsi="Times New Roman" w:cs="Times New Roman"/>
          <w:sz w:val="24"/>
          <w:szCs w:val="24"/>
        </w:rPr>
      </w:pPr>
      <w:r w:rsidRPr="00DB7F79">
        <w:rPr>
          <w:rFonts w:ascii="Times New Roman" w:hAnsi="Times New Roman" w:cs="Times New Roman"/>
          <w:sz w:val="24"/>
          <w:szCs w:val="24"/>
        </w:rPr>
        <w:t>This study provides baseline anthropogenetic data on the heritability patterns of selected facial morphogenetic traits</w:t>
      </w:r>
      <w:r>
        <w:rPr>
          <w:rFonts w:ascii="Times New Roman" w:hAnsi="Times New Roman" w:cs="Times New Roman"/>
          <w:sz w:val="24"/>
          <w:szCs w:val="24"/>
        </w:rPr>
        <w:t xml:space="preserve">, </w:t>
      </w:r>
      <w:r w:rsidRPr="00DB7F79">
        <w:rPr>
          <w:rFonts w:ascii="Times New Roman" w:hAnsi="Times New Roman" w:cs="Times New Roman"/>
          <w:sz w:val="24"/>
          <w:szCs w:val="24"/>
        </w:rPr>
        <w:t xml:space="preserve">dimples, philtrum depth, midline diastema (gap teeth), and </w:t>
      </w:r>
      <w:proofErr w:type="spellStart"/>
      <w:r w:rsidRPr="00DB7F79">
        <w:rPr>
          <w:rFonts w:ascii="Times New Roman" w:hAnsi="Times New Roman" w:cs="Times New Roman"/>
          <w:sz w:val="24"/>
          <w:szCs w:val="24"/>
        </w:rPr>
        <w:t>mentolabial</w:t>
      </w:r>
      <w:proofErr w:type="spellEnd"/>
      <w:r w:rsidRPr="00DB7F79">
        <w:rPr>
          <w:rFonts w:ascii="Times New Roman" w:hAnsi="Times New Roman" w:cs="Times New Roman"/>
          <w:sz w:val="24"/>
          <w:szCs w:val="24"/>
        </w:rPr>
        <w:t xml:space="preserve"> sulcus</w:t>
      </w:r>
      <w:r>
        <w:rPr>
          <w:rFonts w:ascii="Times New Roman" w:hAnsi="Times New Roman" w:cs="Times New Roman"/>
          <w:sz w:val="24"/>
          <w:szCs w:val="24"/>
        </w:rPr>
        <w:t xml:space="preserve">, </w:t>
      </w:r>
      <w:r w:rsidRPr="00DB7F79">
        <w:rPr>
          <w:rFonts w:ascii="Times New Roman" w:hAnsi="Times New Roman" w:cs="Times New Roman"/>
          <w:sz w:val="24"/>
          <w:szCs w:val="24"/>
        </w:rPr>
        <w:t>among the Ijaw population of Yenagoa, Bayelsa State, Nigeria. Unlike previous studies that primarily reported distribution patterns of these traits within general populations, the present study adopted a family-based comparative approach to evaluate parent–offspring concordance across generations. The findings therefore contribute novel insight into inheritance relationships of these morphogenetic traits within an indigenous Nigerian ethnic group. Additionally, the study expands the existing database of craniofacial morphological variation useful for forensic identification, anthropological profiling, and future genetic studies involving Nigerian populations.</w:t>
      </w:r>
    </w:p>
    <w:p w14:paraId="0CA5D62A" w14:textId="035A504F" w:rsidR="004B621C" w:rsidRPr="004B621C" w:rsidRDefault="004B621C" w:rsidP="004B621C">
      <w:pPr>
        <w:spacing w:line="480" w:lineRule="auto"/>
        <w:jc w:val="both"/>
        <w:rPr>
          <w:rFonts w:ascii="Times New Roman" w:hAnsi="Times New Roman" w:cs="Times New Roman"/>
          <w:b/>
          <w:bCs/>
          <w:sz w:val="24"/>
          <w:szCs w:val="24"/>
        </w:rPr>
      </w:pPr>
      <w:r w:rsidRPr="004B621C">
        <w:rPr>
          <w:rFonts w:ascii="Times New Roman" w:hAnsi="Times New Roman" w:cs="Times New Roman"/>
          <w:b/>
          <w:bCs/>
          <w:sz w:val="24"/>
          <w:szCs w:val="24"/>
        </w:rPr>
        <w:t>Limitations of</w:t>
      </w:r>
      <w:r>
        <w:rPr>
          <w:rFonts w:ascii="Times New Roman" w:hAnsi="Times New Roman" w:cs="Times New Roman"/>
          <w:b/>
          <w:bCs/>
          <w:sz w:val="24"/>
          <w:szCs w:val="24"/>
        </w:rPr>
        <w:t xml:space="preserve"> the</w:t>
      </w:r>
      <w:r w:rsidRPr="004B621C">
        <w:rPr>
          <w:rFonts w:ascii="Times New Roman" w:hAnsi="Times New Roman" w:cs="Times New Roman"/>
          <w:b/>
          <w:bCs/>
          <w:sz w:val="24"/>
          <w:szCs w:val="24"/>
        </w:rPr>
        <w:t xml:space="preserve"> study</w:t>
      </w:r>
    </w:p>
    <w:p w14:paraId="2BE4B9AB" w14:textId="7EC953EE" w:rsidR="004B621C" w:rsidRDefault="004B621C" w:rsidP="004B621C">
      <w:pPr>
        <w:spacing w:line="480" w:lineRule="auto"/>
        <w:jc w:val="both"/>
        <w:rPr>
          <w:rFonts w:ascii="Times New Roman" w:hAnsi="Times New Roman" w:cs="Times New Roman"/>
          <w:sz w:val="24"/>
          <w:szCs w:val="24"/>
        </w:rPr>
      </w:pPr>
      <w:r w:rsidRPr="004B621C">
        <w:rPr>
          <w:rFonts w:ascii="Times New Roman" w:hAnsi="Times New Roman" w:cs="Times New Roman"/>
          <w:sz w:val="24"/>
          <w:szCs w:val="24"/>
        </w:rPr>
        <w:t xml:space="preserve">This study has some limitations that should be considered when interpreting the findings. The assessment of facial morphogenetic traits was based primarily on direct visual observation </w:t>
      </w:r>
      <w:r w:rsidRPr="004B621C">
        <w:rPr>
          <w:rFonts w:ascii="Times New Roman" w:hAnsi="Times New Roman" w:cs="Times New Roman"/>
          <w:sz w:val="24"/>
          <w:szCs w:val="24"/>
        </w:rPr>
        <w:lastRenderedPageBreak/>
        <w:t>without the use of standardized morphometric instruments, which may introduce observer-related bias. In addition, the study population was restricted to selected Ijaw families residing in Yenagoa, Bayelsa State, which may limit the generalizability of the findings to other Ijaw communities or broader Nigerian populations. The relatively modest sample size and cross-sectional observational design also limit the ability to establish definitive genetic transmission patterns across multiple generations. Furthermore, environmental influences that may affect craniofacial trait expression were not evaluated in this study. Despite these limitations, the findings provide valuable baseline anthropogenetic data for future population-based inheritance studies.</w:t>
      </w:r>
    </w:p>
    <w:p w14:paraId="6586323E" w14:textId="77777777" w:rsidR="002331B1" w:rsidRPr="00F55CA3" w:rsidRDefault="002331B1" w:rsidP="002331B1">
      <w:pPr>
        <w:spacing w:line="480" w:lineRule="auto"/>
        <w:jc w:val="both"/>
        <w:rPr>
          <w:rFonts w:ascii="Times New Roman" w:hAnsi="Times New Roman" w:cs="Times New Roman"/>
          <w:b/>
          <w:sz w:val="24"/>
          <w:szCs w:val="24"/>
        </w:rPr>
      </w:pPr>
      <w:r w:rsidRPr="00F55CA3">
        <w:rPr>
          <w:rFonts w:ascii="Times New Roman" w:hAnsi="Times New Roman" w:cs="Times New Roman"/>
          <w:b/>
          <w:sz w:val="24"/>
          <w:szCs w:val="24"/>
        </w:rPr>
        <w:t>Recommendation</w:t>
      </w:r>
    </w:p>
    <w:p w14:paraId="684271BA" w14:textId="77777777" w:rsidR="002331B1" w:rsidRDefault="002331B1" w:rsidP="002331B1">
      <w:pPr>
        <w:spacing w:line="480" w:lineRule="auto"/>
        <w:jc w:val="both"/>
        <w:rPr>
          <w:rFonts w:ascii="Times New Roman" w:hAnsi="Times New Roman" w:cs="Times New Roman"/>
          <w:sz w:val="24"/>
          <w:szCs w:val="24"/>
        </w:rPr>
      </w:pPr>
      <w:r w:rsidRPr="004D484F">
        <w:rPr>
          <w:rFonts w:ascii="Times New Roman" w:hAnsi="Times New Roman" w:cs="Times New Roman"/>
          <w:sz w:val="24"/>
          <w:szCs w:val="24"/>
        </w:rPr>
        <w:t>It is recommended that future studies expand the present research through larger multigenerational sampling frameworks across diverse Nigerian ethnic populations to further clarify inheritance patterns of facial morphogenetic traits. The integration of quantitative craniofacial morphometric techniques and molecular genetic analysis is also suggested to strengthen the interpretation of hereditary influences observed in this study. Furthermore, comparative regional studies may help establish national reference databases useful for forensic identification and anthropological profiling. The findings of this study therefore provide a foundation for future interdisciplinary investigations in craniofacial genetics and forensic anthropology within indigenous African populations.</w:t>
      </w:r>
    </w:p>
    <w:p w14:paraId="790953E7" w14:textId="77777777" w:rsidR="001D1351" w:rsidRPr="001D1351" w:rsidRDefault="001D1351" w:rsidP="001D1351">
      <w:pPr>
        <w:spacing w:line="480" w:lineRule="auto"/>
        <w:jc w:val="both"/>
        <w:rPr>
          <w:rFonts w:ascii="Times New Roman" w:hAnsi="Times New Roman" w:cs="Times New Roman"/>
          <w:b/>
          <w:bCs/>
          <w:sz w:val="24"/>
          <w:szCs w:val="24"/>
        </w:rPr>
      </w:pPr>
      <w:r w:rsidRPr="001D1351">
        <w:rPr>
          <w:rFonts w:ascii="Times New Roman" w:hAnsi="Times New Roman" w:cs="Times New Roman"/>
          <w:b/>
          <w:bCs/>
          <w:sz w:val="24"/>
          <w:szCs w:val="24"/>
        </w:rPr>
        <w:t xml:space="preserve">Consent </w:t>
      </w:r>
    </w:p>
    <w:p w14:paraId="4F5FDC84" w14:textId="75E4CCAF" w:rsidR="001D1351" w:rsidRDefault="001D1351" w:rsidP="001D1351">
      <w:pPr>
        <w:spacing w:line="480" w:lineRule="auto"/>
        <w:jc w:val="both"/>
        <w:rPr>
          <w:rFonts w:ascii="Times New Roman" w:hAnsi="Times New Roman" w:cs="Times New Roman"/>
          <w:sz w:val="24"/>
          <w:szCs w:val="24"/>
        </w:rPr>
      </w:pPr>
      <w:r w:rsidRPr="001D1351">
        <w:rPr>
          <w:rFonts w:ascii="Times New Roman" w:hAnsi="Times New Roman" w:cs="Times New Roman"/>
          <w:sz w:val="24"/>
          <w:szCs w:val="24"/>
        </w:rPr>
        <w:t>As per international standards or university standards, Participants’ written consent has been collected and preserved by the author(s).</w:t>
      </w:r>
    </w:p>
    <w:p w14:paraId="7457CDCB" w14:textId="77777777" w:rsidR="00C14EAC" w:rsidRDefault="00C14EAC" w:rsidP="002331B1">
      <w:pPr>
        <w:spacing w:line="480" w:lineRule="auto"/>
        <w:jc w:val="both"/>
        <w:rPr>
          <w:rFonts w:ascii="Times New Roman" w:hAnsi="Times New Roman" w:cs="Times New Roman"/>
          <w:sz w:val="24"/>
          <w:szCs w:val="24"/>
        </w:rPr>
      </w:pPr>
    </w:p>
    <w:p w14:paraId="341EC152" w14:textId="77777777" w:rsidR="00C14EAC" w:rsidRPr="00C14EAC" w:rsidRDefault="00C14EAC" w:rsidP="00C14EAC">
      <w:pPr>
        <w:spacing w:line="480" w:lineRule="auto"/>
        <w:jc w:val="both"/>
        <w:rPr>
          <w:rFonts w:ascii="Times New Roman" w:hAnsi="Times New Roman" w:cs="Times New Roman"/>
          <w:b/>
          <w:bCs/>
          <w:sz w:val="24"/>
          <w:szCs w:val="24"/>
        </w:rPr>
      </w:pPr>
      <w:r w:rsidRPr="00C14EAC">
        <w:rPr>
          <w:rFonts w:ascii="Times New Roman" w:hAnsi="Times New Roman" w:cs="Times New Roman"/>
          <w:b/>
          <w:bCs/>
          <w:sz w:val="24"/>
          <w:szCs w:val="24"/>
        </w:rPr>
        <w:t>Ethical Approval:</w:t>
      </w:r>
    </w:p>
    <w:p w14:paraId="1AEB3458" w14:textId="77777777" w:rsidR="00C14EAC" w:rsidRPr="00C14EAC" w:rsidRDefault="00C14EAC" w:rsidP="00C14EAC">
      <w:pPr>
        <w:spacing w:line="480" w:lineRule="auto"/>
        <w:jc w:val="both"/>
        <w:rPr>
          <w:rFonts w:ascii="Times New Roman" w:hAnsi="Times New Roman" w:cs="Times New Roman"/>
          <w:sz w:val="24"/>
          <w:szCs w:val="24"/>
        </w:rPr>
      </w:pPr>
    </w:p>
    <w:p w14:paraId="09FF9194" w14:textId="4C43C75E" w:rsidR="00C14EAC" w:rsidRDefault="00C14EAC" w:rsidP="00C14EAC">
      <w:pPr>
        <w:spacing w:line="480" w:lineRule="auto"/>
        <w:jc w:val="both"/>
        <w:rPr>
          <w:rFonts w:ascii="Times New Roman" w:hAnsi="Times New Roman" w:cs="Times New Roman"/>
          <w:sz w:val="24"/>
          <w:szCs w:val="24"/>
        </w:rPr>
      </w:pPr>
      <w:r w:rsidRPr="00C14EAC">
        <w:rPr>
          <w:rFonts w:ascii="Times New Roman" w:hAnsi="Times New Roman" w:cs="Times New Roman"/>
          <w:sz w:val="24"/>
          <w:szCs w:val="24"/>
        </w:rPr>
        <w:t>As per international standards or university standards written ethical approval has been collected and preserved by the author(s).</w:t>
      </w:r>
    </w:p>
    <w:p w14:paraId="6D2953F1" w14:textId="77777777" w:rsidR="002331B1" w:rsidRDefault="002331B1" w:rsidP="004B621C">
      <w:pPr>
        <w:spacing w:line="480" w:lineRule="auto"/>
        <w:jc w:val="both"/>
        <w:rPr>
          <w:rFonts w:ascii="Times New Roman" w:hAnsi="Times New Roman" w:cs="Times New Roman"/>
          <w:sz w:val="24"/>
          <w:szCs w:val="24"/>
        </w:rPr>
      </w:pPr>
    </w:p>
    <w:p w14:paraId="3DC512C8" w14:textId="4C6E530E" w:rsidR="0033337C" w:rsidRDefault="0033337C" w:rsidP="00B16A85">
      <w:pPr>
        <w:spacing w:line="480" w:lineRule="auto"/>
        <w:rPr>
          <w:rFonts w:ascii="Times New Roman" w:hAnsi="Times New Roman" w:cs="Times New Roman"/>
          <w:sz w:val="24"/>
          <w:szCs w:val="24"/>
        </w:rPr>
      </w:pPr>
    </w:p>
    <w:p w14:paraId="09DDD15E" w14:textId="77777777" w:rsidR="0033337C" w:rsidRDefault="0033337C" w:rsidP="0033337C">
      <w:pPr>
        <w:rPr>
          <w:rFonts w:ascii="Calibri" w:eastAsia="Calibri" w:hAnsi="Calibri" w:cs="Times New Roman"/>
          <w:kern w:val="2"/>
          <w:highlight w:val="yellow"/>
        </w:rPr>
      </w:pPr>
      <w:bookmarkStart w:id="0" w:name="_Hlk221270586"/>
      <w:bookmarkStart w:id="1" w:name="_Hlk219110679"/>
      <w:bookmarkStart w:id="2" w:name="_Hlk227151135"/>
      <w:bookmarkStart w:id="3" w:name="_Hlk219127930"/>
    </w:p>
    <w:p w14:paraId="1DB5C889" w14:textId="77777777" w:rsidR="0033337C" w:rsidRPr="00005ED1" w:rsidRDefault="0033337C" w:rsidP="0033337C">
      <w:pPr>
        <w:pStyle w:val="NoSpacing"/>
        <w:rPr>
          <w:rFonts w:ascii="Arial" w:hAnsi="Arial" w:cs="Arial"/>
          <w:highlight w:val="yellow"/>
        </w:rPr>
      </w:pPr>
      <w:bookmarkStart w:id="4" w:name="_Hlk198031404"/>
      <w:bookmarkStart w:id="5" w:name="_Hlk221094604"/>
      <w:bookmarkEnd w:id="0"/>
      <w:bookmarkEnd w:id="1"/>
      <w:r w:rsidRPr="00005ED1">
        <w:rPr>
          <w:rFonts w:ascii="Arial" w:hAnsi="Arial" w:cs="Arial"/>
          <w:highlight w:val="yellow"/>
        </w:rPr>
        <w:t>Disclaimer (Artificial intelligence)</w:t>
      </w:r>
    </w:p>
    <w:p w14:paraId="61DAEAE3" w14:textId="77777777" w:rsidR="0033337C" w:rsidRPr="00005ED1" w:rsidRDefault="0033337C" w:rsidP="0033337C">
      <w:pPr>
        <w:pStyle w:val="NoSpacing"/>
        <w:rPr>
          <w:rFonts w:ascii="Arial" w:hAnsi="Arial" w:cs="Arial"/>
          <w:highlight w:val="yellow"/>
        </w:rPr>
      </w:pPr>
    </w:p>
    <w:p w14:paraId="2671EC5F" w14:textId="77777777" w:rsidR="0033337C" w:rsidRPr="00005ED1" w:rsidRDefault="0033337C" w:rsidP="0033337C">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2"/>
    <w:bookmarkEnd w:id="3"/>
    <w:bookmarkEnd w:id="4"/>
    <w:bookmarkEnd w:id="5"/>
    <w:p w14:paraId="75F6BA6A" w14:textId="77777777" w:rsidR="00B16A85" w:rsidRDefault="00B16A85" w:rsidP="00371063">
      <w:pPr>
        <w:spacing w:line="480" w:lineRule="auto"/>
        <w:rPr>
          <w:rFonts w:ascii="Times New Roman" w:hAnsi="Times New Roman" w:cs="Times New Roman"/>
          <w:b/>
          <w:bCs/>
          <w:sz w:val="24"/>
          <w:szCs w:val="24"/>
        </w:rPr>
      </w:pPr>
    </w:p>
    <w:p w14:paraId="45C08021" w14:textId="0F822186" w:rsidR="008F3946" w:rsidRPr="008F3946" w:rsidRDefault="00B16A85" w:rsidP="008F3946">
      <w:pPr>
        <w:spacing w:line="480" w:lineRule="auto"/>
        <w:rPr>
          <w:rFonts w:ascii="Times New Roman" w:hAnsi="Times New Roman" w:cs="Times New Roman"/>
          <w:b/>
          <w:bCs/>
          <w:sz w:val="24"/>
          <w:szCs w:val="24"/>
        </w:rPr>
      </w:pPr>
      <w:r w:rsidRPr="00F55CA3">
        <w:rPr>
          <w:rFonts w:ascii="Times New Roman" w:hAnsi="Times New Roman" w:cs="Times New Roman"/>
          <w:b/>
          <w:bCs/>
          <w:sz w:val="24"/>
          <w:szCs w:val="24"/>
        </w:rPr>
        <w:t>REFERENCES</w:t>
      </w:r>
    </w:p>
    <w:p w14:paraId="05004D41" w14:textId="01932B7D" w:rsidR="008F3946" w:rsidRPr="008F3946" w:rsidRDefault="008F3946" w:rsidP="008F3946">
      <w:pPr>
        <w:spacing w:after="0" w:line="480" w:lineRule="auto"/>
        <w:ind w:left="360" w:hanging="720"/>
        <w:jc w:val="both"/>
        <w:rPr>
          <w:rFonts w:ascii="Times New Roman" w:hAnsi="Times New Roman" w:cs="Times New Roman"/>
          <w:sz w:val="24"/>
          <w:szCs w:val="24"/>
        </w:rPr>
      </w:pPr>
      <w:proofErr w:type="spellStart"/>
      <w:r w:rsidRPr="008F3946">
        <w:rPr>
          <w:rFonts w:ascii="Times New Roman" w:hAnsi="Times New Roman" w:cs="Times New Roman"/>
          <w:sz w:val="24"/>
          <w:szCs w:val="24"/>
        </w:rPr>
        <w:t>Agbolade</w:t>
      </w:r>
      <w:proofErr w:type="spellEnd"/>
      <w:r w:rsidRPr="008F3946">
        <w:rPr>
          <w:rFonts w:ascii="Times New Roman" w:hAnsi="Times New Roman" w:cs="Times New Roman"/>
          <w:sz w:val="24"/>
          <w:szCs w:val="24"/>
        </w:rPr>
        <w:t>, O., Nazri, A., Yaakob, R., Ghani, A. A., &amp; Cheah, Y. K. (2020). Morphometric approach to 3D soft-tissue craniofacial analysis and classification of ethnicity, sex, and age. </w:t>
      </w:r>
      <w:proofErr w:type="spellStart"/>
      <w:r w:rsidRPr="008F3946">
        <w:rPr>
          <w:rFonts w:ascii="Times New Roman" w:hAnsi="Times New Roman" w:cs="Times New Roman"/>
          <w:i/>
          <w:iCs/>
          <w:sz w:val="24"/>
          <w:szCs w:val="24"/>
        </w:rPr>
        <w:t>Plos</w:t>
      </w:r>
      <w:proofErr w:type="spellEnd"/>
      <w:r w:rsidRPr="008F3946">
        <w:rPr>
          <w:rFonts w:ascii="Times New Roman" w:hAnsi="Times New Roman" w:cs="Times New Roman"/>
          <w:i/>
          <w:iCs/>
          <w:sz w:val="24"/>
          <w:szCs w:val="24"/>
        </w:rPr>
        <w:t xml:space="preserve"> one</w:t>
      </w:r>
      <w:r w:rsidRPr="008F3946">
        <w:rPr>
          <w:rFonts w:ascii="Times New Roman" w:hAnsi="Times New Roman" w:cs="Times New Roman"/>
          <w:sz w:val="24"/>
          <w:szCs w:val="24"/>
        </w:rPr>
        <w:t>, </w:t>
      </w:r>
      <w:r w:rsidRPr="008F3946">
        <w:rPr>
          <w:rFonts w:ascii="Times New Roman" w:hAnsi="Times New Roman" w:cs="Times New Roman"/>
          <w:i/>
          <w:iCs/>
          <w:sz w:val="24"/>
          <w:szCs w:val="24"/>
        </w:rPr>
        <w:t>15</w:t>
      </w:r>
      <w:r w:rsidRPr="008F3946">
        <w:rPr>
          <w:rFonts w:ascii="Times New Roman" w:hAnsi="Times New Roman" w:cs="Times New Roman"/>
          <w:sz w:val="24"/>
          <w:szCs w:val="24"/>
        </w:rPr>
        <w:t>(4), e0228402.</w:t>
      </w:r>
      <w:r>
        <w:rPr>
          <w:rFonts w:ascii="Times New Roman" w:hAnsi="Times New Roman" w:cs="Times New Roman"/>
          <w:sz w:val="24"/>
          <w:szCs w:val="24"/>
        </w:rPr>
        <w:t xml:space="preserve"> </w:t>
      </w:r>
      <w:r w:rsidRPr="008F3946">
        <w:rPr>
          <w:rFonts w:ascii="Times New Roman" w:hAnsi="Times New Roman" w:cs="Times New Roman"/>
          <w:sz w:val="24"/>
          <w:szCs w:val="24"/>
        </w:rPr>
        <w:t>https://doi.org/10.1371/journal.pone.0228402</w:t>
      </w:r>
    </w:p>
    <w:p w14:paraId="77A0733A" w14:textId="77777777" w:rsidR="008F3946" w:rsidRPr="008F3946" w:rsidRDefault="008F3946" w:rsidP="008F3946">
      <w:pPr>
        <w:spacing w:after="0" w:line="480" w:lineRule="auto"/>
        <w:ind w:left="360" w:hanging="720"/>
        <w:jc w:val="both"/>
        <w:rPr>
          <w:rFonts w:ascii="Times New Roman" w:hAnsi="Times New Roman" w:cs="Times New Roman"/>
          <w:sz w:val="24"/>
          <w:szCs w:val="24"/>
        </w:rPr>
      </w:pPr>
      <w:r w:rsidRPr="008F3946">
        <w:rPr>
          <w:rFonts w:ascii="Times New Roman" w:hAnsi="Times New Roman" w:cs="Times New Roman"/>
          <w:sz w:val="24"/>
          <w:szCs w:val="24"/>
        </w:rPr>
        <w:t>Amin, E., Khan, M., Siddiqui, M. O., Babar, A., Hassan, F., &amp; Ejaz, W. (2021). Perception Of Altered Smile Esthetic Among Dentists, Students, and Laypersons Using Digital Photographs: A Comparative Study. </w:t>
      </w:r>
      <w:r w:rsidRPr="008F3946">
        <w:rPr>
          <w:rFonts w:ascii="Times New Roman" w:hAnsi="Times New Roman" w:cs="Times New Roman"/>
          <w:i/>
          <w:iCs/>
          <w:sz w:val="24"/>
          <w:szCs w:val="24"/>
        </w:rPr>
        <w:t>Pakistan Armed Forces Medical Journal</w:t>
      </w:r>
      <w:r w:rsidRPr="008F3946">
        <w:rPr>
          <w:rFonts w:ascii="Times New Roman" w:hAnsi="Times New Roman" w:cs="Times New Roman"/>
          <w:sz w:val="24"/>
          <w:szCs w:val="24"/>
        </w:rPr>
        <w:t>, </w:t>
      </w:r>
      <w:r w:rsidRPr="008F3946">
        <w:rPr>
          <w:rFonts w:ascii="Times New Roman" w:hAnsi="Times New Roman" w:cs="Times New Roman"/>
          <w:i/>
          <w:iCs/>
          <w:sz w:val="24"/>
          <w:szCs w:val="24"/>
        </w:rPr>
        <w:t>71</w:t>
      </w:r>
      <w:r w:rsidRPr="008F3946">
        <w:rPr>
          <w:rFonts w:ascii="Times New Roman" w:hAnsi="Times New Roman" w:cs="Times New Roman"/>
          <w:sz w:val="24"/>
          <w:szCs w:val="24"/>
        </w:rPr>
        <w:t>(3).</w:t>
      </w:r>
    </w:p>
    <w:p w14:paraId="6171763F" w14:textId="77777777" w:rsidR="008F3946" w:rsidRPr="008F3946" w:rsidRDefault="008F3946" w:rsidP="008F3946">
      <w:pPr>
        <w:spacing w:after="0" w:line="480" w:lineRule="auto"/>
        <w:ind w:left="360" w:hanging="720"/>
        <w:jc w:val="both"/>
        <w:rPr>
          <w:rFonts w:ascii="Times New Roman" w:hAnsi="Times New Roman" w:cs="Times New Roman"/>
          <w:sz w:val="24"/>
          <w:szCs w:val="24"/>
        </w:rPr>
      </w:pPr>
      <w:proofErr w:type="spellStart"/>
      <w:r w:rsidRPr="008F3946">
        <w:rPr>
          <w:rFonts w:ascii="Times New Roman" w:hAnsi="Times New Roman" w:cs="Times New Roman"/>
          <w:sz w:val="24"/>
          <w:szCs w:val="24"/>
        </w:rPr>
        <w:t>Anibor</w:t>
      </w:r>
      <w:proofErr w:type="spellEnd"/>
      <w:r w:rsidRPr="008F3946">
        <w:rPr>
          <w:rFonts w:ascii="Times New Roman" w:hAnsi="Times New Roman" w:cs="Times New Roman"/>
          <w:sz w:val="24"/>
          <w:szCs w:val="24"/>
        </w:rPr>
        <w:t>, E. (2016). Prevalence of Facial Dimples Among the Niger Deltans in Nigeria. African Journal of Cellular Pathology 6:41-43</w:t>
      </w:r>
    </w:p>
    <w:p w14:paraId="58D24A98" w14:textId="39D83016" w:rsidR="008F3946" w:rsidRPr="008F3946" w:rsidRDefault="008F3946" w:rsidP="008F3946">
      <w:pPr>
        <w:spacing w:after="0" w:line="480" w:lineRule="auto"/>
        <w:ind w:left="360" w:hanging="720"/>
        <w:jc w:val="both"/>
        <w:rPr>
          <w:rFonts w:ascii="Times New Roman" w:hAnsi="Times New Roman" w:cs="Times New Roman"/>
          <w:sz w:val="24"/>
          <w:szCs w:val="24"/>
        </w:rPr>
      </w:pPr>
      <w:r w:rsidRPr="008F3946">
        <w:rPr>
          <w:rFonts w:ascii="Times New Roman" w:hAnsi="Times New Roman" w:cs="Times New Roman"/>
          <w:sz w:val="24"/>
          <w:szCs w:val="24"/>
        </w:rPr>
        <w:t xml:space="preserve">Carlino, F. (2025). Composite graft for the prevention and correction of a deep </w:t>
      </w:r>
      <w:proofErr w:type="spellStart"/>
      <w:r w:rsidRPr="008F3946">
        <w:rPr>
          <w:rFonts w:ascii="Times New Roman" w:hAnsi="Times New Roman" w:cs="Times New Roman"/>
          <w:sz w:val="24"/>
          <w:szCs w:val="24"/>
        </w:rPr>
        <w:t>labiomental</w:t>
      </w:r>
      <w:proofErr w:type="spellEnd"/>
      <w:r w:rsidRPr="008F3946">
        <w:rPr>
          <w:rFonts w:ascii="Times New Roman" w:hAnsi="Times New Roman" w:cs="Times New Roman"/>
          <w:sz w:val="24"/>
          <w:szCs w:val="24"/>
        </w:rPr>
        <w:t xml:space="preserve"> fold after advancement genioplasty. </w:t>
      </w:r>
      <w:r w:rsidRPr="008F3946">
        <w:rPr>
          <w:rFonts w:ascii="Times New Roman" w:hAnsi="Times New Roman" w:cs="Times New Roman"/>
          <w:i/>
          <w:iCs/>
          <w:sz w:val="24"/>
          <w:szCs w:val="24"/>
        </w:rPr>
        <w:t>International Journal of Oral and Maxillofacial Surgery</w:t>
      </w:r>
      <w:r w:rsidRPr="008F3946">
        <w:rPr>
          <w:rFonts w:ascii="Times New Roman" w:hAnsi="Times New Roman" w:cs="Times New Roman"/>
          <w:sz w:val="24"/>
          <w:szCs w:val="24"/>
        </w:rPr>
        <w:t>, </w:t>
      </w:r>
      <w:r w:rsidRPr="008F3946">
        <w:rPr>
          <w:rFonts w:ascii="Times New Roman" w:hAnsi="Times New Roman" w:cs="Times New Roman"/>
          <w:i/>
          <w:iCs/>
          <w:sz w:val="24"/>
          <w:szCs w:val="24"/>
        </w:rPr>
        <w:t>54</w:t>
      </w:r>
      <w:r w:rsidRPr="008F3946">
        <w:rPr>
          <w:rFonts w:ascii="Times New Roman" w:hAnsi="Times New Roman" w:cs="Times New Roman"/>
          <w:sz w:val="24"/>
          <w:szCs w:val="24"/>
        </w:rPr>
        <w:t>(6), 543-548.</w:t>
      </w:r>
      <w:r w:rsidR="005912C0">
        <w:rPr>
          <w:rFonts w:ascii="Times New Roman" w:hAnsi="Times New Roman" w:cs="Times New Roman"/>
          <w:sz w:val="24"/>
          <w:szCs w:val="24"/>
        </w:rPr>
        <w:t xml:space="preserve"> </w:t>
      </w:r>
      <w:hyperlink r:id="rId15" w:tgtFrame="_blank" w:tooltip="Persistent link using digital object identifier" w:history="1">
        <w:r w:rsidR="005912C0" w:rsidRPr="005912C0">
          <w:rPr>
            <w:rStyle w:val="Hyperlink"/>
            <w:rFonts w:ascii="Times New Roman" w:hAnsi="Times New Roman" w:cs="Times New Roman"/>
            <w:sz w:val="24"/>
            <w:szCs w:val="24"/>
          </w:rPr>
          <w:t>https://doi.org/10.1016/j.ijom.2024.11.006</w:t>
        </w:r>
      </w:hyperlink>
    </w:p>
    <w:p w14:paraId="16847ECA" w14:textId="77777777" w:rsidR="008F3946" w:rsidRPr="008F3946" w:rsidRDefault="008F3946" w:rsidP="008F3946">
      <w:pPr>
        <w:spacing w:after="0" w:line="480" w:lineRule="auto"/>
        <w:ind w:left="360" w:hanging="720"/>
        <w:jc w:val="both"/>
        <w:rPr>
          <w:rFonts w:ascii="Times New Roman" w:hAnsi="Times New Roman" w:cs="Times New Roman"/>
          <w:sz w:val="24"/>
          <w:szCs w:val="24"/>
        </w:rPr>
      </w:pPr>
      <w:r w:rsidRPr="008F3946">
        <w:rPr>
          <w:rFonts w:ascii="Times New Roman" w:hAnsi="Times New Roman" w:cs="Times New Roman"/>
          <w:sz w:val="24"/>
          <w:szCs w:val="24"/>
        </w:rPr>
        <w:t>Chris-</w:t>
      </w:r>
      <w:proofErr w:type="spellStart"/>
      <w:r w:rsidRPr="008F3946">
        <w:rPr>
          <w:rFonts w:ascii="Times New Roman" w:hAnsi="Times New Roman" w:cs="Times New Roman"/>
          <w:sz w:val="24"/>
          <w:szCs w:val="24"/>
        </w:rPr>
        <w:t>ozoko</w:t>
      </w:r>
      <w:proofErr w:type="spellEnd"/>
      <w:r w:rsidRPr="008F3946">
        <w:rPr>
          <w:rFonts w:ascii="Times New Roman" w:hAnsi="Times New Roman" w:cs="Times New Roman"/>
          <w:sz w:val="24"/>
          <w:szCs w:val="24"/>
        </w:rPr>
        <w:t>, Lilian &amp; Jaiyeoba-</w:t>
      </w:r>
      <w:proofErr w:type="spellStart"/>
      <w:r w:rsidRPr="008F3946">
        <w:rPr>
          <w:rFonts w:ascii="Times New Roman" w:hAnsi="Times New Roman" w:cs="Times New Roman"/>
          <w:sz w:val="24"/>
          <w:szCs w:val="24"/>
        </w:rPr>
        <w:t>Ojigho</w:t>
      </w:r>
      <w:proofErr w:type="spellEnd"/>
      <w:r w:rsidRPr="008F3946">
        <w:rPr>
          <w:rFonts w:ascii="Times New Roman" w:hAnsi="Times New Roman" w:cs="Times New Roman"/>
          <w:sz w:val="24"/>
          <w:szCs w:val="24"/>
        </w:rPr>
        <w:t xml:space="preserve">, Efe Jennifer. (2020). Evaluating The Philtrum as a Mendelian Inherited Trait in Determining Parentage Among Families </w:t>
      </w:r>
      <w:proofErr w:type="gramStart"/>
      <w:r w:rsidRPr="008F3946">
        <w:rPr>
          <w:rFonts w:ascii="Times New Roman" w:hAnsi="Times New Roman" w:cs="Times New Roman"/>
          <w:sz w:val="24"/>
          <w:szCs w:val="24"/>
        </w:rPr>
        <w:t>From</w:t>
      </w:r>
      <w:proofErr w:type="gramEnd"/>
      <w:r w:rsidRPr="008F3946">
        <w:rPr>
          <w:rFonts w:ascii="Times New Roman" w:hAnsi="Times New Roman" w:cs="Times New Roman"/>
          <w:sz w:val="24"/>
          <w:szCs w:val="24"/>
        </w:rPr>
        <w:t xml:space="preserve"> </w:t>
      </w:r>
      <w:proofErr w:type="gramStart"/>
      <w:r w:rsidRPr="008F3946">
        <w:rPr>
          <w:rFonts w:ascii="Times New Roman" w:hAnsi="Times New Roman" w:cs="Times New Roman"/>
          <w:sz w:val="24"/>
          <w:szCs w:val="24"/>
        </w:rPr>
        <w:t>An</w:t>
      </w:r>
      <w:proofErr w:type="gramEnd"/>
      <w:r w:rsidRPr="008F3946">
        <w:rPr>
          <w:rFonts w:ascii="Times New Roman" w:hAnsi="Times New Roman" w:cs="Times New Roman"/>
          <w:sz w:val="24"/>
          <w:szCs w:val="24"/>
        </w:rPr>
        <w:t xml:space="preserve"> Ethnic </w:t>
      </w:r>
      <w:r w:rsidRPr="008F3946">
        <w:rPr>
          <w:rFonts w:ascii="Times New Roman" w:hAnsi="Times New Roman" w:cs="Times New Roman"/>
          <w:sz w:val="24"/>
          <w:szCs w:val="24"/>
        </w:rPr>
        <w:lastRenderedPageBreak/>
        <w:t>Group: A Nigerian Study.</w:t>
      </w:r>
      <w:r w:rsidRPr="008F3946">
        <w:rPr>
          <w:rFonts w:ascii="Times New Roman" w:hAnsi="Times New Roman" w:cs="Times New Roman"/>
          <w:sz w:val="24"/>
          <w:szCs w:val="24"/>
          <w:lang w:val="en-GB"/>
        </w:rPr>
        <w:t xml:space="preserve"> </w:t>
      </w:r>
      <w:r w:rsidRPr="008F3946">
        <w:rPr>
          <w:rFonts w:ascii="Times New Roman" w:hAnsi="Times New Roman" w:cs="Times New Roman"/>
          <w:i/>
          <w:iCs/>
          <w:sz w:val="24"/>
          <w:szCs w:val="24"/>
          <w:lang w:val="en-GB"/>
        </w:rPr>
        <w:t xml:space="preserve">International </w:t>
      </w:r>
      <w:proofErr w:type="spellStart"/>
      <w:r w:rsidRPr="008F3946">
        <w:rPr>
          <w:rFonts w:ascii="Times New Roman" w:hAnsi="Times New Roman" w:cs="Times New Roman"/>
          <w:i/>
          <w:iCs/>
          <w:sz w:val="24"/>
          <w:szCs w:val="24"/>
          <w:lang w:val="en-GB"/>
        </w:rPr>
        <w:t>Euroasia</w:t>
      </w:r>
      <w:proofErr w:type="spellEnd"/>
      <w:r w:rsidRPr="008F3946">
        <w:rPr>
          <w:rFonts w:ascii="Times New Roman" w:hAnsi="Times New Roman" w:cs="Times New Roman"/>
          <w:i/>
          <w:iCs/>
          <w:sz w:val="24"/>
          <w:szCs w:val="24"/>
          <w:lang w:val="en-GB"/>
        </w:rPr>
        <w:t xml:space="preserve"> Congress on Scientific Researches and Recent Trends</w:t>
      </w:r>
      <w:r w:rsidRPr="008F3946">
        <w:rPr>
          <w:rFonts w:ascii="Times New Roman" w:hAnsi="Times New Roman" w:cs="Times New Roman"/>
          <w:sz w:val="24"/>
          <w:szCs w:val="24"/>
          <w:lang w:val="en-GB"/>
        </w:rPr>
        <w:t xml:space="preserve"> 7.</w:t>
      </w:r>
    </w:p>
    <w:p w14:paraId="7400CF7D" w14:textId="5DAF68DA" w:rsidR="008F3946" w:rsidRPr="008F3946" w:rsidRDefault="008F3946" w:rsidP="008F3946">
      <w:pPr>
        <w:spacing w:after="0" w:line="480" w:lineRule="auto"/>
        <w:ind w:left="360" w:hanging="720"/>
        <w:jc w:val="both"/>
        <w:rPr>
          <w:rFonts w:ascii="Times New Roman" w:hAnsi="Times New Roman" w:cs="Times New Roman"/>
          <w:sz w:val="24"/>
          <w:szCs w:val="24"/>
        </w:rPr>
      </w:pPr>
      <w:r w:rsidRPr="008F3946">
        <w:rPr>
          <w:rFonts w:ascii="Times New Roman" w:hAnsi="Times New Roman" w:cs="Times New Roman"/>
          <w:sz w:val="24"/>
          <w:szCs w:val="24"/>
        </w:rPr>
        <w:t>Deng, M., &amp; Wang, Y. (2026). A comparative analysis of secondary unilateral and bilateral cleft lip nasal deformities: From anatomical characteristics to repair strategies. </w:t>
      </w:r>
      <w:r w:rsidRPr="008F3946">
        <w:rPr>
          <w:rFonts w:ascii="Times New Roman" w:hAnsi="Times New Roman" w:cs="Times New Roman"/>
          <w:i/>
          <w:iCs/>
          <w:sz w:val="24"/>
          <w:szCs w:val="24"/>
        </w:rPr>
        <w:t>Journal of Cranio-Maxillofacial Surgery</w:t>
      </w:r>
      <w:r w:rsidRPr="008F3946">
        <w:rPr>
          <w:rFonts w:ascii="Times New Roman" w:hAnsi="Times New Roman" w:cs="Times New Roman"/>
          <w:sz w:val="24"/>
          <w:szCs w:val="24"/>
        </w:rPr>
        <w:t>, </w:t>
      </w:r>
      <w:r w:rsidRPr="008F3946">
        <w:rPr>
          <w:rFonts w:ascii="Times New Roman" w:hAnsi="Times New Roman" w:cs="Times New Roman"/>
          <w:i/>
          <w:iCs/>
          <w:sz w:val="24"/>
          <w:szCs w:val="24"/>
        </w:rPr>
        <w:t>54</w:t>
      </w:r>
      <w:r w:rsidRPr="008F3946">
        <w:rPr>
          <w:rFonts w:ascii="Times New Roman" w:hAnsi="Times New Roman" w:cs="Times New Roman"/>
          <w:sz w:val="24"/>
          <w:szCs w:val="24"/>
        </w:rPr>
        <w:t>(5), 104486.</w:t>
      </w:r>
      <w:r w:rsidR="00B03C13">
        <w:rPr>
          <w:rFonts w:ascii="Times New Roman" w:hAnsi="Times New Roman" w:cs="Times New Roman"/>
          <w:sz w:val="24"/>
          <w:szCs w:val="24"/>
        </w:rPr>
        <w:t xml:space="preserve"> </w:t>
      </w:r>
      <w:hyperlink r:id="rId16" w:tgtFrame="_blank" w:tooltip="Persistent link using digital object identifier" w:history="1">
        <w:r w:rsidR="00B03C13" w:rsidRPr="00B03C13">
          <w:rPr>
            <w:rStyle w:val="Hyperlink"/>
            <w:rFonts w:ascii="Times New Roman" w:hAnsi="Times New Roman" w:cs="Times New Roman"/>
            <w:sz w:val="24"/>
            <w:szCs w:val="24"/>
          </w:rPr>
          <w:t>https://doi.org/10.1016/j.jcms.2026.104486</w:t>
        </w:r>
      </w:hyperlink>
    </w:p>
    <w:p w14:paraId="5E24F2E2" w14:textId="580401BF" w:rsidR="008F3946" w:rsidRPr="008F3946" w:rsidRDefault="008F3946" w:rsidP="008F3946">
      <w:pPr>
        <w:spacing w:after="0" w:line="480" w:lineRule="auto"/>
        <w:ind w:left="360" w:hanging="720"/>
        <w:jc w:val="both"/>
        <w:rPr>
          <w:rFonts w:ascii="Times New Roman" w:hAnsi="Times New Roman" w:cs="Times New Roman"/>
          <w:sz w:val="24"/>
          <w:szCs w:val="24"/>
        </w:rPr>
      </w:pPr>
      <w:proofErr w:type="spellStart"/>
      <w:r w:rsidRPr="008F3946">
        <w:rPr>
          <w:rFonts w:ascii="Times New Roman" w:hAnsi="Times New Roman" w:cs="Times New Roman"/>
          <w:sz w:val="24"/>
          <w:szCs w:val="24"/>
        </w:rPr>
        <w:t>Gibilaro</w:t>
      </w:r>
      <w:proofErr w:type="spellEnd"/>
      <w:r w:rsidRPr="008F3946">
        <w:rPr>
          <w:rFonts w:ascii="Times New Roman" w:hAnsi="Times New Roman" w:cs="Times New Roman"/>
          <w:sz w:val="24"/>
          <w:szCs w:val="24"/>
        </w:rPr>
        <w:t>, A. (2013). Facial Aesthetics: Concepts and Clinical Diagnosis (2011).</w:t>
      </w:r>
      <w:r w:rsidR="00B03C13">
        <w:rPr>
          <w:rFonts w:ascii="Times New Roman" w:hAnsi="Times New Roman" w:cs="Times New Roman"/>
          <w:sz w:val="24"/>
          <w:szCs w:val="24"/>
        </w:rPr>
        <w:t xml:space="preserve"> </w:t>
      </w:r>
      <w:hyperlink r:id="rId17" w:history="1">
        <w:r w:rsidR="00B03C13" w:rsidRPr="00B03C13">
          <w:rPr>
            <w:rStyle w:val="Hyperlink"/>
            <w:rFonts w:ascii="Times New Roman" w:hAnsi="Times New Roman" w:cs="Times New Roman"/>
            <w:sz w:val="24"/>
            <w:szCs w:val="24"/>
          </w:rPr>
          <w:t>https://doi.org/10.1093/ejo/cjt029</w:t>
        </w:r>
      </w:hyperlink>
    </w:p>
    <w:p w14:paraId="4A86A756" w14:textId="6EFCE6B3" w:rsidR="008F3946" w:rsidRPr="008F3946" w:rsidRDefault="008F3946" w:rsidP="008F3946">
      <w:pPr>
        <w:spacing w:after="0" w:line="480" w:lineRule="auto"/>
        <w:ind w:left="360" w:hanging="720"/>
        <w:jc w:val="both"/>
        <w:rPr>
          <w:rFonts w:ascii="Times New Roman" w:hAnsi="Times New Roman" w:cs="Times New Roman"/>
          <w:sz w:val="24"/>
          <w:szCs w:val="24"/>
        </w:rPr>
      </w:pPr>
      <w:proofErr w:type="spellStart"/>
      <w:r w:rsidRPr="008F3946">
        <w:rPr>
          <w:rFonts w:ascii="Times New Roman" w:hAnsi="Times New Roman" w:cs="Times New Roman"/>
          <w:sz w:val="24"/>
          <w:szCs w:val="24"/>
        </w:rPr>
        <w:t>Kooffreh</w:t>
      </w:r>
      <w:proofErr w:type="spellEnd"/>
      <w:r w:rsidRPr="008F3946">
        <w:rPr>
          <w:rFonts w:ascii="Times New Roman" w:hAnsi="Times New Roman" w:cs="Times New Roman"/>
          <w:sz w:val="24"/>
          <w:szCs w:val="24"/>
        </w:rPr>
        <w:t xml:space="preserve">, M. E., </w:t>
      </w:r>
      <w:proofErr w:type="spellStart"/>
      <w:r w:rsidRPr="008F3946">
        <w:rPr>
          <w:rFonts w:ascii="Times New Roman" w:hAnsi="Times New Roman" w:cs="Times New Roman"/>
          <w:sz w:val="24"/>
          <w:szCs w:val="24"/>
        </w:rPr>
        <w:t>Ikpeme</w:t>
      </w:r>
      <w:proofErr w:type="spellEnd"/>
      <w:r w:rsidRPr="008F3946">
        <w:rPr>
          <w:rFonts w:ascii="Times New Roman" w:hAnsi="Times New Roman" w:cs="Times New Roman"/>
          <w:sz w:val="24"/>
          <w:szCs w:val="24"/>
        </w:rPr>
        <w:t xml:space="preserve">, E. V., Ekerette, E. E. And Eyo, N. O. (2015). Evaluating the Prevalence of Five Genetic Traits of Simple Inheritance in Association with the Distribution Pattern of ABO and Rhesus Phenotypes among Families in Calabar, Nigeria. </w:t>
      </w:r>
      <w:r w:rsidRPr="008F3946">
        <w:rPr>
          <w:rFonts w:ascii="Times New Roman" w:hAnsi="Times New Roman" w:cs="Times New Roman"/>
          <w:i/>
          <w:sz w:val="24"/>
          <w:szCs w:val="24"/>
        </w:rPr>
        <w:t>Journal of Medical Sciences</w:t>
      </w:r>
      <w:r w:rsidRPr="008F3946">
        <w:rPr>
          <w:rFonts w:ascii="Times New Roman" w:hAnsi="Times New Roman" w:cs="Times New Roman"/>
          <w:sz w:val="24"/>
          <w:szCs w:val="24"/>
        </w:rPr>
        <w:t>; 15: 185-191.</w:t>
      </w:r>
      <w:r w:rsidR="00B03C13">
        <w:rPr>
          <w:rFonts w:ascii="Times New Roman" w:hAnsi="Times New Roman" w:cs="Times New Roman"/>
          <w:sz w:val="24"/>
          <w:szCs w:val="24"/>
        </w:rPr>
        <w:t xml:space="preserve"> </w:t>
      </w:r>
      <w:r w:rsidR="00B03C13" w:rsidRPr="00B03C13">
        <w:rPr>
          <w:rFonts w:ascii="Times New Roman" w:hAnsi="Times New Roman" w:cs="Times New Roman"/>
          <w:sz w:val="24"/>
          <w:szCs w:val="24"/>
        </w:rPr>
        <w:t xml:space="preserve">DOI: 10.3923/jms.2015.185.191 </w:t>
      </w:r>
    </w:p>
    <w:p w14:paraId="2ACE62EA" w14:textId="390EE8C2" w:rsidR="008F3946" w:rsidRPr="00B03C13" w:rsidRDefault="008F3946" w:rsidP="00B03C13">
      <w:pPr>
        <w:spacing w:after="0" w:line="480" w:lineRule="auto"/>
        <w:ind w:left="360" w:hanging="720"/>
        <w:jc w:val="both"/>
        <w:rPr>
          <w:rFonts w:ascii="Times New Roman" w:hAnsi="Times New Roman" w:cs="Times New Roman"/>
          <w:sz w:val="24"/>
          <w:szCs w:val="24"/>
          <w:lang w:val="en-GB"/>
        </w:rPr>
      </w:pPr>
      <w:r w:rsidRPr="008F3946">
        <w:rPr>
          <w:rFonts w:ascii="Times New Roman" w:hAnsi="Times New Roman" w:cs="Times New Roman"/>
          <w:sz w:val="24"/>
          <w:szCs w:val="24"/>
        </w:rPr>
        <w:t xml:space="preserve">Logeswari, J., Suresh, S., Anbudaiyan, S., &amp; </w:t>
      </w:r>
      <w:proofErr w:type="spellStart"/>
      <w:r w:rsidRPr="008F3946">
        <w:rPr>
          <w:rFonts w:ascii="Times New Roman" w:hAnsi="Times New Roman" w:cs="Times New Roman"/>
          <w:sz w:val="24"/>
          <w:szCs w:val="24"/>
        </w:rPr>
        <w:t>Shreeyha</w:t>
      </w:r>
      <w:proofErr w:type="spellEnd"/>
      <w:r w:rsidRPr="008F3946">
        <w:rPr>
          <w:rFonts w:ascii="Times New Roman" w:hAnsi="Times New Roman" w:cs="Times New Roman"/>
          <w:sz w:val="24"/>
          <w:szCs w:val="24"/>
        </w:rPr>
        <w:t>, S. R. (2021). Prevalence of Midline Diastema and Willingness for Treatment in Adults of Chennai: A Cross-sectional Study. </w:t>
      </w:r>
      <w:r w:rsidRPr="008F3946">
        <w:rPr>
          <w:rFonts w:ascii="Times New Roman" w:hAnsi="Times New Roman" w:cs="Times New Roman"/>
          <w:i/>
          <w:iCs/>
          <w:sz w:val="24"/>
          <w:szCs w:val="24"/>
        </w:rPr>
        <w:t>Journal of Clinical &amp; Diagnostic Research</w:t>
      </w:r>
      <w:r w:rsidRPr="008F3946">
        <w:rPr>
          <w:rFonts w:ascii="Times New Roman" w:hAnsi="Times New Roman" w:cs="Times New Roman"/>
          <w:sz w:val="24"/>
          <w:szCs w:val="24"/>
        </w:rPr>
        <w:t>, </w:t>
      </w:r>
      <w:r w:rsidRPr="008F3946">
        <w:rPr>
          <w:rFonts w:ascii="Times New Roman" w:hAnsi="Times New Roman" w:cs="Times New Roman"/>
          <w:i/>
          <w:iCs/>
          <w:sz w:val="24"/>
          <w:szCs w:val="24"/>
        </w:rPr>
        <w:t>15</w:t>
      </w:r>
      <w:r w:rsidRPr="008F3946">
        <w:rPr>
          <w:rFonts w:ascii="Times New Roman" w:hAnsi="Times New Roman" w:cs="Times New Roman"/>
          <w:sz w:val="24"/>
          <w:szCs w:val="24"/>
        </w:rPr>
        <w:t>(11).</w:t>
      </w:r>
      <w:r w:rsidR="00B03C13">
        <w:rPr>
          <w:rFonts w:ascii="Times New Roman" w:hAnsi="Times New Roman" w:cs="Times New Roman"/>
          <w:sz w:val="24"/>
          <w:szCs w:val="24"/>
        </w:rPr>
        <w:t xml:space="preserve"> </w:t>
      </w:r>
      <w:r w:rsidR="00B03C13" w:rsidRPr="00B03C13">
        <w:rPr>
          <w:rFonts w:ascii="Times New Roman" w:hAnsi="Times New Roman" w:cs="Times New Roman"/>
          <w:sz w:val="24"/>
          <w:szCs w:val="24"/>
          <w:lang w:val="en-GB"/>
        </w:rPr>
        <w:t>DOI</w:t>
      </w:r>
      <w:r w:rsidR="00B03C13">
        <w:rPr>
          <w:rFonts w:ascii="Times New Roman" w:hAnsi="Times New Roman" w:cs="Times New Roman"/>
          <w:sz w:val="24"/>
          <w:szCs w:val="24"/>
          <w:lang w:val="en-GB"/>
        </w:rPr>
        <w:t xml:space="preserve">: </w:t>
      </w:r>
      <w:r w:rsidR="00B03C13" w:rsidRPr="00B03C13">
        <w:rPr>
          <w:rFonts w:ascii="Times New Roman" w:hAnsi="Times New Roman" w:cs="Times New Roman"/>
          <w:sz w:val="24"/>
          <w:szCs w:val="24"/>
          <w:lang w:val="en-GB"/>
        </w:rPr>
        <w:t>10.7860/JCDR/2021/50614.15636</w:t>
      </w:r>
    </w:p>
    <w:p w14:paraId="4AB56839" w14:textId="3BED37D7" w:rsidR="008F3946" w:rsidRPr="008F3946" w:rsidRDefault="008F3946" w:rsidP="008F3946">
      <w:pPr>
        <w:spacing w:after="0" w:line="480" w:lineRule="auto"/>
        <w:ind w:left="360" w:hanging="720"/>
        <w:jc w:val="both"/>
        <w:rPr>
          <w:rFonts w:ascii="Times New Roman" w:hAnsi="Times New Roman" w:cs="Times New Roman"/>
          <w:sz w:val="24"/>
          <w:szCs w:val="24"/>
        </w:rPr>
      </w:pPr>
      <w:proofErr w:type="spellStart"/>
      <w:r w:rsidRPr="008F3946">
        <w:rPr>
          <w:rFonts w:ascii="Times New Roman" w:hAnsi="Times New Roman" w:cs="Times New Roman"/>
          <w:sz w:val="24"/>
          <w:szCs w:val="24"/>
        </w:rPr>
        <w:t>Mahabaleshwara</w:t>
      </w:r>
      <w:proofErr w:type="spellEnd"/>
      <w:r w:rsidRPr="008F3946">
        <w:rPr>
          <w:rFonts w:ascii="Times New Roman" w:hAnsi="Times New Roman" w:cs="Times New Roman"/>
          <w:sz w:val="24"/>
          <w:szCs w:val="24"/>
        </w:rPr>
        <w:t xml:space="preserve">, C., Kiruba, K. S., Vijaya, G. L., Nithin, V. M. and Mulla, F. (2019). Evaluation of Prevalence and Morphology of Dimple among Population of </w:t>
      </w:r>
      <w:proofErr w:type="spellStart"/>
      <w:r w:rsidRPr="008F3946">
        <w:rPr>
          <w:rFonts w:ascii="Times New Roman" w:hAnsi="Times New Roman" w:cs="Times New Roman"/>
          <w:sz w:val="24"/>
          <w:szCs w:val="24"/>
        </w:rPr>
        <w:t>Sullia</w:t>
      </w:r>
      <w:proofErr w:type="spellEnd"/>
      <w:r w:rsidRPr="008F3946">
        <w:rPr>
          <w:rFonts w:ascii="Times New Roman" w:hAnsi="Times New Roman" w:cs="Times New Roman"/>
          <w:sz w:val="24"/>
          <w:szCs w:val="24"/>
        </w:rPr>
        <w:t xml:space="preserve"> Taluk. </w:t>
      </w:r>
      <w:r w:rsidRPr="008F3946">
        <w:rPr>
          <w:rFonts w:ascii="Times New Roman" w:hAnsi="Times New Roman" w:cs="Times New Roman"/>
          <w:i/>
          <w:sz w:val="24"/>
          <w:szCs w:val="24"/>
        </w:rPr>
        <w:t xml:space="preserve">J </w:t>
      </w:r>
      <w:proofErr w:type="spellStart"/>
      <w:r w:rsidRPr="008F3946">
        <w:rPr>
          <w:rFonts w:ascii="Times New Roman" w:hAnsi="Times New Roman" w:cs="Times New Roman"/>
          <w:i/>
          <w:sz w:val="24"/>
          <w:szCs w:val="24"/>
        </w:rPr>
        <w:t>Cutan</w:t>
      </w:r>
      <w:proofErr w:type="spellEnd"/>
      <w:r w:rsidRPr="008F3946">
        <w:rPr>
          <w:rFonts w:ascii="Times New Roman" w:hAnsi="Times New Roman" w:cs="Times New Roman"/>
          <w:i/>
          <w:sz w:val="24"/>
          <w:szCs w:val="24"/>
        </w:rPr>
        <w:t xml:space="preserve"> </w:t>
      </w:r>
      <w:proofErr w:type="spellStart"/>
      <w:r w:rsidRPr="008F3946">
        <w:rPr>
          <w:rFonts w:ascii="Times New Roman" w:hAnsi="Times New Roman" w:cs="Times New Roman"/>
          <w:i/>
          <w:sz w:val="24"/>
          <w:szCs w:val="24"/>
        </w:rPr>
        <w:t>Aesthet</w:t>
      </w:r>
      <w:proofErr w:type="spellEnd"/>
      <w:r w:rsidRPr="008F3946">
        <w:rPr>
          <w:rFonts w:ascii="Times New Roman" w:hAnsi="Times New Roman" w:cs="Times New Roman"/>
          <w:i/>
          <w:sz w:val="24"/>
          <w:szCs w:val="24"/>
        </w:rPr>
        <w:t xml:space="preserve"> Surg</w:t>
      </w:r>
      <w:r w:rsidRPr="008F3946">
        <w:rPr>
          <w:rFonts w:ascii="Times New Roman" w:hAnsi="Times New Roman" w:cs="Times New Roman"/>
          <w:sz w:val="24"/>
          <w:szCs w:val="24"/>
        </w:rPr>
        <w:t>; 12 (4): 227-230.</w:t>
      </w:r>
      <w:r w:rsidR="00B03C13">
        <w:rPr>
          <w:rFonts w:ascii="Times New Roman" w:hAnsi="Times New Roman" w:cs="Times New Roman"/>
          <w:sz w:val="24"/>
          <w:szCs w:val="24"/>
        </w:rPr>
        <w:t xml:space="preserve"> </w:t>
      </w:r>
      <w:r w:rsidR="00B03C13" w:rsidRPr="00B03C13">
        <w:rPr>
          <w:rFonts w:ascii="Times New Roman" w:hAnsi="Times New Roman" w:cs="Times New Roman"/>
          <w:sz w:val="24"/>
          <w:szCs w:val="24"/>
        </w:rPr>
        <w:t>DOI: 10.4103/JCAS.JCAS_109_19</w:t>
      </w:r>
    </w:p>
    <w:p w14:paraId="2C6C3BE8" w14:textId="7FAE4361" w:rsidR="008F3946" w:rsidRPr="008F3946" w:rsidRDefault="008F3946" w:rsidP="008F3946">
      <w:pPr>
        <w:spacing w:after="0" w:line="480" w:lineRule="auto"/>
        <w:ind w:left="360" w:hanging="720"/>
        <w:jc w:val="both"/>
        <w:rPr>
          <w:rFonts w:ascii="Times New Roman" w:hAnsi="Times New Roman" w:cs="Times New Roman"/>
          <w:sz w:val="24"/>
          <w:szCs w:val="24"/>
        </w:rPr>
      </w:pPr>
      <w:r w:rsidRPr="008F3946">
        <w:rPr>
          <w:rFonts w:ascii="Times New Roman" w:hAnsi="Times New Roman" w:cs="Times New Roman"/>
          <w:sz w:val="24"/>
          <w:szCs w:val="24"/>
        </w:rPr>
        <w:t>Mohammed, S. K. (2025). Maxillary (upper) midline diastema: prevalence, etiology, and aesthetic perception in patients attending a dental teaching clinic in Basrah. </w:t>
      </w:r>
      <w:r w:rsidRPr="008F3946">
        <w:rPr>
          <w:rFonts w:ascii="Times New Roman" w:hAnsi="Times New Roman" w:cs="Times New Roman"/>
          <w:i/>
          <w:iCs/>
          <w:sz w:val="24"/>
          <w:szCs w:val="24"/>
        </w:rPr>
        <w:t>Romanian Journal of Stomatology/</w:t>
      </w:r>
      <w:proofErr w:type="spellStart"/>
      <w:r w:rsidRPr="008F3946">
        <w:rPr>
          <w:rFonts w:ascii="Times New Roman" w:hAnsi="Times New Roman" w:cs="Times New Roman"/>
          <w:i/>
          <w:iCs/>
          <w:sz w:val="24"/>
          <w:szCs w:val="24"/>
        </w:rPr>
        <w:t>Revista</w:t>
      </w:r>
      <w:proofErr w:type="spellEnd"/>
      <w:r w:rsidRPr="008F3946">
        <w:rPr>
          <w:rFonts w:ascii="Times New Roman" w:hAnsi="Times New Roman" w:cs="Times New Roman"/>
          <w:i/>
          <w:iCs/>
          <w:sz w:val="24"/>
          <w:szCs w:val="24"/>
        </w:rPr>
        <w:t xml:space="preserve"> Romana de </w:t>
      </w:r>
      <w:proofErr w:type="spellStart"/>
      <w:r w:rsidRPr="008F3946">
        <w:rPr>
          <w:rFonts w:ascii="Times New Roman" w:hAnsi="Times New Roman" w:cs="Times New Roman"/>
          <w:i/>
          <w:iCs/>
          <w:sz w:val="24"/>
          <w:szCs w:val="24"/>
        </w:rPr>
        <w:t>Stomatologie</w:t>
      </w:r>
      <w:proofErr w:type="spellEnd"/>
      <w:r w:rsidRPr="008F3946">
        <w:rPr>
          <w:rFonts w:ascii="Times New Roman" w:hAnsi="Times New Roman" w:cs="Times New Roman"/>
          <w:sz w:val="24"/>
          <w:szCs w:val="24"/>
        </w:rPr>
        <w:t>, </w:t>
      </w:r>
      <w:r w:rsidRPr="008F3946">
        <w:rPr>
          <w:rFonts w:ascii="Times New Roman" w:hAnsi="Times New Roman" w:cs="Times New Roman"/>
          <w:i/>
          <w:iCs/>
          <w:sz w:val="24"/>
          <w:szCs w:val="24"/>
        </w:rPr>
        <w:t>71</w:t>
      </w:r>
      <w:r w:rsidRPr="008F3946">
        <w:rPr>
          <w:rFonts w:ascii="Times New Roman" w:hAnsi="Times New Roman" w:cs="Times New Roman"/>
          <w:sz w:val="24"/>
          <w:szCs w:val="24"/>
        </w:rPr>
        <w:t>(3).</w:t>
      </w:r>
      <w:r w:rsidR="002739C1">
        <w:rPr>
          <w:rFonts w:ascii="Times New Roman" w:hAnsi="Times New Roman" w:cs="Times New Roman"/>
          <w:sz w:val="24"/>
          <w:szCs w:val="24"/>
        </w:rPr>
        <w:t xml:space="preserve"> </w:t>
      </w:r>
      <w:r w:rsidR="002739C1" w:rsidRPr="002739C1">
        <w:rPr>
          <w:rFonts w:ascii="Times New Roman" w:hAnsi="Times New Roman" w:cs="Times New Roman"/>
          <w:sz w:val="24"/>
          <w:szCs w:val="24"/>
        </w:rPr>
        <w:t>DOI: 10.37897/RJS.2025.3.8</w:t>
      </w:r>
    </w:p>
    <w:p w14:paraId="4F430E05" w14:textId="77777777" w:rsidR="008F3946" w:rsidRPr="008F3946" w:rsidRDefault="008F3946" w:rsidP="008F3946">
      <w:pPr>
        <w:spacing w:after="0" w:line="480" w:lineRule="auto"/>
        <w:ind w:left="360" w:hanging="720"/>
        <w:jc w:val="both"/>
        <w:rPr>
          <w:rFonts w:ascii="Times New Roman" w:hAnsi="Times New Roman" w:cs="Times New Roman"/>
          <w:sz w:val="24"/>
          <w:szCs w:val="24"/>
        </w:rPr>
      </w:pPr>
      <w:r w:rsidRPr="008F3946">
        <w:rPr>
          <w:rFonts w:ascii="Times New Roman" w:hAnsi="Times New Roman" w:cs="Times New Roman"/>
          <w:sz w:val="24"/>
          <w:szCs w:val="24"/>
        </w:rPr>
        <w:t xml:space="preserve">Naini, F. B. (2011). Facial Aesthetics: Concepts and Clinical Diagnosis. 1st ed. New Jersey: Blackwell Publishing. </w:t>
      </w:r>
    </w:p>
    <w:p w14:paraId="2297B3E7" w14:textId="77D1BD9B" w:rsidR="008F3946" w:rsidRPr="008F3946" w:rsidRDefault="008F3946" w:rsidP="002739C1">
      <w:pPr>
        <w:spacing w:after="0" w:line="480" w:lineRule="auto"/>
        <w:ind w:left="360" w:hanging="720"/>
        <w:jc w:val="both"/>
        <w:rPr>
          <w:rFonts w:ascii="Times New Roman" w:hAnsi="Times New Roman" w:cs="Times New Roman"/>
          <w:sz w:val="24"/>
          <w:szCs w:val="24"/>
        </w:rPr>
      </w:pPr>
      <w:r w:rsidRPr="008F3946">
        <w:rPr>
          <w:rFonts w:ascii="Times New Roman" w:hAnsi="Times New Roman" w:cs="Times New Roman"/>
          <w:sz w:val="24"/>
          <w:szCs w:val="24"/>
        </w:rPr>
        <w:t>Naini, F. B. (2025). </w:t>
      </w:r>
      <w:r w:rsidRPr="008F3946">
        <w:rPr>
          <w:rFonts w:ascii="Times New Roman" w:hAnsi="Times New Roman" w:cs="Times New Roman"/>
          <w:i/>
          <w:iCs/>
          <w:sz w:val="24"/>
          <w:szCs w:val="24"/>
        </w:rPr>
        <w:t>Facial aesthetics: concepts and clinical diagnosis</w:t>
      </w:r>
      <w:r w:rsidRPr="008F3946">
        <w:rPr>
          <w:rFonts w:ascii="Times New Roman" w:hAnsi="Times New Roman" w:cs="Times New Roman"/>
          <w:sz w:val="24"/>
          <w:szCs w:val="24"/>
        </w:rPr>
        <w:t>. John Wiley &amp; Sons.</w:t>
      </w:r>
      <w:r w:rsidR="002739C1">
        <w:rPr>
          <w:rFonts w:ascii="Times New Roman" w:hAnsi="Times New Roman" w:cs="Times New Roman"/>
          <w:sz w:val="24"/>
          <w:szCs w:val="24"/>
        </w:rPr>
        <w:t xml:space="preserve"> </w:t>
      </w:r>
      <w:r w:rsidRPr="008F3946">
        <w:rPr>
          <w:rFonts w:ascii="Times New Roman" w:hAnsi="Times New Roman" w:cs="Times New Roman"/>
          <w:sz w:val="24"/>
          <w:szCs w:val="24"/>
        </w:rPr>
        <w:t xml:space="preserve">Nigeria. </w:t>
      </w:r>
      <w:proofErr w:type="spellStart"/>
      <w:r w:rsidRPr="008F3946">
        <w:rPr>
          <w:rFonts w:ascii="Times New Roman" w:hAnsi="Times New Roman" w:cs="Times New Roman"/>
          <w:i/>
          <w:iCs/>
          <w:sz w:val="24"/>
          <w:szCs w:val="24"/>
        </w:rPr>
        <w:t>Afr</w:t>
      </w:r>
      <w:proofErr w:type="spellEnd"/>
      <w:r w:rsidRPr="008F3946">
        <w:rPr>
          <w:rFonts w:ascii="Times New Roman" w:hAnsi="Times New Roman" w:cs="Times New Roman"/>
          <w:i/>
          <w:iCs/>
          <w:sz w:val="24"/>
          <w:szCs w:val="24"/>
        </w:rPr>
        <w:t xml:space="preserve"> J Cell </w:t>
      </w:r>
      <w:proofErr w:type="spellStart"/>
      <w:r w:rsidRPr="008F3946">
        <w:rPr>
          <w:rFonts w:ascii="Times New Roman" w:hAnsi="Times New Roman" w:cs="Times New Roman"/>
          <w:i/>
          <w:iCs/>
          <w:sz w:val="24"/>
          <w:szCs w:val="24"/>
        </w:rPr>
        <w:t>Pathol</w:t>
      </w:r>
      <w:proofErr w:type="spellEnd"/>
      <w:r w:rsidRPr="008F3946">
        <w:rPr>
          <w:rFonts w:ascii="Times New Roman" w:hAnsi="Times New Roman" w:cs="Times New Roman"/>
          <w:sz w:val="24"/>
          <w:szCs w:val="24"/>
        </w:rPr>
        <w:t>; 6: 41‑43.</w:t>
      </w:r>
    </w:p>
    <w:p w14:paraId="30DD77A4" w14:textId="77777777" w:rsidR="008F3946" w:rsidRPr="008F3946" w:rsidRDefault="008F3946" w:rsidP="008F3946">
      <w:pPr>
        <w:spacing w:after="0" w:line="480" w:lineRule="auto"/>
        <w:ind w:left="360" w:hanging="720"/>
        <w:jc w:val="both"/>
        <w:rPr>
          <w:rFonts w:ascii="Times New Roman" w:hAnsi="Times New Roman" w:cs="Times New Roman"/>
          <w:sz w:val="24"/>
          <w:szCs w:val="24"/>
        </w:rPr>
      </w:pPr>
      <w:r w:rsidRPr="008F3946">
        <w:rPr>
          <w:rFonts w:ascii="Times New Roman" w:hAnsi="Times New Roman" w:cs="Times New Roman"/>
          <w:sz w:val="24"/>
          <w:szCs w:val="24"/>
        </w:rPr>
        <w:lastRenderedPageBreak/>
        <w:t xml:space="preserve">Omotoso, G. and Kadir, E. (2009). Midline Diastema Amongst South-Western Nigerians. </w:t>
      </w:r>
      <w:r w:rsidRPr="008F3946">
        <w:rPr>
          <w:rFonts w:ascii="Times New Roman" w:hAnsi="Times New Roman" w:cs="Times New Roman"/>
          <w:i/>
          <w:iCs/>
          <w:sz w:val="24"/>
          <w:szCs w:val="24"/>
        </w:rPr>
        <w:t>Int J Dent Sci</w:t>
      </w:r>
      <w:r w:rsidRPr="008F3946">
        <w:rPr>
          <w:rFonts w:ascii="Times New Roman" w:hAnsi="Times New Roman" w:cs="Times New Roman"/>
          <w:sz w:val="24"/>
          <w:szCs w:val="24"/>
        </w:rPr>
        <w:t>; 8 (2): 1-5.</w:t>
      </w:r>
    </w:p>
    <w:p w14:paraId="3B43966F" w14:textId="77777777" w:rsidR="008F3946" w:rsidRPr="008F3946" w:rsidRDefault="008F3946" w:rsidP="008F3946">
      <w:pPr>
        <w:spacing w:after="0" w:line="480" w:lineRule="auto"/>
        <w:ind w:left="360" w:hanging="720"/>
        <w:jc w:val="both"/>
        <w:rPr>
          <w:rFonts w:ascii="Times New Roman" w:hAnsi="Times New Roman" w:cs="Times New Roman"/>
          <w:sz w:val="24"/>
          <w:szCs w:val="24"/>
        </w:rPr>
      </w:pPr>
      <w:r w:rsidRPr="008F3946">
        <w:rPr>
          <w:rFonts w:ascii="Times New Roman" w:hAnsi="Times New Roman" w:cs="Times New Roman"/>
          <w:sz w:val="24"/>
          <w:szCs w:val="24"/>
        </w:rPr>
        <w:t xml:space="preserve">Omotoso, G. O., Adeniyi, P. A. and </w:t>
      </w:r>
      <w:proofErr w:type="spellStart"/>
      <w:r w:rsidRPr="008F3946">
        <w:rPr>
          <w:rFonts w:ascii="Times New Roman" w:hAnsi="Times New Roman" w:cs="Times New Roman"/>
          <w:sz w:val="24"/>
          <w:szCs w:val="24"/>
        </w:rPr>
        <w:t>Medubi</w:t>
      </w:r>
      <w:proofErr w:type="spellEnd"/>
      <w:r w:rsidRPr="008F3946">
        <w:rPr>
          <w:rFonts w:ascii="Times New Roman" w:hAnsi="Times New Roman" w:cs="Times New Roman"/>
          <w:sz w:val="24"/>
          <w:szCs w:val="24"/>
        </w:rPr>
        <w:t xml:space="preserve">, L. J. (2010). Prevalence of Facial Dimples amongst South‑Western Nigerians: A Case Study of Ilorin, Kwara State of Nigeria. </w:t>
      </w:r>
      <w:r w:rsidRPr="008F3946">
        <w:rPr>
          <w:rFonts w:ascii="Times New Roman" w:hAnsi="Times New Roman" w:cs="Times New Roman"/>
          <w:i/>
          <w:iCs/>
          <w:sz w:val="24"/>
          <w:szCs w:val="24"/>
        </w:rPr>
        <w:t>Int J Biomed Health Sci</w:t>
      </w:r>
      <w:r w:rsidRPr="008F3946">
        <w:rPr>
          <w:rFonts w:ascii="Times New Roman" w:hAnsi="Times New Roman" w:cs="Times New Roman"/>
          <w:sz w:val="24"/>
          <w:szCs w:val="24"/>
        </w:rPr>
        <w:t>; 6: 241‑244.</w:t>
      </w:r>
    </w:p>
    <w:p w14:paraId="2AEF0195" w14:textId="77777777" w:rsidR="008F3946" w:rsidRPr="008F3946" w:rsidRDefault="008F3946" w:rsidP="008F3946">
      <w:pPr>
        <w:spacing w:after="0" w:line="480" w:lineRule="auto"/>
        <w:ind w:left="360" w:hanging="720"/>
        <w:jc w:val="both"/>
        <w:rPr>
          <w:rFonts w:ascii="Times New Roman" w:hAnsi="Times New Roman" w:cs="Times New Roman"/>
          <w:sz w:val="24"/>
          <w:szCs w:val="24"/>
        </w:rPr>
      </w:pPr>
      <w:proofErr w:type="spellStart"/>
      <w:r w:rsidRPr="008F3946">
        <w:rPr>
          <w:rFonts w:ascii="Times New Roman" w:hAnsi="Times New Roman" w:cs="Times New Roman"/>
          <w:sz w:val="24"/>
          <w:szCs w:val="24"/>
        </w:rPr>
        <w:t>Onyejaka</w:t>
      </w:r>
      <w:proofErr w:type="spellEnd"/>
      <w:r w:rsidRPr="008F3946">
        <w:rPr>
          <w:rFonts w:ascii="Times New Roman" w:hAnsi="Times New Roman" w:cs="Times New Roman"/>
          <w:sz w:val="24"/>
          <w:szCs w:val="24"/>
        </w:rPr>
        <w:t xml:space="preserve">, N. K., </w:t>
      </w:r>
      <w:proofErr w:type="spellStart"/>
      <w:r w:rsidRPr="008F3946">
        <w:rPr>
          <w:rFonts w:ascii="Times New Roman" w:hAnsi="Times New Roman" w:cs="Times New Roman"/>
          <w:sz w:val="24"/>
          <w:szCs w:val="24"/>
        </w:rPr>
        <w:t>Folaranmi</w:t>
      </w:r>
      <w:proofErr w:type="spellEnd"/>
      <w:r w:rsidRPr="008F3946">
        <w:rPr>
          <w:rFonts w:ascii="Times New Roman" w:hAnsi="Times New Roman" w:cs="Times New Roman"/>
          <w:sz w:val="24"/>
          <w:szCs w:val="24"/>
        </w:rPr>
        <w:t xml:space="preserve">, N., </w:t>
      </w:r>
      <w:proofErr w:type="spellStart"/>
      <w:r w:rsidRPr="008F3946">
        <w:rPr>
          <w:rFonts w:ascii="Times New Roman" w:hAnsi="Times New Roman" w:cs="Times New Roman"/>
          <w:sz w:val="24"/>
          <w:szCs w:val="24"/>
        </w:rPr>
        <w:t>Mbanusi</w:t>
      </w:r>
      <w:proofErr w:type="spellEnd"/>
      <w:r w:rsidRPr="008F3946">
        <w:rPr>
          <w:rFonts w:ascii="Times New Roman" w:hAnsi="Times New Roman" w:cs="Times New Roman"/>
          <w:sz w:val="24"/>
          <w:szCs w:val="24"/>
        </w:rPr>
        <w:t xml:space="preserve">, C., Okeke, A. C., Akaji, E. A., </w:t>
      </w:r>
      <w:proofErr w:type="spellStart"/>
      <w:r w:rsidRPr="008F3946">
        <w:rPr>
          <w:rFonts w:ascii="Times New Roman" w:hAnsi="Times New Roman" w:cs="Times New Roman"/>
          <w:sz w:val="24"/>
          <w:szCs w:val="24"/>
        </w:rPr>
        <w:t>Ituku-Ozalla</w:t>
      </w:r>
      <w:proofErr w:type="spellEnd"/>
      <w:r w:rsidRPr="008F3946">
        <w:rPr>
          <w:rFonts w:ascii="Times New Roman" w:hAnsi="Times New Roman" w:cs="Times New Roman"/>
          <w:sz w:val="24"/>
          <w:szCs w:val="24"/>
        </w:rPr>
        <w:t>, C. C., &amp; Corner, T. (2021). Knowledge and perception of midline diastema among adolescents in Enugu, South Eastern Nigeria. </w:t>
      </w:r>
      <w:r w:rsidRPr="008F3946">
        <w:rPr>
          <w:rFonts w:ascii="Times New Roman" w:hAnsi="Times New Roman" w:cs="Times New Roman"/>
          <w:i/>
          <w:iCs/>
          <w:sz w:val="24"/>
          <w:szCs w:val="24"/>
        </w:rPr>
        <w:t>Afr. J. Med. Med. Sci</w:t>
      </w:r>
      <w:r w:rsidRPr="008F3946">
        <w:rPr>
          <w:rFonts w:ascii="Times New Roman" w:hAnsi="Times New Roman" w:cs="Times New Roman"/>
          <w:sz w:val="24"/>
          <w:szCs w:val="24"/>
        </w:rPr>
        <w:t>, </w:t>
      </w:r>
      <w:r w:rsidRPr="008F3946">
        <w:rPr>
          <w:rFonts w:ascii="Times New Roman" w:hAnsi="Times New Roman" w:cs="Times New Roman"/>
          <w:i/>
          <w:iCs/>
          <w:sz w:val="24"/>
          <w:szCs w:val="24"/>
        </w:rPr>
        <w:t>50</w:t>
      </w:r>
      <w:r w:rsidRPr="008F3946">
        <w:rPr>
          <w:rFonts w:ascii="Times New Roman" w:hAnsi="Times New Roman" w:cs="Times New Roman"/>
          <w:sz w:val="24"/>
          <w:szCs w:val="24"/>
        </w:rPr>
        <w:t>, 451-457.</w:t>
      </w:r>
    </w:p>
    <w:p w14:paraId="2E1C8221" w14:textId="07E34B87" w:rsidR="008F3946" w:rsidRPr="008F3946" w:rsidRDefault="008F3946" w:rsidP="008F3946">
      <w:pPr>
        <w:spacing w:after="0" w:line="480" w:lineRule="auto"/>
        <w:ind w:left="360" w:hanging="720"/>
        <w:jc w:val="both"/>
        <w:rPr>
          <w:rFonts w:ascii="Times New Roman" w:hAnsi="Times New Roman" w:cs="Times New Roman"/>
          <w:sz w:val="24"/>
          <w:szCs w:val="24"/>
        </w:rPr>
      </w:pPr>
      <w:r w:rsidRPr="008F3946">
        <w:rPr>
          <w:rFonts w:ascii="Times New Roman" w:hAnsi="Times New Roman" w:cs="Times New Roman"/>
          <w:sz w:val="24"/>
          <w:szCs w:val="24"/>
        </w:rPr>
        <w:t xml:space="preserve">Rabia, R., Safoora, K., Shandana, N. T. and Naheed, S. (2015). Tongue Rolling, Folding, Cheek Dimple and Chin Cleft: Study of a Morphogenetic Traits in Quetta Population. </w:t>
      </w:r>
      <w:r w:rsidRPr="008F3946">
        <w:rPr>
          <w:rFonts w:ascii="Times New Roman" w:hAnsi="Times New Roman" w:cs="Times New Roman"/>
          <w:i/>
          <w:iCs/>
          <w:sz w:val="24"/>
          <w:szCs w:val="24"/>
        </w:rPr>
        <w:t xml:space="preserve">World J </w:t>
      </w:r>
      <w:proofErr w:type="spellStart"/>
      <w:r w:rsidRPr="008F3946">
        <w:rPr>
          <w:rFonts w:ascii="Times New Roman" w:hAnsi="Times New Roman" w:cs="Times New Roman"/>
          <w:i/>
          <w:iCs/>
          <w:sz w:val="24"/>
          <w:szCs w:val="24"/>
        </w:rPr>
        <w:t>Zool</w:t>
      </w:r>
      <w:proofErr w:type="spellEnd"/>
      <w:r w:rsidRPr="008F3946">
        <w:rPr>
          <w:rFonts w:ascii="Times New Roman" w:hAnsi="Times New Roman" w:cs="Times New Roman"/>
          <w:sz w:val="24"/>
          <w:szCs w:val="24"/>
        </w:rPr>
        <w:t>; 10 (3): 237-240.</w:t>
      </w:r>
      <w:r w:rsidR="00782C86">
        <w:rPr>
          <w:rFonts w:ascii="Times New Roman" w:hAnsi="Times New Roman" w:cs="Times New Roman"/>
          <w:sz w:val="24"/>
          <w:szCs w:val="24"/>
        </w:rPr>
        <w:t xml:space="preserve"> </w:t>
      </w:r>
      <w:r w:rsidR="00782C86" w:rsidRPr="00782C86">
        <w:rPr>
          <w:rFonts w:ascii="Times New Roman" w:hAnsi="Times New Roman" w:cs="Times New Roman"/>
          <w:sz w:val="24"/>
          <w:szCs w:val="24"/>
        </w:rPr>
        <w:t xml:space="preserve">DOI: 10.5829/idosi.wjz.2015.10.3.95205 </w:t>
      </w:r>
    </w:p>
    <w:p w14:paraId="16B8ED07" w14:textId="14DBC79D" w:rsidR="008F3946" w:rsidRPr="008F3946" w:rsidRDefault="008F3946" w:rsidP="008F3946">
      <w:pPr>
        <w:spacing w:after="0" w:line="480" w:lineRule="auto"/>
        <w:ind w:left="360" w:hanging="720"/>
        <w:jc w:val="both"/>
        <w:rPr>
          <w:rFonts w:ascii="Times New Roman" w:hAnsi="Times New Roman" w:cs="Times New Roman"/>
          <w:sz w:val="24"/>
          <w:szCs w:val="24"/>
        </w:rPr>
      </w:pPr>
      <w:r w:rsidRPr="008F3946">
        <w:rPr>
          <w:rFonts w:ascii="Times New Roman" w:hAnsi="Times New Roman" w:cs="Times New Roman"/>
          <w:sz w:val="24"/>
          <w:szCs w:val="24"/>
        </w:rPr>
        <w:t xml:space="preserve">Rokaya, D., Bhattarai, B. P., </w:t>
      </w:r>
      <w:proofErr w:type="spellStart"/>
      <w:r w:rsidRPr="008F3946">
        <w:rPr>
          <w:rFonts w:ascii="Times New Roman" w:hAnsi="Times New Roman" w:cs="Times New Roman"/>
          <w:sz w:val="24"/>
          <w:szCs w:val="24"/>
        </w:rPr>
        <w:t>Suttagul</w:t>
      </w:r>
      <w:proofErr w:type="spellEnd"/>
      <w:r w:rsidRPr="008F3946">
        <w:rPr>
          <w:rFonts w:ascii="Times New Roman" w:hAnsi="Times New Roman" w:cs="Times New Roman"/>
          <w:sz w:val="24"/>
          <w:szCs w:val="24"/>
        </w:rPr>
        <w:t xml:space="preserve">, K., Kafle, D. and </w:t>
      </w:r>
      <w:proofErr w:type="spellStart"/>
      <w:r w:rsidRPr="008F3946">
        <w:rPr>
          <w:rFonts w:ascii="Times New Roman" w:hAnsi="Times New Roman" w:cs="Times New Roman"/>
          <w:sz w:val="24"/>
          <w:szCs w:val="24"/>
        </w:rPr>
        <w:t>Humagain</w:t>
      </w:r>
      <w:proofErr w:type="spellEnd"/>
      <w:r w:rsidRPr="008F3946">
        <w:rPr>
          <w:rFonts w:ascii="Times New Roman" w:hAnsi="Times New Roman" w:cs="Times New Roman"/>
          <w:sz w:val="24"/>
          <w:szCs w:val="24"/>
        </w:rPr>
        <w:t xml:space="preserve">, M. (2018). </w:t>
      </w:r>
      <w:proofErr w:type="spellStart"/>
      <w:r w:rsidRPr="008F3946">
        <w:rPr>
          <w:rFonts w:ascii="Times New Roman" w:hAnsi="Times New Roman" w:cs="Times New Roman"/>
          <w:sz w:val="24"/>
          <w:szCs w:val="24"/>
        </w:rPr>
        <w:t>Mentolabial</w:t>
      </w:r>
      <w:proofErr w:type="spellEnd"/>
      <w:r w:rsidRPr="008F3946">
        <w:rPr>
          <w:rFonts w:ascii="Times New Roman" w:hAnsi="Times New Roman" w:cs="Times New Roman"/>
          <w:sz w:val="24"/>
          <w:szCs w:val="24"/>
        </w:rPr>
        <w:t xml:space="preserve"> Sulcus: An Esthetic-based Classification. </w:t>
      </w:r>
      <w:r w:rsidRPr="008F3946">
        <w:rPr>
          <w:rFonts w:ascii="Times New Roman" w:hAnsi="Times New Roman" w:cs="Times New Roman"/>
          <w:i/>
          <w:iCs/>
          <w:sz w:val="24"/>
          <w:szCs w:val="24"/>
        </w:rPr>
        <w:t>J Datta Meghe Inst Med Sci Univ</w:t>
      </w:r>
      <w:r w:rsidRPr="008F3946">
        <w:rPr>
          <w:rFonts w:ascii="Times New Roman" w:hAnsi="Times New Roman" w:cs="Times New Roman"/>
          <w:sz w:val="24"/>
          <w:szCs w:val="24"/>
        </w:rPr>
        <w:t>; 13: 16-9.</w:t>
      </w:r>
      <w:r w:rsidR="00782C86">
        <w:rPr>
          <w:rFonts w:ascii="Times New Roman" w:hAnsi="Times New Roman" w:cs="Times New Roman"/>
          <w:sz w:val="24"/>
          <w:szCs w:val="24"/>
        </w:rPr>
        <w:t xml:space="preserve"> </w:t>
      </w:r>
      <w:r w:rsidR="00782C86" w:rsidRPr="00782C86">
        <w:rPr>
          <w:rFonts w:ascii="Times New Roman" w:hAnsi="Times New Roman" w:cs="Times New Roman"/>
          <w:i/>
          <w:iCs/>
          <w:sz w:val="24"/>
          <w:szCs w:val="24"/>
        </w:rPr>
        <w:t>DOI: </w:t>
      </w:r>
      <w:r w:rsidR="00782C86" w:rsidRPr="00782C86">
        <w:rPr>
          <w:rFonts w:ascii="Times New Roman" w:hAnsi="Times New Roman" w:cs="Times New Roman"/>
          <w:sz w:val="24"/>
          <w:szCs w:val="24"/>
        </w:rPr>
        <w:t>10.4103/jdmimsu.jdmimsu_80_17</w:t>
      </w:r>
    </w:p>
    <w:p w14:paraId="4F69F27E" w14:textId="47FBD3D7" w:rsidR="008F3946" w:rsidRPr="008F3946" w:rsidRDefault="008F3946" w:rsidP="008F3946">
      <w:pPr>
        <w:spacing w:after="0" w:line="480" w:lineRule="auto"/>
        <w:ind w:left="360" w:hanging="720"/>
        <w:jc w:val="both"/>
        <w:rPr>
          <w:rFonts w:ascii="Times New Roman" w:hAnsi="Times New Roman" w:cs="Times New Roman"/>
          <w:sz w:val="24"/>
          <w:szCs w:val="24"/>
        </w:rPr>
      </w:pPr>
      <w:r w:rsidRPr="008F3946">
        <w:rPr>
          <w:rFonts w:ascii="Times New Roman" w:hAnsi="Times New Roman" w:cs="Times New Roman"/>
          <w:sz w:val="24"/>
          <w:szCs w:val="24"/>
        </w:rPr>
        <w:t>Saadat, D. D., &amp; Sykes, J. (2026). Deep Plane Technique for Male Facelift Surgery. </w:t>
      </w:r>
      <w:r w:rsidRPr="008F3946">
        <w:rPr>
          <w:rFonts w:ascii="Times New Roman" w:hAnsi="Times New Roman" w:cs="Times New Roman"/>
          <w:i/>
          <w:iCs/>
          <w:sz w:val="24"/>
          <w:szCs w:val="24"/>
        </w:rPr>
        <w:t>Facial Plastic Surgery</w:t>
      </w:r>
      <w:r w:rsidRPr="008F3946">
        <w:rPr>
          <w:rFonts w:ascii="Times New Roman" w:hAnsi="Times New Roman" w:cs="Times New Roman"/>
          <w:sz w:val="24"/>
          <w:szCs w:val="24"/>
        </w:rPr>
        <w:t>, </w:t>
      </w:r>
      <w:r w:rsidRPr="008F3946">
        <w:rPr>
          <w:rFonts w:ascii="Times New Roman" w:hAnsi="Times New Roman" w:cs="Times New Roman"/>
          <w:i/>
          <w:iCs/>
          <w:sz w:val="24"/>
          <w:szCs w:val="24"/>
        </w:rPr>
        <w:t>42</w:t>
      </w:r>
      <w:r w:rsidRPr="008F3946">
        <w:rPr>
          <w:rFonts w:ascii="Times New Roman" w:hAnsi="Times New Roman" w:cs="Times New Roman"/>
          <w:sz w:val="24"/>
          <w:szCs w:val="24"/>
        </w:rPr>
        <w:t>(02), 182-192.</w:t>
      </w:r>
      <w:r w:rsidR="00782C86">
        <w:rPr>
          <w:rFonts w:ascii="Times New Roman" w:hAnsi="Times New Roman" w:cs="Times New Roman"/>
          <w:sz w:val="24"/>
          <w:szCs w:val="24"/>
        </w:rPr>
        <w:t xml:space="preserve"> </w:t>
      </w:r>
      <w:r w:rsidR="00782C86" w:rsidRPr="00782C86">
        <w:rPr>
          <w:rFonts w:ascii="Times New Roman" w:hAnsi="Times New Roman" w:cs="Times New Roman"/>
          <w:sz w:val="24"/>
          <w:szCs w:val="24"/>
        </w:rPr>
        <w:t>DOI: 10.1055/a-2690-9853</w:t>
      </w:r>
    </w:p>
    <w:p w14:paraId="2E88BA85" w14:textId="7DA033F7" w:rsidR="008F3946" w:rsidRPr="008F3946" w:rsidRDefault="008F3946" w:rsidP="008F3946">
      <w:pPr>
        <w:spacing w:after="0" w:line="480" w:lineRule="auto"/>
        <w:ind w:left="360" w:hanging="720"/>
        <w:jc w:val="both"/>
        <w:rPr>
          <w:rFonts w:ascii="Times New Roman" w:hAnsi="Times New Roman" w:cs="Times New Roman"/>
          <w:sz w:val="24"/>
          <w:szCs w:val="24"/>
        </w:rPr>
      </w:pPr>
      <w:proofErr w:type="spellStart"/>
      <w:r w:rsidRPr="008F3946">
        <w:rPr>
          <w:rFonts w:ascii="Times New Roman" w:hAnsi="Times New Roman" w:cs="Times New Roman"/>
          <w:sz w:val="24"/>
          <w:szCs w:val="24"/>
        </w:rPr>
        <w:t>Samizadeh</w:t>
      </w:r>
      <w:proofErr w:type="spellEnd"/>
      <w:r w:rsidRPr="008F3946">
        <w:rPr>
          <w:rFonts w:ascii="Times New Roman" w:hAnsi="Times New Roman" w:cs="Times New Roman"/>
          <w:sz w:val="24"/>
          <w:szCs w:val="24"/>
        </w:rPr>
        <w:t>, S. (2022). Aesthetic assessment of the face. In </w:t>
      </w:r>
      <w:r w:rsidRPr="008F3946">
        <w:rPr>
          <w:rFonts w:ascii="Times New Roman" w:hAnsi="Times New Roman" w:cs="Times New Roman"/>
          <w:i/>
          <w:iCs/>
          <w:sz w:val="24"/>
          <w:szCs w:val="24"/>
        </w:rPr>
        <w:t>Non-Surgical Rejuvenation of Asian Faces</w:t>
      </w:r>
      <w:r w:rsidRPr="008F3946">
        <w:rPr>
          <w:rFonts w:ascii="Times New Roman" w:hAnsi="Times New Roman" w:cs="Times New Roman"/>
          <w:sz w:val="24"/>
          <w:szCs w:val="24"/>
        </w:rPr>
        <w:t> (pp. 107-121). Cham: Springer International Publishing.</w:t>
      </w:r>
      <w:r w:rsidR="00782C86">
        <w:rPr>
          <w:rFonts w:ascii="Times New Roman" w:hAnsi="Times New Roman" w:cs="Times New Roman"/>
          <w:sz w:val="24"/>
          <w:szCs w:val="24"/>
        </w:rPr>
        <w:t xml:space="preserve"> </w:t>
      </w:r>
      <w:r w:rsidR="00782C86" w:rsidRPr="00782C86">
        <w:rPr>
          <w:rFonts w:ascii="Times New Roman" w:hAnsi="Times New Roman" w:cs="Times New Roman"/>
          <w:sz w:val="24"/>
          <w:szCs w:val="24"/>
        </w:rPr>
        <w:t>https://doi.org/10.1007/978-3-030-84099-0_8</w:t>
      </w:r>
    </w:p>
    <w:p w14:paraId="4E6845A0" w14:textId="28C5A17F" w:rsidR="008F3946" w:rsidRPr="008F3946" w:rsidRDefault="008F3946" w:rsidP="008F3946">
      <w:pPr>
        <w:spacing w:after="0" w:line="480" w:lineRule="auto"/>
        <w:ind w:left="360" w:hanging="720"/>
        <w:jc w:val="both"/>
        <w:rPr>
          <w:rFonts w:ascii="Times New Roman" w:hAnsi="Times New Roman" w:cs="Times New Roman"/>
          <w:sz w:val="24"/>
          <w:szCs w:val="24"/>
        </w:rPr>
      </w:pPr>
      <w:r w:rsidRPr="008F3946">
        <w:rPr>
          <w:rFonts w:ascii="Times New Roman" w:hAnsi="Times New Roman" w:cs="Times New Roman"/>
          <w:sz w:val="24"/>
          <w:szCs w:val="24"/>
        </w:rPr>
        <w:t>Soman, D., Elangovan, R., Maganti, D. C., Rachel, K., Cedric, M., &amp; Peter, I. J. (2025). Prevalence of maxillary midline diastema and its societal perception in patients at Remera health center, Rwanda. </w:t>
      </w:r>
      <w:r w:rsidRPr="008F3946">
        <w:rPr>
          <w:rFonts w:ascii="Times New Roman" w:hAnsi="Times New Roman" w:cs="Times New Roman"/>
          <w:i/>
          <w:iCs/>
          <w:sz w:val="24"/>
          <w:szCs w:val="24"/>
        </w:rPr>
        <w:t>Bioinformation</w:t>
      </w:r>
      <w:r w:rsidRPr="008F3946">
        <w:rPr>
          <w:rFonts w:ascii="Times New Roman" w:hAnsi="Times New Roman" w:cs="Times New Roman"/>
          <w:sz w:val="24"/>
          <w:szCs w:val="24"/>
        </w:rPr>
        <w:t>, </w:t>
      </w:r>
      <w:r w:rsidRPr="008F3946">
        <w:rPr>
          <w:rFonts w:ascii="Times New Roman" w:hAnsi="Times New Roman" w:cs="Times New Roman"/>
          <w:i/>
          <w:iCs/>
          <w:sz w:val="24"/>
          <w:szCs w:val="24"/>
        </w:rPr>
        <w:t>21</w:t>
      </w:r>
      <w:r w:rsidRPr="008F3946">
        <w:rPr>
          <w:rFonts w:ascii="Times New Roman" w:hAnsi="Times New Roman" w:cs="Times New Roman"/>
          <w:sz w:val="24"/>
          <w:szCs w:val="24"/>
        </w:rPr>
        <w:t>(6), 1567.</w:t>
      </w:r>
      <w:r w:rsidR="00782C86">
        <w:rPr>
          <w:rFonts w:ascii="Times New Roman" w:hAnsi="Times New Roman" w:cs="Times New Roman"/>
          <w:sz w:val="24"/>
          <w:szCs w:val="24"/>
        </w:rPr>
        <w:t xml:space="preserve"> </w:t>
      </w:r>
      <w:r w:rsidR="00782C86" w:rsidRPr="00782C86">
        <w:rPr>
          <w:rFonts w:ascii="Times New Roman" w:hAnsi="Times New Roman" w:cs="Times New Roman"/>
          <w:sz w:val="24"/>
          <w:szCs w:val="24"/>
        </w:rPr>
        <w:t> </w:t>
      </w:r>
      <w:proofErr w:type="spellStart"/>
      <w:r w:rsidR="00782C86" w:rsidRPr="00782C86">
        <w:rPr>
          <w:rFonts w:ascii="Times New Roman" w:hAnsi="Times New Roman" w:cs="Times New Roman"/>
          <w:sz w:val="24"/>
          <w:szCs w:val="24"/>
        </w:rPr>
        <w:t>doi</w:t>
      </w:r>
      <w:proofErr w:type="spellEnd"/>
      <w:r w:rsidR="00782C86" w:rsidRPr="00782C86">
        <w:rPr>
          <w:rFonts w:ascii="Times New Roman" w:hAnsi="Times New Roman" w:cs="Times New Roman"/>
          <w:sz w:val="24"/>
          <w:szCs w:val="24"/>
        </w:rPr>
        <w:t>: </w:t>
      </w:r>
      <w:hyperlink r:id="rId18" w:tgtFrame="_blank" w:history="1">
        <w:r w:rsidR="00782C86" w:rsidRPr="00782C86">
          <w:rPr>
            <w:rStyle w:val="Hyperlink"/>
            <w:rFonts w:ascii="Times New Roman" w:hAnsi="Times New Roman" w:cs="Times New Roman"/>
            <w:sz w:val="24"/>
            <w:szCs w:val="24"/>
          </w:rPr>
          <w:t>10.6026/973206300211567</w:t>
        </w:r>
      </w:hyperlink>
    </w:p>
    <w:p w14:paraId="1143E5A4" w14:textId="348F4005" w:rsidR="008F3946" w:rsidRPr="008F3946" w:rsidRDefault="008F3946" w:rsidP="008F3946">
      <w:pPr>
        <w:spacing w:after="0" w:line="480" w:lineRule="auto"/>
        <w:ind w:left="360" w:hanging="720"/>
        <w:jc w:val="both"/>
        <w:rPr>
          <w:rFonts w:ascii="Times New Roman" w:hAnsi="Times New Roman" w:cs="Times New Roman"/>
          <w:sz w:val="24"/>
          <w:szCs w:val="24"/>
        </w:rPr>
      </w:pPr>
      <w:r w:rsidRPr="008F3946">
        <w:rPr>
          <w:rFonts w:ascii="Times New Roman" w:hAnsi="Times New Roman" w:cs="Times New Roman"/>
          <w:sz w:val="24"/>
          <w:szCs w:val="24"/>
        </w:rPr>
        <w:t xml:space="preserve">Vaid, N. R., &amp; Adel, S. M. (2023, March). Contemporary orthodontic workflows: a panacea for </w:t>
      </w:r>
      <w:proofErr w:type="gramStart"/>
      <w:r w:rsidRPr="008F3946">
        <w:rPr>
          <w:rFonts w:ascii="Times New Roman" w:hAnsi="Times New Roman" w:cs="Times New Roman"/>
          <w:sz w:val="24"/>
          <w:szCs w:val="24"/>
        </w:rPr>
        <w:t>efficiency?.</w:t>
      </w:r>
      <w:proofErr w:type="gramEnd"/>
      <w:r w:rsidRPr="008F3946">
        <w:rPr>
          <w:rFonts w:ascii="Times New Roman" w:hAnsi="Times New Roman" w:cs="Times New Roman"/>
          <w:sz w:val="24"/>
          <w:szCs w:val="24"/>
        </w:rPr>
        <w:t xml:space="preserve"> In </w:t>
      </w:r>
      <w:r w:rsidRPr="008F3946">
        <w:rPr>
          <w:rFonts w:ascii="Times New Roman" w:hAnsi="Times New Roman" w:cs="Times New Roman"/>
          <w:i/>
          <w:iCs/>
          <w:sz w:val="24"/>
          <w:szCs w:val="24"/>
        </w:rPr>
        <w:t>Seminars in Orthodontics</w:t>
      </w:r>
      <w:r w:rsidRPr="008F3946">
        <w:rPr>
          <w:rFonts w:ascii="Times New Roman" w:hAnsi="Times New Roman" w:cs="Times New Roman"/>
          <w:sz w:val="24"/>
          <w:szCs w:val="24"/>
        </w:rPr>
        <w:t> (Vol. 29, No. 1, pp. 1-3). Elsevier.</w:t>
      </w:r>
      <w:r w:rsidR="00782C86">
        <w:rPr>
          <w:rFonts w:ascii="Times New Roman" w:hAnsi="Times New Roman" w:cs="Times New Roman"/>
          <w:sz w:val="24"/>
          <w:szCs w:val="24"/>
        </w:rPr>
        <w:t xml:space="preserve"> </w:t>
      </w:r>
      <w:r w:rsidR="00782C86" w:rsidRPr="00782C86">
        <w:rPr>
          <w:rFonts w:ascii="Times New Roman" w:hAnsi="Times New Roman" w:cs="Times New Roman"/>
          <w:sz w:val="24"/>
          <w:szCs w:val="24"/>
        </w:rPr>
        <w:t>DOI: </w:t>
      </w:r>
      <w:hyperlink r:id="rId19" w:tgtFrame="_blank" w:history="1">
        <w:r w:rsidR="00782C86" w:rsidRPr="00782C86">
          <w:rPr>
            <w:rStyle w:val="Hyperlink"/>
            <w:rFonts w:ascii="Times New Roman" w:hAnsi="Times New Roman" w:cs="Times New Roman"/>
            <w:sz w:val="24"/>
            <w:szCs w:val="24"/>
          </w:rPr>
          <w:t>10.1053/j.sodo.2023.02.002</w:t>
        </w:r>
      </w:hyperlink>
    </w:p>
    <w:p w14:paraId="74CD883C" w14:textId="08A62F34" w:rsidR="008F3946" w:rsidRPr="008F3946" w:rsidRDefault="008F3946" w:rsidP="008F3946">
      <w:pPr>
        <w:spacing w:after="0" w:line="480" w:lineRule="auto"/>
        <w:ind w:left="360" w:hanging="720"/>
        <w:jc w:val="both"/>
        <w:rPr>
          <w:rFonts w:ascii="Times New Roman" w:hAnsi="Times New Roman" w:cs="Times New Roman"/>
          <w:sz w:val="24"/>
          <w:szCs w:val="24"/>
        </w:rPr>
      </w:pPr>
      <w:r w:rsidRPr="008F3946">
        <w:rPr>
          <w:rFonts w:ascii="Times New Roman" w:hAnsi="Times New Roman" w:cs="Times New Roman"/>
          <w:sz w:val="24"/>
          <w:szCs w:val="24"/>
        </w:rPr>
        <w:lastRenderedPageBreak/>
        <w:t>Wei, B., Duan, R., Xie, F., Gu, J., Liu, C., &amp; Gao, B. (2023). Advances in face-lift surgical techniques: 2016–2021. </w:t>
      </w:r>
      <w:r w:rsidRPr="008F3946">
        <w:rPr>
          <w:rFonts w:ascii="Times New Roman" w:hAnsi="Times New Roman" w:cs="Times New Roman"/>
          <w:i/>
          <w:iCs/>
          <w:sz w:val="24"/>
          <w:szCs w:val="24"/>
        </w:rPr>
        <w:t>Aesthetic Plastic Surgery</w:t>
      </w:r>
      <w:r w:rsidRPr="008F3946">
        <w:rPr>
          <w:rFonts w:ascii="Times New Roman" w:hAnsi="Times New Roman" w:cs="Times New Roman"/>
          <w:sz w:val="24"/>
          <w:szCs w:val="24"/>
        </w:rPr>
        <w:t>, </w:t>
      </w:r>
      <w:r w:rsidRPr="008F3946">
        <w:rPr>
          <w:rFonts w:ascii="Times New Roman" w:hAnsi="Times New Roman" w:cs="Times New Roman"/>
          <w:i/>
          <w:iCs/>
          <w:sz w:val="24"/>
          <w:szCs w:val="24"/>
        </w:rPr>
        <w:t>47</w:t>
      </w:r>
      <w:r w:rsidRPr="008F3946">
        <w:rPr>
          <w:rFonts w:ascii="Times New Roman" w:hAnsi="Times New Roman" w:cs="Times New Roman"/>
          <w:sz w:val="24"/>
          <w:szCs w:val="24"/>
        </w:rPr>
        <w:t>(2), 622-630.</w:t>
      </w:r>
      <w:r w:rsidR="00782C86">
        <w:rPr>
          <w:rFonts w:ascii="Times New Roman" w:hAnsi="Times New Roman" w:cs="Times New Roman"/>
          <w:sz w:val="24"/>
          <w:szCs w:val="24"/>
        </w:rPr>
        <w:t xml:space="preserve"> </w:t>
      </w:r>
      <w:r w:rsidR="00782C86" w:rsidRPr="00782C86">
        <w:rPr>
          <w:rFonts w:ascii="Times New Roman" w:hAnsi="Times New Roman" w:cs="Times New Roman"/>
          <w:sz w:val="24"/>
          <w:szCs w:val="24"/>
        </w:rPr>
        <w:t>https://doi.org/10.1007/s00266-022-03017-z</w:t>
      </w:r>
    </w:p>
    <w:p w14:paraId="0BF066D4" w14:textId="278D85E9" w:rsidR="008F3946" w:rsidRDefault="008F3946" w:rsidP="008F3946">
      <w:pPr>
        <w:spacing w:after="0" w:line="480" w:lineRule="auto"/>
        <w:ind w:left="360" w:hanging="720"/>
        <w:jc w:val="both"/>
      </w:pPr>
      <w:r w:rsidRPr="008F3946">
        <w:rPr>
          <w:rFonts w:ascii="Times New Roman" w:hAnsi="Times New Roman" w:cs="Times New Roman"/>
          <w:sz w:val="24"/>
          <w:szCs w:val="24"/>
        </w:rPr>
        <w:t xml:space="preserve">Xie, Y., Yue, Y. X., Fu, Y. C., Wang, X. L., &amp; Li, J. (2025). Secondary bilateral cleft lip repair: An orbicularis </w:t>
      </w:r>
      <w:proofErr w:type="spellStart"/>
      <w:r w:rsidRPr="008F3946">
        <w:rPr>
          <w:rFonts w:ascii="Times New Roman" w:hAnsi="Times New Roman" w:cs="Times New Roman"/>
          <w:sz w:val="24"/>
          <w:szCs w:val="24"/>
        </w:rPr>
        <w:t>oris</w:t>
      </w:r>
      <w:proofErr w:type="spellEnd"/>
      <w:r w:rsidRPr="008F3946">
        <w:rPr>
          <w:rFonts w:ascii="Times New Roman" w:hAnsi="Times New Roman" w:cs="Times New Roman"/>
          <w:sz w:val="24"/>
          <w:szCs w:val="24"/>
        </w:rPr>
        <w:t xml:space="preserve"> muscle reorientation technique for philtrum reconstruction. </w:t>
      </w:r>
      <w:r w:rsidRPr="008F3946">
        <w:rPr>
          <w:rFonts w:ascii="Times New Roman" w:hAnsi="Times New Roman" w:cs="Times New Roman"/>
          <w:i/>
          <w:iCs/>
          <w:sz w:val="24"/>
          <w:szCs w:val="24"/>
        </w:rPr>
        <w:t>Journal of Cranio-Maxillofacial Surgery</w:t>
      </w:r>
      <w:r w:rsidRPr="008F3946">
        <w:rPr>
          <w:rFonts w:ascii="Times New Roman" w:hAnsi="Times New Roman" w:cs="Times New Roman"/>
          <w:sz w:val="24"/>
          <w:szCs w:val="24"/>
        </w:rPr>
        <w:t>.</w:t>
      </w:r>
      <w:r w:rsidR="00782C86">
        <w:rPr>
          <w:rFonts w:ascii="Times New Roman" w:hAnsi="Times New Roman" w:cs="Times New Roman"/>
          <w:sz w:val="24"/>
          <w:szCs w:val="24"/>
        </w:rPr>
        <w:t xml:space="preserve"> </w:t>
      </w:r>
      <w:hyperlink r:id="rId20" w:tgtFrame="_blank" w:tooltip="Persistent link using digital object identifier" w:history="1">
        <w:r w:rsidR="00782C86" w:rsidRPr="00782C86">
          <w:rPr>
            <w:rStyle w:val="Hyperlink"/>
            <w:rFonts w:ascii="Times New Roman" w:hAnsi="Times New Roman" w:cs="Times New Roman"/>
            <w:sz w:val="24"/>
            <w:szCs w:val="24"/>
          </w:rPr>
          <w:t>https://doi.org/10.1016/j.jcms.2025.09.006</w:t>
        </w:r>
      </w:hyperlink>
    </w:p>
    <w:p w14:paraId="550A1F38" w14:textId="77777777" w:rsidR="00B815EB" w:rsidRDefault="00B815EB" w:rsidP="008F3946">
      <w:pPr>
        <w:spacing w:after="0" w:line="480" w:lineRule="auto"/>
        <w:ind w:left="360" w:hanging="720"/>
        <w:jc w:val="both"/>
      </w:pPr>
    </w:p>
    <w:p w14:paraId="5D03C0B7" w14:textId="77777777" w:rsidR="00B815EB" w:rsidRDefault="00B815EB" w:rsidP="00B815EB">
      <w:pPr>
        <w:spacing w:after="0" w:line="480" w:lineRule="auto"/>
        <w:jc w:val="both"/>
      </w:pPr>
    </w:p>
    <w:sectPr w:rsidR="00B815EB">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0BB1D" w14:textId="77777777" w:rsidR="00CE68FD" w:rsidRDefault="00CE68FD" w:rsidP="0051685B">
      <w:pPr>
        <w:spacing w:after="0" w:line="240" w:lineRule="auto"/>
      </w:pPr>
      <w:r>
        <w:separator/>
      </w:r>
    </w:p>
  </w:endnote>
  <w:endnote w:type="continuationSeparator" w:id="0">
    <w:p w14:paraId="702B8DCB" w14:textId="77777777" w:rsidR="00CE68FD" w:rsidRDefault="00CE68FD" w:rsidP="00516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8170C" w14:textId="77777777" w:rsidR="0051685B" w:rsidRDefault="005168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6306D" w14:textId="77777777" w:rsidR="0051685B" w:rsidRDefault="005168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6745E" w14:textId="77777777" w:rsidR="0051685B" w:rsidRDefault="005168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8E509" w14:textId="77777777" w:rsidR="00CE68FD" w:rsidRDefault="00CE68FD" w:rsidP="0051685B">
      <w:pPr>
        <w:spacing w:after="0" w:line="240" w:lineRule="auto"/>
      </w:pPr>
      <w:r>
        <w:separator/>
      </w:r>
    </w:p>
  </w:footnote>
  <w:footnote w:type="continuationSeparator" w:id="0">
    <w:p w14:paraId="6E76D40D" w14:textId="77777777" w:rsidR="00CE68FD" w:rsidRDefault="00CE68FD" w:rsidP="00516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CA31D" w14:textId="0E3F0587" w:rsidR="0051685B" w:rsidRDefault="00000000">
    <w:pPr>
      <w:pStyle w:val="Header"/>
    </w:pPr>
    <w:r>
      <w:rPr>
        <w:noProof/>
      </w:rPr>
      <w:pict w14:anchorId="2DA42C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72640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8A302" w14:textId="2AD2578C" w:rsidR="0051685B" w:rsidRDefault="00000000">
    <w:pPr>
      <w:pStyle w:val="Header"/>
    </w:pPr>
    <w:r>
      <w:rPr>
        <w:noProof/>
      </w:rPr>
      <w:pict w14:anchorId="274C07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72640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44BC6" w14:textId="4D823934" w:rsidR="0051685B" w:rsidRDefault="00000000">
    <w:pPr>
      <w:pStyle w:val="Header"/>
    </w:pPr>
    <w:r>
      <w:rPr>
        <w:noProof/>
      </w:rPr>
      <w:pict w14:anchorId="52DB98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72640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0605"/>
    <w:multiLevelType w:val="hybridMultilevel"/>
    <w:tmpl w:val="4418A0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811C9B"/>
    <w:multiLevelType w:val="hybridMultilevel"/>
    <w:tmpl w:val="265AA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E71A16"/>
    <w:multiLevelType w:val="hybridMultilevel"/>
    <w:tmpl w:val="CF02F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9F0A6E"/>
    <w:multiLevelType w:val="hybridMultilevel"/>
    <w:tmpl w:val="B1E2C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2766E"/>
    <w:multiLevelType w:val="hybridMultilevel"/>
    <w:tmpl w:val="3314EB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ED55A5"/>
    <w:multiLevelType w:val="hybridMultilevel"/>
    <w:tmpl w:val="6F601998"/>
    <w:lvl w:ilvl="0" w:tplc="B70487F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E1158B6"/>
    <w:multiLevelType w:val="hybridMultilevel"/>
    <w:tmpl w:val="12C0CBF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44564C4"/>
    <w:multiLevelType w:val="multilevel"/>
    <w:tmpl w:val="FFFFFFFF"/>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693E4382"/>
    <w:multiLevelType w:val="hybridMultilevel"/>
    <w:tmpl w:val="116EE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2FE5D35"/>
    <w:multiLevelType w:val="hybridMultilevel"/>
    <w:tmpl w:val="F260D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0B1FC3"/>
    <w:multiLevelType w:val="multilevel"/>
    <w:tmpl w:val="59DA6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0044765">
    <w:abstractNumId w:val="7"/>
  </w:num>
  <w:num w:numId="2" w16cid:durableId="50084229">
    <w:abstractNumId w:val="9"/>
  </w:num>
  <w:num w:numId="3" w16cid:durableId="420756251">
    <w:abstractNumId w:val="3"/>
  </w:num>
  <w:num w:numId="4" w16cid:durableId="1659309904">
    <w:abstractNumId w:val="2"/>
  </w:num>
  <w:num w:numId="5" w16cid:durableId="1811287526">
    <w:abstractNumId w:val="4"/>
  </w:num>
  <w:num w:numId="6" w16cid:durableId="319237092">
    <w:abstractNumId w:val="0"/>
  </w:num>
  <w:num w:numId="7" w16cid:durableId="1901597769">
    <w:abstractNumId w:val="5"/>
  </w:num>
  <w:num w:numId="8" w16cid:durableId="965963044">
    <w:abstractNumId w:val="6"/>
  </w:num>
  <w:num w:numId="9" w16cid:durableId="1585408744">
    <w:abstractNumId w:val="8"/>
  </w:num>
  <w:num w:numId="10" w16cid:durableId="176431089">
    <w:abstractNumId w:val="10"/>
  </w:num>
  <w:num w:numId="11" w16cid:durableId="20909303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DA3"/>
    <w:rsid w:val="000B58F7"/>
    <w:rsid w:val="00100B84"/>
    <w:rsid w:val="00121569"/>
    <w:rsid w:val="00183231"/>
    <w:rsid w:val="001A2E1F"/>
    <w:rsid w:val="001D1351"/>
    <w:rsid w:val="002331B1"/>
    <w:rsid w:val="00270816"/>
    <w:rsid w:val="002739C1"/>
    <w:rsid w:val="002C49CE"/>
    <w:rsid w:val="0033337C"/>
    <w:rsid w:val="00371063"/>
    <w:rsid w:val="00426AC9"/>
    <w:rsid w:val="0046520C"/>
    <w:rsid w:val="004727E0"/>
    <w:rsid w:val="00477EE3"/>
    <w:rsid w:val="00493CEC"/>
    <w:rsid w:val="004A17DB"/>
    <w:rsid w:val="004A6906"/>
    <w:rsid w:val="004B34F4"/>
    <w:rsid w:val="004B621C"/>
    <w:rsid w:val="004D484F"/>
    <w:rsid w:val="004D71B7"/>
    <w:rsid w:val="0051294D"/>
    <w:rsid w:val="0051685B"/>
    <w:rsid w:val="005404C8"/>
    <w:rsid w:val="005912C0"/>
    <w:rsid w:val="005C0C9D"/>
    <w:rsid w:val="005D4C14"/>
    <w:rsid w:val="0060288C"/>
    <w:rsid w:val="006135A7"/>
    <w:rsid w:val="006D73DC"/>
    <w:rsid w:val="006E047F"/>
    <w:rsid w:val="00711C1E"/>
    <w:rsid w:val="00782C86"/>
    <w:rsid w:val="00790283"/>
    <w:rsid w:val="0081509C"/>
    <w:rsid w:val="00886326"/>
    <w:rsid w:val="008A20EB"/>
    <w:rsid w:val="008B2A16"/>
    <w:rsid w:val="008E26BA"/>
    <w:rsid w:val="008F3946"/>
    <w:rsid w:val="00920216"/>
    <w:rsid w:val="0092452A"/>
    <w:rsid w:val="009614EF"/>
    <w:rsid w:val="00981C7F"/>
    <w:rsid w:val="00A25721"/>
    <w:rsid w:val="00A56DA3"/>
    <w:rsid w:val="00A83CEF"/>
    <w:rsid w:val="00A900AC"/>
    <w:rsid w:val="00A92E38"/>
    <w:rsid w:val="00AE6576"/>
    <w:rsid w:val="00B03C13"/>
    <w:rsid w:val="00B16A85"/>
    <w:rsid w:val="00B815EB"/>
    <w:rsid w:val="00B862DF"/>
    <w:rsid w:val="00BC4C34"/>
    <w:rsid w:val="00BD74AB"/>
    <w:rsid w:val="00C14EAC"/>
    <w:rsid w:val="00C21CD5"/>
    <w:rsid w:val="00C93F9A"/>
    <w:rsid w:val="00CA351A"/>
    <w:rsid w:val="00CE68FD"/>
    <w:rsid w:val="00D04ED8"/>
    <w:rsid w:val="00DB0C11"/>
    <w:rsid w:val="00DB7F79"/>
    <w:rsid w:val="00E607C3"/>
    <w:rsid w:val="00E6522D"/>
    <w:rsid w:val="00EA187E"/>
    <w:rsid w:val="00EB4791"/>
    <w:rsid w:val="00EC3927"/>
    <w:rsid w:val="00EF7DA5"/>
    <w:rsid w:val="00F02E33"/>
    <w:rsid w:val="00F033A9"/>
    <w:rsid w:val="00F06F5F"/>
    <w:rsid w:val="00F6700C"/>
    <w:rsid w:val="00FB2C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C8145"/>
  <w15:chartTrackingRefBased/>
  <w15:docId w15:val="{FEE17926-F06E-462E-A444-C186F6262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DA3"/>
    <w:rPr>
      <w:rFonts w:eastAsiaTheme="minorEastAsia"/>
      <w:kern w:val="0"/>
      <w:lang w:val="en-US"/>
      <w14:ligatures w14:val="none"/>
    </w:rPr>
  </w:style>
  <w:style w:type="paragraph" w:styleId="Heading1">
    <w:name w:val="heading 1"/>
    <w:basedOn w:val="Normal"/>
    <w:next w:val="Normal"/>
    <w:link w:val="Heading1Char"/>
    <w:uiPriority w:val="9"/>
    <w:qFormat/>
    <w:rsid w:val="00A56D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56D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56DA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56DA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56DA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56D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6D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6D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6D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6DA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56DA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6DA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56DA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56DA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56D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6D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6D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6DA3"/>
    <w:rPr>
      <w:rFonts w:eastAsiaTheme="majorEastAsia" w:cstheme="majorBidi"/>
      <w:color w:val="272727" w:themeColor="text1" w:themeTint="D8"/>
    </w:rPr>
  </w:style>
  <w:style w:type="paragraph" w:styleId="Title">
    <w:name w:val="Title"/>
    <w:basedOn w:val="Normal"/>
    <w:next w:val="Normal"/>
    <w:link w:val="TitleChar"/>
    <w:uiPriority w:val="10"/>
    <w:qFormat/>
    <w:rsid w:val="00A56D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6D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6D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6D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6DA3"/>
    <w:pPr>
      <w:spacing w:before="160"/>
      <w:jc w:val="center"/>
    </w:pPr>
    <w:rPr>
      <w:i/>
      <w:iCs/>
      <w:color w:val="404040" w:themeColor="text1" w:themeTint="BF"/>
    </w:rPr>
  </w:style>
  <w:style w:type="character" w:customStyle="1" w:styleId="QuoteChar">
    <w:name w:val="Quote Char"/>
    <w:basedOn w:val="DefaultParagraphFont"/>
    <w:link w:val="Quote"/>
    <w:uiPriority w:val="29"/>
    <w:rsid w:val="00A56DA3"/>
    <w:rPr>
      <w:i/>
      <w:iCs/>
      <w:color w:val="404040" w:themeColor="text1" w:themeTint="BF"/>
    </w:rPr>
  </w:style>
  <w:style w:type="paragraph" w:styleId="ListParagraph">
    <w:name w:val="List Paragraph"/>
    <w:basedOn w:val="Normal"/>
    <w:uiPriority w:val="34"/>
    <w:qFormat/>
    <w:rsid w:val="00A56DA3"/>
    <w:pPr>
      <w:ind w:left="720"/>
      <w:contextualSpacing/>
    </w:pPr>
  </w:style>
  <w:style w:type="character" w:styleId="IntenseEmphasis">
    <w:name w:val="Intense Emphasis"/>
    <w:basedOn w:val="DefaultParagraphFont"/>
    <w:uiPriority w:val="21"/>
    <w:qFormat/>
    <w:rsid w:val="00A56DA3"/>
    <w:rPr>
      <w:i/>
      <w:iCs/>
      <w:color w:val="2F5496" w:themeColor="accent1" w:themeShade="BF"/>
    </w:rPr>
  </w:style>
  <w:style w:type="paragraph" w:styleId="IntenseQuote">
    <w:name w:val="Intense Quote"/>
    <w:basedOn w:val="Normal"/>
    <w:next w:val="Normal"/>
    <w:link w:val="IntenseQuoteChar"/>
    <w:uiPriority w:val="30"/>
    <w:qFormat/>
    <w:rsid w:val="00A56D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56DA3"/>
    <w:rPr>
      <w:i/>
      <w:iCs/>
      <w:color w:val="2F5496" w:themeColor="accent1" w:themeShade="BF"/>
    </w:rPr>
  </w:style>
  <w:style w:type="character" w:styleId="IntenseReference">
    <w:name w:val="Intense Reference"/>
    <w:basedOn w:val="DefaultParagraphFont"/>
    <w:uiPriority w:val="32"/>
    <w:qFormat/>
    <w:rsid w:val="00A56DA3"/>
    <w:rPr>
      <w:b/>
      <w:bCs/>
      <w:smallCaps/>
      <w:color w:val="2F5496" w:themeColor="accent1" w:themeShade="BF"/>
      <w:spacing w:val="5"/>
    </w:rPr>
  </w:style>
  <w:style w:type="table" w:styleId="ListTable2">
    <w:name w:val="List Table 2"/>
    <w:basedOn w:val="TableNormal"/>
    <w:uiPriority w:val="47"/>
    <w:rsid w:val="00B16A85"/>
    <w:pPr>
      <w:spacing w:after="0" w:line="240" w:lineRule="auto"/>
    </w:pPr>
    <w:rPr>
      <w:kern w:val="0"/>
      <w14:ligatures w14:val="none"/>
    </w:rPr>
    <w:tblPr>
      <w:tblStyleRowBandSize w:val="1"/>
      <w:tblStyleColBandSize w:val="1"/>
      <w:tblInd w:w="0" w:type="nil"/>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5912C0"/>
    <w:rPr>
      <w:color w:val="0563C1" w:themeColor="hyperlink"/>
      <w:u w:val="single"/>
    </w:rPr>
  </w:style>
  <w:style w:type="character" w:styleId="UnresolvedMention">
    <w:name w:val="Unresolved Mention"/>
    <w:basedOn w:val="DefaultParagraphFont"/>
    <w:uiPriority w:val="99"/>
    <w:semiHidden/>
    <w:unhideWhenUsed/>
    <w:rsid w:val="005912C0"/>
    <w:rPr>
      <w:color w:val="605E5C"/>
      <w:shd w:val="clear" w:color="auto" w:fill="E1DFDD"/>
    </w:rPr>
  </w:style>
  <w:style w:type="paragraph" w:styleId="Header">
    <w:name w:val="header"/>
    <w:basedOn w:val="Normal"/>
    <w:link w:val="HeaderChar"/>
    <w:uiPriority w:val="99"/>
    <w:unhideWhenUsed/>
    <w:rsid w:val="005168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685B"/>
    <w:rPr>
      <w:rFonts w:eastAsiaTheme="minorEastAsia"/>
      <w:kern w:val="0"/>
      <w:lang w:val="en-US"/>
      <w14:ligatures w14:val="none"/>
    </w:rPr>
  </w:style>
  <w:style w:type="paragraph" w:styleId="Footer">
    <w:name w:val="footer"/>
    <w:basedOn w:val="Normal"/>
    <w:link w:val="FooterChar"/>
    <w:uiPriority w:val="99"/>
    <w:unhideWhenUsed/>
    <w:rsid w:val="005168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685B"/>
    <w:rPr>
      <w:rFonts w:eastAsiaTheme="minorEastAsia"/>
      <w:kern w:val="0"/>
      <w:lang w:val="en-US"/>
      <w14:ligatures w14:val="none"/>
    </w:rPr>
  </w:style>
  <w:style w:type="paragraph" w:styleId="NoSpacing">
    <w:name w:val="No Spacing"/>
    <w:uiPriority w:val="1"/>
    <w:qFormat/>
    <w:rsid w:val="0033337C"/>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hyperlink" Target="https://doi.org/10.6026/973206300211567"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hyperlink" Target="https://doi.org/10.1093/ejo/cjt029"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016/j.jcms.2026.104486" TargetMode="External"/><Relationship Id="rId20" Type="http://schemas.openxmlformats.org/officeDocument/2006/relationships/hyperlink" Target="https://doi.org/10.1016/j.jcms.2025.09.00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016/j.ijom.2024.11.006"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hyperlink" Target="https://doi.org/10.1053/j.sodo.2023.02.002" TargetMode="Externa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header" Target="header2.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Present</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Sheet1!$A$2:$A$3</c:f>
              <c:strCache>
                <c:ptCount val="2"/>
                <c:pt idx="0">
                  <c:v>Gap Tooth Father</c:v>
                </c:pt>
                <c:pt idx="1">
                  <c:v>Gap Tooth Mother</c:v>
                </c:pt>
              </c:strCache>
            </c:strRef>
          </c:cat>
          <c:val>
            <c:numRef>
              <c:f>Sheet1!$B$2:$B$3</c:f>
              <c:numCache>
                <c:formatCode>General</c:formatCode>
                <c:ptCount val="2"/>
                <c:pt idx="0">
                  <c:v>29</c:v>
                </c:pt>
                <c:pt idx="1">
                  <c:v>27</c:v>
                </c:pt>
              </c:numCache>
            </c:numRef>
          </c:val>
          <c:extLst>
            <c:ext xmlns:c16="http://schemas.microsoft.com/office/drawing/2014/chart" uri="{C3380CC4-5D6E-409C-BE32-E72D297353CC}">
              <c16:uniqueId val="{00000000-1736-45C7-B8AD-33C471DC0264}"/>
            </c:ext>
          </c:extLst>
        </c:ser>
        <c:ser>
          <c:idx val="1"/>
          <c:order val="1"/>
          <c:tx>
            <c:strRef>
              <c:f>Sheet1!$C$1</c:f>
              <c:strCache>
                <c:ptCount val="1"/>
                <c:pt idx="0">
                  <c:v>Absent</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Sheet1!$A$2:$A$3</c:f>
              <c:strCache>
                <c:ptCount val="2"/>
                <c:pt idx="0">
                  <c:v>Gap Tooth Father</c:v>
                </c:pt>
                <c:pt idx="1">
                  <c:v>Gap Tooth Mother</c:v>
                </c:pt>
              </c:strCache>
            </c:strRef>
          </c:cat>
          <c:val>
            <c:numRef>
              <c:f>Sheet1!$C$2:$C$3</c:f>
              <c:numCache>
                <c:formatCode>General</c:formatCode>
                <c:ptCount val="2"/>
                <c:pt idx="0">
                  <c:v>121</c:v>
                </c:pt>
                <c:pt idx="1">
                  <c:v>123</c:v>
                </c:pt>
              </c:numCache>
            </c:numRef>
          </c:val>
          <c:extLst>
            <c:ext xmlns:c16="http://schemas.microsoft.com/office/drawing/2014/chart" uri="{C3380CC4-5D6E-409C-BE32-E72D297353CC}">
              <c16:uniqueId val="{00000001-1736-45C7-B8AD-33C471DC0264}"/>
            </c:ext>
          </c:extLst>
        </c:ser>
        <c:dLbls>
          <c:dLblPos val="outEnd"/>
          <c:showLegendKey val="0"/>
          <c:showVal val="1"/>
          <c:showCatName val="0"/>
          <c:showSerName val="0"/>
          <c:showPercent val="0"/>
          <c:showBubbleSize val="0"/>
        </c:dLbls>
        <c:gapWidth val="444"/>
        <c:overlap val="-90"/>
        <c:axId val="388484160"/>
        <c:axId val="388474592"/>
      </c:barChart>
      <c:catAx>
        <c:axId val="38848416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388474592"/>
        <c:crosses val="autoZero"/>
        <c:auto val="1"/>
        <c:lblAlgn val="ctr"/>
        <c:lblOffset val="100"/>
        <c:noMultiLvlLbl val="0"/>
      </c:catAx>
      <c:valAx>
        <c:axId val="388474592"/>
        <c:scaling>
          <c:orientation val="minMax"/>
        </c:scaling>
        <c:delete val="1"/>
        <c:axPos val="l"/>
        <c:numFmt formatCode="General" sourceLinked="1"/>
        <c:majorTickMark val="none"/>
        <c:minorTickMark val="none"/>
        <c:tickLblPos val="nextTo"/>
        <c:crossAx val="388484160"/>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lt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Present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Gap Tooth 1st child</c:v>
                </c:pt>
                <c:pt idx="1">
                  <c:v>Gap Tooth 2nd child</c:v>
                </c:pt>
              </c:strCache>
            </c:strRef>
          </c:cat>
          <c:val>
            <c:numRef>
              <c:f>Sheet1!$B$2:$B$3</c:f>
              <c:numCache>
                <c:formatCode>General</c:formatCode>
                <c:ptCount val="2"/>
                <c:pt idx="0">
                  <c:v>38</c:v>
                </c:pt>
                <c:pt idx="1">
                  <c:v>31</c:v>
                </c:pt>
              </c:numCache>
            </c:numRef>
          </c:val>
          <c:extLst>
            <c:ext xmlns:c16="http://schemas.microsoft.com/office/drawing/2014/chart" uri="{C3380CC4-5D6E-409C-BE32-E72D297353CC}">
              <c16:uniqueId val="{00000000-83BD-4AED-99BE-BA4A01C5D2A1}"/>
            </c:ext>
          </c:extLst>
        </c:ser>
        <c:ser>
          <c:idx val="1"/>
          <c:order val="1"/>
          <c:tx>
            <c:strRef>
              <c:f>Sheet1!$C$1</c:f>
              <c:strCache>
                <c:ptCount val="1"/>
                <c:pt idx="0">
                  <c:v>Absent</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Gap Tooth 1st child</c:v>
                </c:pt>
                <c:pt idx="1">
                  <c:v>Gap Tooth 2nd child</c:v>
                </c:pt>
              </c:strCache>
            </c:strRef>
          </c:cat>
          <c:val>
            <c:numRef>
              <c:f>Sheet1!$C$2:$C$3</c:f>
              <c:numCache>
                <c:formatCode>General</c:formatCode>
                <c:ptCount val="2"/>
                <c:pt idx="0">
                  <c:v>112</c:v>
                </c:pt>
                <c:pt idx="1">
                  <c:v>119</c:v>
                </c:pt>
              </c:numCache>
            </c:numRef>
          </c:val>
          <c:extLst>
            <c:ext xmlns:c16="http://schemas.microsoft.com/office/drawing/2014/chart" uri="{C3380CC4-5D6E-409C-BE32-E72D297353CC}">
              <c16:uniqueId val="{00000001-83BD-4AED-99BE-BA4A01C5D2A1}"/>
            </c:ext>
          </c:extLst>
        </c:ser>
        <c:dLbls>
          <c:dLblPos val="outEnd"/>
          <c:showLegendKey val="0"/>
          <c:showVal val="1"/>
          <c:showCatName val="0"/>
          <c:showSerName val="0"/>
          <c:showPercent val="0"/>
          <c:showBubbleSize val="0"/>
        </c:dLbls>
        <c:gapWidth val="219"/>
        <c:overlap val="-27"/>
        <c:axId val="388484160"/>
        <c:axId val="388474592"/>
      </c:barChart>
      <c:catAx>
        <c:axId val="388484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8474592"/>
        <c:crosses val="autoZero"/>
        <c:auto val="1"/>
        <c:lblAlgn val="ctr"/>
        <c:lblOffset val="100"/>
        <c:noMultiLvlLbl val="0"/>
      </c:catAx>
      <c:valAx>
        <c:axId val="38847459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848416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Average</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Sheet1!$A$2:$A$3</c:f>
              <c:strCache>
                <c:ptCount val="2"/>
                <c:pt idx="0">
                  <c:v>Mentolabial Sulcus Father</c:v>
                </c:pt>
                <c:pt idx="1">
                  <c:v>Mentolabial Sulcus  Mother</c:v>
                </c:pt>
              </c:strCache>
            </c:strRef>
          </c:cat>
          <c:val>
            <c:numRef>
              <c:f>Sheet1!$B$2:$B$3</c:f>
              <c:numCache>
                <c:formatCode>General</c:formatCode>
                <c:ptCount val="2"/>
                <c:pt idx="0">
                  <c:v>86</c:v>
                </c:pt>
                <c:pt idx="1">
                  <c:v>83</c:v>
                </c:pt>
              </c:numCache>
            </c:numRef>
          </c:val>
          <c:extLst>
            <c:ext xmlns:c16="http://schemas.microsoft.com/office/drawing/2014/chart" uri="{C3380CC4-5D6E-409C-BE32-E72D297353CC}">
              <c16:uniqueId val="{00000000-A6E0-4997-83C2-EF7D14D50BC5}"/>
            </c:ext>
          </c:extLst>
        </c:ser>
        <c:ser>
          <c:idx val="1"/>
          <c:order val="1"/>
          <c:tx>
            <c:strRef>
              <c:f>Sheet1!$C$1</c:f>
              <c:strCache>
                <c:ptCount val="1"/>
                <c:pt idx="0">
                  <c:v>Deep</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Sheet1!$A$2:$A$3</c:f>
              <c:strCache>
                <c:ptCount val="2"/>
                <c:pt idx="0">
                  <c:v>Mentolabial Sulcus Father</c:v>
                </c:pt>
                <c:pt idx="1">
                  <c:v>Mentolabial Sulcus  Mother</c:v>
                </c:pt>
              </c:strCache>
            </c:strRef>
          </c:cat>
          <c:val>
            <c:numRef>
              <c:f>Sheet1!$C$2:$C$3</c:f>
              <c:numCache>
                <c:formatCode>General</c:formatCode>
                <c:ptCount val="2"/>
                <c:pt idx="0">
                  <c:v>26</c:v>
                </c:pt>
                <c:pt idx="1">
                  <c:v>25</c:v>
                </c:pt>
              </c:numCache>
            </c:numRef>
          </c:val>
          <c:extLst>
            <c:ext xmlns:c16="http://schemas.microsoft.com/office/drawing/2014/chart" uri="{C3380CC4-5D6E-409C-BE32-E72D297353CC}">
              <c16:uniqueId val="{00000001-A6E0-4997-83C2-EF7D14D50BC5}"/>
            </c:ext>
          </c:extLst>
        </c:ser>
        <c:ser>
          <c:idx val="2"/>
          <c:order val="2"/>
          <c:tx>
            <c:strRef>
              <c:f>Sheet1!$D$1</c:f>
              <c:strCache>
                <c:ptCount val="1"/>
                <c:pt idx="0">
                  <c:v>Shallow</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Sheet1!$A$2:$A$3</c:f>
              <c:strCache>
                <c:ptCount val="2"/>
                <c:pt idx="0">
                  <c:v>Mentolabial Sulcus Father</c:v>
                </c:pt>
                <c:pt idx="1">
                  <c:v>Mentolabial Sulcus  Mother</c:v>
                </c:pt>
              </c:strCache>
            </c:strRef>
          </c:cat>
          <c:val>
            <c:numRef>
              <c:f>Sheet1!$D$2:$D$3</c:f>
              <c:numCache>
                <c:formatCode>General</c:formatCode>
                <c:ptCount val="2"/>
                <c:pt idx="0">
                  <c:v>38</c:v>
                </c:pt>
                <c:pt idx="1">
                  <c:v>42</c:v>
                </c:pt>
              </c:numCache>
            </c:numRef>
          </c:val>
          <c:extLst>
            <c:ext xmlns:c16="http://schemas.microsoft.com/office/drawing/2014/chart" uri="{C3380CC4-5D6E-409C-BE32-E72D297353CC}">
              <c16:uniqueId val="{00000002-A6E0-4997-83C2-EF7D14D50BC5}"/>
            </c:ext>
          </c:extLst>
        </c:ser>
        <c:dLbls>
          <c:showLegendKey val="0"/>
          <c:showVal val="1"/>
          <c:showCatName val="0"/>
          <c:showSerName val="0"/>
          <c:showPercent val="0"/>
          <c:showBubbleSize val="0"/>
        </c:dLbls>
        <c:gapWidth val="75"/>
        <c:axId val="388484160"/>
        <c:axId val="388474592"/>
      </c:barChart>
      <c:catAx>
        <c:axId val="388484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388474592"/>
        <c:crosses val="autoZero"/>
        <c:auto val="1"/>
        <c:lblAlgn val="ctr"/>
        <c:lblOffset val="100"/>
        <c:noMultiLvlLbl val="0"/>
      </c:catAx>
      <c:valAx>
        <c:axId val="388474592"/>
        <c:scaling>
          <c:orientation val="minMax"/>
        </c:scaling>
        <c:delete val="0"/>
        <c:axPos val="l"/>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84841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Average</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Sheet1!$A$2:$A$3</c:f>
              <c:strCache>
                <c:ptCount val="2"/>
                <c:pt idx="0">
                  <c:v>Mentolabial Sulcus 1st child</c:v>
                </c:pt>
                <c:pt idx="1">
                  <c:v>Mentolabial Sulcus  2nd child</c:v>
                </c:pt>
              </c:strCache>
            </c:strRef>
          </c:cat>
          <c:val>
            <c:numRef>
              <c:f>Sheet1!$B$2:$B$3</c:f>
              <c:numCache>
                <c:formatCode>General</c:formatCode>
                <c:ptCount val="2"/>
                <c:pt idx="0">
                  <c:v>83</c:v>
                </c:pt>
                <c:pt idx="1">
                  <c:v>81</c:v>
                </c:pt>
              </c:numCache>
            </c:numRef>
          </c:val>
          <c:extLst>
            <c:ext xmlns:c16="http://schemas.microsoft.com/office/drawing/2014/chart" uri="{C3380CC4-5D6E-409C-BE32-E72D297353CC}">
              <c16:uniqueId val="{00000000-A7D6-430C-BEFB-8E4884EDD68D}"/>
            </c:ext>
          </c:extLst>
        </c:ser>
        <c:ser>
          <c:idx val="1"/>
          <c:order val="1"/>
          <c:tx>
            <c:strRef>
              <c:f>Sheet1!$C$1</c:f>
              <c:strCache>
                <c:ptCount val="1"/>
                <c:pt idx="0">
                  <c:v>Deep</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Sheet1!$A$2:$A$3</c:f>
              <c:strCache>
                <c:ptCount val="2"/>
                <c:pt idx="0">
                  <c:v>Mentolabial Sulcus 1st child</c:v>
                </c:pt>
                <c:pt idx="1">
                  <c:v>Mentolabial Sulcus  2nd child</c:v>
                </c:pt>
              </c:strCache>
            </c:strRef>
          </c:cat>
          <c:val>
            <c:numRef>
              <c:f>Sheet1!$C$2:$C$3</c:f>
              <c:numCache>
                <c:formatCode>General</c:formatCode>
                <c:ptCount val="2"/>
                <c:pt idx="0">
                  <c:v>23</c:v>
                </c:pt>
                <c:pt idx="1">
                  <c:v>18</c:v>
                </c:pt>
              </c:numCache>
            </c:numRef>
          </c:val>
          <c:extLst>
            <c:ext xmlns:c16="http://schemas.microsoft.com/office/drawing/2014/chart" uri="{C3380CC4-5D6E-409C-BE32-E72D297353CC}">
              <c16:uniqueId val="{00000001-A7D6-430C-BEFB-8E4884EDD68D}"/>
            </c:ext>
          </c:extLst>
        </c:ser>
        <c:ser>
          <c:idx val="2"/>
          <c:order val="2"/>
          <c:tx>
            <c:strRef>
              <c:f>Sheet1!$D$1</c:f>
              <c:strCache>
                <c:ptCount val="1"/>
                <c:pt idx="0">
                  <c:v>Shallow</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Sheet1!$A$2:$A$3</c:f>
              <c:strCache>
                <c:ptCount val="2"/>
                <c:pt idx="0">
                  <c:v>Mentolabial Sulcus 1st child</c:v>
                </c:pt>
                <c:pt idx="1">
                  <c:v>Mentolabial Sulcus  2nd child</c:v>
                </c:pt>
              </c:strCache>
            </c:strRef>
          </c:cat>
          <c:val>
            <c:numRef>
              <c:f>Sheet1!$D$2:$D$3</c:f>
              <c:numCache>
                <c:formatCode>General</c:formatCode>
                <c:ptCount val="2"/>
                <c:pt idx="0">
                  <c:v>44</c:v>
                </c:pt>
                <c:pt idx="1">
                  <c:v>51</c:v>
                </c:pt>
              </c:numCache>
            </c:numRef>
          </c:val>
          <c:extLst>
            <c:ext xmlns:c16="http://schemas.microsoft.com/office/drawing/2014/chart" uri="{C3380CC4-5D6E-409C-BE32-E72D297353CC}">
              <c16:uniqueId val="{00000002-A7D6-430C-BEFB-8E4884EDD68D}"/>
            </c:ext>
          </c:extLst>
        </c:ser>
        <c:dLbls>
          <c:showLegendKey val="0"/>
          <c:showVal val="1"/>
          <c:showCatName val="0"/>
          <c:showSerName val="0"/>
          <c:showPercent val="0"/>
          <c:showBubbleSize val="0"/>
        </c:dLbls>
        <c:gapWidth val="75"/>
        <c:axId val="388484160"/>
        <c:axId val="388474592"/>
      </c:barChart>
      <c:catAx>
        <c:axId val="388484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388474592"/>
        <c:crosses val="autoZero"/>
        <c:auto val="1"/>
        <c:lblAlgn val="ctr"/>
        <c:lblOffset val="100"/>
        <c:noMultiLvlLbl val="0"/>
      </c:catAx>
      <c:valAx>
        <c:axId val="388474592"/>
        <c:scaling>
          <c:orientation val="minMax"/>
        </c:scaling>
        <c:delete val="0"/>
        <c:axPos val="l"/>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84841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Deep</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 Father</c:v>
                </c:pt>
                <c:pt idx="1">
                  <c:v>  Mother</c:v>
                </c:pt>
              </c:strCache>
            </c:strRef>
          </c:cat>
          <c:val>
            <c:numRef>
              <c:f>Sheet1!$B$2:$B$3</c:f>
              <c:numCache>
                <c:formatCode>General</c:formatCode>
                <c:ptCount val="2"/>
                <c:pt idx="0">
                  <c:v>63</c:v>
                </c:pt>
                <c:pt idx="1">
                  <c:v>56</c:v>
                </c:pt>
              </c:numCache>
            </c:numRef>
          </c:val>
          <c:extLst>
            <c:ext xmlns:c16="http://schemas.microsoft.com/office/drawing/2014/chart" uri="{C3380CC4-5D6E-409C-BE32-E72D297353CC}">
              <c16:uniqueId val="{00000000-A3B3-41B1-BD31-0005F26ECF4C}"/>
            </c:ext>
          </c:extLst>
        </c:ser>
        <c:ser>
          <c:idx val="1"/>
          <c:order val="1"/>
          <c:tx>
            <c:strRef>
              <c:f>Sheet1!$C$1</c:f>
              <c:strCache>
                <c:ptCount val="1"/>
                <c:pt idx="0">
                  <c:v>Shallow</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 Father</c:v>
                </c:pt>
                <c:pt idx="1">
                  <c:v>  Mother</c:v>
                </c:pt>
              </c:strCache>
            </c:strRef>
          </c:cat>
          <c:val>
            <c:numRef>
              <c:f>Sheet1!$C$2:$C$3</c:f>
              <c:numCache>
                <c:formatCode>General</c:formatCode>
                <c:ptCount val="2"/>
                <c:pt idx="0">
                  <c:v>87</c:v>
                </c:pt>
                <c:pt idx="1">
                  <c:v>94</c:v>
                </c:pt>
              </c:numCache>
            </c:numRef>
          </c:val>
          <c:extLst>
            <c:ext xmlns:c16="http://schemas.microsoft.com/office/drawing/2014/chart" uri="{C3380CC4-5D6E-409C-BE32-E72D297353CC}">
              <c16:uniqueId val="{00000001-A3B3-41B1-BD31-0005F26ECF4C}"/>
            </c:ext>
          </c:extLst>
        </c:ser>
        <c:dLbls>
          <c:showLegendKey val="0"/>
          <c:showVal val="1"/>
          <c:showCatName val="0"/>
          <c:showSerName val="0"/>
          <c:showPercent val="0"/>
          <c:showBubbleSize val="0"/>
        </c:dLbls>
        <c:gapWidth val="219"/>
        <c:overlap val="-27"/>
        <c:axId val="388484160"/>
        <c:axId val="388474592"/>
      </c:barChart>
      <c:catAx>
        <c:axId val="388484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8474592"/>
        <c:crosses val="autoZero"/>
        <c:auto val="1"/>
        <c:lblAlgn val="ctr"/>
        <c:lblOffset val="100"/>
        <c:noMultiLvlLbl val="0"/>
      </c:catAx>
      <c:valAx>
        <c:axId val="38847459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84841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Deep</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Sheet1!$A$2:$A$3</c:f>
              <c:strCache>
                <c:ptCount val="2"/>
                <c:pt idx="0">
                  <c:v> 1st child</c:v>
                </c:pt>
                <c:pt idx="1">
                  <c:v> 2nd child</c:v>
                </c:pt>
              </c:strCache>
            </c:strRef>
          </c:cat>
          <c:val>
            <c:numRef>
              <c:f>Sheet1!$B$2:$B$3</c:f>
              <c:numCache>
                <c:formatCode>General</c:formatCode>
                <c:ptCount val="2"/>
                <c:pt idx="0">
                  <c:v>61</c:v>
                </c:pt>
                <c:pt idx="1">
                  <c:v>67</c:v>
                </c:pt>
              </c:numCache>
            </c:numRef>
          </c:val>
          <c:extLst>
            <c:ext xmlns:c16="http://schemas.microsoft.com/office/drawing/2014/chart" uri="{C3380CC4-5D6E-409C-BE32-E72D297353CC}">
              <c16:uniqueId val="{00000000-66A3-46EF-9664-612DBE23402A}"/>
            </c:ext>
          </c:extLst>
        </c:ser>
        <c:ser>
          <c:idx val="1"/>
          <c:order val="1"/>
          <c:tx>
            <c:strRef>
              <c:f>Sheet1!$C$1</c:f>
              <c:strCache>
                <c:ptCount val="1"/>
                <c:pt idx="0">
                  <c:v>Shallow</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Sheet1!$A$2:$A$3</c:f>
              <c:strCache>
                <c:ptCount val="2"/>
                <c:pt idx="0">
                  <c:v> 1st child</c:v>
                </c:pt>
                <c:pt idx="1">
                  <c:v> 2nd child</c:v>
                </c:pt>
              </c:strCache>
            </c:strRef>
          </c:cat>
          <c:val>
            <c:numRef>
              <c:f>Sheet1!$C$2:$C$3</c:f>
              <c:numCache>
                <c:formatCode>General</c:formatCode>
                <c:ptCount val="2"/>
                <c:pt idx="0">
                  <c:v>89</c:v>
                </c:pt>
                <c:pt idx="1">
                  <c:v>83</c:v>
                </c:pt>
              </c:numCache>
            </c:numRef>
          </c:val>
          <c:extLst>
            <c:ext xmlns:c16="http://schemas.microsoft.com/office/drawing/2014/chart" uri="{C3380CC4-5D6E-409C-BE32-E72D297353CC}">
              <c16:uniqueId val="{00000001-66A3-46EF-9664-612DBE23402A}"/>
            </c:ext>
          </c:extLst>
        </c:ser>
        <c:dLbls>
          <c:showLegendKey val="0"/>
          <c:showVal val="1"/>
          <c:showCatName val="0"/>
          <c:showSerName val="0"/>
          <c:showPercent val="0"/>
          <c:showBubbleSize val="0"/>
        </c:dLbls>
        <c:gapWidth val="100"/>
        <c:overlap val="-24"/>
        <c:axId val="388484160"/>
        <c:axId val="388474592"/>
      </c:barChart>
      <c:catAx>
        <c:axId val="38848416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88474592"/>
        <c:crosses val="autoZero"/>
        <c:auto val="1"/>
        <c:lblAlgn val="ctr"/>
        <c:lblOffset val="100"/>
        <c:noMultiLvlLbl val="0"/>
      </c:catAx>
      <c:valAx>
        <c:axId val="38847459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884841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Present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 Father</c:v>
                </c:pt>
                <c:pt idx="1">
                  <c:v>  Mother</c:v>
                </c:pt>
              </c:strCache>
            </c:strRef>
          </c:cat>
          <c:val>
            <c:numRef>
              <c:f>Sheet1!$B$2:$B$3</c:f>
              <c:numCache>
                <c:formatCode>General</c:formatCode>
                <c:ptCount val="2"/>
                <c:pt idx="0">
                  <c:v>33</c:v>
                </c:pt>
                <c:pt idx="1">
                  <c:v>43</c:v>
                </c:pt>
              </c:numCache>
            </c:numRef>
          </c:val>
          <c:extLst>
            <c:ext xmlns:c16="http://schemas.microsoft.com/office/drawing/2014/chart" uri="{C3380CC4-5D6E-409C-BE32-E72D297353CC}">
              <c16:uniqueId val="{00000000-219C-49B3-A29E-E1F8CA107122}"/>
            </c:ext>
          </c:extLst>
        </c:ser>
        <c:ser>
          <c:idx val="1"/>
          <c:order val="1"/>
          <c:tx>
            <c:strRef>
              <c:f>Sheet1!$C$1</c:f>
              <c:strCache>
                <c:ptCount val="1"/>
                <c:pt idx="0">
                  <c:v>Absent</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 Father</c:v>
                </c:pt>
                <c:pt idx="1">
                  <c:v>  Mother</c:v>
                </c:pt>
              </c:strCache>
            </c:strRef>
          </c:cat>
          <c:val>
            <c:numRef>
              <c:f>Sheet1!$C$2:$C$3</c:f>
              <c:numCache>
                <c:formatCode>General</c:formatCode>
                <c:ptCount val="2"/>
                <c:pt idx="0">
                  <c:v>117</c:v>
                </c:pt>
                <c:pt idx="1">
                  <c:v>107</c:v>
                </c:pt>
              </c:numCache>
            </c:numRef>
          </c:val>
          <c:extLst>
            <c:ext xmlns:c16="http://schemas.microsoft.com/office/drawing/2014/chart" uri="{C3380CC4-5D6E-409C-BE32-E72D297353CC}">
              <c16:uniqueId val="{00000001-219C-49B3-A29E-E1F8CA107122}"/>
            </c:ext>
          </c:extLst>
        </c:ser>
        <c:dLbls>
          <c:showLegendKey val="0"/>
          <c:showVal val="1"/>
          <c:showCatName val="0"/>
          <c:showSerName val="0"/>
          <c:showPercent val="0"/>
          <c:showBubbleSize val="0"/>
        </c:dLbls>
        <c:gapWidth val="219"/>
        <c:overlap val="-27"/>
        <c:axId val="388484160"/>
        <c:axId val="388474592"/>
      </c:barChart>
      <c:catAx>
        <c:axId val="388484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8474592"/>
        <c:crosses val="autoZero"/>
        <c:auto val="1"/>
        <c:lblAlgn val="ctr"/>
        <c:lblOffset val="100"/>
        <c:noMultiLvlLbl val="0"/>
      </c:catAx>
      <c:valAx>
        <c:axId val="38847459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84841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Present</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Sheet1!$A$2:$A$3</c:f>
              <c:strCache>
                <c:ptCount val="2"/>
                <c:pt idx="0">
                  <c:v> 1st child</c:v>
                </c:pt>
                <c:pt idx="1">
                  <c:v> 2nd child</c:v>
                </c:pt>
              </c:strCache>
            </c:strRef>
          </c:cat>
          <c:val>
            <c:numRef>
              <c:f>Sheet1!$B$2:$B$3</c:f>
              <c:numCache>
                <c:formatCode>General</c:formatCode>
                <c:ptCount val="2"/>
                <c:pt idx="0">
                  <c:v>38</c:v>
                </c:pt>
                <c:pt idx="1">
                  <c:v>46</c:v>
                </c:pt>
              </c:numCache>
            </c:numRef>
          </c:val>
          <c:extLst>
            <c:ext xmlns:c16="http://schemas.microsoft.com/office/drawing/2014/chart" uri="{C3380CC4-5D6E-409C-BE32-E72D297353CC}">
              <c16:uniqueId val="{00000000-967E-4135-9DF4-4348A9CFCEFA}"/>
            </c:ext>
          </c:extLst>
        </c:ser>
        <c:ser>
          <c:idx val="1"/>
          <c:order val="1"/>
          <c:tx>
            <c:strRef>
              <c:f>Sheet1!$C$1</c:f>
              <c:strCache>
                <c:ptCount val="1"/>
                <c:pt idx="0">
                  <c:v>Absent</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Sheet1!$A$2:$A$3</c:f>
              <c:strCache>
                <c:ptCount val="2"/>
                <c:pt idx="0">
                  <c:v> 1st child</c:v>
                </c:pt>
                <c:pt idx="1">
                  <c:v> 2nd child</c:v>
                </c:pt>
              </c:strCache>
            </c:strRef>
          </c:cat>
          <c:val>
            <c:numRef>
              <c:f>Sheet1!$C$2:$C$3</c:f>
              <c:numCache>
                <c:formatCode>General</c:formatCode>
                <c:ptCount val="2"/>
                <c:pt idx="0">
                  <c:v>112</c:v>
                </c:pt>
                <c:pt idx="1">
                  <c:v>104</c:v>
                </c:pt>
              </c:numCache>
            </c:numRef>
          </c:val>
          <c:extLst>
            <c:ext xmlns:c16="http://schemas.microsoft.com/office/drawing/2014/chart" uri="{C3380CC4-5D6E-409C-BE32-E72D297353CC}">
              <c16:uniqueId val="{00000001-967E-4135-9DF4-4348A9CFCEFA}"/>
            </c:ext>
          </c:extLst>
        </c:ser>
        <c:dLbls>
          <c:showLegendKey val="0"/>
          <c:showVal val="1"/>
          <c:showCatName val="0"/>
          <c:showSerName val="0"/>
          <c:showPercent val="0"/>
          <c:showBubbleSize val="0"/>
        </c:dLbls>
        <c:gapWidth val="100"/>
        <c:overlap val="-24"/>
        <c:axId val="388484160"/>
        <c:axId val="388474592"/>
      </c:barChart>
      <c:catAx>
        <c:axId val="38848416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88474592"/>
        <c:crosses val="autoZero"/>
        <c:auto val="1"/>
        <c:lblAlgn val="ctr"/>
        <c:lblOffset val="100"/>
        <c:noMultiLvlLbl val="0"/>
      </c:catAx>
      <c:valAx>
        <c:axId val="38847459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884841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462</TotalTime>
  <Pages>22</Pages>
  <Words>4770</Words>
  <Characters>27189</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EDAFE DANIEL</dc:creator>
  <cp:keywords/>
  <dc:description/>
  <cp:lastModifiedBy>Editor Acc 101</cp:lastModifiedBy>
  <cp:revision>38</cp:revision>
  <dcterms:created xsi:type="dcterms:W3CDTF">2026-03-08T07:24:00Z</dcterms:created>
  <dcterms:modified xsi:type="dcterms:W3CDTF">2026-04-28T02:51:00Z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6e4b12c2-f7b6-4f24-afa9-fcdea477b334</vt:lpwstr>
  </property>
</Properties>
</file>