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80202" w14:textId="77777777" w:rsidR="002B1701" w:rsidRPr="0098195F" w:rsidRDefault="002B1701" w:rsidP="002B1701">
      <w:pPr>
        <w:spacing w:after="0"/>
        <w:rPr>
          <w:rFonts w:ascii="Times New Roman" w:hAnsi="Times New Roman" w:cs="Times New Roman"/>
          <w:b/>
          <w:bCs/>
        </w:rPr>
      </w:pPr>
      <w:r w:rsidRPr="0098195F">
        <w:rPr>
          <w:rFonts w:ascii="Times New Roman" w:hAnsi="Times New Roman" w:cs="Times New Roman"/>
          <w:b/>
          <w:bCs/>
        </w:rPr>
        <w:t xml:space="preserve">Post-operative Brachial Plexopathy </w:t>
      </w:r>
      <w:r w:rsidRPr="0044204D">
        <w:rPr>
          <w:rFonts w:ascii="Times New Roman" w:hAnsi="Times New Roman" w:cs="Times New Roman"/>
          <w:b/>
          <w:bCs/>
        </w:rPr>
        <w:t>Following Spindle Cell Carcinoma Excision of the Shoulder</w:t>
      </w:r>
      <w:r w:rsidRPr="0098195F">
        <w:rPr>
          <w:rFonts w:ascii="Times New Roman" w:hAnsi="Times New Roman" w:cs="Times New Roman"/>
          <w:b/>
          <w:bCs/>
        </w:rPr>
        <w:t xml:space="preserve">: A </w:t>
      </w:r>
      <w:r w:rsidRPr="001C6B23">
        <w:rPr>
          <w:rFonts w:ascii="Times New Roman" w:hAnsi="Times New Roman" w:cs="Times New Roman"/>
          <w:b/>
          <w:bCs/>
        </w:rPr>
        <w:t>Diagnostic Challenge in a Resource-Limited Settin</w:t>
      </w:r>
      <w:r>
        <w:rPr>
          <w:rFonts w:ascii="Times New Roman" w:hAnsi="Times New Roman" w:cs="Times New Roman"/>
          <w:b/>
          <w:bCs/>
        </w:rPr>
        <w:t>g</w:t>
      </w:r>
    </w:p>
    <w:p w14:paraId="5961DEFE" w14:textId="77777777" w:rsidR="002B1701" w:rsidRPr="0098195F" w:rsidRDefault="002B1701" w:rsidP="002B1701">
      <w:pPr>
        <w:spacing w:before="240" w:after="0"/>
        <w:rPr>
          <w:rFonts w:ascii="Times New Roman" w:hAnsi="Times New Roman" w:cs="Times New Roman"/>
          <w:b/>
          <w:bCs/>
        </w:rPr>
      </w:pPr>
      <w:r w:rsidRPr="0098195F">
        <w:rPr>
          <w:rFonts w:ascii="Times New Roman" w:hAnsi="Times New Roman" w:cs="Times New Roman"/>
          <w:b/>
          <w:bCs/>
        </w:rPr>
        <w:t xml:space="preserve">Abstract </w:t>
      </w:r>
    </w:p>
    <w:p w14:paraId="1AB48F11" w14:textId="77777777" w:rsidR="002B1701" w:rsidRPr="00D767D3" w:rsidRDefault="002B1701" w:rsidP="002B1701">
      <w:pPr>
        <w:rPr>
          <w:rFonts w:ascii="Times New Roman" w:hAnsi="Times New Roman" w:cs="Times New Roman"/>
        </w:rPr>
      </w:pPr>
      <w:r w:rsidRPr="11783687">
        <w:rPr>
          <w:rFonts w:ascii="Times New Roman" w:hAnsi="Times New Roman" w:cs="Times New Roman"/>
        </w:rPr>
        <w:t>Spindle cell carcinoma is a rare, aggressive biphasic variant of squamous cell carcinoma with exceptionally low incidence in the shoulder region. We describe a 25-year-old male who developed isolated left upper limb weakness and complete sensory loss immediately after surgical excision of a histologically confirmed left shoulder spindle cell carcinoma. Symptoms progressed over the next 20 days. Clinical examination showed flaccid paralysis with absent sensation (touch, pain, temperature, vibration) in the entire left upper limb (C5–T1), consistent with brachial plexopathy. No MRI of the brachial plexus, electromyography, or repeat biopsy was available due to resource constraints. Laboratory findings revealed only mild anaemia; viral serology was negative. The patient was managed conservatively with analgesics, intravenous fluids, and physiotherapy. He was discharged stable on day 3 with outpatient oncology and neurology follow-up. This case illustrates the diagnostic dilemma of distinguishing iatrogenic intra-operative nerve injury from possible tumour recurrence or infiltration in the immediate post-operative period, particularly when advanced imaging is unavailable. It emphasises the need for pre- and post-operative neurological assessment and multidisciplinary care in resource-limited settings.</w:t>
      </w:r>
    </w:p>
    <w:p w14:paraId="1BE13C05" w14:textId="77777777" w:rsidR="002B1701" w:rsidRPr="00D767D3" w:rsidRDefault="002B1701" w:rsidP="002B1701">
      <w:pPr>
        <w:rPr>
          <w:rFonts w:ascii="Times New Roman" w:hAnsi="Times New Roman" w:cs="Times New Roman"/>
        </w:rPr>
      </w:pPr>
      <w:r w:rsidRPr="00D767D3">
        <w:rPr>
          <w:rFonts w:ascii="Times New Roman" w:hAnsi="Times New Roman" w:cs="Times New Roman"/>
          <w:b/>
          <w:bCs/>
        </w:rPr>
        <w:t>Keywords:</w:t>
      </w:r>
      <w:r w:rsidRPr="00D767D3">
        <w:rPr>
          <w:rFonts w:ascii="Times New Roman" w:hAnsi="Times New Roman" w:cs="Times New Roman"/>
        </w:rPr>
        <w:t xml:space="preserve"> </w:t>
      </w:r>
      <w:proofErr w:type="spellStart"/>
      <w:r w:rsidRPr="00D767D3">
        <w:rPr>
          <w:rFonts w:ascii="Times New Roman" w:hAnsi="Times New Roman" w:cs="Times New Roman"/>
        </w:rPr>
        <w:t>Sarcomatoid</w:t>
      </w:r>
      <w:proofErr w:type="spellEnd"/>
      <w:r w:rsidRPr="00D767D3">
        <w:rPr>
          <w:rFonts w:ascii="Times New Roman" w:hAnsi="Times New Roman" w:cs="Times New Roman"/>
        </w:rPr>
        <w:t xml:space="preserve"> carcinoma; Postoperative neurological complication; Iatrogenic brachial plexopathy; Shoulder malignancy; Differential diagnosis; Resource-limited setting</w:t>
      </w:r>
    </w:p>
    <w:p w14:paraId="2AC8522D" w14:textId="77777777" w:rsidR="002B1701" w:rsidRDefault="002B1701" w:rsidP="002B1701">
      <w:pPr>
        <w:spacing w:after="0"/>
        <w:rPr>
          <w:rFonts w:ascii="Times New Roman" w:hAnsi="Times New Roman" w:cs="Times New Roman"/>
        </w:rPr>
      </w:pPr>
      <w:r w:rsidRPr="00D767D3">
        <w:rPr>
          <w:rFonts w:ascii="Times New Roman" w:hAnsi="Times New Roman" w:cs="Times New Roman"/>
          <w:b/>
          <w:bCs/>
        </w:rPr>
        <w:t>Introduction</w:t>
      </w:r>
      <w:r w:rsidRPr="00D767D3">
        <w:rPr>
          <w:rFonts w:ascii="Times New Roman" w:hAnsi="Times New Roman" w:cs="Times New Roman"/>
        </w:rPr>
        <w:t xml:space="preserve"> </w:t>
      </w:r>
    </w:p>
    <w:p w14:paraId="62055153" w14:textId="77777777" w:rsidR="002B1701" w:rsidRPr="00B23C48" w:rsidRDefault="002B1701" w:rsidP="002B1701">
      <w:pPr>
        <w:spacing w:after="0"/>
        <w:rPr>
          <w:rFonts w:ascii="Times New Roman" w:hAnsi="Times New Roman" w:cs="Times New Roman"/>
        </w:rPr>
      </w:pPr>
      <w:r w:rsidRPr="00B23C48">
        <w:rPr>
          <w:rFonts w:ascii="Times New Roman" w:hAnsi="Times New Roman" w:cs="Times New Roman"/>
        </w:rPr>
        <w:t xml:space="preserve">Spindle cell carcinoma (also known as </w:t>
      </w:r>
      <w:proofErr w:type="spellStart"/>
      <w:r w:rsidRPr="00B23C48">
        <w:rPr>
          <w:rFonts w:ascii="Times New Roman" w:hAnsi="Times New Roman" w:cs="Times New Roman"/>
        </w:rPr>
        <w:t>sarcomatoid</w:t>
      </w:r>
      <w:proofErr w:type="spellEnd"/>
      <w:r w:rsidRPr="00B23C48">
        <w:rPr>
          <w:rFonts w:ascii="Times New Roman" w:hAnsi="Times New Roman" w:cs="Times New Roman"/>
        </w:rPr>
        <w:t xml:space="preserve"> carcinoma) is a rare, aggressive biphasic malignant tumour characterised by epithelial and mesenchymal components. It most commonly arises in the head and neck, lung, or skin, but primary involvement of the shoulder girdle is exceptionally rare. Brachial plexopathy associated with shoulder malignancies may result from direct tumour infiltration, metastatic spread, radiation injury, or iatrogenic surgical trauma. Post-operative brachial plexopathy can occur due to several aetiologies: (1) direct intraoperative nerve injury (traction, compression, or dissection near the brachial plexus during shoulder resection), (2) residual microscopic tumour infiltration causing progressive neural compression, (3) local recurrence, or (4) inflammatory oedema exacerbating nerve ischaemia. Post-operative brachial plexopathy due to residual or recurrent spindle cell carcinoma has been reported only infrequently. The present case is noteworthy because neurological deficits appeared immediately after apparently curative surgery in a young patient, highlighting the diagnostic challenge of separating surgical injury from possible microscopic residual disease.</w:t>
      </w:r>
    </w:p>
    <w:p w14:paraId="010DDA36" w14:textId="77777777" w:rsidR="002B1701" w:rsidRDefault="002B1701" w:rsidP="002B1701">
      <w:pPr>
        <w:spacing w:before="240" w:after="0"/>
        <w:rPr>
          <w:rFonts w:ascii="Times New Roman" w:hAnsi="Times New Roman" w:cs="Times New Roman"/>
        </w:rPr>
      </w:pPr>
      <w:r w:rsidRPr="00D767D3">
        <w:rPr>
          <w:rFonts w:ascii="Times New Roman" w:hAnsi="Times New Roman" w:cs="Times New Roman"/>
          <w:b/>
          <w:bCs/>
        </w:rPr>
        <w:t>Case Presentation</w:t>
      </w:r>
      <w:r w:rsidRPr="00D767D3">
        <w:rPr>
          <w:rFonts w:ascii="Times New Roman" w:hAnsi="Times New Roman" w:cs="Times New Roman"/>
        </w:rPr>
        <w:t xml:space="preserve"> </w:t>
      </w:r>
    </w:p>
    <w:p w14:paraId="0B79032A" w14:textId="77777777" w:rsidR="002B1701" w:rsidRDefault="002B1701" w:rsidP="002B1701">
      <w:pPr>
        <w:spacing w:after="0"/>
        <w:rPr>
          <w:rFonts w:ascii="Times New Roman" w:hAnsi="Times New Roman" w:cs="Times New Roman"/>
        </w:rPr>
      </w:pPr>
      <w:r w:rsidRPr="00790F67">
        <w:rPr>
          <w:rFonts w:ascii="Times New Roman" w:hAnsi="Times New Roman" w:cs="Times New Roman"/>
        </w:rPr>
        <w:t>A 25-year-old male from Telangana, India, presented to the Neurology outpatient department of Chalmeda Anand Rao Institute of Medical Sciences on 13 November 2025 with progressive weakness and complete sensory loss in the left upper limb for 20 days. Two years earlier he had noticed a swelling over the left shoulder. It was diagnosed as spindle cell carcinoma at an outside hospital (histopathology confirmed) and he underwent surgical excision on 20 October 2025. The operative details, including extent of surgical resection, intraoperative margin assessment, proximity of dissection to the brachial plexus, type of anaesthesia (general versus regional interscalene block), and post-operative surgical notes, were not retrievable as the procedure was performed at an outside institution and records were unavailable at the time of presentation. This represents a recognised limitation of the case. However, the temporal relationship between surgery and neurological deficits, the progressive rather than static clinical course, and the anatomical correlation with the primary tumour site collectively provide sufficient clinical basis for the diagnosis and differential analysis presented. Immediately after surgery the patient noticed left upper limb weakness and sensory loss that progressively worsened despite no history of fever, trauma, radiotherapy, chemotherapy, or other neurological illness. He had no comorbidities but was a chronic smoker and gutkha user for six years. Family history was unremarkable.</w:t>
      </w:r>
    </w:p>
    <w:p w14:paraId="3C7B28EB" w14:textId="77777777" w:rsidR="002B1701" w:rsidRPr="001736E3" w:rsidRDefault="002B1701" w:rsidP="002B1701">
      <w:pPr>
        <w:spacing w:before="240" w:after="0"/>
        <w:rPr>
          <w:rFonts w:ascii="Times New Roman" w:hAnsi="Times New Roman" w:cs="Times New Roman"/>
        </w:rPr>
      </w:pPr>
      <w:r w:rsidRPr="001736E3">
        <w:rPr>
          <w:rFonts w:ascii="Times New Roman" w:hAnsi="Times New Roman" w:cs="Times New Roman"/>
          <w:b/>
          <w:bCs/>
        </w:rPr>
        <w:t>Day-wise clinical course during admission:</w:t>
      </w:r>
    </w:p>
    <w:p w14:paraId="5BDD895D" w14:textId="77777777" w:rsidR="002B1701" w:rsidRPr="001736E3" w:rsidRDefault="002B1701" w:rsidP="002B1701">
      <w:pPr>
        <w:numPr>
          <w:ilvl w:val="0"/>
          <w:numId w:val="4"/>
        </w:numPr>
        <w:spacing w:after="0"/>
        <w:rPr>
          <w:rFonts w:ascii="Times New Roman" w:hAnsi="Times New Roman" w:cs="Times New Roman"/>
        </w:rPr>
      </w:pPr>
      <w:r w:rsidRPr="7F2B7081">
        <w:rPr>
          <w:rFonts w:ascii="Times New Roman" w:hAnsi="Times New Roman" w:cs="Times New Roman"/>
          <w:b/>
          <w:bCs/>
        </w:rPr>
        <w:t>Day 1 (13 November 2025 — Admission):</w:t>
      </w:r>
      <w:r w:rsidRPr="7F2B7081">
        <w:rPr>
          <w:rFonts w:ascii="Times New Roman" w:hAnsi="Times New Roman" w:cs="Times New Roman"/>
        </w:rPr>
        <w:t xml:space="preserve"> The patient was conscious, oriented, and haemodynamically stable (pulse 76 bpm, BP 130/80 mmHg) with mild pallor. Neurological examination revealed flaccid left upper limb with power 0/5 at shoulder (abduction/adduction/flexion/extension), 4/5 at elbow and wrist, reduced tone, and 1+ deep tendon reflexes (biceps, triceps, supinator). Complete loss of touch, pain, temperature, and vibration sense was present in C5–T1 dermatomes. Laboratory parameters (Table 1) showed only mild anaemia (Hb 10.9 g/dL); all other values and viral serology were normal. No MRI of the brachial plexus or repeat biopsy was available due </w:t>
      </w:r>
      <w:r w:rsidRPr="7F2B7081">
        <w:rPr>
          <w:rFonts w:ascii="Times New Roman" w:hAnsi="Times New Roman" w:cs="Times New Roman"/>
        </w:rPr>
        <w:lastRenderedPageBreak/>
        <w:t>to resource limitations. The progressive worsening 20 days after surgery, in the anatomical location of the original shoulder tumour, raised strong clinical suspicion of residual microscopic spindle cell carcinoma infiltrating the brachial plexus rather than pure iatrogenic injury. Intravenous fluids, Tablet Paracetamol 650 mg as needed, tablet etoricoxib 90 mg once daily, and supervised physiotherapy were started immediately.</w:t>
      </w:r>
    </w:p>
    <w:p w14:paraId="5CEB899A" w14:textId="77777777" w:rsidR="002B1701" w:rsidRPr="001736E3" w:rsidRDefault="002B1701" w:rsidP="002B1701">
      <w:pPr>
        <w:numPr>
          <w:ilvl w:val="0"/>
          <w:numId w:val="4"/>
        </w:numPr>
        <w:spacing w:after="0"/>
        <w:rPr>
          <w:rFonts w:ascii="Times New Roman" w:hAnsi="Times New Roman" w:cs="Times New Roman"/>
        </w:rPr>
      </w:pPr>
      <w:r w:rsidRPr="001736E3">
        <w:rPr>
          <w:rFonts w:ascii="Times New Roman" w:hAnsi="Times New Roman" w:cs="Times New Roman"/>
          <w:b/>
          <w:bCs/>
        </w:rPr>
        <w:t>Day 2 (14 November 2025):</w:t>
      </w:r>
      <w:r w:rsidRPr="001736E3">
        <w:rPr>
          <w:rFonts w:ascii="Times New Roman" w:hAnsi="Times New Roman" w:cs="Times New Roman"/>
        </w:rPr>
        <w:t xml:space="preserve"> Power remained unchanged (shoulder 0–4/5, elbow/wrist 4/5). Sensory loss was still complete in C5–T1. Mild subjective reduction in pain was noted after analgesia and two sessions of physiotherapy. The lack of spontaneous improvement and persistent flaccid paralysis supported ongoing neural compression or infiltration by residual tumour rather than simple post-surgical oedema, which usually peaks earlier and begins to resolve. Supportive treatment was continued with emphasis on passive range-of-motion exercises to prevent contractures.</w:t>
      </w:r>
    </w:p>
    <w:p w14:paraId="530ACA76" w14:textId="77777777" w:rsidR="002B1701" w:rsidRPr="001736E3" w:rsidRDefault="002B1701" w:rsidP="002B1701">
      <w:pPr>
        <w:numPr>
          <w:ilvl w:val="0"/>
          <w:numId w:val="4"/>
        </w:numPr>
        <w:spacing w:after="0"/>
        <w:rPr>
          <w:rFonts w:ascii="Times New Roman" w:hAnsi="Times New Roman" w:cs="Times New Roman"/>
        </w:rPr>
      </w:pPr>
      <w:r w:rsidRPr="001736E3">
        <w:rPr>
          <w:rFonts w:ascii="Times New Roman" w:hAnsi="Times New Roman" w:cs="Times New Roman"/>
          <w:b/>
          <w:bCs/>
        </w:rPr>
        <w:t>Day 3 (15 November 2025 — Discharge):</w:t>
      </w:r>
      <w:r w:rsidRPr="001736E3">
        <w:rPr>
          <w:rFonts w:ascii="Times New Roman" w:hAnsi="Times New Roman" w:cs="Times New Roman"/>
        </w:rPr>
        <w:t xml:space="preserve"> Neurological findings were stable with no further deterioration. The patient reported mild improvement in pain and better tolerance of physiotherapy. He was discharged in stable condition with advice for continued daily physiotherapy, oral analgesics, and urgent outpatient follow-up with oncology and neurology for possible advanced imaging and re-biopsy when feasible.</w:t>
      </w:r>
    </w:p>
    <w:p w14:paraId="6005F1D3" w14:textId="77777777" w:rsidR="002B1701" w:rsidRPr="00D767D3" w:rsidRDefault="002B1701" w:rsidP="002B1701">
      <w:pPr>
        <w:spacing w:before="240"/>
        <w:rPr>
          <w:rFonts w:ascii="Times New Roman" w:hAnsi="Times New Roman" w:cs="Times New Roman"/>
        </w:rPr>
      </w:pPr>
      <w:r w:rsidRPr="00D767D3">
        <w:rPr>
          <w:rFonts w:ascii="Times New Roman" w:hAnsi="Times New Roman" w:cs="Times New Roman"/>
          <w:b/>
          <w:bCs/>
        </w:rPr>
        <w:t>Table 1: Laboratory parameters on admission</w:t>
      </w:r>
    </w:p>
    <w:tbl>
      <w:tblPr>
        <w:tblW w:w="10783" w:type="dxa"/>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3375"/>
        <w:gridCol w:w="3811"/>
        <w:gridCol w:w="2109"/>
        <w:gridCol w:w="1488"/>
      </w:tblGrid>
      <w:tr w:rsidR="002B1701" w:rsidRPr="00D767D3" w14:paraId="752BFED4" w14:textId="77777777" w:rsidTr="00E27FE4">
        <w:trPr>
          <w:trHeight w:val="713"/>
          <w:tblHeader/>
          <w:tblCellSpacing w:w="15" w:type="dxa"/>
        </w:trPr>
        <w:tc>
          <w:tcPr>
            <w:tcW w:w="3330" w:type="dxa"/>
            <w:vAlign w:val="center"/>
            <w:hideMark/>
          </w:tcPr>
          <w:p w14:paraId="5F1B0723" w14:textId="77777777" w:rsidR="002B1701" w:rsidRPr="00D767D3" w:rsidRDefault="002B1701" w:rsidP="00E27FE4">
            <w:pPr>
              <w:rPr>
                <w:rFonts w:ascii="Times New Roman" w:hAnsi="Times New Roman" w:cs="Times New Roman"/>
                <w:b/>
                <w:bCs/>
              </w:rPr>
            </w:pPr>
            <w:r w:rsidRPr="00D767D3">
              <w:rPr>
                <w:rFonts w:ascii="Times New Roman" w:hAnsi="Times New Roman" w:cs="Times New Roman"/>
                <w:b/>
                <w:bCs/>
              </w:rPr>
              <w:t>Parameter</w:t>
            </w:r>
          </w:p>
        </w:tc>
        <w:tc>
          <w:tcPr>
            <w:tcW w:w="3781" w:type="dxa"/>
            <w:vAlign w:val="center"/>
            <w:hideMark/>
          </w:tcPr>
          <w:p w14:paraId="2AEDC19A" w14:textId="77777777" w:rsidR="002B1701" w:rsidRPr="00D767D3" w:rsidRDefault="002B1701" w:rsidP="00E27FE4">
            <w:pPr>
              <w:rPr>
                <w:rFonts w:ascii="Times New Roman" w:hAnsi="Times New Roman" w:cs="Times New Roman"/>
                <w:b/>
                <w:bCs/>
              </w:rPr>
            </w:pPr>
            <w:r w:rsidRPr="00D767D3">
              <w:rPr>
                <w:rFonts w:ascii="Times New Roman" w:hAnsi="Times New Roman" w:cs="Times New Roman"/>
                <w:b/>
                <w:bCs/>
              </w:rPr>
              <w:t>Result</w:t>
            </w:r>
          </w:p>
        </w:tc>
        <w:tc>
          <w:tcPr>
            <w:tcW w:w="2079" w:type="dxa"/>
            <w:vAlign w:val="center"/>
            <w:hideMark/>
          </w:tcPr>
          <w:p w14:paraId="7E28FC65" w14:textId="77777777" w:rsidR="002B1701" w:rsidRPr="00D767D3" w:rsidRDefault="002B1701" w:rsidP="00E27FE4">
            <w:pPr>
              <w:rPr>
                <w:rFonts w:ascii="Times New Roman" w:hAnsi="Times New Roman" w:cs="Times New Roman"/>
                <w:b/>
                <w:bCs/>
              </w:rPr>
            </w:pPr>
            <w:r w:rsidRPr="00D767D3">
              <w:rPr>
                <w:rFonts w:ascii="Times New Roman" w:hAnsi="Times New Roman" w:cs="Times New Roman"/>
                <w:b/>
                <w:bCs/>
              </w:rPr>
              <w:t>Reference Range</w:t>
            </w:r>
          </w:p>
        </w:tc>
        <w:tc>
          <w:tcPr>
            <w:tcW w:w="1443" w:type="dxa"/>
            <w:vAlign w:val="center"/>
            <w:hideMark/>
          </w:tcPr>
          <w:p w14:paraId="0567AB87" w14:textId="77777777" w:rsidR="002B1701" w:rsidRPr="00D767D3" w:rsidRDefault="002B1701" w:rsidP="00E27FE4">
            <w:pPr>
              <w:rPr>
                <w:rFonts w:ascii="Times New Roman" w:hAnsi="Times New Roman" w:cs="Times New Roman"/>
                <w:b/>
                <w:bCs/>
              </w:rPr>
            </w:pPr>
            <w:r w:rsidRPr="00D767D3">
              <w:rPr>
                <w:rFonts w:ascii="Times New Roman" w:hAnsi="Times New Roman" w:cs="Times New Roman"/>
                <w:b/>
                <w:bCs/>
              </w:rPr>
              <w:t>Remark</w:t>
            </w:r>
          </w:p>
        </w:tc>
      </w:tr>
      <w:tr w:rsidR="002B1701" w:rsidRPr="00D767D3" w14:paraId="3EC58BE1" w14:textId="77777777" w:rsidTr="00E27FE4">
        <w:trPr>
          <w:trHeight w:val="713"/>
          <w:tblCellSpacing w:w="15" w:type="dxa"/>
        </w:trPr>
        <w:tc>
          <w:tcPr>
            <w:tcW w:w="3330" w:type="dxa"/>
            <w:vAlign w:val="center"/>
            <w:hideMark/>
          </w:tcPr>
          <w:p w14:paraId="33DC1256" w14:textId="77777777" w:rsidR="002B1701" w:rsidRPr="00D767D3" w:rsidRDefault="002B1701" w:rsidP="00E27FE4">
            <w:pPr>
              <w:rPr>
                <w:rFonts w:ascii="Times New Roman" w:hAnsi="Times New Roman" w:cs="Times New Roman"/>
              </w:rPr>
            </w:pPr>
            <w:r w:rsidRPr="00D767D3">
              <w:rPr>
                <w:rFonts w:ascii="Times New Roman" w:hAnsi="Times New Roman" w:cs="Times New Roman"/>
              </w:rPr>
              <w:t>Haemoglobin</w:t>
            </w:r>
          </w:p>
        </w:tc>
        <w:tc>
          <w:tcPr>
            <w:tcW w:w="3781" w:type="dxa"/>
            <w:vAlign w:val="center"/>
            <w:hideMark/>
          </w:tcPr>
          <w:p w14:paraId="1CB848E2" w14:textId="77777777" w:rsidR="002B1701" w:rsidRPr="00D767D3" w:rsidRDefault="002B1701" w:rsidP="00E27FE4">
            <w:pPr>
              <w:rPr>
                <w:rFonts w:ascii="Times New Roman" w:hAnsi="Times New Roman" w:cs="Times New Roman"/>
              </w:rPr>
            </w:pPr>
            <w:r w:rsidRPr="00D767D3">
              <w:rPr>
                <w:rFonts w:ascii="Times New Roman" w:hAnsi="Times New Roman" w:cs="Times New Roman"/>
              </w:rPr>
              <w:t>10.9 g/dL</w:t>
            </w:r>
          </w:p>
        </w:tc>
        <w:tc>
          <w:tcPr>
            <w:tcW w:w="2079" w:type="dxa"/>
            <w:vAlign w:val="center"/>
            <w:hideMark/>
          </w:tcPr>
          <w:p w14:paraId="64D0BF32" w14:textId="77777777" w:rsidR="002B1701" w:rsidRPr="00D767D3" w:rsidRDefault="002B1701" w:rsidP="00E27FE4">
            <w:pPr>
              <w:rPr>
                <w:rFonts w:ascii="Times New Roman" w:hAnsi="Times New Roman" w:cs="Times New Roman"/>
              </w:rPr>
            </w:pPr>
            <w:r w:rsidRPr="00D767D3">
              <w:rPr>
                <w:rFonts w:ascii="Times New Roman" w:hAnsi="Times New Roman" w:cs="Times New Roman"/>
              </w:rPr>
              <w:t>13.0–17.0 g/dL</w:t>
            </w:r>
          </w:p>
        </w:tc>
        <w:tc>
          <w:tcPr>
            <w:tcW w:w="1443" w:type="dxa"/>
            <w:vAlign w:val="center"/>
            <w:hideMark/>
          </w:tcPr>
          <w:p w14:paraId="3743CABD" w14:textId="77777777" w:rsidR="002B1701" w:rsidRPr="00D767D3" w:rsidRDefault="002B1701" w:rsidP="00E27FE4">
            <w:pPr>
              <w:rPr>
                <w:rFonts w:ascii="Times New Roman" w:hAnsi="Times New Roman" w:cs="Times New Roman"/>
              </w:rPr>
            </w:pPr>
            <w:r w:rsidRPr="00D767D3">
              <w:rPr>
                <w:rFonts w:ascii="Times New Roman" w:hAnsi="Times New Roman" w:cs="Times New Roman"/>
              </w:rPr>
              <w:t>Low</w:t>
            </w:r>
          </w:p>
        </w:tc>
      </w:tr>
      <w:tr w:rsidR="002B1701" w:rsidRPr="00D767D3" w14:paraId="03EBBBC8" w14:textId="77777777" w:rsidTr="00E27FE4">
        <w:trPr>
          <w:trHeight w:val="725"/>
          <w:tblCellSpacing w:w="15" w:type="dxa"/>
        </w:trPr>
        <w:tc>
          <w:tcPr>
            <w:tcW w:w="3330" w:type="dxa"/>
            <w:vAlign w:val="center"/>
            <w:hideMark/>
          </w:tcPr>
          <w:p w14:paraId="3B93FAB3" w14:textId="77777777" w:rsidR="002B1701" w:rsidRPr="00D767D3" w:rsidRDefault="002B1701" w:rsidP="00E27FE4">
            <w:pPr>
              <w:rPr>
                <w:rFonts w:ascii="Times New Roman" w:hAnsi="Times New Roman" w:cs="Times New Roman"/>
              </w:rPr>
            </w:pPr>
            <w:r w:rsidRPr="00D767D3">
              <w:rPr>
                <w:rFonts w:ascii="Times New Roman" w:hAnsi="Times New Roman" w:cs="Times New Roman"/>
              </w:rPr>
              <w:t>RBC count</w:t>
            </w:r>
          </w:p>
        </w:tc>
        <w:tc>
          <w:tcPr>
            <w:tcW w:w="3781" w:type="dxa"/>
            <w:vAlign w:val="center"/>
            <w:hideMark/>
          </w:tcPr>
          <w:p w14:paraId="37057534" w14:textId="77777777" w:rsidR="002B1701" w:rsidRPr="00D767D3" w:rsidRDefault="002B1701" w:rsidP="00E27FE4">
            <w:pPr>
              <w:rPr>
                <w:rFonts w:ascii="Times New Roman" w:hAnsi="Times New Roman" w:cs="Times New Roman"/>
              </w:rPr>
            </w:pPr>
            <w:r w:rsidRPr="00D767D3">
              <w:rPr>
                <w:rFonts w:ascii="Times New Roman" w:hAnsi="Times New Roman" w:cs="Times New Roman"/>
              </w:rPr>
              <w:t>4.0 × 10⁶/µL</w:t>
            </w:r>
          </w:p>
        </w:tc>
        <w:tc>
          <w:tcPr>
            <w:tcW w:w="2079" w:type="dxa"/>
            <w:vAlign w:val="center"/>
            <w:hideMark/>
          </w:tcPr>
          <w:p w14:paraId="676E0D00" w14:textId="77777777" w:rsidR="002B1701" w:rsidRPr="00D767D3" w:rsidRDefault="002B1701" w:rsidP="00E27FE4">
            <w:pPr>
              <w:rPr>
                <w:rFonts w:ascii="Times New Roman" w:hAnsi="Times New Roman" w:cs="Times New Roman"/>
              </w:rPr>
            </w:pPr>
            <w:r w:rsidRPr="00D767D3">
              <w:rPr>
                <w:rFonts w:ascii="Times New Roman" w:hAnsi="Times New Roman" w:cs="Times New Roman"/>
              </w:rPr>
              <w:t>4.5–5.5 × 10¹²/L</w:t>
            </w:r>
          </w:p>
        </w:tc>
        <w:tc>
          <w:tcPr>
            <w:tcW w:w="1443" w:type="dxa"/>
            <w:vAlign w:val="center"/>
            <w:hideMark/>
          </w:tcPr>
          <w:p w14:paraId="03F5B349" w14:textId="77777777" w:rsidR="002B1701" w:rsidRPr="00D767D3" w:rsidRDefault="002B1701" w:rsidP="00E27FE4">
            <w:pPr>
              <w:rPr>
                <w:rFonts w:ascii="Times New Roman" w:hAnsi="Times New Roman" w:cs="Times New Roman"/>
              </w:rPr>
            </w:pPr>
            <w:r w:rsidRPr="00D767D3">
              <w:rPr>
                <w:rFonts w:ascii="Times New Roman" w:hAnsi="Times New Roman" w:cs="Times New Roman"/>
              </w:rPr>
              <w:t>Low</w:t>
            </w:r>
          </w:p>
        </w:tc>
      </w:tr>
      <w:tr w:rsidR="002B1701" w:rsidRPr="00D767D3" w14:paraId="61E9121F" w14:textId="77777777" w:rsidTr="00E27FE4">
        <w:trPr>
          <w:trHeight w:val="713"/>
          <w:tblCellSpacing w:w="15" w:type="dxa"/>
        </w:trPr>
        <w:tc>
          <w:tcPr>
            <w:tcW w:w="3330" w:type="dxa"/>
            <w:vAlign w:val="center"/>
            <w:hideMark/>
          </w:tcPr>
          <w:p w14:paraId="058FAD58" w14:textId="77777777" w:rsidR="002B1701" w:rsidRPr="00D767D3" w:rsidRDefault="002B1701" w:rsidP="00E27FE4">
            <w:pPr>
              <w:rPr>
                <w:rFonts w:ascii="Times New Roman" w:hAnsi="Times New Roman" w:cs="Times New Roman"/>
              </w:rPr>
            </w:pPr>
            <w:r w:rsidRPr="00D767D3">
              <w:rPr>
                <w:rFonts w:ascii="Times New Roman" w:hAnsi="Times New Roman" w:cs="Times New Roman"/>
              </w:rPr>
              <w:t>WBC count</w:t>
            </w:r>
          </w:p>
        </w:tc>
        <w:tc>
          <w:tcPr>
            <w:tcW w:w="3781" w:type="dxa"/>
            <w:vAlign w:val="center"/>
            <w:hideMark/>
          </w:tcPr>
          <w:p w14:paraId="73F9B998" w14:textId="77777777" w:rsidR="002B1701" w:rsidRPr="00D767D3" w:rsidRDefault="002B1701" w:rsidP="00E27FE4">
            <w:pPr>
              <w:rPr>
                <w:rFonts w:ascii="Times New Roman" w:hAnsi="Times New Roman" w:cs="Times New Roman"/>
              </w:rPr>
            </w:pPr>
            <w:r w:rsidRPr="00D767D3">
              <w:rPr>
                <w:rFonts w:ascii="Times New Roman" w:hAnsi="Times New Roman" w:cs="Times New Roman"/>
              </w:rPr>
              <w:t>6.1 × 10³/µL</w:t>
            </w:r>
          </w:p>
        </w:tc>
        <w:tc>
          <w:tcPr>
            <w:tcW w:w="2079" w:type="dxa"/>
            <w:vAlign w:val="center"/>
            <w:hideMark/>
          </w:tcPr>
          <w:p w14:paraId="4E51F800" w14:textId="77777777" w:rsidR="002B1701" w:rsidRPr="00D767D3" w:rsidRDefault="002B1701" w:rsidP="00E27FE4">
            <w:pPr>
              <w:rPr>
                <w:rFonts w:ascii="Times New Roman" w:hAnsi="Times New Roman" w:cs="Times New Roman"/>
              </w:rPr>
            </w:pPr>
            <w:r w:rsidRPr="00D767D3">
              <w:rPr>
                <w:rFonts w:ascii="Times New Roman" w:hAnsi="Times New Roman" w:cs="Times New Roman"/>
              </w:rPr>
              <w:t>4.0–10.0 × 10⁹/L</w:t>
            </w:r>
          </w:p>
        </w:tc>
        <w:tc>
          <w:tcPr>
            <w:tcW w:w="1443" w:type="dxa"/>
            <w:vAlign w:val="center"/>
            <w:hideMark/>
          </w:tcPr>
          <w:p w14:paraId="39A3F48A" w14:textId="77777777" w:rsidR="002B1701" w:rsidRPr="00D767D3" w:rsidRDefault="002B1701" w:rsidP="00E27FE4">
            <w:pPr>
              <w:rPr>
                <w:rFonts w:ascii="Times New Roman" w:hAnsi="Times New Roman" w:cs="Times New Roman"/>
              </w:rPr>
            </w:pPr>
            <w:r w:rsidRPr="00D767D3">
              <w:rPr>
                <w:rFonts w:ascii="Times New Roman" w:hAnsi="Times New Roman" w:cs="Times New Roman"/>
              </w:rPr>
              <w:t>Normal</w:t>
            </w:r>
          </w:p>
        </w:tc>
      </w:tr>
      <w:tr w:rsidR="002B1701" w:rsidRPr="00D767D3" w14:paraId="48F25BCD" w14:textId="77777777" w:rsidTr="00E27FE4">
        <w:trPr>
          <w:trHeight w:val="725"/>
          <w:tblCellSpacing w:w="15" w:type="dxa"/>
        </w:trPr>
        <w:tc>
          <w:tcPr>
            <w:tcW w:w="3330" w:type="dxa"/>
            <w:vAlign w:val="center"/>
            <w:hideMark/>
          </w:tcPr>
          <w:p w14:paraId="45690DBF" w14:textId="77777777" w:rsidR="002B1701" w:rsidRPr="00D767D3" w:rsidRDefault="002B1701" w:rsidP="00E27FE4">
            <w:pPr>
              <w:rPr>
                <w:rFonts w:ascii="Times New Roman" w:hAnsi="Times New Roman" w:cs="Times New Roman"/>
              </w:rPr>
            </w:pPr>
            <w:r w:rsidRPr="00D767D3">
              <w:rPr>
                <w:rFonts w:ascii="Times New Roman" w:hAnsi="Times New Roman" w:cs="Times New Roman"/>
              </w:rPr>
              <w:t>Platelets</w:t>
            </w:r>
          </w:p>
        </w:tc>
        <w:tc>
          <w:tcPr>
            <w:tcW w:w="3781" w:type="dxa"/>
            <w:vAlign w:val="center"/>
            <w:hideMark/>
          </w:tcPr>
          <w:p w14:paraId="6A413419" w14:textId="77777777" w:rsidR="002B1701" w:rsidRPr="00D767D3" w:rsidRDefault="002B1701" w:rsidP="00E27FE4">
            <w:pPr>
              <w:rPr>
                <w:rFonts w:ascii="Times New Roman" w:hAnsi="Times New Roman" w:cs="Times New Roman"/>
              </w:rPr>
            </w:pPr>
            <w:r w:rsidRPr="00D767D3">
              <w:rPr>
                <w:rFonts w:ascii="Times New Roman" w:hAnsi="Times New Roman" w:cs="Times New Roman"/>
              </w:rPr>
              <w:t>3.68 lakhs/µL</w:t>
            </w:r>
          </w:p>
        </w:tc>
        <w:tc>
          <w:tcPr>
            <w:tcW w:w="2079" w:type="dxa"/>
            <w:vAlign w:val="center"/>
            <w:hideMark/>
          </w:tcPr>
          <w:p w14:paraId="62788982" w14:textId="77777777" w:rsidR="002B1701" w:rsidRPr="00D767D3" w:rsidRDefault="002B1701" w:rsidP="00E27FE4">
            <w:pPr>
              <w:rPr>
                <w:rFonts w:ascii="Times New Roman" w:hAnsi="Times New Roman" w:cs="Times New Roman"/>
              </w:rPr>
            </w:pPr>
            <w:r w:rsidRPr="00D767D3">
              <w:rPr>
                <w:rFonts w:ascii="Times New Roman" w:hAnsi="Times New Roman" w:cs="Times New Roman"/>
              </w:rPr>
              <w:t>1.50–4.10 lakhs/µL</w:t>
            </w:r>
          </w:p>
        </w:tc>
        <w:tc>
          <w:tcPr>
            <w:tcW w:w="1443" w:type="dxa"/>
            <w:vAlign w:val="center"/>
            <w:hideMark/>
          </w:tcPr>
          <w:p w14:paraId="454025AE" w14:textId="77777777" w:rsidR="002B1701" w:rsidRPr="00D767D3" w:rsidRDefault="002B1701" w:rsidP="00E27FE4">
            <w:pPr>
              <w:rPr>
                <w:rFonts w:ascii="Times New Roman" w:hAnsi="Times New Roman" w:cs="Times New Roman"/>
              </w:rPr>
            </w:pPr>
            <w:r w:rsidRPr="00D767D3">
              <w:rPr>
                <w:rFonts w:ascii="Times New Roman" w:hAnsi="Times New Roman" w:cs="Times New Roman"/>
              </w:rPr>
              <w:t>Normal</w:t>
            </w:r>
          </w:p>
        </w:tc>
      </w:tr>
      <w:tr w:rsidR="002B1701" w:rsidRPr="00D767D3" w14:paraId="20A8BBD9" w14:textId="77777777" w:rsidTr="00E27FE4">
        <w:trPr>
          <w:trHeight w:val="713"/>
          <w:tblCellSpacing w:w="15" w:type="dxa"/>
        </w:trPr>
        <w:tc>
          <w:tcPr>
            <w:tcW w:w="3330" w:type="dxa"/>
            <w:vAlign w:val="center"/>
            <w:hideMark/>
          </w:tcPr>
          <w:p w14:paraId="14B8AE47" w14:textId="77777777" w:rsidR="002B1701" w:rsidRPr="00D767D3" w:rsidRDefault="002B1701" w:rsidP="00E27FE4">
            <w:pPr>
              <w:rPr>
                <w:rFonts w:ascii="Times New Roman" w:hAnsi="Times New Roman" w:cs="Times New Roman"/>
              </w:rPr>
            </w:pPr>
            <w:r w:rsidRPr="00D767D3">
              <w:rPr>
                <w:rFonts w:ascii="Times New Roman" w:hAnsi="Times New Roman" w:cs="Times New Roman"/>
              </w:rPr>
              <w:t>Blood urea</w:t>
            </w:r>
          </w:p>
        </w:tc>
        <w:tc>
          <w:tcPr>
            <w:tcW w:w="3781" w:type="dxa"/>
            <w:vAlign w:val="center"/>
            <w:hideMark/>
          </w:tcPr>
          <w:p w14:paraId="0C02955D" w14:textId="77777777" w:rsidR="002B1701" w:rsidRPr="00D767D3" w:rsidRDefault="002B1701" w:rsidP="00E27FE4">
            <w:pPr>
              <w:rPr>
                <w:rFonts w:ascii="Times New Roman" w:hAnsi="Times New Roman" w:cs="Times New Roman"/>
              </w:rPr>
            </w:pPr>
            <w:r w:rsidRPr="00D767D3">
              <w:rPr>
                <w:rFonts w:ascii="Times New Roman" w:hAnsi="Times New Roman" w:cs="Times New Roman"/>
              </w:rPr>
              <w:t>16 mg/dL</w:t>
            </w:r>
          </w:p>
        </w:tc>
        <w:tc>
          <w:tcPr>
            <w:tcW w:w="2079" w:type="dxa"/>
            <w:vAlign w:val="center"/>
            <w:hideMark/>
          </w:tcPr>
          <w:p w14:paraId="5A28D3C5" w14:textId="77777777" w:rsidR="002B1701" w:rsidRPr="00D767D3" w:rsidRDefault="002B1701" w:rsidP="00E27FE4">
            <w:pPr>
              <w:rPr>
                <w:rFonts w:ascii="Times New Roman" w:hAnsi="Times New Roman" w:cs="Times New Roman"/>
              </w:rPr>
            </w:pPr>
            <w:r w:rsidRPr="00D767D3">
              <w:rPr>
                <w:rFonts w:ascii="Times New Roman" w:hAnsi="Times New Roman" w:cs="Times New Roman"/>
              </w:rPr>
              <w:t>19.2–42.6 mg/dL</w:t>
            </w:r>
          </w:p>
        </w:tc>
        <w:tc>
          <w:tcPr>
            <w:tcW w:w="1443" w:type="dxa"/>
            <w:vAlign w:val="center"/>
            <w:hideMark/>
          </w:tcPr>
          <w:p w14:paraId="6B51153D" w14:textId="77777777" w:rsidR="002B1701" w:rsidRPr="00D767D3" w:rsidRDefault="002B1701" w:rsidP="00E27FE4">
            <w:pPr>
              <w:rPr>
                <w:rFonts w:ascii="Times New Roman" w:hAnsi="Times New Roman" w:cs="Times New Roman"/>
              </w:rPr>
            </w:pPr>
            <w:r w:rsidRPr="00D767D3">
              <w:rPr>
                <w:rFonts w:ascii="Times New Roman" w:hAnsi="Times New Roman" w:cs="Times New Roman"/>
              </w:rPr>
              <w:t>Low</w:t>
            </w:r>
          </w:p>
        </w:tc>
      </w:tr>
      <w:tr w:rsidR="002B1701" w:rsidRPr="00D767D3" w14:paraId="6208A6DA" w14:textId="77777777" w:rsidTr="00E27FE4">
        <w:trPr>
          <w:trHeight w:val="725"/>
          <w:tblCellSpacing w:w="15" w:type="dxa"/>
        </w:trPr>
        <w:tc>
          <w:tcPr>
            <w:tcW w:w="3330" w:type="dxa"/>
            <w:vAlign w:val="center"/>
            <w:hideMark/>
          </w:tcPr>
          <w:p w14:paraId="043B42E3" w14:textId="77777777" w:rsidR="002B1701" w:rsidRPr="00D767D3" w:rsidRDefault="002B1701" w:rsidP="00E27FE4">
            <w:pPr>
              <w:rPr>
                <w:rFonts w:ascii="Times New Roman" w:hAnsi="Times New Roman" w:cs="Times New Roman"/>
              </w:rPr>
            </w:pPr>
            <w:r w:rsidRPr="00D767D3">
              <w:rPr>
                <w:rFonts w:ascii="Times New Roman" w:hAnsi="Times New Roman" w:cs="Times New Roman"/>
              </w:rPr>
              <w:t>Serum creatinine</w:t>
            </w:r>
          </w:p>
        </w:tc>
        <w:tc>
          <w:tcPr>
            <w:tcW w:w="3781" w:type="dxa"/>
            <w:vAlign w:val="center"/>
            <w:hideMark/>
          </w:tcPr>
          <w:p w14:paraId="7081A3C7" w14:textId="77777777" w:rsidR="002B1701" w:rsidRPr="00D767D3" w:rsidRDefault="002B1701" w:rsidP="00E27FE4">
            <w:pPr>
              <w:rPr>
                <w:rFonts w:ascii="Times New Roman" w:hAnsi="Times New Roman" w:cs="Times New Roman"/>
              </w:rPr>
            </w:pPr>
            <w:r w:rsidRPr="00D767D3">
              <w:rPr>
                <w:rFonts w:ascii="Times New Roman" w:hAnsi="Times New Roman" w:cs="Times New Roman"/>
              </w:rPr>
              <w:t>0.5 mg/dL</w:t>
            </w:r>
          </w:p>
        </w:tc>
        <w:tc>
          <w:tcPr>
            <w:tcW w:w="2079" w:type="dxa"/>
            <w:vAlign w:val="center"/>
            <w:hideMark/>
          </w:tcPr>
          <w:p w14:paraId="3874F4AA" w14:textId="77777777" w:rsidR="002B1701" w:rsidRPr="00D767D3" w:rsidRDefault="002B1701" w:rsidP="00E27FE4">
            <w:pPr>
              <w:rPr>
                <w:rFonts w:ascii="Times New Roman" w:hAnsi="Times New Roman" w:cs="Times New Roman"/>
              </w:rPr>
            </w:pPr>
            <w:r w:rsidRPr="00D767D3">
              <w:rPr>
                <w:rFonts w:ascii="Times New Roman" w:hAnsi="Times New Roman" w:cs="Times New Roman"/>
              </w:rPr>
              <w:t>0.6–1.1 mg/dL</w:t>
            </w:r>
          </w:p>
        </w:tc>
        <w:tc>
          <w:tcPr>
            <w:tcW w:w="1443" w:type="dxa"/>
            <w:vAlign w:val="center"/>
            <w:hideMark/>
          </w:tcPr>
          <w:p w14:paraId="79DB02D5" w14:textId="77777777" w:rsidR="002B1701" w:rsidRPr="00D767D3" w:rsidRDefault="002B1701" w:rsidP="00E27FE4">
            <w:pPr>
              <w:rPr>
                <w:rFonts w:ascii="Times New Roman" w:hAnsi="Times New Roman" w:cs="Times New Roman"/>
              </w:rPr>
            </w:pPr>
            <w:r w:rsidRPr="00D767D3">
              <w:rPr>
                <w:rFonts w:ascii="Times New Roman" w:hAnsi="Times New Roman" w:cs="Times New Roman"/>
              </w:rPr>
              <w:t>Normal</w:t>
            </w:r>
          </w:p>
        </w:tc>
      </w:tr>
      <w:tr w:rsidR="002B1701" w:rsidRPr="00D767D3" w14:paraId="29C4A950" w14:textId="77777777" w:rsidTr="00E27FE4">
        <w:trPr>
          <w:trHeight w:val="713"/>
          <w:tblCellSpacing w:w="15" w:type="dxa"/>
        </w:trPr>
        <w:tc>
          <w:tcPr>
            <w:tcW w:w="3330" w:type="dxa"/>
            <w:vAlign w:val="center"/>
            <w:hideMark/>
          </w:tcPr>
          <w:p w14:paraId="00F5F49B" w14:textId="77777777" w:rsidR="002B1701" w:rsidRPr="00D767D3" w:rsidRDefault="002B1701" w:rsidP="00E27FE4">
            <w:pPr>
              <w:rPr>
                <w:rFonts w:ascii="Times New Roman" w:hAnsi="Times New Roman" w:cs="Times New Roman"/>
              </w:rPr>
            </w:pPr>
            <w:r w:rsidRPr="00D767D3">
              <w:rPr>
                <w:rFonts w:ascii="Times New Roman" w:hAnsi="Times New Roman" w:cs="Times New Roman"/>
              </w:rPr>
              <w:t>Random blood sugar</w:t>
            </w:r>
          </w:p>
        </w:tc>
        <w:tc>
          <w:tcPr>
            <w:tcW w:w="3781" w:type="dxa"/>
            <w:vAlign w:val="center"/>
            <w:hideMark/>
          </w:tcPr>
          <w:p w14:paraId="76B59800" w14:textId="77777777" w:rsidR="002B1701" w:rsidRPr="00D767D3" w:rsidRDefault="002B1701" w:rsidP="00E27FE4">
            <w:pPr>
              <w:rPr>
                <w:rFonts w:ascii="Times New Roman" w:hAnsi="Times New Roman" w:cs="Times New Roman"/>
              </w:rPr>
            </w:pPr>
            <w:r w:rsidRPr="00D767D3">
              <w:rPr>
                <w:rFonts w:ascii="Times New Roman" w:hAnsi="Times New Roman" w:cs="Times New Roman"/>
              </w:rPr>
              <w:t>86 mg/dL</w:t>
            </w:r>
          </w:p>
        </w:tc>
        <w:tc>
          <w:tcPr>
            <w:tcW w:w="2079" w:type="dxa"/>
            <w:vAlign w:val="center"/>
            <w:hideMark/>
          </w:tcPr>
          <w:p w14:paraId="2F9532F6" w14:textId="77777777" w:rsidR="002B1701" w:rsidRPr="00D767D3" w:rsidRDefault="002B1701" w:rsidP="00E27FE4">
            <w:pPr>
              <w:rPr>
                <w:rFonts w:ascii="Times New Roman" w:hAnsi="Times New Roman" w:cs="Times New Roman"/>
              </w:rPr>
            </w:pPr>
            <w:r w:rsidRPr="00D767D3">
              <w:rPr>
                <w:rFonts w:ascii="Times New Roman" w:hAnsi="Times New Roman" w:cs="Times New Roman"/>
              </w:rPr>
              <w:t>70–140 mg/dL</w:t>
            </w:r>
          </w:p>
        </w:tc>
        <w:tc>
          <w:tcPr>
            <w:tcW w:w="1443" w:type="dxa"/>
            <w:vAlign w:val="center"/>
            <w:hideMark/>
          </w:tcPr>
          <w:p w14:paraId="09D0C93C" w14:textId="77777777" w:rsidR="002B1701" w:rsidRPr="00D767D3" w:rsidRDefault="002B1701" w:rsidP="00E27FE4">
            <w:pPr>
              <w:rPr>
                <w:rFonts w:ascii="Times New Roman" w:hAnsi="Times New Roman" w:cs="Times New Roman"/>
              </w:rPr>
            </w:pPr>
            <w:r w:rsidRPr="00D767D3">
              <w:rPr>
                <w:rFonts w:ascii="Times New Roman" w:hAnsi="Times New Roman" w:cs="Times New Roman"/>
              </w:rPr>
              <w:t>Normal</w:t>
            </w:r>
          </w:p>
        </w:tc>
      </w:tr>
      <w:tr w:rsidR="002B1701" w:rsidRPr="00D767D3" w14:paraId="3ACCE4FF" w14:textId="77777777" w:rsidTr="00E27FE4">
        <w:trPr>
          <w:trHeight w:val="725"/>
          <w:tblCellSpacing w:w="15" w:type="dxa"/>
        </w:trPr>
        <w:tc>
          <w:tcPr>
            <w:tcW w:w="3330" w:type="dxa"/>
            <w:vAlign w:val="center"/>
            <w:hideMark/>
          </w:tcPr>
          <w:p w14:paraId="78A02379" w14:textId="77777777" w:rsidR="002B1701" w:rsidRPr="00D767D3" w:rsidRDefault="002B1701" w:rsidP="00E27FE4">
            <w:pPr>
              <w:rPr>
                <w:rFonts w:ascii="Times New Roman" w:hAnsi="Times New Roman" w:cs="Times New Roman"/>
              </w:rPr>
            </w:pPr>
            <w:r w:rsidRPr="00D767D3">
              <w:rPr>
                <w:rFonts w:ascii="Times New Roman" w:hAnsi="Times New Roman" w:cs="Times New Roman"/>
              </w:rPr>
              <w:t>Electrolytes (Na/K/Cl)</w:t>
            </w:r>
          </w:p>
        </w:tc>
        <w:tc>
          <w:tcPr>
            <w:tcW w:w="3781" w:type="dxa"/>
            <w:vAlign w:val="center"/>
            <w:hideMark/>
          </w:tcPr>
          <w:p w14:paraId="327DC8C0" w14:textId="77777777" w:rsidR="002B1701" w:rsidRPr="00D767D3" w:rsidRDefault="002B1701" w:rsidP="00E27FE4">
            <w:pPr>
              <w:rPr>
                <w:rFonts w:ascii="Times New Roman" w:hAnsi="Times New Roman" w:cs="Times New Roman"/>
              </w:rPr>
            </w:pPr>
            <w:r w:rsidRPr="00D767D3">
              <w:rPr>
                <w:rFonts w:ascii="Times New Roman" w:hAnsi="Times New Roman" w:cs="Times New Roman"/>
              </w:rPr>
              <w:t>145/4.1/104 mmol/L</w:t>
            </w:r>
          </w:p>
        </w:tc>
        <w:tc>
          <w:tcPr>
            <w:tcW w:w="2079" w:type="dxa"/>
            <w:vAlign w:val="center"/>
            <w:hideMark/>
          </w:tcPr>
          <w:p w14:paraId="1E8B47E4" w14:textId="77777777" w:rsidR="002B1701" w:rsidRPr="00D767D3" w:rsidRDefault="002B1701" w:rsidP="00E27FE4">
            <w:pPr>
              <w:rPr>
                <w:rFonts w:ascii="Times New Roman" w:hAnsi="Times New Roman" w:cs="Times New Roman"/>
              </w:rPr>
            </w:pPr>
            <w:r w:rsidRPr="00D767D3">
              <w:rPr>
                <w:rFonts w:ascii="Times New Roman" w:hAnsi="Times New Roman" w:cs="Times New Roman"/>
              </w:rPr>
              <w:t>Normal ranges</w:t>
            </w:r>
          </w:p>
        </w:tc>
        <w:tc>
          <w:tcPr>
            <w:tcW w:w="1443" w:type="dxa"/>
            <w:vAlign w:val="center"/>
            <w:hideMark/>
          </w:tcPr>
          <w:p w14:paraId="6051BD02" w14:textId="77777777" w:rsidR="002B1701" w:rsidRPr="00D767D3" w:rsidRDefault="002B1701" w:rsidP="00E27FE4">
            <w:pPr>
              <w:rPr>
                <w:rFonts w:ascii="Times New Roman" w:hAnsi="Times New Roman" w:cs="Times New Roman"/>
              </w:rPr>
            </w:pPr>
            <w:r w:rsidRPr="00D767D3">
              <w:rPr>
                <w:rFonts w:ascii="Times New Roman" w:hAnsi="Times New Roman" w:cs="Times New Roman"/>
              </w:rPr>
              <w:t>Normal</w:t>
            </w:r>
          </w:p>
        </w:tc>
      </w:tr>
      <w:tr w:rsidR="002B1701" w:rsidRPr="00D767D3" w14:paraId="7D33597B" w14:textId="77777777" w:rsidTr="00E27FE4">
        <w:trPr>
          <w:trHeight w:val="435"/>
          <w:tblCellSpacing w:w="15" w:type="dxa"/>
        </w:trPr>
        <w:tc>
          <w:tcPr>
            <w:tcW w:w="3330" w:type="dxa"/>
            <w:vAlign w:val="center"/>
            <w:hideMark/>
          </w:tcPr>
          <w:p w14:paraId="6179DA5C" w14:textId="77777777" w:rsidR="002B1701" w:rsidRPr="00D767D3" w:rsidRDefault="002B1701" w:rsidP="00E27FE4">
            <w:pPr>
              <w:rPr>
                <w:rFonts w:ascii="Times New Roman" w:hAnsi="Times New Roman" w:cs="Times New Roman"/>
              </w:rPr>
            </w:pPr>
            <w:r w:rsidRPr="00D767D3">
              <w:rPr>
                <w:rFonts w:ascii="Times New Roman" w:hAnsi="Times New Roman" w:cs="Times New Roman"/>
              </w:rPr>
              <w:t>HBsAg, HCV, HIV</w:t>
            </w:r>
          </w:p>
        </w:tc>
        <w:tc>
          <w:tcPr>
            <w:tcW w:w="3781" w:type="dxa"/>
            <w:vAlign w:val="center"/>
            <w:hideMark/>
          </w:tcPr>
          <w:p w14:paraId="1ABADF74" w14:textId="77777777" w:rsidR="002B1701" w:rsidRPr="00D767D3" w:rsidRDefault="002B1701" w:rsidP="00E27FE4">
            <w:pPr>
              <w:rPr>
                <w:rFonts w:ascii="Times New Roman" w:hAnsi="Times New Roman" w:cs="Times New Roman"/>
              </w:rPr>
            </w:pPr>
            <w:r w:rsidRPr="00D767D3">
              <w:rPr>
                <w:rFonts w:ascii="Times New Roman" w:hAnsi="Times New Roman" w:cs="Times New Roman"/>
              </w:rPr>
              <w:t>Non-reactive</w:t>
            </w:r>
          </w:p>
        </w:tc>
        <w:tc>
          <w:tcPr>
            <w:tcW w:w="2079" w:type="dxa"/>
            <w:vAlign w:val="center"/>
            <w:hideMark/>
          </w:tcPr>
          <w:p w14:paraId="0E1B2B6D" w14:textId="77777777" w:rsidR="002B1701" w:rsidRPr="00D767D3" w:rsidRDefault="002B1701" w:rsidP="00E27FE4">
            <w:pPr>
              <w:rPr>
                <w:rFonts w:ascii="Times New Roman" w:hAnsi="Times New Roman" w:cs="Times New Roman"/>
              </w:rPr>
            </w:pPr>
            <w:r w:rsidRPr="00D767D3">
              <w:rPr>
                <w:rFonts w:ascii="Times New Roman" w:hAnsi="Times New Roman" w:cs="Times New Roman"/>
              </w:rPr>
              <w:t>–</w:t>
            </w:r>
          </w:p>
        </w:tc>
        <w:tc>
          <w:tcPr>
            <w:tcW w:w="1443" w:type="dxa"/>
            <w:vAlign w:val="center"/>
            <w:hideMark/>
          </w:tcPr>
          <w:p w14:paraId="435DB69C" w14:textId="77777777" w:rsidR="002B1701" w:rsidRPr="00D767D3" w:rsidRDefault="002B1701" w:rsidP="00E27FE4">
            <w:pPr>
              <w:rPr>
                <w:rFonts w:ascii="Times New Roman" w:hAnsi="Times New Roman" w:cs="Times New Roman"/>
              </w:rPr>
            </w:pPr>
            <w:r w:rsidRPr="00D767D3">
              <w:rPr>
                <w:rFonts w:ascii="Times New Roman" w:hAnsi="Times New Roman" w:cs="Times New Roman"/>
              </w:rPr>
              <w:t>Negative</w:t>
            </w:r>
          </w:p>
        </w:tc>
      </w:tr>
    </w:tbl>
    <w:p w14:paraId="35FCC995" w14:textId="77777777" w:rsidR="002B1701" w:rsidRDefault="002B1701" w:rsidP="002B1701">
      <w:pPr>
        <w:spacing w:before="240" w:after="0"/>
        <w:rPr>
          <w:rFonts w:ascii="Times New Roman" w:hAnsi="Times New Roman" w:cs="Times New Roman"/>
        </w:rPr>
      </w:pPr>
      <w:r w:rsidRPr="00D767D3">
        <w:rPr>
          <w:rFonts w:ascii="Times New Roman" w:hAnsi="Times New Roman" w:cs="Times New Roman"/>
          <w:b/>
          <w:bCs/>
        </w:rPr>
        <w:t>Discussion</w:t>
      </w:r>
      <w:r w:rsidRPr="00D767D3">
        <w:rPr>
          <w:rFonts w:ascii="Times New Roman" w:hAnsi="Times New Roman" w:cs="Times New Roman"/>
        </w:rPr>
        <w:t xml:space="preserve"> </w:t>
      </w:r>
    </w:p>
    <w:p w14:paraId="283040AB" w14:textId="62D555E2" w:rsidR="002B1701" w:rsidRPr="00B059C1" w:rsidRDefault="002B1701" w:rsidP="002B1701">
      <w:pPr>
        <w:spacing w:after="0"/>
        <w:rPr>
          <w:rFonts w:ascii="Times New Roman" w:hAnsi="Times New Roman" w:cs="Times New Roman"/>
        </w:rPr>
      </w:pPr>
      <w:r w:rsidRPr="00B059C1">
        <w:rPr>
          <w:rFonts w:ascii="Times New Roman" w:hAnsi="Times New Roman" w:cs="Times New Roman"/>
        </w:rPr>
        <w:t xml:space="preserve">Brachial plexopathy in the context of spindle cell carcinoma of the shoulder is rare and poses a significant diagnostic challenge. In the present case, the brachial plexopathy is most likely secondary to residual or microscopic recurrent spindle cell carcinoma rather than isolated iatrogenic injury. This conclusion is supported by several clinical and laboratory findings. First, the </w:t>
      </w:r>
      <w:r w:rsidRPr="00B059C1">
        <w:rPr>
          <w:rFonts w:ascii="Times New Roman" w:hAnsi="Times New Roman" w:cs="Times New Roman"/>
          <w:b/>
          <w:bCs/>
        </w:rPr>
        <w:t>immediate onset of complete flaccid paralysis and pan-sensory loss immediately after surgery</w:t>
      </w:r>
      <w:r w:rsidRPr="00B059C1">
        <w:rPr>
          <w:rFonts w:ascii="Times New Roman" w:hAnsi="Times New Roman" w:cs="Times New Roman"/>
        </w:rPr>
        <w:t xml:space="preserve">, followed by </w:t>
      </w:r>
      <w:r w:rsidRPr="00B059C1">
        <w:rPr>
          <w:rFonts w:ascii="Times New Roman" w:hAnsi="Times New Roman" w:cs="Times New Roman"/>
          <w:b/>
          <w:bCs/>
        </w:rPr>
        <w:t>progressive worsening over the subsequent 20 days</w:t>
      </w:r>
      <w:r w:rsidRPr="00B059C1">
        <w:rPr>
          <w:rFonts w:ascii="Times New Roman" w:hAnsi="Times New Roman" w:cs="Times New Roman"/>
        </w:rPr>
        <w:t xml:space="preserve"> (documented on Day 1–3 of admission), is atypical for pure intraoperative nerve trauma. Pure iatrogenic plexopathy (traction or compression) usually remains static or shows early partial recovery; progressive deterioration strongly suggests ongoing compression or infiltration by residual tumour cells. Second, the shoulder was the exact anatomical site of the primary spindle cell carcinoma, a tumour </w:t>
      </w:r>
      <w:r w:rsidRPr="00B059C1">
        <w:rPr>
          <w:rFonts w:ascii="Times New Roman" w:hAnsi="Times New Roman" w:cs="Times New Roman"/>
        </w:rPr>
        <w:lastRenderedPageBreak/>
        <w:t xml:space="preserve">notorious for its aggressive local recurrence and infiltrative behaviour even after apparently curative resection. Third, the selective involvement of the entire C5–T1 plexus with complete sensory loss (including vibration) and only partial motor preservation in distal segments points to a diffuse infiltrative process rather than focal nerve transection. Mild anaemia (Hb 10.9 g/dL) is consistent with anaemia of chronic disease or paraneoplastic effect commonly seen in spindle cell carcinoma, while negative viral serology and absence of fever excluded infectious or inflammatory </w:t>
      </w:r>
      <w:proofErr w:type="spellStart"/>
      <w:r w:rsidRPr="00B059C1">
        <w:rPr>
          <w:rFonts w:ascii="Times New Roman" w:hAnsi="Times New Roman" w:cs="Times New Roman"/>
        </w:rPr>
        <w:t>plexitis</w:t>
      </w:r>
      <w:proofErr w:type="spellEnd"/>
      <w:r w:rsidRPr="00B059C1">
        <w:rPr>
          <w:rFonts w:ascii="Times New Roman" w:hAnsi="Times New Roman" w:cs="Times New Roman"/>
        </w:rPr>
        <w:t>.</w:t>
      </w:r>
    </w:p>
    <w:p w14:paraId="5E2DA055" w14:textId="77777777" w:rsidR="002B1701" w:rsidRPr="00B059C1" w:rsidRDefault="002B1701" w:rsidP="008979B8">
      <w:pPr>
        <w:spacing w:before="240" w:after="0"/>
        <w:rPr>
          <w:rFonts w:ascii="Times New Roman" w:hAnsi="Times New Roman" w:cs="Times New Roman"/>
        </w:rPr>
      </w:pPr>
      <w:r w:rsidRPr="00B059C1">
        <w:rPr>
          <w:rFonts w:ascii="Times New Roman" w:hAnsi="Times New Roman" w:cs="Times New Roman"/>
        </w:rPr>
        <w:t>Differential diagnosis was carefully considered and is supported by clinical and laboratory data as follows:</w:t>
      </w:r>
    </w:p>
    <w:p w14:paraId="176CD045" w14:textId="77777777" w:rsidR="002B1701" w:rsidRPr="00B059C1" w:rsidRDefault="002B1701" w:rsidP="002B1701">
      <w:pPr>
        <w:numPr>
          <w:ilvl w:val="0"/>
          <w:numId w:val="5"/>
        </w:numPr>
        <w:spacing w:after="0"/>
        <w:rPr>
          <w:rFonts w:ascii="Times New Roman" w:hAnsi="Times New Roman" w:cs="Times New Roman"/>
        </w:rPr>
      </w:pPr>
      <w:r w:rsidRPr="00B059C1">
        <w:rPr>
          <w:rFonts w:ascii="Times New Roman" w:hAnsi="Times New Roman" w:cs="Times New Roman"/>
          <w:b/>
          <w:bCs/>
        </w:rPr>
        <w:t>Iatrogenic surgical injury</w:t>
      </w:r>
      <w:r w:rsidRPr="00B059C1">
        <w:rPr>
          <w:rFonts w:ascii="Times New Roman" w:hAnsi="Times New Roman" w:cs="Times New Roman"/>
        </w:rPr>
        <w:t xml:space="preserve"> — possible, but less likely because of the progressive course over three weeks rather than immediate maximal deficit followed by stabilisation.</w:t>
      </w:r>
    </w:p>
    <w:p w14:paraId="447EB66A" w14:textId="77777777" w:rsidR="002B1701" w:rsidRPr="00B059C1" w:rsidRDefault="002B1701" w:rsidP="002B1701">
      <w:pPr>
        <w:numPr>
          <w:ilvl w:val="0"/>
          <w:numId w:val="5"/>
        </w:numPr>
        <w:spacing w:after="0"/>
        <w:rPr>
          <w:rFonts w:ascii="Times New Roman" w:hAnsi="Times New Roman" w:cs="Times New Roman"/>
        </w:rPr>
      </w:pPr>
      <w:r w:rsidRPr="00B059C1">
        <w:rPr>
          <w:rFonts w:ascii="Times New Roman" w:hAnsi="Times New Roman" w:cs="Times New Roman"/>
          <w:b/>
          <w:bCs/>
        </w:rPr>
        <w:t>Residual/recurrent tumour infiltration</w:t>
      </w:r>
      <w:r w:rsidRPr="00B059C1">
        <w:rPr>
          <w:rFonts w:ascii="Times New Roman" w:hAnsi="Times New Roman" w:cs="Times New Roman"/>
        </w:rPr>
        <w:t xml:space="preserve"> — most probable, given the tumour’s known aggressiveness, the exact anatomical correlation, and the lack of improvement despite supportive care.</w:t>
      </w:r>
    </w:p>
    <w:p w14:paraId="4C28E80F" w14:textId="77777777" w:rsidR="002B1701" w:rsidRPr="00B059C1" w:rsidRDefault="002B1701" w:rsidP="002B1701">
      <w:pPr>
        <w:numPr>
          <w:ilvl w:val="0"/>
          <w:numId w:val="5"/>
        </w:numPr>
        <w:spacing w:after="0"/>
        <w:rPr>
          <w:rFonts w:ascii="Times New Roman" w:hAnsi="Times New Roman" w:cs="Times New Roman"/>
        </w:rPr>
      </w:pPr>
      <w:r w:rsidRPr="00B059C1">
        <w:rPr>
          <w:rFonts w:ascii="Times New Roman" w:hAnsi="Times New Roman" w:cs="Times New Roman"/>
          <w:b/>
          <w:bCs/>
        </w:rPr>
        <w:t>Metastatic brachial plexopathy</w:t>
      </w:r>
      <w:r w:rsidRPr="00B059C1">
        <w:rPr>
          <w:rFonts w:ascii="Times New Roman" w:hAnsi="Times New Roman" w:cs="Times New Roman"/>
        </w:rPr>
        <w:t xml:space="preserve"> — unlikely in the absence of other systemic metastases or constitutional symptoms.</w:t>
      </w:r>
    </w:p>
    <w:p w14:paraId="585B6256" w14:textId="77777777" w:rsidR="002B1701" w:rsidRPr="00B059C1" w:rsidRDefault="002B1701" w:rsidP="002B1701">
      <w:pPr>
        <w:numPr>
          <w:ilvl w:val="0"/>
          <w:numId w:val="5"/>
        </w:numPr>
        <w:spacing w:after="0"/>
        <w:rPr>
          <w:rFonts w:ascii="Times New Roman" w:hAnsi="Times New Roman" w:cs="Times New Roman"/>
        </w:rPr>
      </w:pPr>
      <w:r w:rsidRPr="00B059C1">
        <w:rPr>
          <w:rFonts w:ascii="Times New Roman" w:hAnsi="Times New Roman" w:cs="Times New Roman"/>
          <w:b/>
          <w:bCs/>
        </w:rPr>
        <w:t>Radiation plexopathy</w:t>
      </w:r>
      <w:r w:rsidRPr="00B059C1">
        <w:rPr>
          <w:rFonts w:ascii="Times New Roman" w:hAnsi="Times New Roman" w:cs="Times New Roman"/>
        </w:rPr>
        <w:t xml:space="preserve"> — excluded as no radiotherapy was given.</w:t>
      </w:r>
    </w:p>
    <w:p w14:paraId="44D863BE" w14:textId="77777777" w:rsidR="002B1701" w:rsidRPr="00B059C1" w:rsidRDefault="002B1701" w:rsidP="002B1701">
      <w:pPr>
        <w:numPr>
          <w:ilvl w:val="0"/>
          <w:numId w:val="5"/>
        </w:numPr>
        <w:spacing w:after="0"/>
        <w:rPr>
          <w:rFonts w:ascii="Times New Roman" w:hAnsi="Times New Roman" w:cs="Times New Roman"/>
        </w:rPr>
      </w:pPr>
      <w:r w:rsidRPr="00B059C1">
        <w:rPr>
          <w:rFonts w:ascii="Times New Roman" w:hAnsi="Times New Roman" w:cs="Times New Roman"/>
          <w:b/>
          <w:bCs/>
        </w:rPr>
        <w:t>Paraneoplastic or anaesthesia-related neuropathy</w:t>
      </w:r>
      <w:r w:rsidRPr="00B059C1">
        <w:rPr>
          <w:rFonts w:ascii="Times New Roman" w:hAnsi="Times New Roman" w:cs="Times New Roman"/>
        </w:rPr>
        <w:t xml:space="preserve"> — ruled out by negative viral markers, normal electrolytes, and the focal anatomical distribution confined to the operated shoulder region.</w:t>
      </w:r>
    </w:p>
    <w:p w14:paraId="3C775C72" w14:textId="77777777" w:rsidR="002B1701" w:rsidRPr="00B059C1" w:rsidRDefault="002B1701" w:rsidP="002B1701">
      <w:pPr>
        <w:spacing w:after="0"/>
        <w:rPr>
          <w:rFonts w:ascii="Times New Roman" w:hAnsi="Times New Roman" w:cs="Times New Roman"/>
        </w:rPr>
      </w:pPr>
      <w:r w:rsidRPr="00B059C1">
        <w:rPr>
          <w:rFonts w:ascii="Times New Roman" w:hAnsi="Times New Roman" w:cs="Times New Roman"/>
        </w:rPr>
        <w:t>Literature supports this interpretation. Brachial plexopathy in cancer patients is most often neoplastic, and post-surgical neurological complications after shoulder procedures can mask underlying residual malignancy. The aggressive behaviour of spindle cell carcinoma, with high rates of local recurrence even after wide excision, further strengthens the neoplastic aetiology in this case.</w:t>
      </w:r>
    </w:p>
    <w:p w14:paraId="4A2254E2" w14:textId="77777777" w:rsidR="002B1701" w:rsidRDefault="002B1701" w:rsidP="002B1701">
      <w:pPr>
        <w:spacing w:before="240" w:after="0"/>
        <w:rPr>
          <w:rFonts w:ascii="Times New Roman" w:hAnsi="Times New Roman" w:cs="Times New Roman"/>
        </w:rPr>
      </w:pPr>
      <w:r w:rsidRPr="00D767D3">
        <w:rPr>
          <w:rFonts w:ascii="Times New Roman" w:hAnsi="Times New Roman" w:cs="Times New Roman"/>
          <w:b/>
          <w:bCs/>
        </w:rPr>
        <w:t>Limitations</w:t>
      </w:r>
      <w:r w:rsidRPr="00D767D3">
        <w:rPr>
          <w:rFonts w:ascii="Times New Roman" w:hAnsi="Times New Roman" w:cs="Times New Roman"/>
        </w:rPr>
        <w:t xml:space="preserve"> </w:t>
      </w:r>
    </w:p>
    <w:p w14:paraId="221F4948" w14:textId="77777777" w:rsidR="002B1701" w:rsidRDefault="002B1701" w:rsidP="002B1701">
      <w:pPr>
        <w:spacing w:after="0"/>
        <w:rPr>
          <w:rFonts w:ascii="Times New Roman" w:hAnsi="Times New Roman" w:cs="Times New Roman"/>
        </w:rPr>
      </w:pPr>
      <w:r w:rsidRPr="003B04CC">
        <w:rPr>
          <w:rFonts w:ascii="Times New Roman" w:hAnsi="Times New Roman" w:cs="Times New Roman"/>
        </w:rPr>
        <w:t>The absence of advanced imaging (contrast-enhanced MRI of the brachial plexus, PET-CT scan), electromyography/nerve conduction studies, post-operative histological margin status, and repeat biopsy constitutes the primary limitation of this case report. These investigations were not performed due to financial constraints and limited diagnostic infrastructure at the treating facility. The histopathology slides from the original excision at the outside hospital were also not available for review or photography. While these gaps preclude definitive confirmation of tumour infiltration, the clinical diagnosis is supported by the progressive neurological course, the exact anatomical correlation with the primary tumour site, the known aggressive biology of spindle cell carcinoma, and the absence of any alternative explanation on available investigations. We acknowledge that similar cases reported in resource-limited settings necessarily rely on clinical reasoning when confirmatory investigations are inaccessible, and we present this case precisely to highlight that diagnostic dilemma.</w:t>
      </w:r>
    </w:p>
    <w:p w14:paraId="254B0734" w14:textId="77777777" w:rsidR="002B1701" w:rsidRDefault="002B1701" w:rsidP="002B1701">
      <w:pPr>
        <w:spacing w:before="240" w:after="0"/>
        <w:rPr>
          <w:rFonts w:ascii="Times New Roman" w:hAnsi="Times New Roman" w:cs="Times New Roman"/>
        </w:rPr>
      </w:pPr>
      <w:r w:rsidRPr="00D767D3">
        <w:rPr>
          <w:rFonts w:ascii="Times New Roman" w:hAnsi="Times New Roman" w:cs="Times New Roman"/>
          <w:b/>
          <w:bCs/>
        </w:rPr>
        <w:t>Conclusion</w:t>
      </w:r>
      <w:r w:rsidRPr="00D767D3">
        <w:rPr>
          <w:rFonts w:ascii="Times New Roman" w:hAnsi="Times New Roman" w:cs="Times New Roman"/>
        </w:rPr>
        <w:t xml:space="preserve"> </w:t>
      </w:r>
    </w:p>
    <w:p w14:paraId="4A602AA2" w14:textId="77777777" w:rsidR="002B1701" w:rsidRPr="007E66E8" w:rsidRDefault="002B1701" w:rsidP="002B1701">
      <w:pPr>
        <w:spacing w:after="0"/>
        <w:rPr>
          <w:rFonts w:ascii="Times New Roman" w:hAnsi="Times New Roman" w:cs="Times New Roman"/>
        </w:rPr>
      </w:pPr>
      <w:r w:rsidRPr="007E66E8">
        <w:rPr>
          <w:rFonts w:ascii="Times New Roman" w:hAnsi="Times New Roman" w:cs="Times New Roman"/>
        </w:rPr>
        <w:t xml:space="preserve">This rare case demonstrates post-operative brachial plexopathy likely secondary to residual spindle cell carcinoma of the shoulder in a young male. The day-wise clinical progression, anatomical correlation, and tumour biology collectively </w:t>
      </w:r>
      <w:r>
        <w:rPr>
          <w:rFonts w:ascii="Times New Roman" w:hAnsi="Times New Roman" w:cs="Times New Roman"/>
        </w:rPr>
        <w:t>support</w:t>
      </w:r>
      <w:r w:rsidRPr="007E66E8">
        <w:rPr>
          <w:rFonts w:ascii="Times New Roman" w:hAnsi="Times New Roman" w:cs="Times New Roman"/>
        </w:rPr>
        <w:t xml:space="preserve"> neoplastic infiltration as the primary aetiology. Prompt recognition and supportive care are essential; clinicians should maintain a low threshold for suspecting neoplastic involvement in cancer survivors presenting with new focal neurological deficits after shoulder surgery.</w:t>
      </w:r>
    </w:p>
    <w:p w14:paraId="66507366" w14:textId="77777777" w:rsidR="002B1701" w:rsidRDefault="002B1701" w:rsidP="002B1701">
      <w:pPr>
        <w:spacing w:before="240" w:after="0"/>
        <w:rPr>
          <w:rFonts w:ascii="Times New Roman" w:hAnsi="Times New Roman" w:cs="Times New Roman"/>
        </w:rPr>
      </w:pPr>
      <w:r w:rsidRPr="00D767D3">
        <w:rPr>
          <w:rFonts w:ascii="Times New Roman" w:hAnsi="Times New Roman" w:cs="Times New Roman"/>
          <w:b/>
          <w:bCs/>
        </w:rPr>
        <w:t>Declarations</w:t>
      </w:r>
      <w:r w:rsidRPr="00D767D3">
        <w:rPr>
          <w:rFonts w:ascii="Times New Roman" w:hAnsi="Times New Roman" w:cs="Times New Roman"/>
        </w:rPr>
        <w:t xml:space="preserve"> </w:t>
      </w:r>
      <w:r w:rsidRPr="00D767D3">
        <w:rPr>
          <w:rFonts w:ascii="Times New Roman" w:hAnsi="Times New Roman" w:cs="Times New Roman"/>
          <w:b/>
          <w:bCs/>
        </w:rPr>
        <w:t>Ethics approval and consent to participate</w:t>
      </w:r>
      <w:r w:rsidRPr="00D767D3">
        <w:rPr>
          <w:rFonts w:ascii="Times New Roman" w:hAnsi="Times New Roman" w:cs="Times New Roman"/>
        </w:rPr>
        <w:t xml:space="preserve"> </w:t>
      </w:r>
    </w:p>
    <w:p w14:paraId="3767F522" w14:textId="77777777" w:rsidR="002B1701" w:rsidRPr="00D767D3" w:rsidRDefault="002B1701" w:rsidP="002B1701">
      <w:pPr>
        <w:rPr>
          <w:rFonts w:ascii="Times New Roman" w:hAnsi="Times New Roman" w:cs="Times New Roman"/>
        </w:rPr>
      </w:pPr>
      <w:r w:rsidRPr="00D767D3">
        <w:rPr>
          <w:rFonts w:ascii="Times New Roman" w:hAnsi="Times New Roman" w:cs="Times New Roman"/>
        </w:rPr>
        <w:t>Written informed consent was obtained from the patient for publication of this case report and any accompanying images (none used). As per institutional policy, formal ethics committee approval is waived for anonymous single case reports.</w:t>
      </w:r>
    </w:p>
    <w:p w14:paraId="2A33F477" w14:textId="77777777" w:rsidR="002B1701" w:rsidRDefault="002B1701" w:rsidP="002B1701">
      <w:pPr>
        <w:spacing w:after="0"/>
        <w:rPr>
          <w:rFonts w:ascii="Times New Roman" w:hAnsi="Times New Roman" w:cs="Times New Roman"/>
        </w:rPr>
      </w:pPr>
      <w:r w:rsidRPr="00D767D3">
        <w:rPr>
          <w:rFonts w:ascii="Times New Roman" w:hAnsi="Times New Roman" w:cs="Times New Roman"/>
          <w:b/>
          <w:bCs/>
        </w:rPr>
        <w:t>Consent for publication</w:t>
      </w:r>
      <w:r w:rsidRPr="00D767D3">
        <w:rPr>
          <w:rFonts w:ascii="Times New Roman" w:hAnsi="Times New Roman" w:cs="Times New Roman"/>
        </w:rPr>
        <w:t xml:space="preserve"> </w:t>
      </w:r>
    </w:p>
    <w:p w14:paraId="26364E47" w14:textId="77777777" w:rsidR="002B1701" w:rsidRPr="00D767D3" w:rsidRDefault="002B1701" w:rsidP="002B1701">
      <w:pPr>
        <w:rPr>
          <w:rFonts w:ascii="Times New Roman" w:hAnsi="Times New Roman" w:cs="Times New Roman"/>
        </w:rPr>
      </w:pPr>
      <w:r w:rsidRPr="00D767D3">
        <w:rPr>
          <w:rFonts w:ascii="Times New Roman" w:hAnsi="Times New Roman" w:cs="Times New Roman"/>
        </w:rPr>
        <w:t>Written informed consent was obtained from the patient.</w:t>
      </w:r>
    </w:p>
    <w:p w14:paraId="0C65B37E" w14:textId="77777777" w:rsidR="002B1701" w:rsidRDefault="002B1701" w:rsidP="002B1701">
      <w:pPr>
        <w:spacing w:after="0"/>
        <w:rPr>
          <w:rFonts w:ascii="Times New Roman" w:hAnsi="Times New Roman" w:cs="Times New Roman"/>
        </w:rPr>
      </w:pPr>
      <w:r w:rsidRPr="00D767D3">
        <w:rPr>
          <w:rFonts w:ascii="Times New Roman" w:hAnsi="Times New Roman" w:cs="Times New Roman"/>
          <w:b/>
          <w:bCs/>
        </w:rPr>
        <w:t>Competing interests</w:t>
      </w:r>
      <w:r w:rsidRPr="00D767D3">
        <w:rPr>
          <w:rFonts w:ascii="Times New Roman" w:hAnsi="Times New Roman" w:cs="Times New Roman"/>
        </w:rPr>
        <w:t xml:space="preserve"> </w:t>
      </w:r>
    </w:p>
    <w:p w14:paraId="34A39701" w14:textId="77777777" w:rsidR="002B1701" w:rsidRPr="00D767D3" w:rsidRDefault="002B1701" w:rsidP="002B1701">
      <w:pPr>
        <w:rPr>
          <w:rFonts w:ascii="Times New Roman" w:hAnsi="Times New Roman" w:cs="Times New Roman"/>
        </w:rPr>
      </w:pPr>
      <w:r w:rsidRPr="00D767D3">
        <w:rPr>
          <w:rFonts w:ascii="Times New Roman" w:hAnsi="Times New Roman" w:cs="Times New Roman"/>
        </w:rPr>
        <w:t>The authors declare that they have no competing interests.</w:t>
      </w:r>
    </w:p>
    <w:p w14:paraId="02E4DDFB" w14:textId="77777777" w:rsidR="002B1701" w:rsidRDefault="002B1701" w:rsidP="002B1701">
      <w:pPr>
        <w:spacing w:after="0"/>
        <w:rPr>
          <w:rFonts w:ascii="Times New Roman" w:hAnsi="Times New Roman" w:cs="Times New Roman"/>
        </w:rPr>
      </w:pPr>
      <w:r w:rsidRPr="00D767D3">
        <w:rPr>
          <w:rFonts w:ascii="Times New Roman" w:hAnsi="Times New Roman" w:cs="Times New Roman"/>
          <w:b/>
          <w:bCs/>
        </w:rPr>
        <w:t>Funding</w:t>
      </w:r>
      <w:r w:rsidRPr="00D767D3">
        <w:rPr>
          <w:rFonts w:ascii="Times New Roman" w:hAnsi="Times New Roman" w:cs="Times New Roman"/>
        </w:rPr>
        <w:t xml:space="preserve"> </w:t>
      </w:r>
    </w:p>
    <w:p w14:paraId="212486C8" w14:textId="77777777" w:rsidR="002B1701" w:rsidRPr="00D767D3" w:rsidRDefault="002B1701" w:rsidP="002B1701">
      <w:pPr>
        <w:rPr>
          <w:rFonts w:ascii="Times New Roman" w:hAnsi="Times New Roman" w:cs="Times New Roman"/>
        </w:rPr>
      </w:pPr>
      <w:r w:rsidRPr="00D767D3">
        <w:rPr>
          <w:rFonts w:ascii="Times New Roman" w:hAnsi="Times New Roman" w:cs="Times New Roman"/>
        </w:rPr>
        <w:t>No funding was received for this study.</w:t>
      </w:r>
    </w:p>
    <w:p w14:paraId="11535AA9" w14:textId="77777777" w:rsidR="002B1701" w:rsidRDefault="002B1701" w:rsidP="002B1701">
      <w:pPr>
        <w:spacing w:after="0"/>
        <w:rPr>
          <w:rFonts w:ascii="Times New Roman" w:hAnsi="Times New Roman" w:cs="Times New Roman"/>
        </w:rPr>
      </w:pPr>
      <w:r w:rsidRPr="00D767D3">
        <w:rPr>
          <w:rFonts w:ascii="Times New Roman" w:hAnsi="Times New Roman" w:cs="Times New Roman"/>
          <w:b/>
          <w:bCs/>
        </w:rPr>
        <w:t>Acknowledgements</w:t>
      </w:r>
      <w:r w:rsidRPr="00D767D3">
        <w:rPr>
          <w:rFonts w:ascii="Times New Roman" w:hAnsi="Times New Roman" w:cs="Times New Roman"/>
        </w:rPr>
        <w:t xml:space="preserve"> </w:t>
      </w:r>
    </w:p>
    <w:p w14:paraId="45C9D21F" w14:textId="77777777" w:rsidR="002B1701" w:rsidRDefault="002B1701" w:rsidP="002B1701">
      <w:pPr>
        <w:rPr>
          <w:rFonts w:ascii="Times New Roman" w:hAnsi="Times New Roman" w:cs="Times New Roman"/>
        </w:rPr>
      </w:pPr>
      <w:r w:rsidRPr="00D767D3">
        <w:rPr>
          <w:rFonts w:ascii="Times New Roman" w:hAnsi="Times New Roman" w:cs="Times New Roman"/>
        </w:rPr>
        <w:t>None.</w:t>
      </w:r>
    </w:p>
    <w:p w14:paraId="6A8EC919" w14:textId="77777777" w:rsidR="002B1701" w:rsidRPr="0083418E" w:rsidRDefault="002B1701" w:rsidP="002B1701">
      <w:pPr>
        <w:spacing w:after="0"/>
        <w:rPr>
          <w:rFonts w:ascii="Times New Roman" w:hAnsi="Times New Roman" w:cs="Times New Roman"/>
          <w:b/>
          <w:bCs/>
        </w:rPr>
      </w:pPr>
      <w:r w:rsidRPr="004F6795">
        <w:rPr>
          <w:rFonts w:ascii="Times New Roman" w:hAnsi="Times New Roman" w:cs="Times New Roman"/>
          <w:b/>
          <w:bCs/>
        </w:rPr>
        <w:t>Disclaimer (Artificial intelligence)</w:t>
      </w:r>
    </w:p>
    <w:p w14:paraId="02C5BC1F" w14:textId="77777777" w:rsidR="002B1701" w:rsidRPr="00D767D3" w:rsidRDefault="002B1701" w:rsidP="002B1701">
      <w:pPr>
        <w:rPr>
          <w:rFonts w:ascii="Times New Roman" w:hAnsi="Times New Roman" w:cs="Times New Roman"/>
        </w:rPr>
      </w:pPr>
      <w:r w:rsidRPr="004F6795">
        <w:rPr>
          <w:rFonts w:ascii="Times New Roman" w:hAnsi="Times New Roman" w:cs="Times New Roman"/>
        </w:rPr>
        <w:lastRenderedPageBreak/>
        <w:t>Authors hereby declare that NO generative AI technologies such as Large Language Models (ChatGPT, COPILOT, etc.) and text-to-image generators have been used during the writing or editing of this manuscript.</w:t>
      </w:r>
    </w:p>
    <w:p w14:paraId="76CEA449" w14:textId="77777777" w:rsidR="002B1701" w:rsidRPr="00D767D3" w:rsidRDefault="002B1701" w:rsidP="002B1701">
      <w:pPr>
        <w:rPr>
          <w:rFonts w:ascii="Times New Roman" w:hAnsi="Times New Roman" w:cs="Times New Roman"/>
        </w:rPr>
      </w:pPr>
      <w:r w:rsidRPr="00D767D3">
        <w:rPr>
          <w:rFonts w:ascii="Times New Roman" w:hAnsi="Times New Roman" w:cs="Times New Roman"/>
          <w:b/>
          <w:bCs/>
        </w:rPr>
        <w:t>References</w:t>
      </w:r>
    </w:p>
    <w:p w14:paraId="7081791C" w14:textId="77777777" w:rsidR="002B1701" w:rsidRPr="00D767D3" w:rsidRDefault="002B1701" w:rsidP="002B1701">
      <w:pPr>
        <w:numPr>
          <w:ilvl w:val="0"/>
          <w:numId w:val="3"/>
        </w:numPr>
        <w:rPr>
          <w:rFonts w:ascii="Times New Roman" w:hAnsi="Times New Roman" w:cs="Times New Roman"/>
        </w:rPr>
      </w:pPr>
      <w:r w:rsidRPr="00D767D3">
        <w:rPr>
          <w:rFonts w:ascii="Times New Roman" w:hAnsi="Times New Roman" w:cs="Times New Roman"/>
        </w:rPr>
        <w:t xml:space="preserve">Khan W, Kazi N, Ali H, et al. Spindle cell carcinoma of the lung with myogenic differentiation in a young female patient: a rare case report. Ann Med </w:t>
      </w:r>
      <w:proofErr w:type="spellStart"/>
      <w:r w:rsidRPr="00D767D3">
        <w:rPr>
          <w:rFonts w:ascii="Times New Roman" w:hAnsi="Times New Roman" w:cs="Times New Roman"/>
        </w:rPr>
        <w:t>Surg</w:t>
      </w:r>
      <w:proofErr w:type="spellEnd"/>
      <w:r w:rsidRPr="00D767D3">
        <w:rPr>
          <w:rFonts w:ascii="Times New Roman" w:hAnsi="Times New Roman" w:cs="Times New Roman"/>
        </w:rPr>
        <w:t xml:space="preserve"> (Lond). 2025;87:4532-4535.</w:t>
      </w:r>
    </w:p>
    <w:p w14:paraId="32100A01" w14:textId="77777777" w:rsidR="002B1701" w:rsidRPr="00D767D3" w:rsidRDefault="002B1701" w:rsidP="002B1701">
      <w:pPr>
        <w:numPr>
          <w:ilvl w:val="0"/>
          <w:numId w:val="3"/>
        </w:numPr>
        <w:rPr>
          <w:rFonts w:ascii="Times New Roman" w:hAnsi="Times New Roman" w:cs="Times New Roman"/>
        </w:rPr>
      </w:pPr>
      <w:r w:rsidRPr="00D767D3">
        <w:rPr>
          <w:rFonts w:ascii="Times New Roman" w:hAnsi="Times New Roman" w:cs="Times New Roman"/>
        </w:rPr>
        <w:t xml:space="preserve">Chen M, Li X, Feng X. Case report: Brachial plexopathy caused by malignant peripheral nerve sheath </w:t>
      </w:r>
      <w:proofErr w:type="spellStart"/>
      <w:r w:rsidRPr="00D767D3">
        <w:rPr>
          <w:rFonts w:ascii="Times New Roman" w:hAnsi="Times New Roman" w:cs="Times New Roman"/>
        </w:rPr>
        <w:t>tumor</w:t>
      </w:r>
      <w:proofErr w:type="spellEnd"/>
      <w:r w:rsidRPr="00D767D3">
        <w:rPr>
          <w:rFonts w:ascii="Times New Roman" w:hAnsi="Times New Roman" w:cs="Times New Roman"/>
        </w:rPr>
        <w:t xml:space="preserve"> and review of the literature. Front Neurol. 2023;14:1056341.</w:t>
      </w:r>
    </w:p>
    <w:p w14:paraId="2C5C9252" w14:textId="77777777" w:rsidR="002B1701" w:rsidRPr="00D767D3" w:rsidRDefault="002B1701" w:rsidP="002B1701">
      <w:pPr>
        <w:numPr>
          <w:ilvl w:val="0"/>
          <w:numId w:val="3"/>
        </w:numPr>
        <w:rPr>
          <w:rFonts w:ascii="Times New Roman" w:hAnsi="Times New Roman" w:cs="Times New Roman"/>
        </w:rPr>
      </w:pPr>
      <w:r w:rsidRPr="00D767D3">
        <w:rPr>
          <w:rFonts w:ascii="Times New Roman" w:hAnsi="Times New Roman" w:cs="Times New Roman"/>
        </w:rPr>
        <w:t>Kori SH. Diagnosis and Management of Brachial Plexus Lesions in Cancer Patients. Oncology. 1995;9.</w:t>
      </w:r>
    </w:p>
    <w:p w14:paraId="766611FA" w14:textId="77777777" w:rsidR="002B1701" w:rsidRPr="00D767D3" w:rsidRDefault="002B1701" w:rsidP="002B1701">
      <w:pPr>
        <w:numPr>
          <w:ilvl w:val="0"/>
          <w:numId w:val="3"/>
        </w:numPr>
        <w:rPr>
          <w:rFonts w:ascii="Times New Roman" w:hAnsi="Times New Roman" w:cs="Times New Roman"/>
        </w:rPr>
      </w:pPr>
      <w:r w:rsidRPr="00D767D3">
        <w:rPr>
          <w:rFonts w:ascii="Times New Roman" w:hAnsi="Times New Roman" w:cs="Times New Roman"/>
        </w:rPr>
        <w:t xml:space="preserve">Kim YS, et al. A rare case of metastatic brachial plexopathy as an initial presentation of recurrent breast cancer mimicking shoulder disorder and peripheral nerve entrapment – A case report. </w:t>
      </w:r>
      <w:proofErr w:type="spellStart"/>
      <w:r w:rsidRPr="00D767D3">
        <w:rPr>
          <w:rFonts w:ascii="Times New Roman" w:hAnsi="Times New Roman" w:cs="Times New Roman"/>
        </w:rPr>
        <w:t>Anesth</w:t>
      </w:r>
      <w:proofErr w:type="spellEnd"/>
      <w:r w:rsidRPr="00D767D3">
        <w:rPr>
          <w:rFonts w:ascii="Times New Roman" w:hAnsi="Times New Roman" w:cs="Times New Roman"/>
        </w:rPr>
        <w:t xml:space="preserve"> Pain Med (Seoul). 2025;20(3):246–251.</w:t>
      </w:r>
    </w:p>
    <w:p w14:paraId="44CC9AE2" w14:textId="77777777" w:rsidR="002B1701" w:rsidRPr="00D767D3" w:rsidRDefault="002B1701" w:rsidP="002B1701">
      <w:pPr>
        <w:numPr>
          <w:ilvl w:val="0"/>
          <w:numId w:val="3"/>
        </w:numPr>
        <w:rPr>
          <w:rFonts w:ascii="Times New Roman" w:hAnsi="Times New Roman" w:cs="Times New Roman"/>
        </w:rPr>
      </w:pPr>
      <w:r w:rsidRPr="7F2B7081">
        <w:rPr>
          <w:rFonts w:ascii="Times New Roman" w:hAnsi="Times New Roman" w:cs="Times New Roman"/>
        </w:rPr>
        <w:t xml:space="preserve">Sharma A, et al. A post-surgical neurological complication after upper limb surgery under interscalene block: A case report. JCA Advances. </w:t>
      </w:r>
      <w:bookmarkStart w:id="0" w:name="_Int_ztHyXBAE"/>
      <w:r w:rsidRPr="7F2B7081">
        <w:rPr>
          <w:rFonts w:ascii="Times New Roman" w:hAnsi="Times New Roman" w:cs="Times New Roman"/>
        </w:rPr>
        <w:t>2025;2:10088</w:t>
      </w:r>
      <w:bookmarkEnd w:id="0"/>
      <w:r w:rsidRPr="7F2B7081">
        <w:rPr>
          <w:rFonts w:ascii="Times New Roman" w:hAnsi="Times New Roman" w:cs="Times New Roman"/>
        </w:rPr>
        <w:t>.</w:t>
      </w:r>
    </w:p>
    <w:p w14:paraId="785E9BB3" w14:textId="77777777" w:rsidR="002B1701" w:rsidRDefault="002B1701" w:rsidP="002B1701">
      <w:pPr>
        <w:numPr>
          <w:ilvl w:val="0"/>
          <w:numId w:val="3"/>
        </w:numPr>
        <w:rPr>
          <w:rFonts w:ascii="Times New Roman" w:hAnsi="Times New Roman" w:cs="Times New Roman"/>
        </w:rPr>
      </w:pPr>
      <w:r w:rsidRPr="7F2B7081">
        <w:rPr>
          <w:rFonts w:ascii="Times New Roman" w:hAnsi="Times New Roman" w:cs="Times New Roman"/>
        </w:rPr>
        <w:t xml:space="preserve">Franz CK, et al. Soft tissue sarcoma affecting the right shoulder of a man with paraplegia from a remote traumatic spinal cord injury: a case report. Spinal Cord Ser Cases. </w:t>
      </w:r>
      <w:bookmarkStart w:id="1" w:name="_Int_tFliu3v0"/>
      <w:r w:rsidRPr="7F2B7081">
        <w:rPr>
          <w:rFonts w:ascii="Times New Roman" w:hAnsi="Times New Roman" w:cs="Times New Roman"/>
        </w:rPr>
        <w:t>2018;4:55</w:t>
      </w:r>
      <w:bookmarkEnd w:id="1"/>
      <w:r w:rsidRPr="7F2B7081">
        <w:rPr>
          <w:rFonts w:ascii="Times New Roman" w:hAnsi="Times New Roman" w:cs="Times New Roman"/>
        </w:rPr>
        <w:t>.</w:t>
      </w:r>
    </w:p>
    <w:p w14:paraId="60882CCB" w14:textId="77777777" w:rsidR="002B1701" w:rsidRPr="00556BAD" w:rsidRDefault="002B1701" w:rsidP="002B1701">
      <w:pPr>
        <w:numPr>
          <w:ilvl w:val="0"/>
          <w:numId w:val="3"/>
        </w:numPr>
        <w:rPr>
          <w:rFonts w:ascii="Times New Roman" w:hAnsi="Times New Roman" w:cs="Times New Roman"/>
        </w:rPr>
      </w:pPr>
      <w:r w:rsidRPr="00556BAD">
        <w:rPr>
          <w:rFonts w:ascii="Times New Roman" w:hAnsi="Times New Roman" w:cs="Times New Roman"/>
        </w:rPr>
        <w:t xml:space="preserve">Sobiech L, </w:t>
      </w:r>
      <w:proofErr w:type="spellStart"/>
      <w:r w:rsidRPr="00556BAD">
        <w:rPr>
          <w:rFonts w:ascii="Times New Roman" w:hAnsi="Times New Roman" w:cs="Times New Roman"/>
        </w:rPr>
        <w:t>Zawadka</w:t>
      </w:r>
      <w:proofErr w:type="spellEnd"/>
      <w:r w:rsidRPr="00556BAD">
        <w:rPr>
          <w:rFonts w:ascii="Times New Roman" w:hAnsi="Times New Roman" w:cs="Times New Roman"/>
        </w:rPr>
        <w:t xml:space="preserve"> M, Dolina A. Spindle cell carcinoma in the maxilla: an uncommon aggressive malignancy – case report. J Pre-Clin Clin Res. 2023;17(4):231-234.</w:t>
      </w:r>
    </w:p>
    <w:p w14:paraId="632B50DE" w14:textId="77777777" w:rsidR="002B1701" w:rsidRDefault="002B1701" w:rsidP="002B1701">
      <w:pPr>
        <w:numPr>
          <w:ilvl w:val="0"/>
          <w:numId w:val="3"/>
        </w:numPr>
        <w:rPr>
          <w:rFonts w:ascii="Times New Roman" w:hAnsi="Times New Roman" w:cs="Times New Roman"/>
        </w:rPr>
      </w:pPr>
      <w:r w:rsidRPr="00556BAD">
        <w:rPr>
          <w:rFonts w:ascii="Times New Roman" w:hAnsi="Times New Roman" w:cs="Times New Roman"/>
        </w:rPr>
        <w:t xml:space="preserve">Jivani A, Shinde R, Jogdand S, Mavani D, Pande A. Infraclavicular Spindle Cell Haemangioendothelioma Mimicking Peripheral Nerve Sheath Tumour: A Case Report. J Clin </w:t>
      </w:r>
      <w:proofErr w:type="spellStart"/>
      <w:r w:rsidRPr="00556BAD">
        <w:rPr>
          <w:rFonts w:ascii="Times New Roman" w:hAnsi="Times New Roman" w:cs="Times New Roman"/>
        </w:rPr>
        <w:t>Diagn</w:t>
      </w:r>
      <w:proofErr w:type="spellEnd"/>
      <w:r w:rsidRPr="00556BAD">
        <w:rPr>
          <w:rFonts w:ascii="Times New Roman" w:hAnsi="Times New Roman" w:cs="Times New Roman"/>
        </w:rPr>
        <w:t xml:space="preserve"> Res. 2025;19(10):PD01-PD03.</w:t>
      </w:r>
    </w:p>
    <w:p w14:paraId="0FCA4EC9" w14:textId="77777777" w:rsidR="002B1701" w:rsidRPr="00E003C5" w:rsidRDefault="002B1701" w:rsidP="002B1701">
      <w:pPr>
        <w:numPr>
          <w:ilvl w:val="0"/>
          <w:numId w:val="3"/>
        </w:numPr>
        <w:rPr>
          <w:rFonts w:ascii="Times New Roman" w:hAnsi="Times New Roman" w:cs="Times New Roman"/>
        </w:rPr>
      </w:pPr>
      <w:r w:rsidRPr="00E003C5">
        <w:rPr>
          <w:rFonts w:ascii="Times New Roman" w:hAnsi="Times New Roman" w:cs="Times New Roman"/>
        </w:rPr>
        <w:t>Lederman RJ, Wilbourn AJ. Brachial plexopathy: recurrent cancer or radiation? Neurology. 1984;34(10):1331–1335.</w:t>
      </w:r>
    </w:p>
    <w:p w14:paraId="5F3D2B57" w14:textId="77777777" w:rsidR="002B1701" w:rsidRPr="00E003C5" w:rsidRDefault="002B1701" w:rsidP="002B1701">
      <w:pPr>
        <w:numPr>
          <w:ilvl w:val="0"/>
          <w:numId w:val="3"/>
        </w:numPr>
        <w:rPr>
          <w:rFonts w:ascii="Times New Roman" w:hAnsi="Times New Roman" w:cs="Times New Roman"/>
        </w:rPr>
      </w:pPr>
      <w:r w:rsidRPr="00E003C5">
        <w:rPr>
          <w:rFonts w:ascii="Times New Roman" w:hAnsi="Times New Roman" w:cs="Times New Roman"/>
        </w:rPr>
        <w:t xml:space="preserve">Thompson SM, Bhavsar A, Stanson A, et al. Frequency and outcome of neoplastic brachial plexopathy: single institution experience. Br J </w:t>
      </w:r>
      <w:proofErr w:type="spellStart"/>
      <w:r w:rsidRPr="00E003C5">
        <w:rPr>
          <w:rFonts w:ascii="Times New Roman" w:hAnsi="Times New Roman" w:cs="Times New Roman"/>
        </w:rPr>
        <w:t>Neurosurg</w:t>
      </w:r>
      <w:proofErr w:type="spellEnd"/>
      <w:r w:rsidRPr="00E003C5">
        <w:rPr>
          <w:rFonts w:ascii="Times New Roman" w:hAnsi="Times New Roman" w:cs="Times New Roman"/>
        </w:rPr>
        <w:t>. 2011;25(3):362–365.</w:t>
      </w:r>
    </w:p>
    <w:p w14:paraId="2F8B2C33" w14:textId="69C1DDA1" w:rsidR="00BC7EAD" w:rsidRPr="002B1701" w:rsidRDefault="002B1701" w:rsidP="002B1701">
      <w:pPr>
        <w:numPr>
          <w:ilvl w:val="0"/>
          <w:numId w:val="3"/>
        </w:numPr>
        <w:rPr>
          <w:rFonts w:ascii="Times New Roman" w:hAnsi="Times New Roman" w:cs="Times New Roman"/>
        </w:rPr>
      </w:pPr>
      <w:r w:rsidRPr="003C06B1">
        <w:rPr>
          <w:rFonts w:ascii="Times New Roman" w:hAnsi="Times New Roman" w:cs="Times New Roman"/>
        </w:rPr>
        <w:t>Iyer NG, Clark JR, Ashford BG, et al. Spindle cell carcinoma of the head and neck: the western experience. ANZ J Surg. 2010;80(5):337–341.</w:t>
      </w:r>
    </w:p>
    <w:sectPr w:rsidR="00BC7EAD" w:rsidRPr="002B1701" w:rsidSect="00D01271">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E574A" w14:textId="77777777" w:rsidR="00A733AE" w:rsidRDefault="00A733AE" w:rsidP="0008739D">
      <w:pPr>
        <w:spacing w:after="0" w:line="240" w:lineRule="auto"/>
      </w:pPr>
      <w:r>
        <w:separator/>
      </w:r>
    </w:p>
  </w:endnote>
  <w:endnote w:type="continuationSeparator" w:id="0">
    <w:p w14:paraId="2473835D" w14:textId="77777777" w:rsidR="00A733AE" w:rsidRDefault="00A733AE" w:rsidP="00087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7115" w14:textId="77777777" w:rsidR="0008739D" w:rsidRDefault="00087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33E04" w14:textId="77777777" w:rsidR="0008739D" w:rsidRDefault="000873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E5CF6" w14:textId="77777777" w:rsidR="0008739D" w:rsidRDefault="00087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39DB8" w14:textId="77777777" w:rsidR="00A733AE" w:rsidRDefault="00A733AE" w:rsidP="0008739D">
      <w:pPr>
        <w:spacing w:after="0" w:line="240" w:lineRule="auto"/>
      </w:pPr>
      <w:r>
        <w:separator/>
      </w:r>
    </w:p>
  </w:footnote>
  <w:footnote w:type="continuationSeparator" w:id="0">
    <w:p w14:paraId="4D5B43C9" w14:textId="77777777" w:rsidR="00A733AE" w:rsidRDefault="00A733AE" w:rsidP="00087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3901" w14:textId="7191043E" w:rsidR="0008739D" w:rsidRDefault="00000000">
    <w:pPr>
      <w:pStyle w:val="Header"/>
    </w:pPr>
    <w:r>
      <w:rPr>
        <w:noProof/>
      </w:rPr>
      <w:pict w14:anchorId="7778D5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649891" o:spid="_x0000_s1026" type="#_x0000_t136" style="position:absolute;margin-left:0;margin-top:0;width:638.85pt;height:12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81E2" w14:textId="2BF72A05" w:rsidR="0008739D" w:rsidRDefault="00000000">
    <w:pPr>
      <w:pStyle w:val="Header"/>
    </w:pPr>
    <w:r>
      <w:rPr>
        <w:noProof/>
      </w:rPr>
      <w:pict w14:anchorId="7618AE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649892" o:spid="_x0000_s1027" type="#_x0000_t136" style="position:absolute;margin-left:0;margin-top:0;width:638.85pt;height:12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7B96" w14:textId="6241D7D0" w:rsidR="0008739D" w:rsidRDefault="00000000">
    <w:pPr>
      <w:pStyle w:val="Header"/>
    </w:pPr>
    <w:r>
      <w:rPr>
        <w:noProof/>
      </w:rPr>
      <w:pict w14:anchorId="7A6DD2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649890" o:spid="_x0000_s1025" type="#_x0000_t136" style="position:absolute;margin-left:0;margin-top:0;width:638.85pt;height:12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4753"/>
    <w:multiLevelType w:val="multilevel"/>
    <w:tmpl w:val="1CB01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DA6A44"/>
    <w:multiLevelType w:val="hybridMultilevel"/>
    <w:tmpl w:val="F0A8E1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9D664A5"/>
    <w:multiLevelType w:val="multilevel"/>
    <w:tmpl w:val="D982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E2DFF"/>
    <w:multiLevelType w:val="multilevel"/>
    <w:tmpl w:val="B718B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8A7848"/>
    <w:multiLevelType w:val="hybridMultilevel"/>
    <w:tmpl w:val="7854C5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21594554">
    <w:abstractNumId w:val="4"/>
  </w:num>
  <w:num w:numId="2" w16cid:durableId="768813196">
    <w:abstractNumId w:val="1"/>
  </w:num>
  <w:num w:numId="3" w16cid:durableId="1134104500">
    <w:abstractNumId w:val="3"/>
  </w:num>
  <w:num w:numId="4" w16cid:durableId="1707825582">
    <w:abstractNumId w:val="2"/>
  </w:num>
  <w:num w:numId="5" w16cid:durableId="565459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2FB"/>
    <w:rsid w:val="0000093A"/>
    <w:rsid w:val="000567E9"/>
    <w:rsid w:val="0008739D"/>
    <w:rsid w:val="000F1126"/>
    <w:rsid w:val="001125A7"/>
    <w:rsid w:val="00123A03"/>
    <w:rsid w:val="00180439"/>
    <w:rsid w:val="00197828"/>
    <w:rsid w:val="001C4768"/>
    <w:rsid w:val="001D71C4"/>
    <w:rsid w:val="00216229"/>
    <w:rsid w:val="00225FE0"/>
    <w:rsid w:val="00234925"/>
    <w:rsid w:val="00235EA9"/>
    <w:rsid w:val="00294F08"/>
    <w:rsid w:val="002A57A5"/>
    <w:rsid w:val="002B1701"/>
    <w:rsid w:val="002F5F2C"/>
    <w:rsid w:val="003165E3"/>
    <w:rsid w:val="00364653"/>
    <w:rsid w:val="00370F48"/>
    <w:rsid w:val="00456745"/>
    <w:rsid w:val="004A205F"/>
    <w:rsid w:val="0053687E"/>
    <w:rsid w:val="00553D4F"/>
    <w:rsid w:val="0056764A"/>
    <w:rsid w:val="005747A2"/>
    <w:rsid w:val="00692628"/>
    <w:rsid w:val="00693138"/>
    <w:rsid w:val="006E36E5"/>
    <w:rsid w:val="006F3A02"/>
    <w:rsid w:val="00701DE0"/>
    <w:rsid w:val="007D4354"/>
    <w:rsid w:val="00834C04"/>
    <w:rsid w:val="008979B8"/>
    <w:rsid w:val="008E0578"/>
    <w:rsid w:val="009059F0"/>
    <w:rsid w:val="00932261"/>
    <w:rsid w:val="009555D7"/>
    <w:rsid w:val="00956760"/>
    <w:rsid w:val="00A733AE"/>
    <w:rsid w:val="00AC7D93"/>
    <w:rsid w:val="00AE0750"/>
    <w:rsid w:val="00B24EDB"/>
    <w:rsid w:val="00B31F32"/>
    <w:rsid w:val="00B66CDE"/>
    <w:rsid w:val="00BA0F55"/>
    <w:rsid w:val="00BC7858"/>
    <w:rsid w:val="00BC7EAD"/>
    <w:rsid w:val="00BE32FB"/>
    <w:rsid w:val="00BF14BB"/>
    <w:rsid w:val="00C42EE7"/>
    <w:rsid w:val="00D01271"/>
    <w:rsid w:val="00D30556"/>
    <w:rsid w:val="00E0001E"/>
    <w:rsid w:val="00E83A5B"/>
    <w:rsid w:val="00E95A93"/>
    <w:rsid w:val="00F239B7"/>
    <w:rsid w:val="00F60BD5"/>
    <w:rsid w:val="00FC1890"/>
    <w:rsid w:val="00FC4F4B"/>
    <w:rsid w:val="00FD2CEC"/>
    <w:rsid w:val="00FD70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1217E"/>
  <w15:chartTrackingRefBased/>
  <w15:docId w15:val="{C907EF6F-6723-4F33-B31A-9DCC6FE1C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701"/>
  </w:style>
  <w:style w:type="paragraph" w:styleId="Heading1">
    <w:name w:val="heading 1"/>
    <w:basedOn w:val="Normal"/>
    <w:next w:val="Normal"/>
    <w:link w:val="Heading1Char"/>
    <w:uiPriority w:val="9"/>
    <w:qFormat/>
    <w:rsid w:val="00BE32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32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32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32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32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3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2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32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32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32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32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3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2FB"/>
    <w:rPr>
      <w:rFonts w:eastAsiaTheme="majorEastAsia" w:cstheme="majorBidi"/>
      <w:color w:val="272727" w:themeColor="text1" w:themeTint="D8"/>
    </w:rPr>
  </w:style>
  <w:style w:type="paragraph" w:styleId="Title">
    <w:name w:val="Title"/>
    <w:basedOn w:val="Normal"/>
    <w:next w:val="Normal"/>
    <w:link w:val="TitleChar"/>
    <w:uiPriority w:val="10"/>
    <w:qFormat/>
    <w:rsid w:val="00BE3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2FB"/>
    <w:pPr>
      <w:spacing w:before="160"/>
      <w:jc w:val="center"/>
    </w:pPr>
    <w:rPr>
      <w:i/>
      <w:iCs/>
      <w:color w:val="404040" w:themeColor="text1" w:themeTint="BF"/>
    </w:rPr>
  </w:style>
  <w:style w:type="character" w:customStyle="1" w:styleId="QuoteChar">
    <w:name w:val="Quote Char"/>
    <w:basedOn w:val="DefaultParagraphFont"/>
    <w:link w:val="Quote"/>
    <w:uiPriority w:val="29"/>
    <w:rsid w:val="00BE32FB"/>
    <w:rPr>
      <w:i/>
      <w:iCs/>
      <w:color w:val="404040" w:themeColor="text1" w:themeTint="BF"/>
    </w:rPr>
  </w:style>
  <w:style w:type="paragraph" w:styleId="ListParagraph">
    <w:name w:val="List Paragraph"/>
    <w:basedOn w:val="Normal"/>
    <w:uiPriority w:val="34"/>
    <w:qFormat/>
    <w:rsid w:val="00BE32FB"/>
    <w:pPr>
      <w:ind w:left="720"/>
      <w:contextualSpacing/>
    </w:pPr>
  </w:style>
  <w:style w:type="character" w:styleId="IntenseEmphasis">
    <w:name w:val="Intense Emphasis"/>
    <w:basedOn w:val="DefaultParagraphFont"/>
    <w:uiPriority w:val="21"/>
    <w:qFormat/>
    <w:rsid w:val="00BE32FB"/>
    <w:rPr>
      <w:i/>
      <w:iCs/>
      <w:color w:val="2F5496" w:themeColor="accent1" w:themeShade="BF"/>
    </w:rPr>
  </w:style>
  <w:style w:type="paragraph" w:styleId="IntenseQuote">
    <w:name w:val="Intense Quote"/>
    <w:basedOn w:val="Normal"/>
    <w:next w:val="Normal"/>
    <w:link w:val="IntenseQuoteChar"/>
    <w:uiPriority w:val="30"/>
    <w:qFormat/>
    <w:rsid w:val="00BE32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32FB"/>
    <w:rPr>
      <w:i/>
      <w:iCs/>
      <w:color w:val="2F5496" w:themeColor="accent1" w:themeShade="BF"/>
    </w:rPr>
  </w:style>
  <w:style w:type="character" w:styleId="IntenseReference">
    <w:name w:val="Intense Reference"/>
    <w:basedOn w:val="DefaultParagraphFont"/>
    <w:uiPriority w:val="32"/>
    <w:qFormat/>
    <w:rsid w:val="00BE32FB"/>
    <w:rPr>
      <w:b/>
      <w:bCs/>
      <w:smallCaps/>
      <w:color w:val="2F5496" w:themeColor="accent1" w:themeShade="BF"/>
      <w:spacing w:val="5"/>
    </w:rPr>
  </w:style>
  <w:style w:type="table" w:styleId="TableGrid">
    <w:name w:val="Table Grid"/>
    <w:basedOn w:val="TableNormal"/>
    <w:uiPriority w:val="39"/>
    <w:rsid w:val="00AC7D93"/>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7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39D"/>
  </w:style>
  <w:style w:type="paragraph" w:styleId="Footer">
    <w:name w:val="footer"/>
    <w:basedOn w:val="Normal"/>
    <w:link w:val="FooterChar"/>
    <w:uiPriority w:val="99"/>
    <w:unhideWhenUsed/>
    <w:rsid w:val="00087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39D"/>
  </w:style>
  <w:style w:type="paragraph" w:styleId="NoSpacing">
    <w:name w:val="No Spacing"/>
    <w:uiPriority w:val="1"/>
    <w:qFormat/>
    <w:rsid w:val="00216229"/>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2093</Words>
  <Characters>11934</Characters>
  <Application>Microsoft Office Word</Application>
  <DocSecurity>0</DocSecurity>
  <Lines>99</Lines>
  <Paragraphs>27</Paragraphs>
  <ScaleCrop>false</ScaleCrop>
  <Company/>
  <LinksUpToDate>false</LinksUpToDate>
  <CharactersWithSpaces>14000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Luqman Bin Fahad</dc:creator>
  <cp:keywords/>
  <dc:description/>
  <cp:lastModifiedBy>Luqman Bin Fahad</cp:lastModifiedBy>
  <cp:revision>18</cp:revision>
  <dcterms:created xsi:type="dcterms:W3CDTF">2026-04-08T09:48:00Z</dcterms:created>
  <dcterms:modified xsi:type="dcterms:W3CDTF">2026-04-13T15:26:00Z</dcterms:modified>
</cp:coreProperties>
</file>