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8766E67">
      <w:pPr>
        <w:jc w:val="both"/>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 xml:space="preserve">A systematic review of factors </w:t>
      </w:r>
      <w:bookmarkStart w:id="0" w:name="_Hlk226711986"/>
      <w:r>
        <w:rPr>
          <w:rFonts w:ascii="Times New Roman" w:hAnsi="Times New Roman" w:eastAsia="Times New Roman" w:cs="Times New Roman"/>
          <w:b/>
          <w:bCs/>
          <w:sz w:val="24"/>
          <w:szCs w:val="24"/>
        </w:rPr>
        <w:t xml:space="preserve">affecting uptake of contraception amongst adolescents </w:t>
      </w:r>
      <w:bookmarkEnd w:id="0"/>
      <w:r>
        <w:rPr>
          <w:rFonts w:ascii="Times New Roman" w:hAnsi="Times New Roman" w:eastAsia="Times New Roman" w:cs="Times New Roman"/>
          <w:b/>
          <w:bCs/>
          <w:sz w:val="24"/>
          <w:szCs w:val="24"/>
        </w:rPr>
        <w:t>in Nigeria</w:t>
      </w:r>
    </w:p>
    <w:p w14:paraId="72764EB1">
      <w:pPr>
        <w:jc w:val="both"/>
        <w:rPr>
          <w:rFonts w:ascii="Times New Roman" w:hAnsi="Times New Roman" w:eastAsia="Times New Roman" w:cs="Times New Roman"/>
          <w:sz w:val="24"/>
          <w:szCs w:val="24"/>
        </w:rPr>
      </w:pPr>
    </w:p>
    <w:p w14:paraId="4666F11B">
      <w:pPr>
        <w:jc w:val="both"/>
        <w:rPr>
          <w:rFonts w:ascii="Times New Roman" w:hAnsi="Times New Roman" w:eastAsia="Times New Roman" w:cs="Times New Roman"/>
          <w:sz w:val="24"/>
          <w:szCs w:val="24"/>
        </w:rPr>
      </w:pPr>
    </w:p>
    <w:p w14:paraId="5B79F299">
      <w:pPr>
        <w:jc w:val="both"/>
        <w:rPr>
          <w:rFonts w:ascii="Times New Roman" w:hAnsi="Times New Roman" w:eastAsia="Times New Roman" w:cs="Times New Roman"/>
          <w:sz w:val="24"/>
          <w:szCs w:val="24"/>
        </w:rPr>
      </w:pPr>
    </w:p>
    <w:p w14:paraId="705CC9EC">
      <w:pPr>
        <w:jc w:val="both"/>
        <w:rPr>
          <w:rFonts w:hint="default" w:ascii="Times New Roman" w:hAnsi="Times New Roman" w:eastAsia="Times New Roman" w:cs="Times New Roman"/>
          <w:b/>
          <w:bCs/>
          <w:sz w:val="24"/>
          <w:szCs w:val="24"/>
        </w:rPr>
      </w:pPr>
      <w:r>
        <w:rPr>
          <w:rFonts w:hint="default" w:ascii="Times New Roman" w:hAnsi="Times New Roman" w:eastAsia="Times New Roman" w:cs="Times New Roman"/>
          <w:b/>
          <w:bCs/>
          <w:sz w:val="24"/>
          <w:szCs w:val="24"/>
        </w:rPr>
        <w:t xml:space="preserve">ABSTRACT </w:t>
      </w:r>
    </w:p>
    <w:p w14:paraId="32BB439E">
      <w:pPr>
        <w:jc w:val="both"/>
        <w:rPr>
          <w:rFonts w:hint="default" w:ascii="Times New Roman" w:hAnsi="Times New Roman" w:eastAsia="Times New Roman" w:cs="Times New Roman"/>
          <w:sz w:val="24"/>
          <w:szCs w:val="24"/>
        </w:rPr>
      </w:pPr>
      <w:r>
        <w:rPr>
          <w:rFonts w:hint="default" w:ascii="Times New Roman" w:hAnsi="Times New Roman" w:eastAsia="Times New Roman" w:cs="Times New Roman"/>
          <w:sz w:val="24"/>
          <w:szCs w:val="24"/>
        </w:rPr>
        <w:br w:type="textWrapping"/>
      </w:r>
      <w:r>
        <w:rPr>
          <w:rFonts w:hint="default" w:ascii="Times New Roman" w:hAnsi="Times New Roman" w:eastAsia="Times New Roman" w:cs="Times New Roman"/>
          <w:b/>
          <w:bCs/>
          <w:sz w:val="24"/>
          <w:szCs w:val="24"/>
        </w:rPr>
        <w:t xml:space="preserve">Background: </w:t>
      </w:r>
      <w:r>
        <w:rPr>
          <w:rFonts w:hint="default" w:ascii="Times New Roman" w:hAnsi="Times New Roman" w:eastAsia="SimSun" w:cs="Times New Roman"/>
          <w:sz w:val="24"/>
          <w:szCs w:val="24"/>
        </w:rPr>
        <w:t>Adolescent contraceptive uptake remains a major public health concern in Nigeria, where high rates of unintended pregnancy contribute to adverse health, educational, and socioeconomic outcomes. Despite widespread awareness of contraceptive methods, utilization among adolescents remains low, suggesting the influence of multiple interacting factors</w:t>
      </w:r>
      <w:r>
        <w:rPr>
          <w:rFonts w:hint="default" w:ascii="Times New Roman" w:hAnsi="Times New Roman" w:eastAsia="Times New Roman" w:cs="Times New Roman"/>
          <w:sz w:val="24"/>
          <w:szCs w:val="24"/>
        </w:rPr>
        <w:t>.</w:t>
      </w:r>
    </w:p>
    <w:p w14:paraId="551DD8FE">
      <w:pPr>
        <w:spacing w:before="240" w:after="240"/>
        <w:jc w:val="both"/>
        <w:rPr>
          <w:rFonts w:hint="default" w:ascii="Times New Roman" w:hAnsi="Times New Roman" w:eastAsia="Times New Roman" w:cs="Times New Roman"/>
          <w:sz w:val="24"/>
          <w:szCs w:val="24"/>
          <w:lang w:val="en-US"/>
        </w:rPr>
      </w:pPr>
      <w:r>
        <w:rPr>
          <w:rFonts w:hint="default" w:ascii="Times New Roman" w:hAnsi="Times New Roman" w:eastAsia="Times New Roman" w:cs="Times New Roman"/>
          <w:b/>
          <w:bCs/>
          <w:sz w:val="24"/>
          <w:szCs w:val="24"/>
        </w:rPr>
        <w:t xml:space="preserve">Objective: </w:t>
      </w:r>
      <w:r>
        <w:rPr>
          <w:rFonts w:hint="default" w:ascii="Times New Roman" w:hAnsi="Times New Roman" w:eastAsia="SimSun" w:cs="Times New Roman"/>
          <w:sz w:val="24"/>
          <w:szCs w:val="24"/>
        </w:rPr>
        <w:t>This study aimed to systematically review the factors affecting contraceptive uptake among adolescents in Nigeria</w:t>
      </w:r>
      <w:r>
        <w:rPr>
          <w:rFonts w:hint="default" w:ascii="Times New Roman" w:hAnsi="Times New Roman" w:eastAsia="SimSun" w:cs="Times New Roman"/>
          <w:sz w:val="24"/>
          <w:szCs w:val="24"/>
          <w:lang w:val="en-US"/>
        </w:rPr>
        <w:t>.</w:t>
      </w:r>
    </w:p>
    <w:p w14:paraId="751A64E2">
      <w:pPr>
        <w:spacing w:before="240" w:after="240"/>
        <w:jc w:val="both"/>
        <w:rPr>
          <w:rFonts w:hint="default" w:ascii="Times New Roman" w:hAnsi="Times New Roman" w:eastAsia="Times New Roman" w:cs="Times New Roman"/>
          <w:sz w:val="24"/>
          <w:szCs w:val="24"/>
        </w:rPr>
      </w:pPr>
      <w:r>
        <w:rPr>
          <w:rFonts w:hint="default" w:ascii="Times New Roman" w:hAnsi="Times New Roman" w:eastAsia="Times New Roman" w:cs="Times New Roman"/>
          <w:b/>
          <w:bCs/>
          <w:sz w:val="24"/>
          <w:szCs w:val="24"/>
        </w:rPr>
        <w:t xml:space="preserve">Methods: </w:t>
      </w:r>
      <w:r>
        <w:rPr>
          <w:rFonts w:hint="default" w:ascii="Times New Roman" w:hAnsi="Times New Roman" w:eastAsia="SimSun" w:cs="Times New Roman"/>
          <w:sz w:val="24"/>
          <w:szCs w:val="24"/>
        </w:rPr>
        <w:t>A systematic review was conducted in accordance with PRISMA 2020 guidelines and registered with PROSPERO (CRD420261364491). Electronic databases including PubMed, Scopus, Web of Science, CINAHL, and Google Scholar were searched for studies published between 2000 and 2025. Eligible studies included observational and mixed-methods research focusing on adolescents aged 10–19 years in Nigeria. Data extraction and quality assessment were performed independently by two reviewers. Due to heterogeneity across studies, findings were synthesized narratively.</w:t>
      </w:r>
    </w:p>
    <w:p w14:paraId="109D1F6D">
      <w:pPr>
        <w:spacing w:before="240" w:after="240"/>
        <w:jc w:val="both"/>
        <w:rPr>
          <w:rFonts w:hint="default" w:ascii="Times New Roman" w:hAnsi="Times New Roman" w:eastAsia="Times New Roman" w:cs="Times New Roman"/>
          <w:sz w:val="24"/>
          <w:szCs w:val="24"/>
        </w:rPr>
      </w:pPr>
      <w:r>
        <w:rPr>
          <w:rFonts w:hint="default" w:ascii="Times New Roman" w:hAnsi="Times New Roman" w:eastAsia="Times New Roman" w:cs="Times New Roman"/>
          <w:b/>
          <w:bCs/>
          <w:sz w:val="24"/>
          <w:szCs w:val="24"/>
        </w:rPr>
        <w:t xml:space="preserve">Results: </w:t>
      </w:r>
      <w:r>
        <w:rPr>
          <w:rFonts w:hint="default" w:ascii="Times New Roman" w:hAnsi="Times New Roman" w:eastAsia="SimSun" w:cs="Times New Roman"/>
          <w:sz w:val="24"/>
          <w:szCs w:val="24"/>
        </w:rPr>
        <w:t>Fifteen studies met the inclusion criteria. Although awareness of contraceptive methods was consistently high, utilization remained low across studies. Key individual determinants included age, educational level, knowledge gaps, and fear of side effects. Interpersonal factors such as partner approval, parental communication, and peer influence significantly shaped contraceptive behaviour. Sociocultural and religious norms, stigma, and gender inequalities were identified as major barriers, particularly among unmarried adolescents. Socioeconomic disparities and rural residence further limited access to services. Health system challenges, including lack of adolescent-friendly services, provider bias, confidentiality concerns, and commodity stock-outs, also reduced utilization. Conversely, exposure to family planning information through mass media was consistently reported as a facilitator of contraceptive uptake.</w:t>
      </w:r>
    </w:p>
    <w:p w14:paraId="76CB4CAB">
      <w:pPr>
        <w:spacing w:before="240" w:after="240"/>
        <w:jc w:val="both"/>
        <w:rPr>
          <w:rFonts w:hint="default" w:ascii="Times New Roman" w:hAnsi="Times New Roman" w:eastAsia="Times New Roman" w:cs="Times New Roman"/>
          <w:sz w:val="24"/>
          <w:szCs w:val="24"/>
        </w:rPr>
      </w:pPr>
      <w:r>
        <w:rPr>
          <w:rFonts w:hint="default" w:ascii="Times New Roman" w:hAnsi="Times New Roman" w:eastAsia="Times New Roman" w:cs="Times New Roman"/>
          <w:b/>
          <w:bCs/>
          <w:sz w:val="24"/>
          <w:szCs w:val="24"/>
        </w:rPr>
        <w:t xml:space="preserve">Conclusion: </w:t>
      </w:r>
      <w:r>
        <w:rPr>
          <w:rFonts w:hint="default" w:ascii="Times New Roman" w:hAnsi="Times New Roman" w:eastAsia="SimSun" w:cs="Times New Roman"/>
          <w:sz w:val="24"/>
          <w:szCs w:val="24"/>
        </w:rPr>
        <w:t>Contraceptive uptake among adolescents in Nigeria is influenced by interconnected factors operating at multiple levels. Addressing these challenges requires comprehensive, culturally sensitive interventions and strengthened adolescent-friendly health services to improve utilization and reproductive health outcomes.</w:t>
      </w:r>
    </w:p>
    <w:p w14:paraId="70494589">
      <w:pPr>
        <w:spacing w:before="240" w:after="240"/>
        <w:jc w:val="both"/>
        <w:rPr>
          <w:rFonts w:hint="default" w:ascii="Times New Roman" w:hAnsi="Times New Roman" w:eastAsia="Times New Roman" w:cs="Times New Roman"/>
          <w:sz w:val="24"/>
          <w:szCs w:val="24"/>
        </w:rPr>
      </w:pPr>
      <w:r>
        <w:rPr>
          <w:rFonts w:hint="default" w:ascii="Times New Roman" w:hAnsi="Times New Roman" w:eastAsia="Times New Roman" w:cs="Times New Roman"/>
          <w:b/>
          <w:bCs/>
          <w:sz w:val="24"/>
          <w:szCs w:val="24"/>
        </w:rPr>
        <w:t xml:space="preserve">Keywords: </w:t>
      </w:r>
      <w:r>
        <w:rPr>
          <w:rFonts w:hint="default" w:ascii="Times New Roman" w:hAnsi="Times New Roman" w:eastAsia="Times New Roman" w:cs="Times New Roman"/>
          <w:sz w:val="24"/>
          <w:szCs w:val="24"/>
        </w:rPr>
        <w:t xml:space="preserve">Adolescents, Contraceptive uptake, </w:t>
      </w:r>
      <w:r>
        <w:rPr>
          <w:rFonts w:hint="default" w:ascii="Times New Roman" w:hAnsi="Times New Roman" w:cs="Times New Roman"/>
          <w:sz w:val="24"/>
          <w:szCs w:val="24"/>
        </w:rPr>
        <w:t>Family planning</w:t>
      </w:r>
      <w:r>
        <w:rPr>
          <w:rFonts w:hint="default" w:ascii="Times New Roman" w:hAnsi="Times New Roman" w:cs="Times New Roman"/>
          <w:sz w:val="24"/>
          <w:szCs w:val="24"/>
          <w:lang w:val="en-US"/>
        </w:rPr>
        <w:t xml:space="preserve">, </w:t>
      </w:r>
      <w:r>
        <w:rPr>
          <w:rFonts w:hint="default" w:ascii="Times New Roman" w:hAnsi="Times New Roman" w:eastAsia="Times New Roman" w:cs="Times New Roman"/>
          <w:sz w:val="24"/>
          <w:szCs w:val="24"/>
        </w:rPr>
        <w:t xml:space="preserve">Reproductive health, Health system barriers, </w:t>
      </w:r>
      <w:r>
        <w:rPr>
          <w:rFonts w:hint="default" w:ascii="Times New Roman" w:hAnsi="Times New Roman" w:cs="Times New Roman"/>
          <w:sz w:val="24"/>
          <w:szCs w:val="24"/>
        </w:rPr>
        <w:t>Sociocultural factors</w:t>
      </w:r>
      <w:r>
        <w:rPr>
          <w:rFonts w:hint="default" w:ascii="Times New Roman" w:hAnsi="Times New Roman" w:cs="Times New Roman"/>
          <w:sz w:val="24"/>
          <w:szCs w:val="24"/>
          <w:lang w:val="en-US"/>
        </w:rPr>
        <w:t xml:space="preserve">, </w:t>
      </w:r>
      <w:r>
        <w:rPr>
          <w:rFonts w:hint="default" w:ascii="Times New Roman" w:hAnsi="Times New Roman" w:eastAsia="Times New Roman" w:cs="Times New Roman"/>
          <w:sz w:val="24"/>
          <w:szCs w:val="24"/>
        </w:rPr>
        <w:t>Nigeria</w:t>
      </w:r>
    </w:p>
    <w:p w14:paraId="26654F34">
      <w:pPr>
        <w:jc w:val="both"/>
        <w:rPr>
          <w:rFonts w:ascii="Times New Roman" w:hAnsi="Times New Roman" w:eastAsia="Times New Roman" w:cs="Times New Roman"/>
          <w:b/>
          <w:bCs/>
          <w:sz w:val="24"/>
          <w:szCs w:val="24"/>
        </w:rPr>
      </w:pPr>
    </w:p>
    <w:p w14:paraId="2DA5D169">
      <w:pPr>
        <w:jc w:val="both"/>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INTRODUCTION</w:t>
      </w:r>
    </w:p>
    <w:p w14:paraId="4D5F7DD0">
      <w:pPr>
        <w:spacing w:before="240" w:after="24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Contraception is the deliberate use of methods, agents, behaviours, or devices to prevent or delay pregnancy by interfering with ovulation, fertilization, or implantation (Bansode et al., 2023). In public health and reproductive health practice, contraceptive use is understood not only as a biomedical intervention but also as a core component of sexual and reproductive autonomy, enabling individuals to determine the number, timing, and spacing of pregnancies (Cicerchia et al., 2022). The World Health Organization (WHO) defines adolescents as persons aged 10–19 years, a developmental period marked by rapid physical, cognitive, and psychosocial change that strongly shapes sexual and reproductive health behaviour (World Health Organization, 2025). </w:t>
      </w:r>
    </w:p>
    <w:p w14:paraId="636A7824">
      <w:pPr>
        <w:spacing w:before="240" w:after="24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Contraceptive methods are commonly classified into modern and traditional methods. Modern methods include male and female condoms, oral contraceptive pills, injectables, implants, intrauterine devices (IUDs), emergency contraception, lactational amenorrhoea method when correctly used, and permanent methods such as male and female sterilization (World Health Organization, 2018). Traditional methods include periodic abstinence, withdrawal, and other fertility-awareness practices that are generally less effective under typical use (Jadloc, 2017). At the population level, contraceptive uptake is commonly assessed with indicators such as the contraceptive prevalence rate (CPR), modern contraceptive prevalence rate (mCPR), unmet need for family planning, demand satisfied with modern methods (SDG 3.7.1), and method mix (Cahill et al., 2018). For adolescents specifically, WHO also recognizes indicators such as the proportion of adolescents aged 10–19 years who used a modern contraceptive method at last sexual intercourse. These measures are useful because they capture not only use, but also access, equity, and the extent to which fertility preferences are being met (World Health Organization, 2018).</w:t>
      </w:r>
    </w:p>
    <w:p w14:paraId="068FE648">
      <w:pPr>
        <w:spacing w:before="240" w:after="24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The population-level relevance of adolescent contraceptive uptake is substantial. Globally, an estimated 21 million girls aged 15–19 years in developing regions become pregnant each year, and about 12 million give birth (Carvajal et al., 2020). Adolescents who become pregnant face increased risks of adverse maternal and neonatal outcomes, while low contraceptive uptake is also linked to unsafe abortion, school discontinuation, constrained life opportunities, and intergenerational poverty (Todhunter et al., 2022). Access to contraception therefore contributes directly to improved health, gender equality, educational continuity, and broader social development. WHO further notes that among the 1.9 billion women of reproductive age worldwide in 2021, 1.1 billion had a need for family planning, yet 164 million still had an unmet need for contraception, underscoring the continuing public health importance of family planning services (World Health Organization, 2024).</w:t>
      </w:r>
    </w:p>
    <w:p w14:paraId="59820C88">
      <w:pPr>
        <w:spacing w:before="240" w:after="24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In Nigeria, the issue is especially important because children and adolescents constitute a very large share of the population, and adolescent fertility remains high (Anyanwu, 2025). UNICEF’s 2024 updated Situation Analysis notes that Nigeria’s children and adolescents make up about half of the national population, making adolescent health a strategic national development concern (Federal Government of Nigeria &amp; UNICEF Nigeria, 2025). Recent national data also suggest broader family planning gaps: the 2024 Nigeria Demographic and Health Survey reported that 21% of married women had an unmet need for family planning, while a federal government release on the same survey stated that modern contraceptive use among currently married women had risen to 15%, indicating progress but also persistent unmet demand (National Population Commission (NPC) 2025). At the youth level, recent Nigerian evidence shows marked regional disparities in modern contraceptive use, with substantially higher use in Southern than Northern Nigeria, and with education, wealth, age, marital status, and religious or cultural context shaping uptake  (Sanni et al., 2025). </w:t>
      </w:r>
    </w:p>
    <w:p w14:paraId="6D2795F8">
      <w:pPr>
        <w:spacing w:before="240" w:after="24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Existing Nigerian studies have identified several factors affecting contraceptive uptake among adolescents and young people, including inadequate knowledge, fear of side effects, stigma, partner or parental influence, social norms, religion, poor access to youth-friendly services, low self-efficacy, and socioeconomic disadvantage  (Sanchez et al., 2021). For example, among unmarried girls aged 15–19 years in South-Western Nigeria, contraceptive use was positively associated with schooling, urban residence, socioeconomic status, contraceptive information exposure, perceived social support, and self-efficacy. However, the literature remains fragmented (Crawford et al., 2021). Much of the available evidence is cross-sectional, geographically uneven, and often concentrated in particular states or regions, while some studies focus only on unmarried girls, school-based samples, or broader youth groups aged 15–24 rather than adolescents specifically (Dave-Agboola, 2018). Recent scholarship has also noted limited comprehensive evidence across Nigeria’s geopolitical zones and continuing gaps in understanding how structural, service-delivery, and sociocultural factors interact over time. These limitations justify a systematic synthesis of the Nigerian evidence base (Sanni et al., 2025). </w:t>
      </w:r>
    </w:p>
    <w:p w14:paraId="22B13FC2">
      <w:pPr>
        <w:spacing w:before="240" w:after="24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Against this background, the present study aims to systematically review the factors affecting uptake of contraception among adolescents in Nigeria. The specific objectives are to:</w:t>
      </w:r>
    </w:p>
    <w:p w14:paraId="04E7C847">
      <w:pPr>
        <w:numPr>
          <w:ilvl w:val="0"/>
          <w:numId w:val="1"/>
        </w:numPr>
        <w:spacing w:before="24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identify the individual factors associated with contraceptive uptake among adolescents in Nigeria;</w:t>
      </w:r>
    </w:p>
    <w:p w14:paraId="4AFAF441">
      <w:pPr>
        <w:numPr>
          <w:ilvl w:val="0"/>
          <w:numId w:val="1"/>
        </w:numPr>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examine interpersonal, sociocultural, religious, and community-level influences on contraceptive uptake;</w:t>
      </w:r>
    </w:p>
    <w:p w14:paraId="18793EC0">
      <w:pPr>
        <w:numPr>
          <w:ilvl w:val="0"/>
          <w:numId w:val="1"/>
        </w:numPr>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assess health-system and structural factors affecting adolescents’ access to and use of contraception; and</w:t>
      </w:r>
    </w:p>
    <w:p w14:paraId="7E691D1E">
      <w:pPr>
        <w:numPr>
          <w:ilvl w:val="0"/>
          <w:numId w:val="1"/>
        </w:numPr>
        <w:spacing w:after="24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identify gaps in the existing literature and provide evidence-based recommendations for research, policy, and adolescent sexual and reproductive health programming in Nigeria.</w:t>
      </w:r>
    </w:p>
    <w:p w14:paraId="218F1225">
      <w:pPr>
        <w:pStyle w:val="3"/>
        <w:keepNext w:val="0"/>
        <w:keepLines w:val="0"/>
        <w:spacing w:after="80"/>
        <w:jc w:val="both"/>
        <w:rPr>
          <w:rFonts w:ascii="Times New Roman" w:hAnsi="Times New Roman" w:eastAsia="Times New Roman" w:cs="Times New Roman"/>
          <w:b/>
          <w:bCs/>
          <w:sz w:val="24"/>
          <w:szCs w:val="24"/>
        </w:rPr>
      </w:pPr>
      <w:bookmarkStart w:id="1" w:name="_pxnllk45bn07" w:colFirst="0" w:colLast="0"/>
      <w:bookmarkEnd w:id="1"/>
    </w:p>
    <w:p w14:paraId="08B7CDDE">
      <w:pPr>
        <w:pStyle w:val="3"/>
        <w:keepNext w:val="0"/>
        <w:keepLines w:val="0"/>
        <w:spacing w:after="80"/>
        <w:jc w:val="both"/>
        <w:rPr>
          <w:rFonts w:ascii="Times New Roman" w:hAnsi="Times New Roman" w:eastAsia="Times New Roman" w:cs="Times New Roman"/>
          <w:b/>
          <w:bCs/>
          <w:sz w:val="24"/>
          <w:szCs w:val="24"/>
        </w:rPr>
      </w:pPr>
      <w:bookmarkStart w:id="2" w:name="_k2ixjnq08w6t" w:colFirst="0" w:colLast="0"/>
      <w:bookmarkEnd w:id="2"/>
      <w:r>
        <w:rPr>
          <w:rFonts w:ascii="Times New Roman" w:hAnsi="Times New Roman" w:eastAsia="Times New Roman" w:cs="Times New Roman"/>
          <w:b/>
          <w:bCs/>
          <w:sz w:val="24"/>
          <w:szCs w:val="24"/>
        </w:rPr>
        <w:t>METHODOLOGY</w:t>
      </w:r>
    </w:p>
    <w:p w14:paraId="0E616883">
      <w:pPr>
        <w:pStyle w:val="4"/>
        <w:keepNext w:val="0"/>
        <w:keepLines w:val="0"/>
        <w:spacing w:before="280"/>
        <w:jc w:val="both"/>
        <w:rPr>
          <w:rFonts w:ascii="Times New Roman" w:hAnsi="Times New Roman" w:eastAsia="Times New Roman" w:cs="Times New Roman"/>
          <w:b/>
          <w:bCs/>
          <w:color w:val="000000"/>
          <w:sz w:val="24"/>
          <w:szCs w:val="24"/>
        </w:rPr>
      </w:pPr>
      <w:bookmarkStart w:id="3" w:name="_9j6n67hhk8k3" w:colFirst="0" w:colLast="0"/>
      <w:bookmarkEnd w:id="3"/>
      <w:r>
        <w:rPr>
          <w:rFonts w:ascii="Times New Roman" w:hAnsi="Times New Roman" w:eastAsia="Times New Roman" w:cs="Times New Roman"/>
          <w:b/>
          <w:bCs/>
          <w:color w:val="000000"/>
          <w:sz w:val="24"/>
          <w:szCs w:val="24"/>
        </w:rPr>
        <w:t>Study Design and Reporting Guidelines</w:t>
      </w:r>
    </w:p>
    <w:p w14:paraId="49F3192B">
      <w:pPr>
        <w:pStyle w:val="3"/>
        <w:keepNext w:val="0"/>
        <w:keepLines w:val="0"/>
        <w:spacing w:before="240" w:after="240"/>
        <w:jc w:val="both"/>
        <w:rPr>
          <w:rFonts w:ascii="Times New Roman" w:hAnsi="Times New Roman" w:eastAsia="Times New Roman" w:cs="Times New Roman"/>
          <w:sz w:val="24"/>
          <w:szCs w:val="24"/>
        </w:rPr>
      </w:pPr>
      <w:bookmarkStart w:id="4" w:name="_tk88gab1a04a" w:colFirst="0" w:colLast="0"/>
      <w:r>
        <w:rPr>
          <w:rFonts w:ascii="Times New Roman" w:hAnsi="Times New Roman" w:eastAsia="Times New Roman" w:cs="Times New Roman"/>
          <w:sz w:val="24"/>
          <w:szCs w:val="24"/>
        </w:rPr>
        <w:t>This study was conducted as a systematic review examining factors affecting the uptake of contraception among adolescents in Nigeria. The review followed the guidelines of the PRISMA 2020 to ensure transparency, reproducibility, and methodological rigor. The review protocol was prospectively registered with the PROSPERO under the registration number</w:t>
      </w:r>
      <w:r>
        <w:rPr>
          <w:rFonts w:ascii="Times New Roman" w:hAnsi="Times New Roman" w:eastAsia="Times New Roman" w:cs="Times New Roman"/>
          <w:b/>
          <w:bCs/>
          <w:sz w:val="24"/>
          <w:szCs w:val="24"/>
        </w:rPr>
        <w:t xml:space="preserve"> (</w:t>
      </w:r>
      <w:r>
        <w:rPr>
          <w:rFonts w:ascii="Times New Roman" w:hAnsi="Times New Roman" w:eastAsia="Times New Roman" w:cs="Times New Roman"/>
          <w:b/>
          <w:bCs/>
          <w:color w:val="212529"/>
          <w:sz w:val="24"/>
          <w:szCs w:val="24"/>
          <w:shd w:val="clear" w:color="auto" w:fill="FAFAFA"/>
        </w:rPr>
        <w:t>CRD420261364491)</w:t>
      </w:r>
      <w:r>
        <w:rPr>
          <w:rFonts w:ascii="Times New Roman" w:hAnsi="Times New Roman" w:eastAsia="Times New Roman" w:cs="Times New Roman"/>
          <w:b/>
          <w:bCs/>
          <w:sz w:val="24"/>
          <w:szCs w:val="24"/>
        </w:rPr>
        <w:t xml:space="preserve"> </w:t>
      </w:r>
      <w:r>
        <w:rPr>
          <w:rFonts w:ascii="Times New Roman" w:hAnsi="Times New Roman" w:eastAsia="Times New Roman" w:cs="Times New Roman"/>
          <w:sz w:val="24"/>
          <w:szCs w:val="24"/>
        </w:rPr>
        <w:t>prior to the commencement of the study.</w:t>
      </w:r>
    </w:p>
    <w:p w14:paraId="0E196D93">
      <w:pPr>
        <w:pStyle w:val="4"/>
        <w:keepNext w:val="0"/>
        <w:keepLines w:val="0"/>
        <w:spacing w:before="280"/>
        <w:jc w:val="both"/>
        <w:rPr>
          <w:rFonts w:ascii="Times New Roman" w:hAnsi="Times New Roman" w:eastAsia="Times New Roman" w:cs="Times New Roman"/>
          <w:b/>
          <w:bCs/>
          <w:color w:val="000000"/>
          <w:sz w:val="24"/>
          <w:szCs w:val="24"/>
        </w:rPr>
      </w:pPr>
      <w:bookmarkStart w:id="5" w:name="_x7q4rsj0nwh0" w:colFirst="0" w:colLast="0"/>
      <w:bookmarkEnd w:id="5"/>
      <w:r>
        <w:rPr>
          <w:rFonts w:ascii="Times New Roman" w:hAnsi="Times New Roman" w:eastAsia="Times New Roman" w:cs="Times New Roman"/>
          <w:b/>
          <w:bCs/>
          <w:color w:val="000000"/>
          <w:sz w:val="24"/>
          <w:szCs w:val="24"/>
        </w:rPr>
        <w:t>Eligibility Criteria</w:t>
      </w:r>
    </w:p>
    <w:p w14:paraId="008D69E9">
      <w:pPr>
        <w:pStyle w:val="3"/>
        <w:keepNext w:val="0"/>
        <w:keepLines w:val="0"/>
        <w:spacing w:before="240" w:after="24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Studies were selected using predefined inclusion and exclusion criteria based on the Population–Exposure–Outcome (PEO) framework. The population comprised adolescents aged 10–19 years in Nigeria, while studies including broader age groups were considered only if adolescent-specific data could be extracted. The exposure included factors influencing contraceptive uptake such as individual, interpersonal, sociocultural, economic, and health system determinants. The outcome of interest was the uptake or use of any contraceptive method, whether modern or traditional. Only observational and mixed-methods studies conducted in Nigeria and published in English were included, while reviews, editorials, and studies without clear outcome measures were excluded.</w:t>
      </w:r>
    </w:p>
    <w:p w14:paraId="4C24CA63">
      <w:pPr>
        <w:pStyle w:val="4"/>
        <w:keepNext w:val="0"/>
        <w:keepLines w:val="0"/>
        <w:spacing w:before="280"/>
        <w:jc w:val="both"/>
        <w:rPr>
          <w:rFonts w:ascii="Times New Roman" w:hAnsi="Times New Roman" w:eastAsia="Times New Roman" w:cs="Times New Roman"/>
          <w:b/>
          <w:bCs/>
          <w:color w:val="000000"/>
          <w:sz w:val="24"/>
          <w:szCs w:val="24"/>
        </w:rPr>
      </w:pPr>
      <w:bookmarkStart w:id="6" w:name="_nqo7fyjr7pie" w:colFirst="0" w:colLast="0"/>
      <w:bookmarkEnd w:id="6"/>
      <w:r>
        <w:rPr>
          <w:rFonts w:ascii="Times New Roman" w:hAnsi="Times New Roman" w:eastAsia="Times New Roman" w:cs="Times New Roman"/>
          <w:b/>
          <w:bCs/>
          <w:color w:val="000000"/>
          <w:sz w:val="24"/>
          <w:szCs w:val="24"/>
        </w:rPr>
        <w:t>Search Strategy</w:t>
      </w:r>
    </w:p>
    <w:p w14:paraId="3A752164">
      <w:pPr>
        <w:pStyle w:val="3"/>
        <w:keepNext w:val="0"/>
        <w:keepLines w:val="0"/>
        <w:spacing w:before="240" w:after="240"/>
        <w:jc w:val="both"/>
        <w:rPr>
          <w:rFonts w:ascii="Times New Roman" w:hAnsi="Times New Roman" w:eastAsia="Times New Roman" w:cs="Times New Roman"/>
          <w:b/>
          <w:bCs/>
          <w:sz w:val="24"/>
          <w:szCs w:val="24"/>
        </w:rPr>
      </w:pPr>
      <w:r>
        <w:rPr>
          <w:rFonts w:ascii="Times New Roman" w:hAnsi="Times New Roman" w:eastAsia="Times New Roman" w:cs="Times New Roman"/>
          <w:sz w:val="24"/>
          <w:szCs w:val="24"/>
        </w:rPr>
        <w:t>A comprehensive search of electronic databases, including PubMed/MEDLINE, Scopus, Web of Science, CINAHL, and Google Scholar, was conducted. Grey literature and reference lists of relevant studies were also reviewed. The search strategy combined Medical Subject Headings (MeSH) and free-text terms using Boolean operators, including terms such as “adolescents,” “teenagers,” “youth,” “contraception,” “family planning,” “uptake,” “utilization,” and “Nigeria.” The search was limited to studies published between</w:t>
      </w:r>
      <w:r>
        <w:rPr>
          <w:rFonts w:ascii="Times New Roman" w:hAnsi="Times New Roman" w:eastAsia="Times New Roman" w:cs="Times New Roman"/>
          <w:b/>
          <w:bCs/>
          <w:sz w:val="24"/>
          <w:szCs w:val="24"/>
        </w:rPr>
        <w:t xml:space="preserve"> 2000–2025.</w:t>
      </w:r>
    </w:p>
    <w:p w14:paraId="3A8ECE13">
      <w:pPr>
        <w:pStyle w:val="4"/>
        <w:keepNext w:val="0"/>
        <w:keepLines w:val="0"/>
        <w:spacing w:before="280"/>
        <w:jc w:val="both"/>
        <w:rPr>
          <w:rFonts w:ascii="Times New Roman" w:hAnsi="Times New Roman" w:eastAsia="Times New Roman" w:cs="Times New Roman"/>
          <w:b/>
          <w:bCs/>
          <w:color w:val="000000"/>
          <w:sz w:val="24"/>
          <w:szCs w:val="24"/>
        </w:rPr>
      </w:pPr>
      <w:bookmarkStart w:id="7" w:name="_pgfrw92mp9qu" w:colFirst="0" w:colLast="0"/>
      <w:bookmarkEnd w:id="7"/>
      <w:r>
        <w:rPr>
          <w:rFonts w:ascii="Times New Roman" w:hAnsi="Times New Roman" w:eastAsia="Times New Roman" w:cs="Times New Roman"/>
          <w:b/>
          <w:bCs/>
          <w:color w:val="000000"/>
          <w:sz w:val="24"/>
          <w:szCs w:val="24"/>
        </w:rPr>
        <w:t>Study Selection Process</w:t>
      </w:r>
    </w:p>
    <w:p w14:paraId="5B3FF812">
      <w:pPr>
        <w:pStyle w:val="3"/>
        <w:keepNext w:val="0"/>
        <w:keepLines w:val="0"/>
        <w:spacing w:before="240" w:after="24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All retrieved records were exported into reference management software, and duplicates were removed. Screening was conducted in three stages: title screening, abstract screening, and full-text review. Two independent reviewers carried out the screening process, and disagreements were resolved through discussion or consultation with a third reviewer. The study selection process was documented using a PRISMA flow diagram. Figure 1 PRISMA 2020 flow diagram illustrating the process of study identification, screening, eligibility assessment, and inclusion.</w:t>
      </w:r>
    </w:p>
    <w:p w14:paraId="47FCB66E">
      <w:pPr>
        <w:pStyle w:val="4"/>
        <w:keepNext w:val="0"/>
        <w:keepLines w:val="0"/>
        <w:spacing w:before="280"/>
        <w:jc w:val="both"/>
        <w:rPr>
          <w:rFonts w:ascii="Times New Roman" w:hAnsi="Times New Roman" w:eastAsia="Times New Roman" w:cs="Times New Roman"/>
          <w:b/>
          <w:bCs/>
          <w:color w:val="000000"/>
          <w:sz w:val="24"/>
          <w:szCs w:val="24"/>
        </w:rPr>
      </w:pPr>
      <w:bookmarkStart w:id="8" w:name="_i9r3gzkl41y2" w:colFirst="0" w:colLast="0"/>
      <w:bookmarkEnd w:id="8"/>
    </w:p>
    <w:p w14:paraId="401CA5A7">
      <w:pPr>
        <w:pStyle w:val="4"/>
        <w:keepNext w:val="0"/>
        <w:keepLines w:val="0"/>
        <w:spacing w:before="280"/>
        <w:jc w:val="both"/>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Data Extraction</w:t>
      </w:r>
    </w:p>
    <w:p w14:paraId="260BCCB7">
      <w:pPr>
        <w:pStyle w:val="3"/>
        <w:keepNext w:val="0"/>
        <w:keepLines w:val="0"/>
        <w:spacing w:before="240" w:after="24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Data were extracted using a standardized and pretested form. Extracted information included author(s), year of publication, study location, study design, sample size, participant characteristics, contraceptive methods assessed, and key findings on factors influencing uptake. Statistical measures such as odds ratios and confidence intervals were also recorded where available. Data extraction was performed independently by two reviewers to ensure accuracy and consistency.</w:t>
      </w:r>
    </w:p>
    <w:p w14:paraId="2DB9422D">
      <w:pPr>
        <w:jc w:val="both"/>
        <w:rPr>
          <w:rFonts w:ascii="Times New Roman" w:hAnsi="Times New Roman" w:eastAsia="Times New Roman" w:cs="Times New Roman"/>
          <w:sz w:val="24"/>
          <w:szCs w:val="24"/>
        </w:rPr>
      </w:pPr>
    </w:p>
    <w:p w14:paraId="372C8CF1">
      <w:pPr>
        <w:pStyle w:val="4"/>
        <w:keepNext w:val="0"/>
        <w:keepLines w:val="0"/>
        <w:spacing w:before="280"/>
        <w:jc w:val="both"/>
        <w:rPr>
          <w:rFonts w:ascii="Times New Roman" w:hAnsi="Times New Roman" w:eastAsia="Times New Roman" w:cs="Times New Roman"/>
          <w:b/>
          <w:bCs/>
          <w:color w:val="000000"/>
          <w:sz w:val="24"/>
          <w:szCs w:val="24"/>
        </w:rPr>
      </w:pPr>
      <w:bookmarkStart w:id="9" w:name="_90l2h2mppgsl" w:colFirst="0" w:colLast="0"/>
      <w:bookmarkEnd w:id="9"/>
      <w:r>
        <w:rPr>
          <w:rFonts w:ascii="Times New Roman" w:hAnsi="Times New Roman" w:eastAsia="Times New Roman" w:cs="Times New Roman"/>
          <w:b/>
          <w:bCs/>
          <w:color w:val="000000"/>
          <w:sz w:val="24"/>
          <w:szCs w:val="24"/>
        </w:rPr>
        <w:t>Quality Assessment of Included Studies</w:t>
      </w:r>
    </w:p>
    <w:p w14:paraId="4327D62A">
      <w:pPr>
        <w:pStyle w:val="3"/>
        <w:keepNext w:val="0"/>
        <w:keepLines w:val="0"/>
        <w:spacing w:before="240" w:after="24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The methodological quality of the included studies was assessed using the Joanna Briggs Institute (JBI) Critical Appraisal Checklist for Analytical Cross-Sectional Studies and other relevant tools depending on study design. Each study was evaluated based on sampling techniques, measurement validity, control of confounding variables, and appropriateness of statistical analyses. Studies were categorized as low, moderate, or high quality based on their overall assessment.</w:t>
      </w:r>
    </w:p>
    <w:p w14:paraId="6A4FD036">
      <w:pPr>
        <w:pStyle w:val="4"/>
        <w:keepNext w:val="0"/>
        <w:keepLines w:val="0"/>
        <w:spacing w:before="280"/>
        <w:jc w:val="both"/>
        <w:rPr>
          <w:rFonts w:ascii="Times New Roman" w:hAnsi="Times New Roman" w:eastAsia="Times New Roman" w:cs="Times New Roman"/>
          <w:b/>
          <w:bCs/>
          <w:color w:val="000000"/>
          <w:sz w:val="24"/>
          <w:szCs w:val="24"/>
        </w:rPr>
      </w:pPr>
      <w:bookmarkStart w:id="10" w:name="_q8hsckhbg7tc" w:colFirst="0" w:colLast="0"/>
      <w:bookmarkEnd w:id="10"/>
      <w:r>
        <w:rPr>
          <w:rFonts w:ascii="Times New Roman" w:hAnsi="Times New Roman" w:eastAsia="Times New Roman" w:cs="Times New Roman"/>
          <w:b/>
          <w:bCs/>
          <w:color w:val="000000"/>
          <w:sz w:val="24"/>
          <w:szCs w:val="24"/>
        </w:rPr>
        <w:t>Data Synthesis and Analysis</w:t>
      </w:r>
    </w:p>
    <w:bookmarkEnd w:id="4"/>
    <w:p w14:paraId="12F3A859">
      <w:pPr>
        <w:pStyle w:val="3"/>
        <w:keepNext w:val="0"/>
        <w:keepLines w:val="0"/>
        <w:spacing w:before="240" w:after="24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Due to heterogeneity in study designs, populations, and outcome measures, a narrative synthesis approach was adopted. Findings were grouped into thematic categories, including individual-level factors, interpersonal influences, sociocultural and religious determinants, economic factors, and health system-related factors. Quantitative results were summarized descriptively, and meta-analysis was not conducted due to variability across studies.</w:t>
      </w:r>
    </w:p>
    <w:p w14:paraId="288E140F">
      <w:pPr>
        <w:pStyle w:val="4"/>
        <w:keepNext w:val="0"/>
        <w:keepLines w:val="0"/>
        <w:spacing w:before="280"/>
        <w:jc w:val="both"/>
        <w:rPr>
          <w:rFonts w:ascii="Times New Roman" w:hAnsi="Times New Roman" w:eastAsia="Times New Roman" w:cs="Times New Roman"/>
          <w:b/>
          <w:bCs/>
          <w:color w:val="000000"/>
          <w:sz w:val="24"/>
          <w:szCs w:val="24"/>
        </w:rPr>
      </w:pPr>
      <w:bookmarkStart w:id="11" w:name="_1fda1jfqyr6x" w:colFirst="0" w:colLast="0"/>
      <w:bookmarkEnd w:id="11"/>
      <w:r>
        <w:rPr>
          <w:rFonts w:ascii="Times New Roman" w:hAnsi="Times New Roman" w:eastAsia="Times New Roman" w:cs="Times New Roman"/>
          <w:b/>
          <w:bCs/>
          <w:color w:val="000000"/>
          <w:sz w:val="24"/>
          <w:szCs w:val="24"/>
        </w:rPr>
        <w:t>Ethical Considerations</w:t>
      </w:r>
    </w:p>
    <w:p w14:paraId="6DA43FFD">
      <w:pPr>
        <w:pStyle w:val="3"/>
        <w:keepNext w:val="0"/>
        <w:keepLines w:val="0"/>
        <w:spacing w:before="240" w:after="240"/>
        <w:jc w:val="both"/>
        <w:rPr>
          <w:rFonts w:ascii="Times New Roman" w:hAnsi="Times New Roman" w:eastAsia="Times New Roman" w:cs="Times New Roman"/>
          <w:sz w:val="24"/>
          <w:szCs w:val="24"/>
        </w:rPr>
      </w:pPr>
      <w:bookmarkStart w:id="12" w:name="_3xrq485icdu9" w:colFirst="0" w:colLast="0"/>
      <w:bookmarkEnd w:id="12"/>
      <w:r>
        <w:rPr>
          <w:rFonts w:ascii="Times New Roman" w:hAnsi="Times New Roman" w:eastAsia="Times New Roman" w:cs="Times New Roman"/>
          <w:sz w:val="24"/>
          <w:szCs w:val="24"/>
        </w:rPr>
        <w:t>Ethical approval was not required for this study because it involved secondary analysis of previously published data and did not involve direct interaction with human participants. Nevertheless, ethical standards were maintained by ensuring that all included studies had obtained appropriate ethical approvals from relevant institutional review boards. Proper citation and acknowledgment of all sources were strictly observed to uphold academic integrity.</w:t>
      </w:r>
    </w:p>
    <w:p w14:paraId="5137C41F">
      <w:pPr>
        <w:spacing w:before="240" w:after="240"/>
        <w:jc w:val="both"/>
        <w:rPr>
          <w:rFonts w:ascii="Times New Roman" w:hAnsi="Times New Roman" w:eastAsia="Times New Roman" w:cs="Times New Roman"/>
          <w:b/>
          <w:bCs/>
          <w:sz w:val="24"/>
          <w:szCs w:val="24"/>
        </w:rPr>
      </w:pPr>
      <w:r>
        <w:rPr>
          <w:rFonts w:ascii="Times New Roman" w:hAnsi="Times New Roman" w:eastAsia="Times New Roman" w:cs="Times New Roman"/>
          <w:sz w:val="24"/>
          <w:szCs w:val="24"/>
        </w:rPr>
        <mc:AlternateContent>
          <mc:Choice Requires="wpg">
            <w:drawing>
              <wp:inline distT="114300" distB="114300" distL="114300" distR="114300">
                <wp:extent cx="4895850" cy="4836795"/>
                <wp:effectExtent l="0" t="0" r="0" b="0"/>
                <wp:docPr id="1" name="Group 1"/>
                <wp:cNvGraphicFramePr/>
                <a:graphic xmlns:a="http://schemas.openxmlformats.org/drawingml/2006/main">
                  <a:graphicData uri="http://schemas.microsoft.com/office/word/2010/wordprocessingGroup">
                    <wpg:wgp>
                      <wpg:cNvGrpSpPr/>
                      <wpg:grpSpPr>
                        <a:xfrm>
                          <a:off x="0" y="0"/>
                          <a:ext cx="4895850" cy="4836982"/>
                          <a:chOff x="898750" y="230950"/>
                          <a:chExt cx="4740350" cy="4688500"/>
                        </a:xfrm>
                      </wpg:grpSpPr>
                      <wps:wsp>
                        <wps:cNvPr id="2" name="Shape 2"/>
                        <wps:cNvSpPr/>
                        <wps:spPr>
                          <a:xfrm rot="-5400000">
                            <a:off x="524175" y="615075"/>
                            <a:ext cx="1055400" cy="296700"/>
                          </a:xfrm>
                          <a:prstGeom prst="rect">
                            <a:avLst/>
                          </a:prstGeom>
                          <a:solidFill>
                            <a:srgbClr val="FFF2CC"/>
                          </a:solidFill>
                          <a:ln w="9525" cap="flat" cmpd="sng">
                            <a:solidFill>
                              <a:srgbClr val="000000"/>
                            </a:solidFill>
                            <a:prstDash val="solid"/>
                            <a:round/>
                            <a:headEnd type="none" w="sm" len="sm"/>
                            <a:tailEnd type="none" w="sm" len="sm"/>
                          </a:ln>
                        </wps:spPr>
                        <wps:txbx>
                          <w:txbxContent>
                            <w:p w14:paraId="2B7BF225">
                              <w:pPr>
                                <w:spacing w:line="240" w:lineRule="auto"/>
                                <w:jc w:val="center"/>
                              </w:pPr>
                              <w:r>
                                <w:rPr>
                                  <w:b/>
                                  <w:color w:val="000000"/>
                                  <w:sz w:val="20"/>
                                </w:rPr>
                                <w:t>Identification</w:t>
                              </w:r>
                            </w:p>
                          </w:txbxContent>
                        </wps:txbx>
                        <wps:bodyPr spcFirstLastPara="1" wrap="square" lIns="91425" tIns="91425" rIns="91425" bIns="91425" anchor="ctr" anchorCtr="0">
                          <a:noAutofit/>
                        </wps:bodyPr>
                      </wps:wsp>
                      <wps:wsp>
                        <wps:cNvPr id="3" name="Shape 3"/>
                        <wps:cNvSpPr/>
                        <wps:spPr>
                          <a:xfrm rot="-5400000">
                            <a:off x="524175" y="1822925"/>
                            <a:ext cx="1055400" cy="296700"/>
                          </a:xfrm>
                          <a:prstGeom prst="rect">
                            <a:avLst/>
                          </a:prstGeom>
                          <a:solidFill>
                            <a:srgbClr val="FFF2CC"/>
                          </a:solidFill>
                          <a:ln w="9525" cap="flat" cmpd="sng">
                            <a:solidFill>
                              <a:srgbClr val="000000"/>
                            </a:solidFill>
                            <a:prstDash val="solid"/>
                            <a:round/>
                            <a:headEnd type="none" w="sm" len="sm"/>
                            <a:tailEnd type="none" w="sm" len="sm"/>
                          </a:ln>
                        </wps:spPr>
                        <wps:txbx>
                          <w:txbxContent>
                            <w:p w14:paraId="5F2415CF">
                              <w:pPr>
                                <w:spacing w:line="240" w:lineRule="auto"/>
                                <w:jc w:val="center"/>
                              </w:pPr>
                              <w:r>
                                <w:rPr>
                                  <w:b/>
                                  <w:color w:val="000000"/>
                                  <w:sz w:val="20"/>
                                </w:rPr>
                                <w:t>Screening</w:t>
                              </w:r>
                            </w:p>
                          </w:txbxContent>
                        </wps:txbx>
                        <wps:bodyPr spcFirstLastPara="1" wrap="square" lIns="91425" tIns="91425" rIns="91425" bIns="91425" anchor="ctr" anchorCtr="0">
                          <a:noAutofit/>
                        </wps:bodyPr>
                      </wps:wsp>
                      <wps:wsp>
                        <wps:cNvPr id="4" name="Shape 4"/>
                        <wps:cNvSpPr/>
                        <wps:spPr>
                          <a:xfrm rot="-5400000">
                            <a:off x="524175" y="4238625"/>
                            <a:ext cx="1055400" cy="296700"/>
                          </a:xfrm>
                          <a:prstGeom prst="rect">
                            <a:avLst/>
                          </a:prstGeom>
                          <a:solidFill>
                            <a:srgbClr val="FFF2CC"/>
                          </a:solidFill>
                          <a:ln w="9525" cap="flat" cmpd="sng">
                            <a:solidFill>
                              <a:srgbClr val="000000"/>
                            </a:solidFill>
                            <a:prstDash val="solid"/>
                            <a:round/>
                            <a:headEnd type="none" w="sm" len="sm"/>
                            <a:tailEnd type="none" w="sm" len="sm"/>
                          </a:ln>
                        </wps:spPr>
                        <wps:txbx>
                          <w:txbxContent>
                            <w:p w14:paraId="03771D10">
                              <w:pPr>
                                <w:spacing w:line="240" w:lineRule="auto"/>
                                <w:jc w:val="center"/>
                              </w:pPr>
                              <w:r>
                                <w:rPr>
                                  <w:b/>
                                  <w:color w:val="000000"/>
                                  <w:sz w:val="20"/>
                                </w:rPr>
                                <w:t>Included</w:t>
                              </w:r>
                            </w:p>
                          </w:txbxContent>
                        </wps:txbx>
                        <wps:bodyPr spcFirstLastPara="1" wrap="square" lIns="91425" tIns="91425" rIns="91425" bIns="91425" anchor="ctr" anchorCtr="0">
                          <a:noAutofit/>
                        </wps:bodyPr>
                      </wps:wsp>
                      <wps:wsp>
                        <wps:cNvPr id="5" name="Shape 5"/>
                        <wps:cNvSpPr/>
                        <wps:spPr>
                          <a:xfrm rot="-5400000">
                            <a:off x="524175" y="3030775"/>
                            <a:ext cx="1055400" cy="296700"/>
                          </a:xfrm>
                          <a:prstGeom prst="rect">
                            <a:avLst/>
                          </a:prstGeom>
                          <a:solidFill>
                            <a:srgbClr val="FFF2CC"/>
                          </a:solidFill>
                          <a:ln w="9525" cap="flat" cmpd="sng">
                            <a:solidFill>
                              <a:srgbClr val="000000"/>
                            </a:solidFill>
                            <a:prstDash val="solid"/>
                            <a:round/>
                            <a:headEnd type="none" w="sm" len="sm"/>
                            <a:tailEnd type="none" w="sm" len="sm"/>
                          </a:ln>
                        </wps:spPr>
                        <wps:txbx>
                          <w:txbxContent>
                            <w:p w14:paraId="76DD1DB6">
                              <w:pPr>
                                <w:spacing w:line="240" w:lineRule="auto"/>
                                <w:jc w:val="center"/>
                              </w:pPr>
                              <w:r>
                                <w:rPr>
                                  <w:b/>
                                  <w:color w:val="000000"/>
                                  <w:sz w:val="20"/>
                                </w:rPr>
                                <w:t>Eligibility</w:t>
                              </w:r>
                            </w:p>
                          </w:txbxContent>
                        </wps:txbx>
                        <wps:bodyPr spcFirstLastPara="1" wrap="square" lIns="91425" tIns="91425" rIns="91425" bIns="91425" anchor="ctr" anchorCtr="0">
                          <a:noAutofit/>
                        </wps:bodyPr>
                      </wps:wsp>
                      <wps:wsp>
                        <wps:cNvPr id="6" name="Shape 6"/>
                        <wps:cNvSpPr/>
                        <wps:spPr>
                          <a:xfrm>
                            <a:off x="1485425" y="235725"/>
                            <a:ext cx="1909800" cy="621000"/>
                          </a:xfrm>
                          <a:prstGeom prst="rect">
                            <a:avLst/>
                          </a:prstGeom>
                          <a:solidFill>
                            <a:srgbClr val="CFE2F3"/>
                          </a:solidFill>
                          <a:ln w="9525" cap="flat" cmpd="sng">
                            <a:solidFill>
                              <a:srgbClr val="000000"/>
                            </a:solidFill>
                            <a:prstDash val="solid"/>
                            <a:round/>
                            <a:headEnd type="none" w="sm" len="sm"/>
                            <a:tailEnd type="none" w="sm" len="sm"/>
                          </a:ln>
                        </wps:spPr>
                        <wps:txbx>
                          <w:txbxContent>
                            <w:p w14:paraId="25886C8B">
                              <w:pPr>
                                <w:spacing w:line="240" w:lineRule="auto"/>
                              </w:pPr>
                              <w:r>
                                <w:rPr>
                                  <w:color w:val="000000"/>
                                  <w:sz w:val="20"/>
                                </w:rPr>
                                <w:t>Records identified through database search (n = 186)</w:t>
                              </w:r>
                            </w:p>
                          </w:txbxContent>
                        </wps:txbx>
                        <wps:bodyPr spcFirstLastPara="1" wrap="square" lIns="91425" tIns="91425" rIns="91425" bIns="91425" anchor="ctr" anchorCtr="0">
                          <a:noAutofit/>
                        </wps:bodyPr>
                      </wps:wsp>
                      <wps:wsp>
                        <wps:cNvPr id="7" name="Shape 7"/>
                        <wps:cNvSpPr/>
                        <wps:spPr>
                          <a:xfrm>
                            <a:off x="3680425" y="235725"/>
                            <a:ext cx="1953900" cy="621000"/>
                          </a:xfrm>
                          <a:prstGeom prst="rect">
                            <a:avLst/>
                          </a:prstGeom>
                          <a:solidFill>
                            <a:srgbClr val="CFE2F3"/>
                          </a:solidFill>
                          <a:ln w="9525" cap="flat" cmpd="sng">
                            <a:solidFill>
                              <a:srgbClr val="000000"/>
                            </a:solidFill>
                            <a:prstDash val="solid"/>
                            <a:round/>
                            <a:headEnd type="none" w="sm" len="sm"/>
                            <a:tailEnd type="none" w="sm" len="sm"/>
                          </a:ln>
                        </wps:spPr>
                        <wps:txbx>
                          <w:txbxContent>
                            <w:p w14:paraId="34CA130D">
                              <w:pPr>
                                <w:spacing w:line="240" w:lineRule="auto"/>
                              </w:pPr>
                              <w:r>
                                <w:rPr>
                                  <w:color w:val="000000"/>
                                  <w:sz w:val="20"/>
                                </w:rPr>
                                <w:t>Additional records identified through other sources (n = 24)</w:t>
                              </w:r>
                            </w:p>
                          </w:txbxContent>
                        </wps:txbx>
                        <wps:bodyPr spcFirstLastPara="1" wrap="square" lIns="91425" tIns="91425" rIns="91425" bIns="91425" anchor="ctr" anchorCtr="0">
                          <a:noAutofit/>
                        </wps:bodyPr>
                      </wps:wsp>
                      <wps:wsp>
                        <wps:cNvPr id="8" name="Shape 8"/>
                        <wps:cNvSpPr/>
                        <wps:spPr>
                          <a:xfrm>
                            <a:off x="2191550" y="1177325"/>
                            <a:ext cx="2645100" cy="450000"/>
                          </a:xfrm>
                          <a:prstGeom prst="rect">
                            <a:avLst/>
                          </a:prstGeom>
                          <a:solidFill>
                            <a:srgbClr val="CFE2F3"/>
                          </a:solidFill>
                          <a:ln w="9525" cap="flat" cmpd="sng">
                            <a:solidFill>
                              <a:srgbClr val="000000"/>
                            </a:solidFill>
                            <a:prstDash val="solid"/>
                            <a:round/>
                            <a:headEnd type="none" w="sm" len="sm"/>
                            <a:tailEnd type="none" w="sm" len="sm"/>
                          </a:ln>
                        </wps:spPr>
                        <wps:txbx>
                          <w:txbxContent>
                            <w:p w14:paraId="712430DD">
                              <w:pPr>
                                <w:spacing w:line="240" w:lineRule="auto"/>
                                <w:jc w:val="center"/>
                              </w:pPr>
                              <w:r>
                                <w:rPr>
                                  <w:color w:val="000000"/>
                                  <w:sz w:val="20"/>
                                </w:rPr>
                                <w:t>Records after duplicates removed (n = 154)</w:t>
                              </w:r>
                            </w:p>
                          </w:txbxContent>
                        </wps:txbx>
                        <wps:bodyPr spcFirstLastPara="1" wrap="square" lIns="91425" tIns="91425" rIns="91425" bIns="91425" anchor="ctr" anchorCtr="0">
                          <a:noAutofit/>
                        </wps:bodyPr>
                      </wps:wsp>
                      <wps:wsp>
                        <wps:cNvPr id="9" name="Shape 9"/>
                        <wps:cNvSpPr/>
                        <wps:spPr>
                          <a:xfrm>
                            <a:off x="1485425" y="1959125"/>
                            <a:ext cx="2050500" cy="388500"/>
                          </a:xfrm>
                          <a:prstGeom prst="rect">
                            <a:avLst/>
                          </a:prstGeom>
                          <a:solidFill>
                            <a:srgbClr val="CFE2F3"/>
                          </a:solidFill>
                          <a:ln w="9525" cap="flat" cmpd="sng">
                            <a:solidFill>
                              <a:srgbClr val="000000"/>
                            </a:solidFill>
                            <a:prstDash val="solid"/>
                            <a:round/>
                            <a:headEnd type="none" w="sm" len="sm"/>
                            <a:tailEnd type="none" w="sm" len="sm"/>
                          </a:ln>
                        </wps:spPr>
                        <wps:txbx>
                          <w:txbxContent>
                            <w:p w14:paraId="2BA4D768">
                              <w:pPr>
                                <w:spacing w:line="240" w:lineRule="auto"/>
                              </w:pPr>
                              <w:r>
                                <w:rPr>
                                  <w:color w:val="000000"/>
                                  <w:sz w:val="20"/>
                                </w:rPr>
                                <w:t>Records screened (n = 154)</w:t>
                              </w:r>
                            </w:p>
                          </w:txbxContent>
                        </wps:txbx>
                        <wps:bodyPr spcFirstLastPara="1" wrap="square" lIns="91425" tIns="91425" rIns="91425" bIns="91425" anchor="ctr" anchorCtr="0">
                          <a:noAutofit/>
                        </wps:bodyPr>
                      </wps:wsp>
                      <wps:wsp>
                        <wps:cNvPr id="10" name="Shape 10"/>
                        <wps:cNvSpPr/>
                        <wps:spPr>
                          <a:xfrm>
                            <a:off x="3736575" y="1947925"/>
                            <a:ext cx="1795200" cy="388500"/>
                          </a:xfrm>
                          <a:prstGeom prst="rect">
                            <a:avLst/>
                          </a:prstGeom>
                          <a:solidFill>
                            <a:srgbClr val="CFE2F3"/>
                          </a:solidFill>
                          <a:ln w="9525" cap="flat" cmpd="sng">
                            <a:solidFill>
                              <a:srgbClr val="000000"/>
                            </a:solidFill>
                            <a:prstDash val="solid"/>
                            <a:round/>
                            <a:headEnd type="none" w="sm" len="sm"/>
                            <a:tailEnd type="none" w="sm" len="sm"/>
                          </a:ln>
                        </wps:spPr>
                        <wps:txbx>
                          <w:txbxContent>
                            <w:p w14:paraId="0A9F8405">
                              <w:pPr>
                                <w:spacing w:line="240" w:lineRule="auto"/>
                              </w:pPr>
                              <w:r>
                                <w:rPr>
                                  <w:color w:val="000000"/>
                                  <w:sz w:val="20"/>
                                </w:rPr>
                                <w:t>Records excluded (n = 121)</w:t>
                              </w:r>
                            </w:p>
                          </w:txbxContent>
                        </wps:txbx>
                        <wps:bodyPr spcFirstLastPara="1" wrap="square" lIns="91425" tIns="91425" rIns="91425" bIns="91425" anchor="ctr" anchorCtr="0">
                          <a:noAutofit/>
                        </wps:bodyPr>
                      </wps:wsp>
                      <wps:wsp>
                        <wps:cNvPr id="11" name="Shape 11"/>
                        <wps:cNvSpPr/>
                        <wps:spPr>
                          <a:xfrm>
                            <a:off x="1493500" y="2679325"/>
                            <a:ext cx="2050500" cy="834000"/>
                          </a:xfrm>
                          <a:prstGeom prst="rect">
                            <a:avLst/>
                          </a:prstGeom>
                          <a:solidFill>
                            <a:srgbClr val="CFE2F3"/>
                          </a:solidFill>
                          <a:ln w="9525" cap="flat" cmpd="sng">
                            <a:solidFill>
                              <a:srgbClr val="000000"/>
                            </a:solidFill>
                            <a:prstDash val="solid"/>
                            <a:round/>
                            <a:headEnd type="none" w="sm" len="sm"/>
                            <a:tailEnd type="none" w="sm" len="sm"/>
                          </a:ln>
                        </wps:spPr>
                        <wps:txbx>
                          <w:txbxContent>
                            <w:p w14:paraId="0432CBC5">
                              <w:pPr>
                                <w:spacing w:line="240" w:lineRule="auto"/>
                              </w:pPr>
                              <w:r>
                                <w:rPr>
                                  <w:color w:val="000000"/>
                                  <w:sz w:val="20"/>
                                </w:rPr>
                                <w:t>Full-text reports assessed for eligibility (n = 33)</w:t>
                              </w:r>
                            </w:p>
                          </w:txbxContent>
                        </wps:txbx>
                        <wps:bodyPr spcFirstLastPara="1" wrap="square" lIns="91425" tIns="91425" rIns="91425" bIns="91425" anchor="ctr" anchorCtr="0">
                          <a:noAutofit/>
                        </wps:bodyPr>
                      </wps:wsp>
                      <wps:wsp>
                        <wps:cNvPr id="12" name="Shape 12"/>
                        <wps:cNvSpPr/>
                        <wps:spPr>
                          <a:xfrm>
                            <a:off x="1493500" y="3901975"/>
                            <a:ext cx="2050500" cy="542100"/>
                          </a:xfrm>
                          <a:prstGeom prst="rect">
                            <a:avLst/>
                          </a:prstGeom>
                          <a:solidFill>
                            <a:srgbClr val="CFE2F3"/>
                          </a:solidFill>
                          <a:ln w="9525" cap="flat" cmpd="sng">
                            <a:solidFill>
                              <a:srgbClr val="000000"/>
                            </a:solidFill>
                            <a:prstDash val="solid"/>
                            <a:round/>
                            <a:headEnd type="none" w="sm" len="sm"/>
                            <a:tailEnd type="none" w="sm" len="sm"/>
                          </a:ln>
                        </wps:spPr>
                        <wps:txbx>
                          <w:txbxContent>
                            <w:p w14:paraId="7D879C14">
                              <w:pPr>
                                <w:spacing w:line="275" w:lineRule="auto"/>
                              </w:pPr>
                              <w:r>
                                <w:rPr>
                                  <w:color w:val="000000"/>
                                  <w:sz w:val="20"/>
                                </w:rPr>
                                <w:t>Studies included in the synthesis (n = 15)</w:t>
                              </w:r>
                            </w:p>
                            <w:p w14:paraId="567BB701">
                              <w:pPr>
                                <w:spacing w:line="240" w:lineRule="auto"/>
                              </w:pPr>
                            </w:p>
                          </w:txbxContent>
                        </wps:txbx>
                        <wps:bodyPr spcFirstLastPara="1" wrap="square" lIns="91425" tIns="91425" rIns="91425" bIns="91425" anchor="ctr" anchorCtr="0">
                          <a:noAutofit/>
                        </wps:bodyPr>
                      </wps:wsp>
                      <wps:wsp>
                        <wps:cNvPr id="13" name="Shape 13"/>
                        <wps:cNvSpPr/>
                        <wps:spPr>
                          <a:xfrm>
                            <a:off x="2977925" y="856725"/>
                            <a:ext cx="102300" cy="326100"/>
                          </a:xfrm>
                          <a:prstGeom prst="downArrow">
                            <a:avLst>
                              <a:gd name="adj1" fmla="val 50000"/>
                              <a:gd name="adj2" fmla="val 50000"/>
                            </a:avLst>
                          </a:prstGeom>
                          <a:solidFill>
                            <a:srgbClr val="EAD1DC"/>
                          </a:solidFill>
                          <a:ln w="9525" cap="flat" cmpd="sng">
                            <a:solidFill>
                              <a:srgbClr val="000000"/>
                            </a:solidFill>
                            <a:prstDash val="solid"/>
                            <a:round/>
                            <a:headEnd type="none" w="sm" len="sm"/>
                            <a:tailEnd type="none" w="sm" len="sm"/>
                          </a:ln>
                        </wps:spPr>
                        <wps:txbx>
                          <w:txbxContent>
                            <w:p w14:paraId="276C5921">
                              <w:pPr>
                                <w:spacing w:line="240" w:lineRule="auto"/>
                                <w:jc w:val="center"/>
                              </w:pPr>
                            </w:p>
                          </w:txbxContent>
                        </wps:txbx>
                        <wps:bodyPr spcFirstLastPara="1" wrap="square" lIns="91425" tIns="91425" rIns="91425" bIns="91425" anchor="ctr" anchorCtr="0">
                          <a:noAutofit/>
                        </wps:bodyPr>
                      </wps:wsp>
                      <wps:wsp>
                        <wps:cNvPr id="14" name="Shape 14"/>
                        <wps:cNvSpPr/>
                        <wps:spPr>
                          <a:xfrm>
                            <a:off x="4072050" y="856713"/>
                            <a:ext cx="102300" cy="326100"/>
                          </a:xfrm>
                          <a:prstGeom prst="downArrow">
                            <a:avLst>
                              <a:gd name="adj1" fmla="val 50000"/>
                              <a:gd name="adj2" fmla="val 50000"/>
                            </a:avLst>
                          </a:prstGeom>
                          <a:solidFill>
                            <a:srgbClr val="EAD1DC"/>
                          </a:solidFill>
                          <a:ln w="9525" cap="flat" cmpd="sng">
                            <a:solidFill>
                              <a:srgbClr val="000000"/>
                            </a:solidFill>
                            <a:prstDash val="solid"/>
                            <a:round/>
                            <a:headEnd type="none" w="sm" len="sm"/>
                            <a:tailEnd type="none" w="sm" len="sm"/>
                          </a:ln>
                        </wps:spPr>
                        <wps:txbx>
                          <w:txbxContent>
                            <w:p w14:paraId="685672B1">
                              <w:pPr>
                                <w:spacing w:line="240" w:lineRule="auto"/>
                                <w:jc w:val="center"/>
                              </w:pPr>
                            </w:p>
                          </w:txbxContent>
                        </wps:txbx>
                        <wps:bodyPr spcFirstLastPara="1" wrap="square" lIns="91425" tIns="91425" rIns="91425" bIns="91425" anchor="ctr" anchorCtr="0">
                          <a:noAutofit/>
                        </wps:bodyPr>
                      </wps:wsp>
                      <wps:wsp>
                        <wps:cNvPr id="15" name="Shape 15"/>
                        <wps:cNvSpPr/>
                        <wps:spPr>
                          <a:xfrm>
                            <a:off x="2977925" y="1637213"/>
                            <a:ext cx="102300" cy="326100"/>
                          </a:xfrm>
                          <a:prstGeom prst="downArrow">
                            <a:avLst>
                              <a:gd name="adj1" fmla="val 50000"/>
                              <a:gd name="adj2" fmla="val 50000"/>
                            </a:avLst>
                          </a:prstGeom>
                          <a:solidFill>
                            <a:srgbClr val="EAD1DC"/>
                          </a:solidFill>
                          <a:ln w="9525" cap="flat" cmpd="sng">
                            <a:solidFill>
                              <a:srgbClr val="000000"/>
                            </a:solidFill>
                            <a:prstDash val="solid"/>
                            <a:round/>
                            <a:headEnd type="none" w="sm" len="sm"/>
                            <a:tailEnd type="none" w="sm" len="sm"/>
                          </a:ln>
                        </wps:spPr>
                        <wps:txbx>
                          <w:txbxContent>
                            <w:p w14:paraId="217238AA">
                              <w:pPr>
                                <w:spacing w:line="240" w:lineRule="auto"/>
                                <w:jc w:val="center"/>
                              </w:pPr>
                            </w:p>
                          </w:txbxContent>
                        </wps:txbx>
                        <wps:bodyPr spcFirstLastPara="1" wrap="square" lIns="91425" tIns="91425" rIns="91425" bIns="91425" anchor="ctr" anchorCtr="0">
                          <a:noAutofit/>
                        </wps:bodyPr>
                      </wps:wsp>
                      <wps:wsp>
                        <wps:cNvPr id="16" name="Shape 16"/>
                        <wps:cNvSpPr/>
                        <wps:spPr>
                          <a:xfrm>
                            <a:off x="2977925" y="2347625"/>
                            <a:ext cx="102300" cy="326100"/>
                          </a:xfrm>
                          <a:prstGeom prst="downArrow">
                            <a:avLst>
                              <a:gd name="adj1" fmla="val 50000"/>
                              <a:gd name="adj2" fmla="val 50000"/>
                            </a:avLst>
                          </a:prstGeom>
                          <a:solidFill>
                            <a:srgbClr val="EAD1DC"/>
                          </a:solidFill>
                          <a:ln w="9525" cap="flat" cmpd="sng">
                            <a:solidFill>
                              <a:srgbClr val="000000"/>
                            </a:solidFill>
                            <a:prstDash val="solid"/>
                            <a:round/>
                            <a:headEnd type="none" w="sm" len="sm"/>
                            <a:tailEnd type="none" w="sm" len="sm"/>
                          </a:ln>
                        </wps:spPr>
                        <wps:txbx>
                          <w:txbxContent>
                            <w:p w14:paraId="0099C11F">
                              <w:pPr>
                                <w:spacing w:line="240" w:lineRule="auto"/>
                                <w:jc w:val="center"/>
                              </w:pPr>
                            </w:p>
                          </w:txbxContent>
                        </wps:txbx>
                        <wps:bodyPr spcFirstLastPara="1" wrap="square" lIns="91425" tIns="91425" rIns="91425" bIns="91425" anchor="ctr" anchorCtr="0">
                          <a:noAutofit/>
                        </wps:bodyPr>
                      </wps:wsp>
                      <wps:wsp>
                        <wps:cNvPr id="17" name="Shape 17"/>
                        <wps:cNvSpPr/>
                        <wps:spPr>
                          <a:xfrm>
                            <a:off x="2977925" y="3513325"/>
                            <a:ext cx="102300" cy="388500"/>
                          </a:xfrm>
                          <a:prstGeom prst="downArrow">
                            <a:avLst>
                              <a:gd name="adj1" fmla="val 50000"/>
                              <a:gd name="adj2" fmla="val 50000"/>
                            </a:avLst>
                          </a:prstGeom>
                          <a:solidFill>
                            <a:srgbClr val="EAD1DC"/>
                          </a:solidFill>
                          <a:ln w="9525" cap="flat" cmpd="sng">
                            <a:solidFill>
                              <a:srgbClr val="000000"/>
                            </a:solidFill>
                            <a:prstDash val="solid"/>
                            <a:round/>
                            <a:headEnd type="none" w="sm" len="sm"/>
                            <a:tailEnd type="none" w="sm" len="sm"/>
                          </a:ln>
                        </wps:spPr>
                        <wps:txbx>
                          <w:txbxContent>
                            <w:p w14:paraId="7C0124C2">
                              <w:pPr>
                                <w:spacing w:line="240" w:lineRule="auto"/>
                                <w:jc w:val="center"/>
                              </w:pPr>
                            </w:p>
                          </w:txbxContent>
                        </wps:txbx>
                        <wps:bodyPr spcFirstLastPara="1" wrap="square" lIns="91425" tIns="91425" rIns="91425" bIns="91425" anchor="ctr" anchorCtr="0">
                          <a:noAutofit/>
                        </wps:bodyPr>
                      </wps:wsp>
                      <wps:wsp>
                        <wps:cNvPr id="18" name="Shape 18"/>
                        <wps:cNvSpPr/>
                        <wps:spPr>
                          <a:xfrm>
                            <a:off x="3728500" y="2679325"/>
                            <a:ext cx="1803300" cy="806100"/>
                          </a:xfrm>
                          <a:prstGeom prst="rect">
                            <a:avLst/>
                          </a:prstGeom>
                          <a:solidFill>
                            <a:srgbClr val="CFE2F3"/>
                          </a:solidFill>
                          <a:ln w="9525" cap="flat" cmpd="sng">
                            <a:solidFill>
                              <a:srgbClr val="000000"/>
                            </a:solidFill>
                            <a:prstDash val="solid"/>
                            <a:round/>
                            <a:headEnd type="none" w="sm" len="sm"/>
                            <a:tailEnd type="none" w="sm" len="sm"/>
                          </a:ln>
                        </wps:spPr>
                        <wps:txbx>
                          <w:txbxContent>
                            <w:p w14:paraId="45154B35">
                              <w:pPr>
                                <w:spacing w:line="240" w:lineRule="auto"/>
                              </w:pPr>
                              <w:r>
                                <w:rPr>
                                  <w:color w:val="000000"/>
                                  <w:sz w:val="20"/>
                                </w:rPr>
                                <w:t>Full-text reports excluded, with reasons (n = 18)</w:t>
                              </w:r>
                            </w:p>
                          </w:txbxContent>
                        </wps:txbx>
                        <wps:bodyPr spcFirstLastPara="1" wrap="square" lIns="91425" tIns="91425" rIns="91425" bIns="91425" anchor="ctr" anchorCtr="0">
                          <a:noAutofit/>
                        </wps:bodyPr>
                      </wps:wsp>
                      <wps:wsp>
                        <wps:cNvPr id="19" name="Shape 19"/>
                        <wps:cNvSpPr/>
                        <wps:spPr>
                          <a:xfrm rot="-5400000">
                            <a:off x="3564550" y="2962262"/>
                            <a:ext cx="143400" cy="184500"/>
                          </a:xfrm>
                          <a:prstGeom prst="downArrow">
                            <a:avLst>
                              <a:gd name="adj1" fmla="val 50000"/>
                              <a:gd name="adj2" fmla="val 50000"/>
                            </a:avLst>
                          </a:prstGeom>
                          <a:solidFill>
                            <a:srgbClr val="EAD1DC"/>
                          </a:solidFill>
                          <a:ln w="9525" cap="flat" cmpd="sng">
                            <a:solidFill>
                              <a:srgbClr val="000000"/>
                            </a:solidFill>
                            <a:prstDash val="solid"/>
                            <a:round/>
                            <a:headEnd type="none" w="sm" len="sm"/>
                            <a:tailEnd type="none" w="sm" len="sm"/>
                          </a:ln>
                        </wps:spPr>
                        <wps:txbx>
                          <w:txbxContent>
                            <w:p w14:paraId="70338AC8">
                              <w:pPr>
                                <w:spacing w:line="240" w:lineRule="auto"/>
                                <w:jc w:val="center"/>
                              </w:pPr>
                            </w:p>
                          </w:txbxContent>
                        </wps:txbx>
                        <wps:bodyPr spcFirstLastPara="1" wrap="square" lIns="91425" tIns="91425" rIns="91425" bIns="91425" anchor="ctr" anchorCtr="0">
                          <a:noAutofit/>
                        </wps:bodyPr>
                      </wps:wsp>
                      <wps:wsp>
                        <wps:cNvPr id="20" name="Shape 20"/>
                        <wps:cNvSpPr/>
                        <wps:spPr>
                          <a:xfrm rot="-5400000">
                            <a:off x="3564550" y="2049937"/>
                            <a:ext cx="143400" cy="184500"/>
                          </a:xfrm>
                          <a:prstGeom prst="downArrow">
                            <a:avLst>
                              <a:gd name="adj1" fmla="val 50000"/>
                              <a:gd name="adj2" fmla="val 50000"/>
                            </a:avLst>
                          </a:prstGeom>
                          <a:solidFill>
                            <a:srgbClr val="EAD1DC"/>
                          </a:solidFill>
                          <a:ln w="9525" cap="flat" cmpd="sng">
                            <a:solidFill>
                              <a:srgbClr val="000000"/>
                            </a:solidFill>
                            <a:prstDash val="solid"/>
                            <a:round/>
                            <a:headEnd type="none" w="sm" len="sm"/>
                            <a:tailEnd type="none" w="sm" len="sm"/>
                          </a:ln>
                        </wps:spPr>
                        <wps:txbx>
                          <w:txbxContent>
                            <w:p w14:paraId="71898E91">
                              <w:pPr>
                                <w:spacing w:line="240" w:lineRule="auto"/>
                                <w:jc w:val="center"/>
                              </w:pPr>
                            </w:p>
                          </w:txbxContent>
                        </wps:txbx>
                        <wps:bodyPr spcFirstLastPara="1" wrap="square" lIns="91425" tIns="91425" rIns="91425" bIns="91425" anchor="ctr" anchorCtr="0">
                          <a:noAutofit/>
                        </wps:bodyPr>
                      </wps:wsp>
                    </wpg:wgp>
                  </a:graphicData>
                </a:graphic>
              </wp:inline>
            </w:drawing>
          </mc:Choice>
          <mc:Fallback>
            <w:pict>
              <v:group id="_x0000_s1026" o:spid="_x0000_s1026" o:spt="203" style="height:380.85pt;width:385.5pt;" coordorigin="898750,230950" coordsize="4740350,4688500" o:gfxdata="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">
                <o:lock v:ext="edit" aspectratio="f"/>
                <v:rect id="Shape 2" o:spid="_x0000_s1026" o:spt="1" style="position:absolute;left:524175;top:615075;height:296700;width:1055400;rotation:-5898240f;v-text-anchor:middle;" fillcolor="#FFF2CC" filled="t" stroked="t" coordsize="21600,21600" o:gfxdata="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4zzrsAAADa&#10;AAAADwAAAAAAAAABACAAAAAiAAAAZHJzL2Rvd25yZXYueG1sUEsBAhQAFAAAAAgAh07iQDMvBZ47&#10;AAAAOQAAABAAAAAAAAAAAQAgAAAACgEAAGRycy9zaGFwZXhtbC54bWxQSwUGAAAAAAYABgBbAQAA&#10;tAMAAAAA&#10;">
                  <v:fill on="t" focussize="0,0"/>
                  <v:stroke color="#000000" joinstyle="round" startarrowwidth="narrow" startarrowlength="short" endarrowwidth="narrow" endarrowlength="short"/>
                  <v:imagedata o:title=""/>
                  <o:lock v:ext="edit" aspectratio="f"/>
                  <v:textbox inset="7.1988188976378pt,7.1988188976378pt,7.1988188976378pt,7.1988188976378pt">
                    <w:txbxContent>
                      <w:p w14:paraId="2B7BF225">
                        <w:pPr>
                          <w:spacing w:line="240" w:lineRule="auto"/>
                          <w:jc w:val="center"/>
                        </w:pPr>
                        <w:r>
                          <w:rPr>
                            <w:b/>
                            <w:color w:val="000000"/>
                            <w:sz w:val="20"/>
                          </w:rPr>
                          <w:t>Identification</w:t>
                        </w:r>
                      </w:p>
                    </w:txbxContent>
                  </v:textbox>
                </v:rect>
                <v:rect id="Shape 3" o:spid="_x0000_s1026" o:spt="1" style="position:absolute;left:524175;top:1822925;height:296700;width:1055400;rotation:-5898240f;v-text-anchor:middle;" fillcolor="#FFF2CC" filled="t" stroked="t" coordsize="21600,21600" o:gfxdata="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FCllW8AAAA&#10;2gAAAA8AAAAAAAAAAQAgAAAAIgAAAGRycy9kb3ducmV2LnhtbFBLAQIUABQAAAAIAIdO4kAzLwWe&#10;OwAAADkAAAAQAAAAAAAAAAEAIAAAAAsBAABkcnMvc2hhcGV4bWwueG1sUEsFBgAAAAAGAAYAWwEA&#10;ALUDAAAAAA==&#10;">
                  <v:fill on="t" focussize="0,0"/>
                  <v:stroke color="#000000" joinstyle="round" startarrowwidth="narrow" startarrowlength="short" endarrowwidth="narrow" endarrowlength="short"/>
                  <v:imagedata o:title=""/>
                  <o:lock v:ext="edit" aspectratio="f"/>
                  <v:textbox inset="7.1988188976378pt,7.1988188976378pt,7.1988188976378pt,7.1988188976378pt">
                    <w:txbxContent>
                      <w:p w14:paraId="5F2415CF">
                        <w:pPr>
                          <w:spacing w:line="240" w:lineRule="auto"/>
                          <w:jc w:val="center"/>
                        </w:pPr>
                        <w:r>
                          <w:rPr>
                            <w:b/>
                            <w:color w:val="000000"/>
                            <w:sz w:val="20"/>
                          </w:rPr>
                          <w:t>Screening</w:t>
                        </w:r>
                      </w:p>
                    </w:txbxContent>
                  </v:textbox>
                </v:rect>
                <v:rect id="Shape 4" o:spid="_x0000_s1026" o:spt="1" style="position:absolute;left:524175;top:4238625;height:296700;width:1055400;rotation:-5898240f;v-text-anchor:middle;" fillcolor="#FFF2CC" filled="t" stroked="t" coordsize="21600,21600" o:gfxdata="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6rDiG8AAAA&#10;2gAAAA8AAAAAAAAAAQAgAAAAIgAAAGRycy9kb3ducmV2LnhtbFBLAQIUABQAAAAIAIdO4kAzLwWe&#10;OwAAADkAAAAQAAAAAAAAAAEAIAAAAAsBAABkcnMvc2hhcGV4bWwueG1sUEsFBgAAAAAGAAYAWwEA&#10;ALUDAAAAAA==&#10;">
                  <v:fill on="t" focussize="0,0"/>
                  <v:stroke color="#000000" joinstyle="round" startarrowwidth="narrow" startarrowlength="short" endarrowwidth="narrow" endarrowlength="short"/>
                  <v:imagedata o:title=""/>
                  <o:lock v:ext="edit" aspectratio="f"/>
                  <v:textbox inset="7.1988188976378pt,7.1988188976378pt,7.1988188976378pt,7.1988188976378pt">
                    <w:txbxContent>
                      <w:p w14:paraId="03771D10">
                        <w:pPr>
                          <w:spacing w:line="240" w:lineRule="auto"/>
                          <w:jc w:val="center"/>
                        </w:pPr>
                        <w:r>
                          <w:rPr>
                            <w:b/>
                            <w:color w:val="000000"/>
                            <w:sz w:val="20"/>
                          </w:rPr>
                          <w:t>Included</w:t>
                        </w:r>
                      </w:p>
                    </w:txbxContent>
                  </v:textbox>
                </v:rect>
                <v:rect id="Shape 5" o:spid="_x0000_s1026" o:spt="1" style="position:absolute;left:524175;top:3030775;height:296700;width:1055400;rotation:-5898240f;v-text-anchor:middle;" fillcolor="#FFF2CC" filled="t" stroked="t" coordsize="21600,21600" o:gfxdata="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eerursAAADa&#10;AAAADwAAAAAAAAABACAAAAAiAAAAZHJzL2Rvd25yZXYueG1sUEsBAhQAFAAAAAgAh07iQDMvBZ47&#10;AAAAOQAAABAAAAAAAAAAAQAgAAAACgEAAGRycy9zaGFwZXhtbC54bWxQSwUGAAAAAAYABgBbAQAA&#10;tAMAAAAA&#10;">
                  <v:fill on="t" focussize="0,0"/>
                  <v:stroke color="#000000" joinstyle="round" startarrowwidth="narrow" startarrowlength="short" endarrowwidth="narrow" endarrowlength="short"/>
                  <v:imagedata o:title=""/>
                  <o:lock v:ext="edit" aspectratio="f"/>
                  <v:textbox inset="7.1988188976378pt,7.1988188976378pt,7.1988188976378pt,7.1988188976378pt">
                    <w:txbxContent>
                      <w:p w14:paraId="76DD1DB6">
                        <w:pPr>
                          <w:spacing w:line="240" w:lineRule="auto"/>
                          <w:jc w:val="center"/>
                        </w:pPr>
                        <w:r>
                          <w:rPr>
                            <w:b/>
                            <w:color w:val="000000"/>
                            <w:sz w:val="20"/>
                          </w:rPr>
                          <w:t>Eligibility</w:t>
                        </w:r>
                      </w:p>
                    </w:txbxContent>
                  </v:textbox>
                </v:rect>
                <v:rect id="Shape 6" o:spid="_x0000_s1026" o:spt="1" style="position:absolute;left:1485425;top:235725;height:621000;width:1909800;v-text-anchor:middle;" fillcolor="#CFE2F3" filled="t" stroked="t" coordsize="21600,21600" o:gfxdata="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xNof7sAAADa&#10;AAAADwAAAAAAAAABACAAAAAiAAAAZHJzL2Rvd25yZXYueG1sUEsBAhQAFAAAAAgAh07iQDMvBZ47&#10;AAAAOQAAABAAAAAAAAAAAQAgAAAACgEAAGRycy9zaGFwZXhtbC54bWxQSwUGAAAAAAYABgBbAQAA&#10;tAMAAAAA&#10;">
                  <v:fill on="t" focussize="0,0"/>
                  <v:stroke color="#000000" joinstyle="round" startarrowwidth="narrow" startarrowlength="short" endarrowwidth="narrow" endarrowlength="short"/>
                  <v:imagedata o:title=""/>
                  <o:lock v:ext="edit" aspectratio="f"/>
                  <v:textbox inset="7.1988188976378pt,7.1988188976378pt,7.1988188976378pt,7.1988188976378pt">
                    <w:txbxContent>
                      <w:p w14:paraId="25886C8B">
                        <w:pPr>
                          <w:spacing w:line="240" w:lineRule="auto"/>
                        </w:pPr>
                        <w:r>
                          <w:rPr>
                            <w:color w:val="000000"/>
                            <w:sz w:val="20"/>
                          </w:rPr>
                          <w:t>Records identified through database search (n = 186)</w:t>
                        </w:r>
                      </w:p>
                    </w:txbxContent>
                  </v:textbox>
                </v:rect>
                <v:rect id="Shape 7" o:spid="_x0000_s1026" o:spt="1" style="position:absolute;left:3680425;top:235725;height:621000;width:1953900;v-text-anchor:middle;" fillcolor="#CFE2F3" filled="t" stroked="t" coordsize="21600,21600" o:gfxdata="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XF/N5LsAAADa&#10;AAAADwAAAAAAAAABACAAAAAiAAAAZHJzL2Rvd25yZXYueG1sUEsBAhQAFAAAAAgAh07iQDMvBZ47&#10;AAAAOQAAABAAAAAAAAAAAQAgAAAACgEAAGRycy9zaGFwZXhtbC54bWxQSwUGAAAAAAYABgBbAQAA&#10;tAMAAAAA&#10;">
                  <v:fill on="t" focussize="0,0"/>
                  <v:stroke color="#000000" joinstyle="round" startarrowwidth="narrow" startarrowlength="short" endarrowwidth="narrow" endarrowlength="short"/>
                  <v:imagedata o:title=""/>
                  <o:lock v:ext="edit" aspectratio="f"/>
                  <v:textbox inset="7.1988188976378pt,7.1988188976378pt,7.1988188976378pt,7.1988188976378pt">
                    <w:txbxContent>
                      <w:p w14:paraId="34CA130D">
                        <w:pPr>
                          <w:spacing w:line="240" w:lineRule="auto"/>
                        </w:pPr>
                        <w:r>
                          <w:rPr>
                            <w:color w:val="000000"/>
                            <w:sz w:val="20"/>
                          </w:rPr>
                          <w:t>Additional records identified through other sources (n = 24)</w:t>
                        </w:r>
                      </w:p>
                    </w:txbxContent>
                  </v:textbox>
                </v:rect>
                <v:rect id="Shape 8" o:spid="_x0000_s1026" o:spt="1" style="position:absolute;left:2191550;top:1177325;height:450000;width:2645100;v-text-anchor:middle;" fillcolor="#CFE2F3" filled="t" stroked="t" coordsize="21600,21600" o:gfxdata="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C3AWZa2AAAA2gAAAA8A&#10;AAAAAAAAAQAgAAAAIgAAAGRycy9kb3ducmV2LnhtbFBLAQIUABQAAAAIAIdO4kAzLwWeOwAAADkA&#10;AAAQAAAAAAAAAAEAIAAAAAUBAABkcnMvc2hhcGV4bWwueG1sUEsFBgAAAAAGAAYAWwEAAK8DAAAA&#10;AA==&#10;">
                  <v:fill on="t" focussize="0,0"/>
                  <v:stroke color="#000000" joinstyle="round" startarrowwidth="narrow" startarrowlength="short" endarrowwidth="narrow" endarrowlength="short"/>
                  <v:imagedata o:title=""/>
                  <o:lock v:ext="edit" aspectratio="f"/>
                  <v:textbox inset="7.1988188976378pt,7.1988188976378pt,7.1988188976378pt,7.1988188976378pt">
                    <w:txbxContent>
                      <w:p w14:paraId="712430DD">
                        <w:pPr>
                          <w:spacing w:line="240" w:lineRule="auto"/>
                          <w:jc w:val="center"/>
                        </w:pPr>
                        <w:r>
                          <w:rPr>
                            <w:color w:val="000000"/>
                            <w:sz w:val="20"/>
                          </w:rPr>
                          <w:t>Records after duplicates removed (n = 154)</w:t>
                        </w:r>
                      </w:p>
                    </w:txbxContent>
                  </v:textbox>
                </v:rect>
                <v:rect id="Shape 9" o:spid="_x0000_s1026" o:spt="1" style="position:absolute;left:1485425;top:1959125;height:388500;width:2050500;v-text-anchor:middle;" fillcolor="#CFE2F3" filled="t" stroked="t" coordsize="21600,21600" o:gfxdata="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oz8DbsAAADa&#10;AAAADwAAAAAAAAABACAAAAAiAAAAZHJzL2Rvd25yZXYueG1sUEsBAhQAFAAAAAgAh07iQDMvBZ47&#10;AAAAOQAAABAAAAAAAAAAAQAgAAAACgEAAGRycy9zaGFwZXhtbC54bWxQSwUGAAAAAAYABgBbAQAA&#10;tAMAAAAA&#10;">
                  <v:fill on="t" focussize="0,0"/>
                  <v:stroke color="#000000" joinstyle="round" startarrowwidth="narrow" startarrowlength="short" endarrowwidth="narrow" endarrowlength="short"/>
                  <v:imagedata o:title=""/>
                  <o:lock v:ext="edit" aspectratio="f"/>
                  <v:textbox inset="7.1988188976378pt,7.1988188976378pt,7.1988188976378pt,7.1988188976378pt">
                    <w:txbxContent>
                      <w:p w14:paraId="2BA4D768">
                        <w:pPr>
                          <w:spacing w:line="240" w:lineRule="auto"/>
                        </w:pPr>
                        <w:r>
                          <w:rPr>
                            <w:color w:val="000000"/>
                            <w:sz w:val="20"/>
                          </w:rPr>
                          <w:t>Records screened (n = 154)</w:t>
                        </w:r>
                      </w:p>
                    </w:txbxContent>
                  </v:textbox>
                </v:rect>
                <v:rect id="Shape 10" o:spid="_x0000_s1026" o:spt="1" style="position:absolute;left:3736575;top:1947925;height:388500;width:1795200;v-text-anchor:middle;" fillcolor="#CFE2F3" filled="t" stroked="t" coordsize="21600,21600" o:gfxdata="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6X50C/&#10;AAAA2wAAAA8AAAAAAAAAAQAgAAAAIgAAAGRycy9kb3ducmV2LnhtbFBLAQIUABQAAAAIAIdO4kAz&#10;LwWeOwAAADkAAAAQAAAAAAAAAAEAIAAAAA4BAABkcnMvc2hhcGV4bWwueG1sUEsFBgAAAAAGAAYA&#10;WwEAALgDAAAAAA==&#10;">
                  <v:fill on="t" focussize="0,0"/>
                  <v:stroke color="#000000" joinstyle="round" startarrowwidth="narrow" startarrowlength="short" endarrowwidth="narrow" endarrowlength="short"/>
                  <v:imagedata o:title=""/>
                  <o:lock v:ext="edit" aspectratio="f"/>
                  <v:textbox inset="7.1988188976378pt,7.1988188976378pt,7.1988188976378pt,7.1988188976378pt">
                    <w:txbxContent>
                      <w:p w14:paraId="0A9F8405">
                        <w:pPr>
                          <w:spacing w:line="240" w:lineRule="auto"/>
                        </w:pPr>
                        <w:r>
                          <w:rPr>
                            <w:color w:val="000000"/>
                            <w:sz w:val="20"/>
                          </w:rPr>
                          <w:t>Records excluded (n = 121)</w:t>
                        </w:r>
                      </w:p>
                    </w:txbxContent>
                  </v:textbox>
                </v:rect>
                <v:rect id="Shape 11" o:spid="_x0000_s1026" o:spt="1" style="position:absolute;left:1493500;top:2679325;height:834000;width:2050500;v-text-anchor:middle;" fillcolor="#CFE2F3" filled="t" stroked="t" coordsize="21600,21600" o:gfxdata="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dtC27sAAADb&#10;AAAADwAAAAAAAAABACAAAAAiAAAAZHJzL2Rvd25yZXYueG1sUEsBAhQAFAAAAAgAh07iQDMvBZ47&#10;AAAAOQAAABAAAAAAAAAAAQAgAAAACgEAAGRycy9zaGFwZXhtbC54bWxQSwUGAAAAAAYABgBbAQAA&#10;tAMAAAAA&#10;">
                  <v:fill on="t" focussize="0,0"/>
                  <v:stroke color="#000000" joinstyle="round" startarrowwidth="narrow" startarrowlength="short" endarrowwidth="narrow" endarrowlength="short"/>
                  <v:imagedata o:title=""/>
                  <o:lock v:ext="edit" aspectratio="f"/>
                  <v:textbox inset="7.1988188976378pt,7.1988188976378pt,7.1988188976378pt,7.1988188976378pt">
                    <w:txbxContent>
                      <w:p w14:paraId="0432CBC5">
                        <w:pPr>
                          <w:spacing w:line="240" w:lineRule="auto"/>
                        </w:pPr>
                        <w:r>
                          <w:rPr>
                            <w:color w:val="000000"/>
                            <w:sz w:val="20"/>
                          </w:rPr>
                          <w:t>Full-text reports assessed for eligibility (n = 33)</w:t>
                        </w:r>
                      </w:p>
                    </w:txbxContent>
                  </v:textbox>
                </v:rect>
                <v:rect id="Shape 12" o:spid="_x0000_s1026" o:spt="1" style="position:absolute;left:1493500;top:3901975;height:542100;width:2050500;v-text-anchor:middle;" fillcolor="#CFE2F3" filled="t" stroked="t" coordsize="21600,21600" o:gfxdata="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EJ3Ky8AAAA&#10;2wAAAA8AAAAAAAAAAQAgAAAAIgAAAGRycy9kb3ducmV2LnhtbFBLAQIUABQAAAAIAIdO4kAzLwWe&#10;OwAAADkAAAAQAAAAAAAAAAEAIAAAAAsBAABkcnMvc2hhcGV4bWwueG1sUEsFBgAAAAAGAAYAWwEA&#10;ALUDAAAAAA==&#10;">
                  <v:fill on="t" focussize="0,0"/>
                  <v:stroke color="#000000" joinstyle="round" startarrowwidth="narrow" startarrowlength="short" endarrowwidth="narrow" endarrowlength="short"/>
                  <v:imagedata o:title=""/>
                  <o:lock v:ext="edit" aspectratio="f"/>
                  <v:textbox inset="7.1988188976378pt,7.1988188976378pt,7.1988188976378pt,7.1988188976378pt">
                    <w:txbxContent>
                      <w:p w14:paraId="7D879C14">
                        <w:pPr>
                          <w:spacing w:line="275" w:lineRule="auto"/>
                        </w:pPr>
                        <w:r>
                          <w:rPr>
                            <w:color w:val="000000"/>
                            <w:sz w:val="20"/>
                          </w:rPr>
                          <w:t>Studies included in the synthesis (n = 15)</w:t>
                        </w:r>
                      </w:p>
                      <w:p w14:paraId="567BB701">
                        <w:pPr>
                          <w:spacing w:line="240" w:lineRule="auto"/>
                        </w:pPr>
                      </w:p>
                    </w:txbxContent>
                  </v:textbox>
                </v:rect>
                <v:shape id="Shape 13" o:spid="_x0000_s1026" o:spt="67" type="#_x0000_t67" style="position:absolute;left:2977925;top:856725;height:326100;width:102300;v-text-anchor:middle;" fillcolor="#EAD1DC" filled="t" stroked="t" coordsize="21600,21600" o:gfxdata="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liOn7ugAAANsA&#10;AAAPAAAAAAAAAAEAIAAAACIAAABkcnMvZG93bnJldi54bWxQSwECFAAUAAAACACHTuJAMy8FnjsA&#10;AAA5AAAAEAAAAAAAAAABACAAAAAJAQAAZHJzL3NoYXBleG1sLnhtbFBLBQYAAAAABgAGAFsBAACz&#10;AwAAAAA=&#10;" adj="18212,5400">
                  <v:fill on="t" focussize="0,0"/>
                  <v:stroke color="#000000" joinstyle="round" startarrowwidth="narrow" startarrowlength="short" endarrowwidth="narrow" endarrowlength="short"/>
                  <v:imagedata o:title=""/>
                  <o:lock v:ext="edit" aspectratio="f"/>
                  <v:textbox inset="7.1988188976378pt,7.1988188976378pt,7.1988188976378pt,7.1988188976378pt">
                    <w:txbxContent>
                      <w:p w14:paraId="276C5921">
                        <w:pPr>
                          <w:spacing w:line="240" w:lineRule="auto"/>
                          <w:jc w:val="center"/>
                        </w:pPr>
                      </w:p>
                    </w:txbxContent>
                  </v:textbox>
                </v:shape>
                <v:shape id="Shape 14" o:spid="_x0000_s1026" o:spt="67" type="#_x0000_t67" style="position:absolute;left:4072050;top:856713;height:326100;width:102300;v-text-anchor:middle;" fillcolor="#EAD1DC" filled="t" stroked="t" coordsize="21600,21600" o:gfxdata="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qYXGPugAAANsA&#10;AAAPAAAAAAAAAAEAIAAAACIAAABkcnMvZG93bnJldi54bWxQSwECFAAUAAAACACHTuJAMy8FnjsA&#10;AAA5AAAAEAAAAAAAAAABACAAAAAJAQAAZHJzL3NoYXBleG1sLnhtbFBLBQYAAAAABgAGAFsBAACz&#10;AwAAAAA=&#10;" adj="18212,5400">
                  <v:fill on="t" focussize="0,0"/>
                  <v:stroke color="#000000" joinstyle="round" startarrowwidth="narrow" startarrowlength="short" endarrowwidth="narrow" endarrowlength="short"/>
                  <v:imagedata o:title=""/>
                  <o:lock v:ext="edit" aspectratio="f"/>
                  <v:textbox inset="7.1988188976378pt,7.1988188976378pt,7.1988188976378pt,7.1988188976378pt">
                    <w:txbxContent>
                      <w:p w14:paraId="685672B1">
                        <w:pPr>
                          <w:spacing w:line="240" w:lineRule="auto"/>
                          <w:jc w:val="center"/>
                        </w:pPr>
                      </w:p>
                    </w:txbxContent>
                  </v:textbox>
                </v:shape>
                <v:shape id="Shape 15" o:spid="_x0000_s1026" o:spt="67" type="#_x0000_t67" style="position:absolute;left:2977925;top:1637213;height:326100;width:102300;v-text-anchor:middle;" fillcolor="#EAD1DC" filled="t" stroked="t" coordsize="21600,21600" o:gfxdata="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FLdQUugAAANsA&#10;AAAPAAAAAAAAAAEAIAAAACIAAABkcnMvZG93bnJldi54bWxQSwECFAAUAAAACACHTuJAMy8FnjsA&#10;AAA5AAAAEAAAAAAAAAABACAAAAAJAQAAZHJzL3NoYXBleG1sLnhtbFBLBQYAAAAABgAGAFsBAACz&#10;AwAAAAA=&#10;" adj="18212,5400">
                  <v:fill on="t" focussize="0,0"/>
                  <v:stroke color="#000000" joinstyle="round" startarrowwidth="narrow" startarrowlength="short" endarrowwidth="narrow" endarrowlength="short"/>
                  <v:imagedata o:title=""/>
                  <o:lock v:ext="edit" aspectratio="f"/>
                  <v:textbox inset="7.1988188976378pt,7.1988188976378pt,7.1988188976378pt,7.1988188976378pt">
                    <w:txbxContent>
                      <w:p w14:paraId="217238AA">
                        <w:pPr>
                          <w:spacing w:line="240" w:lineRule="auto"/>
                          <w:jc w:val="center"/>
                        </w:pPr>
                      </w:p>
                    </w:txbxContent>
                  </v:textbox>
                </v:shape>
                <v:shape id="Shape 16" o:spid="_x0000_s1026" o:spt="67" type="#_x0000_t67" style="position:absolute;left:2977925;top:2347625;height:326100;width:102300;v-text-anchor:middle;" fillcolor="#EAD1DC" filled="t" stroked="t" coordsize="21600,21600" o:gfxdata="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DX/SmO5AAAA2wAA&#10;AA8AAAAAAAAAAQAgAAAAIgAAAGRycy9kb3ducmV2LnhtbFBLAQIUABQAAAAIAIdO4kAzLwWeOwAA&#10;ADkAAAAQAAAAAAAAAAEAIAAAAAgBAABkcnMvc2hhcGV4bWwueG1sUEsFBgAAAAAGAAYAWwEAALID&#10;AAAAAA==&#10;" adj="18212,5400">
                  <v:fill on="t" focussize="0,0"/>
                  <v:stroke color="#000000" joinstyle="round" startarrowwidth="narrow" startarrowlength="short" endarrowwidth="narrow" endarrowlength="short"/>
                  <v:imagedata o:title=""/>
                  <o:lock v:ext="edit" aspectratio="f"/>
                  <v:textbox inset="7.1988188976378pt,7.1988188976378pt,7.1988188976378pt,7.1988188976378pt">
                    <w:txbxContent>
                      <w:p w14:paraId="0099C11F">
                        <w:pPr>
                          <w:spacing w:line="240" w:lineRule="auto"/>
                          <w:jc w:val="center"/>
                        </w:pPr>
                      </w:p>
                    </w:txbxContent>
                  </v:textbox>
                </v:shape>
                <v:shape id="Shape 17" o:spid="_x0000_s1026" o:spt="67" type="#_x0000_t67" style="position:absolute;left:2977925;top:3513325;height:388500;width:102300;v-text-anchor:middle;" fillcolor="#EAD1DC" filled="t" stroked="t" coordsize="21600,21600" o:gfxdata="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LHl9EvQAA&#10;ANsAAAAPAAAAAAAAAAEAIAAAACIAAABkcnMvZG93bnJldi54bWxQSwECFAAUAAAACACHTuJAMy8F&#10;njsAAAA5AAAAEAAAAAAAAAABACAAAAAMAQAAZHJzL3NoYXBleG1sLnhtbFBLBQYAAAAABgAGAFsB&#10;AAC2AwAAAAA=&#10;" adj="18757,5400">
                  <v:fill on="t" focussize="0,0"/>
                  <v:stroke color="#000000" joinstyle="round" startarrowwidth="narrow" startarrowlength="short" endarrowwidth="narrow" endarrowlength="short"/>
                  <v:imagedata o:title=""/>
                  <o:lock v:ext="edit" aspectratio="f"/>
                  <v:textbox inset="7.1988188976378pt,7.1988188976378pt,7.1988188976378pt,7.1988188976378pt">
                    <w:txbxContent>
                      <w:p w14:paraId="7C0124C2">
                        <w:pPr>
                          <w:spacing w:line="240" w:lineRule="auto"/>
                          <w:jc w:val="center"/>
                        </w:pPr>
                      </w:p>
                    </w:txbxContent>
                  </v:textbox>
                </v:shape>
                <v:rect id="Shape 18" o:spid="_x0000_s1026" o:spt="1" style="position:absolute;left:3728500;top:2679325;height:806100;width:1803300;v-text-anchor:middle;" fillcolor="#CFE2F3" filled="t" stroked="t" coordsize="21600,21600" o:gfxdata="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Dh60a/&#10;AAAA2wAAAA8AAAAAAAAAAQAgAAAAIgAAAGRycy9kb3ducmV2LnhtbFBLAQIUABQAAAAIAIdO4kAz&#10;LwWeOwAAADkAAAAQAAAAAAAAAAEAIAAAAA4BAABkcnMvc2hhcGV4bWwueG1sUEsFBgAAAAAGAAYA&#10;WwEAALgDAAAAAA==&#10;">
                  <v:fill on="t" focussize="0,0"/>
                  <v:stroke color="#000000" joinstyle="round" startarrowwidth="narrow" startarrowlength="short" endarrowwidth="narrow" endarrowlength="short"/>
                  <v:imagedata o:title=""/>
                  <o:lock v:ext="edit" aspectratio="f"/>
                  <v:textbox inset="7.1988188976378pt,7.1988188976378pt,7.1988188976378pt,7.1988188976378pt">
                    <w:txbxContent>
                      <w:p w14:paraId="45154B35">
                        <w:pPr>
                          <w:spacing w:line="240" w:lineRule="auto"/>
                        </w:pPr>
                        <w:r>
                          <w:rPr>
                            <w:color w:val="000000"/>
                            <w:sz w:val="20"/>
                          </w:rPr>
                          <w:t>Full-text reports excluded, with reasons (n = 18)</w:t>
                        </w:r>
                      </w:p>
                    </w:txbxContent>
                  </v:textbox>
                </v:rect>
                <v:shape id="Shape 19" o:spid="_x0000_s1026" o:spt="67" type="#_x0000_t67" style="position:absolute;left:3564550;top:2962262;height:184500;width:143400;rotation:-5898240f;v-text-anchor:middle;" fillcolor="#EAD1DC" filled="t" stroked="t" coordsize="21600,21600" o:gfxdata="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KXpV3C5AAAA2wAA&#10;AA8AAAAAAAAAAQAgAAAAIgAAAGRycy9kb3ducmV2LnhtbFBLAQIUABQAAAAIAIdO4kAzLwWeOwAA&#10;ADkAAAAQAAAAAAAAAAEAIAAAAAgBAABkcnMvc2hhcGV4bWwueG1sUEsFBgAAAAAGAAYAWwEAALID&#10;AAAAAA==&#10;" adj="13206,5400">
                  <v:fill on="t" focussize="0,0"/>
                  <v:stroke color="#000000" joinstyle="round" startarrowwidth="narrow" startarrowlength="short" endarrowwidth="narrow" endarrowlength="short"/>
                  <v:imagedata o:title=""/>
                  <o:lock v:ext="edit" aspectratio="f"/>
                  <v:textbox inset="7.1988188976378pt,7.1988188976378pt,7.1988188976378pt,7.1988188976378pt">
                    <w:txbxContent>
                      <w:p w14:paraId="70338AC8">
                        <w:pPr>
                          <w:spacing w:line="240" w:lineRule="auto"/>
                          <w:jc w:val="center"/>
                        </w:pPr>
                      </w:p>
                    </w:txbxContent>
                  </v:textbox>
                </v:shape>
                <v:shape id="Shape 20" o:spid="_x0000_s1026" o:spt="67" type="#_x0000_t67" style="position:absolute;left:3564550;top:2049937;height:184500;width:143400;rotation:-5898240f;v-text-anchor:middle;" fillcolor="#EAD1DC" filled="t" stroked="t" coordsize="21600,21600" o:gfxdata="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r80ULgAAADbAAAA&#10;DwAAAAAAAAABACAAAAAiAAAAZHJzL2Rvd25yZXYueG1sUEsBAhQAFAAAAAgAh07iQDMvBZ47AAAA&#10;OQAAABAAAAAAAAAAAQAgAAAABwEAAGRycy9zaGFwZXhtbC54bWxQSwUGAAAAAAYABgBbAQAAsQMA&#10;AAAA&#10;" adj="13206,5400">
                  <v:fill on="t" focussize="0,0"/>
                  <v:stroke color="#000000" joinstyle="round" startarrowwidth="narrow" startarrowlength="short" endarrowwidth="narrow" endarrowlength="short"/>
                  <v:imagedata o:title=""/>
                  <o:lock v:ext="edit" aspectratio="f"/>
                  <v:textbox inset="7.1988188976378pt,7.1988188976378pt,7.1988188976378pt,7.1988188976378pt">
                    <w:txbxContent>
                      <w:p w14:paraId="71898E91">
                        <w:pPr>
                          <w:spacing w:line="240" w:lineRule="auto"/>
                          <w:jc w:val="center"/>
                        </w:pPr>
                      </w:p>
                    </w:txbxContent>
                  </v:textbox>
                </v:shape>
                <w10:wrap type="none"/>
                <w10:anchorlock/>
              </v:group>
            </w:pict>
          </mc:Fallback>
        </mc:AlternateContent>
      </w:r>
    </w:p>
    <w:p w14:paraId="636BB2CD">
      <w:pPr>
        <w:pStyle w:val="3"/>
        <w:keepNext w:val="0"/>
        <w:keepLines w:val="0"/>
        <w:spacing w:before="240" w:after="240"/>
        <w:jc w:val="both"/>
        <w:rPr>
          <w:rFonts w:ascii="Times New Roman" w:hAnsi="Times New Roman" w:eastAsia="Times New Roman" w:cs="Times New Roman"/>
          <w:b/>
          <w:bCs/>
          <w:sz w:val="24"/>
          <w:szCs w:val="24"/>
        </w:rPr>
      </w:pPr>
      <w:bookmarkStart w:id="13" w:name="_m02umwnydyyx" w:colFirst="0" w:colLast="0"/>
      <w:bookmarkEnd w:id="13"/>
      <w:r>
        <w:rPr>
          <w:rFonts w:ascii="Times New Roman" w:hAnsi="Times New Roman" w:eastAsia="Times New Roman" w:cs="Times New Roman"/>
          <w:b/>
          <w:bCs/>
          <w:sz w:val="24"/>
          <w:szCs w:val="24"/>
        </w:rPr>
        <w:t>Figure 1: PRISMA flow diagram of study selection.</w:t>
      </w:r>
    </w:p>
    <w:p w14:paraId="35B73EA3">
      <w:pPr>
        <w:pStyle w:val="3"/>
        <w:keepNext w:val="0"/>
        <w:keepLines w:val="0"/>
        <w:spacing w:before="240" w:after="240"/>
        <w:jc w:val="both"/>
        <w:rPr>
          <w:rFonts w:ascii="Times New Roman" w:hAnsi="Times New Roman" w:eastAsia="Times New Roman" w:cs="Times New Roman"/>
          <w:sz w:val="24"/>
          <w:szCs w:val="24"/>
        </w:rPr>
      </w:pPr>
      <w:bookmarkStart w:id="14" w:name="_9s3nooqmxu9r" w:colFirst="0" w:colLast="0"/>
      <w:bookmarkEnd w:id="14"/>
      <w:r>
        <w:rPr>
          <w:rFonts w:ascii="Times New Roman" w:hAnsi="Times New Roman" w:eastAsia="Times New Roman" w:cs="Times New Roman"/>
          <w:sz w:val="24"/>
          <w:szCs w:val="24"/>
        </w:rPr>
        <w:t>A total of 186 records were identified through database searching, with an additional 24 records obtained from other sources. After the removal of duplicates, 154 records remained and were screened based on titles and abstracts. Of these, 121 records were excluded for not meeting the inclusion criteria. The full texts of 33 studies were then assessed for eligibility, out of which 18 were excluded due to reasons such as lack of adolescent-specific data, irrelevant outcomes, or not being conducted in Nigeria. Ultimately, 15 studies met all the eligibility criteria and were included in the final synthesis.</w:t>
      </w:r>
    </w:p>
    <w:p w14:paraId="51EAB6B9">
      <w:pPr>
        <w:pStyle w:val="3"/>
        <w:keepNext w:val="0"/>
        <w:keepLines w:val="0"/>
        <w:spacing w:before="240" w:after="240"/>
        <w:jc w:val="both"/>
        <w:rPr>
          <w:rFonts w:ascii="Times New Roman" w:hAnsi="Times New Roman" w:eastAsia="Times New Roman" w:cs="Times New Roman"/>
          <w:b/>
          <w:bCs/>
          <w:sz w:val="24"/>
          <w:szCs w:val="24"/>
        </w:rPr>
      </w:pPr>
      <w:bookmarkStart w:id="15" w:name="_c8176ixcwozs" w:colFirst="0" w:colLast="0"/>
      <w:bookmarkEnd w:id="15"/>
    </w:p>
    <w:p w14:paraId="3470CA4C">
      <w:pPr>
        <w:pStyle w:val="3"/>
        <w:keepNext w:val="0"/>
        <w:keepLines w:val="0"/>
        <w:spacing w:before="240" w:after="240"/>
        <w:jc w:val="both"/>
        <w:rPr>
          <w:rFonts w:ascii="Times New Roman" w:hAnsi="Times New Roman" w:eastAsia="Times New Roman" w:cs="Times New Roman"/>
          <w:b/>
          <w:bCs/>
          <w:sz w:val="24"/>
          <w:szCs w:val="24"/>
        </w:rPr>
      </w:pPr>
      <w:bookmarkStart w:id="16" w:name="_3kzj87mxdiai" w:colFirst="0" w:colLast="0"/>
      <w:r>
        <w:rPr>
          <w:rFonts w:ascii="Times New Roman" w:hAnsi="Times New Roman" w:eastAsia="Times New Roman" w:cs="Times New Roman"/>
          <w:b/>
          <w:bCs/>
          <w:sz w:val="24"/>
          <w:szCs w:val="24"/>
        </w:rPr>
        <w:t>RESULTS</w:t>
      </w:r>
    </w:p>
    <w:p w14:paraId="4D4D88C2">
      <w:pPr>
        <w:pStyle w:val="13"/>
        <w:keepNext w:val="0"/>
        <w:keepLines w:val="0"/>
        <w:widowControl/>
        <w:suppressLineNumbers w:val="0"/>
        <w:jc w:val="both"/>
      </w:pPr>
      <w:r>
        <w:t>The reviewed studies comprised cross-sectional surveys, qualitative studies, systematic reviews, and secondary data analyses conducted across different regions of Nigeria, with some comparative evidence from other African countries. Sample sizes varied widely, ranging from fewer than 100 participants to large nationally representative datasets involving tens of thousands of respondents. Across most studies, awareness of contraceptive methods among adolescents was consistently high; however, actual utilisation remained low, indicating a persistent gap between knowledge and practice. For example, Ilugbami et al. (2022) and Ilori et al. (2023) reported high levels of awareness among adolescents but low levels of contraceptive use, while Ayo-Bello &amp; Quinn-Walker (2025) also identified a similar pattern across multiple datasets .</w:t>
      </w:r>
    </w:p>
    <w:p w14:paraId="3EFE1DB1">
      <w:pPr>
        <w:pStyle w:val="13"/>
        <w:keepNext w:val="0"/>
        <w:keepLines w:val="0"/>
        <w:widowControl/>
        <w:suppressLineNumbers w:val="0"/>
        <w:jc w:val="both"/>
      </w:pPr>
      <w:r>
        <w:t>At the individual level, several factors were found to significantly influence contraceptive uptake. Age was a consistent determinant, with older adolescents more likely to use contraceptives than younger ones. Sanni et al. (2025) demonstrated that increasing age was associated with higher likelihood of contraceptive use, which was attributed to greater autonomy and exposure to reproductive health information. Educational attainment also played a major role, as adolescents with higher levels of education demonstrated greater likelihood of contraceptive use. This was supported by findings from Alo et al. (2020) and Ayo-Bello &amp; Quinn-Walker (2025), both of which identified education as a key predictor of modern contraceptive utilisation. Although awareness levels were generally high, detailed knowledge was often limited, leading to misconceptions about contraceptive methods. Fear of side effects and infertility was frequently reported and contributed to low utilisation, as highlighted in studies by Disu (2025) and Itopa (2020). Additionally, Ilugbami et al. (2022) found that contraceptive use among adolescents was primarily motivated by pregnancy prevention rather than protection against sexually transmitted infections, suggesting gaps in comprehensive reproductive health knowledge .</w:t>
      </w:r>
    </w:p>
    <w:p w14:paraId="4349D403">
      <w:pPr>
        <w:pStyle w:val="13"/>
        <w:keepNext w:val="0"/>
        <w:keepLines w:val="0"/>
        <w:widowControl/>
        <w:suppressLineNumbers w:val="0"/>
        <w:jc w:val="both"/>
      </w:pPr>
      <w:r>
        <w:t>Interpersonal factors also played a critical role in shaping contraceptive behaviours. Partner influence emerged as a key determinant, with male approval significantly increasing the likelihood of contraceptive use, while disapproval acted as a major barrier. Disu (2025) and Oluyemi (2013) both reported that partner support was strongly associated with increased contraceptive uptake. Parental influence further affected adolescents’ access to information and services, as poor parent–child communication and restrictive attitudes toward sexuality limited adolescents’ ability to seek contraception, as observed by Ezenwaka et al. (2020). Peer influence was also important, with Kayira (2019) showing that adolescents often relied on friends and social networks for reproductive health information, which could either facilitate or hinder contraceptive use. Gender disparities were evident, as Umoren (2021) reported that female adolescents faced greater stigma and social restrictions compared to their male counterparts .</w:t>
      </w:r>
    </w:p>
    <w:p w14:paraId="38C15908">
      <w:pPr>
        <w:pStyle w:val="13"/>
        <w:keepNext w:val="0"/>
        <w:keepLines w:val="0"/>
        <w:widowControl/>
        <w:suppressLineNumbers w:val="0"/>
        <w:jc w:val="both"/>
      </w:pPr>
      <w:r>
        <w:t>Sociocultural and religious factors were identified as some of the most significant barriers to contraceptive uptake. Studies by Ogundiran et al. (2024) and Chichaya &amp; Awosanya (2024) highlighted that cultural norms discouraging premarital sexual activity, societal stigma, and religious beliefs restricting contraceptive use contributed significantly to low utilisation, particularly among unmarried adolescents. In many communities, discussions about sexuality were considered taboo, limiting access to accurate information and reinforcing misinformation. Ogundiran et al. (2024) further emphasized that gendered expectations placed the responsibility for pregnancy prevention on females, exposing them to stigma when seeking contraceptive services. Regional disparities were also reported, with Sanni et al. (2025) showing higher contraceptive use in Southern Nigeria compared to Northern regions, reflecting differences in cultural norms, education, and access to services .</w:t>
      </w:r>
    </w:p>
    <w:p w14:paraId="3DD5C85E">
      <w:pPr>
        <w:pStyle w:val="13"/>
        <w:keepNext w:val="0"/>
        <w:keepLines w:val="0"/>
        <w:widowControl/>
        <w:suppressLineNumbers w:val="0"/>
        <w:jc w:val="both"/>
      </w:pPr>
      <w:r>
        <w:t>Socioeconomic factors further influenced contraceptive utilisation. Adolescents from wealthier households were more likely to access and use contraceptive services due to better financial capacity and access to healthcare, while those from poorer backgrounds faced significant barriers, including cost of services and transportation. This was reported in studies by Umoren (2021) and Itopa (2020). Educational inequality and rural residence were also associated with lower utilisation, as Chima &amp; Alawode (2020) and Israel et al. (2019) found that adolescents in rural areas had limited access to reproductive health information and services compared to their urban counterparts. These findings highlight the role of structural inequality in shaping contraceptive behaviours among adolescents .</w:t>
      </w:r>
    </w:p>
    <w:p w14:paraId="428A45AC">
      <w:pPr>
        <w:pStyle w:val="13"/>
        <w:keepNext w:val="0"/>
        <w:keepLines w:val="0"/>
        <w:widowControl/>
        <w:suppressLineNumbers w:val="0"/>
        <w:jc w:val="both"/>
      </w:pPr>
      <w:r>
        <w:t>Health system and structural factors were consistently reported as major barriers to contraceptive uptake. These included lack of adolescent-friendly services, long waiting times, provider bias, lack of confidentiality, and frequent stock-outs of contraceptives. Studies by Umoren (2021) and Ezenwaka et al. (2020) emphasized that these barriers discouraged adolescents from accessing services. Negative attitudes of healthcare providers toward adolescents, particularly unmarried individuals, were also identified as a significant deterrent, as reported by Chichaya &amp; Awosanya (2024). Broader structural challenges such as weak health systems, inadequate funding, and geographic inaccessibility, especially in rural and conflict-affected areas, further limited access to contraceptive services, as highlighted by Itopa (2020) and Ilori et al. (2023). Conversely, Chima &amp; Alawode (2020) identified exposure to family planning information through mass media as a key facilitator, showing that adolescents exposed to such messages were more likely to adopt contraceptive methods .</w:t>
      </w:r>
    </w:p>
    <w:p w14:paraId="60E5E348">
      <w:pPr>
        <w:pStyle w:val="13"/>
        <w:keepNext w:val="0"/>
        <w:keepLines w:val="0"/>
        <w:widowControl/>
        <w:suppressLineNumbers w:val="0"/>
        <w:jc w:val="both"/>
      </w:pPr>
      <w:r>
        <w:t>Overall, the findings demonstrate that contraceptive uptake among adolescents in Nigeria is shaped by a complex interplay of individual, interpersonal, sociocultural, economic, and health system factors. Despite high levels of awareness, utilisation remains low due to persistent barriers operating across multiple levels</w:t>
      </w:r>
    </w:p>
    <w:p w14:paraId="2F740A7A">
      <w:pPr>
        <w:pStyle w:val="3"/>
        <w:keepNext w:val="0"/>
        <w:keepLines w:val="0"/>
        <w:spacing w:before="240" w:after="240"/>
        <w:jc w:val="both"/>
        <w:rPr>
          <w:rFonts w:ascii="Times New Roman" w:hAnsi="Times New Roman" w:eastAsia="Times New Roman" w:cs="Times New Roman"/>
          <w:sz w:val="24"/>
          <w:szCs w:val="24"/>
        </w:rPr>
      </w:pPr>
    </w:p>
    <w:bookmarkEnd w:id="16"/>
    <w:p w14:paraId="11C2BEEB">
      <w:pPr>
        <w:pStyle w:val="3"/>
        <w:keepNext w:val="0"/>
        <w:keepLines w:val="0"/>
        <w:spacing w:before="240" w:after="240"/>
        <w:jc w:val="both"/>
        <w:rPr>
          <w:rFonts w:ascii="Times New Roman" w:hAnsi="Times New Roman" w:eastAsia="Times New Roman" w:cs="Times New Roman"/>
          <w:sz w:val="24"/>
          <w:szCs w:val="24"/>
        </w:rPr>
      </w:pPr>
    </w:p>
    <w:p w14:paraId="7722F39E">
      <w:pPr>
        <w:pStyle w:val="3"/>
        <w:keepNext w:val="0"/>
        <w:keepLines w:val="0"/>
        <w:spacing w:before="240" w:after="240"/>
        <w:jc w:val="both"/>
        <w:rPr>
          <w:rFonts w:ascii="Times New Roman" w:hAnsi="Times New Roman" w:eastAsia="Times New Roman" w:cs="Times New Roman"/>
          <w:b/>
          <w:bCs/>
          <w:sz w:val="24"/>
          <w:szCs w:val="24"/>
        </w:rPr>
      </w:pPr>
      <w:bookmarkStart w:id="17" w:name="_xvcn87do6jwl" w:colFirst="0" w:colLast="0"/>
      <w:r>
        <w:rPr>
          <w:rFonts w:ascii="Times New Roman" w:hAnsi="Times New Roman" w:eastAsia="Times New Roman" w:cs="Times New Roman"/>
          <w:b/>
          <w:bCs/>
          <w:sz w:val="24"/>
          <w:szCs w:val="24"/>
        </w:rPr>
        <w:t>DISCUSSION</w:t>
      </w:r>
    </w:p>
    <w:p w14:paraId="18A9E7EC">
      <w:pPr>
        <w:pStyle w:val="13"/>
        <w:keepNext w:val="0"/>
        <w:keepLines w:val="0"/>
        <w:widowControl/>
        <w:suppressLineNumbers w:val="0"/>
        <w:jc w:val="both"/>
      </w:pPr>
      <w:r>
        <w:t>The findings of this review highlight a persistent gap between awareness and utilisation of contraceptives among adolescents in Nigeria, indicating that knowledge alone is insufficient to drive behavioural change. This pattern was consistently reported across included studies, where high levels of awareness coexisted with low contraceptive use (Ilugbami et al., 2022; Ilori et al., 2023; Ayo-Bello &amp; Quinn-Walker, 2025). The persistence of misconceptions, fear of side effects, and limited comprehensive knowledge, as identified in studies such as Disu (2025) and Itopa (2020), further explains this disconnect. These findings align with previous evidence suggesting that awareness alone does not necessarily translate into utilisation due to underlying social and cognitive barriers (Bongaarts &amp; Hardee, 2019; Blackstone et al., 2017). This underscores the need for interventions that move beyond awareness creation to address misinformation and promote informed decision-making.</w:t>
      </w:r>
    </w:p>
    <w:p w14:paraId="77F2C181">
      <w:pPr>
        <w:pStyle w:val="13"/>
        <w:keepNext w:val="0"/>
        <w:keepLines w:val="0"/>
        <w:widowControl/>
        <w:suppressLineNumbers w:val="0"/>
        <w:jc w:val="both"/>
      </w:pPr>
      <w:r>
        <w:t>Individual-level factors such as age and education were consistently associated with contraceptive uptake. Older adolescents were more likely to use contraceptives, as demonstrated by Sanni et al. (2025), likely due to increased autonomy and exposure to reproductive health information. Similarly, higher educational attainment was positively associated with contraceptive use, as reported by Alo et al. (2020) and Ayo-Bello &amp; Quinn-Walker (2025). However, despite relatively high awareness levels, gaps in detailed knowledge persisted, with adolescents often lacking accurate information about contraceptive methods and their side effects (Ilugbami et al., 2022). This suggests that current educational approaches may not adequately address the depth and quality of reproductive health knowledge required for effective decision-making. Existing literature supports the role of education in improving contraceptive uptake, emphasizing its importance in enhancing health literacy and autonomy (Cleland et al., 2012; Darroch et al., 2016).</w:t>
      </w:r>
    </w:p>
    <w:p w14:paraId="6089ED81">
      <w:pPr>
        <w:pStyle w:val="13"/>
        <w:keepNext w:val="0"/>
        <w:keepLines w:val="0"/>
        <w:widowControl/>
        <w:suppressLineNumbers w:val="0"/>
        <w:jc w:val="both"/>
      </w:pPr>
      <w:r>
        <w:t>Interpersonal relationships, particularly partner and parental influence, emerged as critical determinants of contraceptive use. Studies such as Disu (2025) and Oluyemi (2013) demonstrated that partner approval significantly increased the likelihood of contraceptive uptake, while lack of support acted as a barrier. Parental influence also played a significant role, as Ezenwaka et al. (2020) found that poor parent–child communication and restrictive attitudes toward sexuality limited adolescents’ access to information and services. Additionally, peer influence, as reported by Kayira (2019), shaped contraceptive behaviours through social networks that could either encourage or discourage use. These findings highlight the importance of social context in shaping adolescent reproductive health behaviours and reflect broader gender dynamics, where female adolescents face greater stigma and restrictions, as noted by Umoren (2021). Similar patterns have been reported in other settings, where partner dynamics and family communication significantly influence contraceptive decisions (Kabagenyi et al., 2014; Shattuck et al., 2011).</w:t>
      </w:r>
    </w:p>
    <w:p w14:paraId="02F157E2">
      <w:pPr>
        <w:pStyle w:val="13"/>
        <w:keepNext w:val="0"/>
        <w:keepLines w:val="0"/>
        <w:widowControl/>
        <w:suppressLineNumbers w:val="0"/>
        <w:jc w:val="both"/>
      </w:pPr>
      <w:r>
        <w:t>Sociocultural and religious norms were identified as major barriers to contraceptive uptake, particularly among unmarried adolescents. Evidence from Ogundiran et al. (2024) and Chichaya &amp; Awosanya (2024) indicates that cultural expectations discouraging premarital sexual activity, societal stigma, and religious beliefs significantly limit access to and utilisation of contraceptive services. The taboo surrounding discussions of sexuality further restricts adolescents’ access to accurate information, reinforcing misconceptions. Gender norms also place disproportionate responsibility for pregnancy prevention on females, exposing them to stigma when seeking contraceptive services (Ogundiran et al., 2024). Regional differences observed by Sanni et al. (2025), with higher utilisation in Southern Nigeria compared to Northern regions, further reflect the influence of sociocultural context. These findings are consistent with existing literature demonstrating that social norms and cultural expectations play a critical role in shaping reproductive health behaviours (Mackie et al., 2015).</w:t>
      </w:r>
    </w:p>
    <w:p w14:paraId="5C396C2F">
      <w:pPr>
        <w:pStyle w:val="13"/>
        <w:keepNext w:val="0"/>
        <w:keepLines w:val="0"/>
        <w:widowControl/>
        <w:suppressLineNumbers w:val="0"/>
        <w:jc w:val="both"/>
      </w:pPr>
      <w:r>
        <w:t>Socioeconomic disparities were also found to significantly influence contraceptive utilisation. Adolescents from wealthier households had greater access to contraceptive services, while those from lower socioeconomic backgrounds faced barriers related to cost, transportation, and limited access to healthcare, as reported by Umoren (2021) and Itopa (2020). Rural residence further compounded these challenges, with studies by Chima &amp; Alawode (2020) and Israel et al. (2019) indicating lower utilisation among adolescents in rural areas due to limited access to information and services. These findings highlight the role of structural inequality in shaping health outcomes and emphasize the need for targeted interventions to reduce disparities. Similar evidence from global studies suggests that poverty and inequality remain significant barriers to accessing reproductive health services (Ahmed et al., 2012; Campbell et al., 2006).</w:t>
      </w:r>
    </w:p>
    <w:p w14:paraId="693943D5">
      <w:pPr>
        <w:pStyle w:val="13"/>
        <w:keepNext w:val="0"/>
        <w:keepLines w:val="0"/>
        <w:widowControl/>
        <w:suppressLineNumbers w:val="0"/>
        <w:jc w:val="both"/>
      </w:pPr>
      <w:r>
        <w:t>Health system factors were consistently identified as critical barriers to contraceptive uptake. The lack of adolescent-friendly services, concerns about confidentiality, long waiting times, and provider bias were frequently reported across studies (Umoren, 2021; Ezenwaka et al., 2020). Negative attitudes of healthcare providers, particularly toward unmarried adolescents, further discouraged service utilisation (Chichaya &amp; Awosanya, 2024). Structural challenges such as weak health systems, inadequate funding, and geographic inaccessibility, especially in rural and conflict-affected areas, also limited access to services (Itopa, 2020; Ilori et al., 2023). Conversely, exposure to family planning information through mass media was identified as a facilitator of contraceptive use, with Chima &amp; Alawode (2020) demonstrating that adolescents exposed to such information were more likely to adopt contraceptive methods. These findings reinforce the importance of strengthening health systems and implementing youth-friendly services, which have been shown to improve reproductive health outcomes (Tylee et al., 2007; WHO, 2018).</w:t>
      </w:r>
    </w:p>
    <w:p w14:paraId="0F4A7A86">
      <w:pPr>
        <w:pStyle w:val="13"/>
        <w:keepNext w:val="0"/>
        <w:keepLines w:val="0"/>
        <w:widowControl/>
        <w:suppressLineNumbers w:val="0"/>
        <w:jc w:val="both"/>
        <w:rPr>
          <w:rFonts w:ascii="Times New Roman" w:hAnsi="Times New Roman" w:eastAsia="Times New Roman" w:cs="Times New Roman"/>
          <w:sz w:val="24"/>
          <w:szCs w:val="24"/>
        </w:rPr>
      </w:pPr>
      <w:r>
        <w:t>Overall, the findings of this review demonstrate that contraceptive uptake among adolescents in Nigeria is influenced by interconnected factors operating at multiple levels. Addressing these challenges requires a comprehensive and multisectoral approach that integrates improved education, community engagement, reduction of sociocultural barriers, and strengthening of adolescent-friendly health services. Such efforts are essential to bridge the gap between awareness and utilisation and to improve reproductive health outcomes among adolescents</w:t>
      </w:r>
      <w:r>
        <w:rPr>
          <w:rFonts w:ascii="Times New Roman" w:hAnsi="Times New Roman" w:eastAsia="Times New Roman" w:cs="Times New Roman"/>
          <w:sz w:val="24"/>
          <w:szCs w:val="24"/>
        </w:rPr>
        <w:t>.</w:t>
      </w:r>
    </w:p>
    <w:p w14:paraId="54CB287B">
      <w:pPr>
        <w:rPr>
          <w:b/>
          <w:bCs/>
        </w:rPr>
      </w:pPr>
      <w:r>
        <w:rPr>
          <w:b/>
          <w:bCs/>
        </w:rPr>
        <w:t>Conclusion</w:t>
      </w:r>
    </w:p>
    <w:p w14:paraId="374B2745">
      <w:pPr>
        <w:pStyle w:val="3"/>
        <w:keepNext w:val="0"/>
        <w:keepLines w:val="0"/>
        <w:spacing w:before="240" w:after="24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In conclusion, contraceptive uptake among adolescents in Nigeria is influenced by interconnected factors operating at multiple levels. Addressing these challenges requires a comprehensive, multisectoral approach that integrates education, community engagement, health system strengthening, and policy reforms. Such efforts are essential to improve access to contraceptive services, reduce unintended pregnancies, and enhance the overall reproductive health and well-being of adolescents.</w:t>
      </w:r>
    </w:p>
    <w:bookmarkEnd w:id="17"/>
    <w:p w14:paraId="5C6CD79C">
      <w:pPr>
        <w:rPr>
          <w:b/>
          <w:highlight w:val="yellow"/>
        </w:rPr>
      </w:pPr>
      <w:r>
        <w:rPr>
          <w:b/>
          <w:highlight w:val="yellow"/>
        </w:rPr>
        <w:t>Disclaimer (Artificial intelligence)</w:t>
      </w:r>
    </w:p>
    <w:p w14:paraId="592E4B92">
      <w:pPr>
        <w:pStyle w:val="3"/>
        <w:keepNext w:val="0"/>
        <w:keepLines w:val="0"/>
        <w:spacing w:before="240" w:after="240"/>
        <w:jc w:val="both"/>
        <w:rPr>
          <w:rFonts w:hint="default" w:ascii="Times New Roman" w:hAnsi="Times New Roman" w:eastAsia="Times New Roman" w:cs="Times New Roman"/>
          <w:sz w:val="24"/>
          <w:szCs w:val="24"/>
          <w:highlight w:val="yellow"/>
        </w:rPr>
      </w:pPr>
      <w:r>
        <w:rPr>
          <w:rFonts w:hint="default" w:ascii="Times New Roman" w:hAnsi="Times New Roman" w:eastAsia="SimSun" w:cs="Times New Roman"/>
          <w:sz w:val="24"/>
          <w:szCs w:val="24"/>
          <w:highlight w:val="yellow"/>
        </w:rPr>
        <w:t>The author(s) hereby affirm that no generative artificial intelligence tools, including Large Language Models (such as ChatGPT, Copilot, or similar systems) or text-to-image generators, were utilized at any stage in the writing, analysis, or editing of this manuscript.</w:t>
      </w:r>
    </w:p>
    <w:p w14:paraId="6CFCF873">
      <w:pPr>
        <w:pStyle w:val="3"/>
        <w:keepNext w:val="0"/>
        <w:keepLines w:val="0"/>
        <w:spacing w:after="80"/>
        <w:rPr>
          <w:rFonts w:ascii="Times New Roman" w:hAnsi="Times New Roman" w:eastAsia="Times New Roman" w:cs="Times New Roman"/>
          <w:b/>
          <w:bCs/>
          <w:sz w:val="24"/>
          <w:szCs w:val="24"/>
        </w:rPr>
      </w:pPr>
      <w:bookmarkStart w:id="18" w:name="_5dmrwzmhaztj" w:colFirst="0" w:colLast="0"/>
      <w:bookmarkEnd w:id="18"/>
    </w:p>
    <w:p w14:paraId="16403715">
      <w:pPr>
        <w:pStyle w:val="3"/>
        <w:keepNext w:val="0"/>
        <w:keepLines w:val="0"/>
        <w:spacing w:after="80"/>
        <w:rPr>
          <w:rFonts w:ascii="Times New Roman" w:hAnsi="Times New Roman" w:eastAsia="Times New Roman" w:cs="Times New Roman"/>
          <w:b/>
          <w:bCs/>
          <w:sz w:val="24"/>
          <w:szCs w:val="24"/>
        </w:rPr>
      </w:pPr>
    </w:p>
    <w:p w14:paraId="60160125">
      <w:pPr>
        <w:pStyle w:val="3"/>
        <w:keepNext w:val="0"/>
        <w:keepLines w:val="0"/>
        <w:spacing w:after="80"/>
        <w:rPr>
          <w:rFonts w:ascii="Times New Roman" w:hAnsi="Times New Roman" w:eastAsia="Times New Roman" w:cs="Times New Roman"/>
          <w:b/>
          <w:bCs/>
          <w:sz w:val="24"/>
          <w:szCs w:val="24"/>
        </w:rPr>
      </w:pPr>
      <w:bookmarkStart w:id="44" w:name="_GoBack"/>
      <w:bookmarkEnd w:id="44"/>
      <w:r>
        <w:rPr>
          <w:rFonts w:ascii="Times New Roman" w:hAnsi="Times New Roman" w:eastAsia="Times New Roman" w:cs="Times New Roman"/>
          <w:b/>
          <w:bCs/>
          <w:sz w:val="24"/>
          <w:szCs w:val="24"/>
        </w:rPr>
        <w:t>REFERENCES</w:t>
      </w:r>
    </w:p>
    <w:p w14:paraId="4736D1DE">
      <w:pPr>
        <w:pStyle w:val="3"/>
        <w:keepNext w:val="0"/>
        <w:keepLines w:val="0"/>
        <w:spacing w:before="240" w:after="240"/>
        <w:ind w:left="720" w:hanging="720"/>
        <w:rPr>
          <w:rFonts w:ascii="Times New Roman" w:hAnsi="Times New Roman" w:eastAsia="Times New Roman" w:cs="Times New Roman"/>
          <w:sz w:val="24"/>
          <w:szCs w:val="24"/>
        </w:rPr>
      </w:pPr>
      <w:bookmarkStart w:id="19" w:name="_rp4z16agq4mf" w:colFirst="0" w:colLast="0"/>
      <w:bookmarkEnd w:id="19"/>
      <w:r>
        <w:rPr>
          <w:rFonts w:ascii="Times New Roman" w:hAnsi="Times New Roman" w:eastAsia="Times New Roman" w:cs="Times New Roman"/>
          <w:sz w:val="24"/>
          <w:szCs w:val="24"/>
        </w:rPr>
        <w:t xml:space="preserve">Ahmed, S., Li, Q., Liu, L., &amp; Tsui, A. O. (2012). </w:t>
      </w:r>
      <w:r>
        <w:rPr>
          <w:rFonts w:ascii="Times New Roman" w:hAnsi="Times New Roman" w:eastAsia="Times New Roman" w:cs="Times New Roman"/>
          <w:i/>
          <w:iCs/>
          <w:sz w:val="24"/>
          <w:szCs w:val="24"/>
        </w:rPr>
        <w:t>Maternal deaths averted by contraceptive use: An analysis of 172 countries</w:t>
      </w:r>
      <w:r>
        <w:rPr>
          <w:rFonts w:ascii="Times New Roman" w:hAnsi="Times New Roman" w:eastAsia="Times New Roman" w:cs="Times New Roman"/>
          <w:sz w:val="24"/>
          <w:szCs w:val="24"/>
        </w:rPr>
        <w:t>. The Lancet, 380(9837), 111–125. https://doi.org/10.1016/S0140-6736(12)60478-4</w:t>
      </w:r>
    </w:p>
    <w:p w14:paraId="1D1DFAEE">
      <w:pPr>
        <w:pStyle w:val="3"/>
        <w:keepNext w:val="0"/>
        <w:keepLines w:val="0"/>
        <w:spacing w:before="240" w:after="240"/>
        <w:ind w:left="720" w:hanging="720"/>
        <w:rPr>
          <w:rFonts w:ascii="Times New Roman" w:hAnsi="Times New Roman" w:eastAsia="Times New Roman" w:cs="Times New Roman"/>
          <w:sz w:val="24"/>
          <w:szCs w:val="24"/>
        </w:rPr>
      </w:pPr>
      <w:bookmarkStart w:id="20" w:name="_zfss0uowqeyv" w:colFirst="0" w:colLast="0"/>
      <w:bookmarkEnd w:id="20"/>
      <w:r>
        <w:rPr>
          <w:rFonts w:ascii="Times New Roman" w:hAnsi="Times New Roman" w:eastAsia="Times New Roman" w:cs="Times New Roman"/>
          <w:sz w:val="24"/>
          <w:szCs w:val="24"/>
        </w:rPr>
        <w:t xml:space="preserve">Alo, O. D., Daini, B. O., Omisile, O. K., Ubah, E. J., Adelusi, O. E., &amp; Idoko-Asuelimhen, O. (2020). </w:t>
      </w:r>
      <w:r>
        <w:rPr>
          <w:rFonts w:ascii="Times New Roman" w:hAnsi="Times New Roman" w:eastAsia="Times New Roman" w:cs="Times New Roman"/>
          <w:i/>
          <w:iCs/>
          <w:sz w:val="24"/>
          <w:szCs w:val="24"/>
        </w:rPr>
        <w:t>Factors influencing the use of modern contraceptive in Nigeria: A multilevel logistic analysis using linked data from performance monitoring and accountability 2020</w:t>
      </w:r>
      <w:r>
        <w:rPr>
          <w:rFonts w:ascii="Times New Roman" w:hAnsi="Times New Roman" w:eastAsia="Times New Roman" w:cs="Times New Roman"/>
          <w:sz w:val="24"/>
          <w:szCs w:val="24"/>
        </w:rPr>
        <w:t>. BMC Women’s Health, 20, 191.</w:t>
      </w:r>
    </w:p>
    <w:p w14:paraId="223048AA">
      <w:pPr>
        <w:pStyle w:val="3"/>
        <w:keepNext w:val="0"/>
        <w:keepLines w:val="0"/>
        <w:spacing w:before="240" w:after="240"/>
        <w:ind w:left="720" w:hanging="720"/>
        <w:rPr>
          <w:rFonts w:ascii="Times New Roman" w:hAnsi="Times New Roman" w:eastAsia="Times New Roman" w:cs="Times New Roman"/>
          <w:sz w:val="24"/>
          <w:szCs w:val="24"/>
        </w:rPr>
      </w:pPr>
      <w:bookmarkStart w:id="21" w:name="_xwe19d6klqw9" w:colFirst="0" w:colLast="0"/>
      <w:bookmarkEnd w:id="21"/>
      <w:r>
        <w:rPr>
          <w:rFonts w:ascii="Times New Roman" w:hAnsi="Times New Roman" w:eastAsia="Times New Roman" w:cs="Times New Roman"/>
          <w:sz w:val="24"/>
          <w:szCs w:val="24"/>
        </w:rPr>
        <w:t xml:space="preserve">Alukagberie, M. E., Elmusharaf, K., Ibrahim, N., &amp; Poix, S. (2023). Factors associated with adolescent pregnancy and public health interventions to address in Nigeria: A scoping review. </w:t>
      </w:r>
      <w:r>
        <w:rPr>
          <w:rFonts w:ascii="Times New Roman" w:hAnsi="Times New Roman" w:eastAsia="Times New Roman" w:cs="Times New Roman"/>
          <w:i/>
          <w:iCs/>
          <w:sz w:val="24"/>
          <w:szCs w:val="24"/>
        </w:rPr>
        <w:t>Reproductive Health, 20</w:t>
      </w:r>
      <w:r>
        <w:rPr>
          <w:rFonts w:ascii="Times New Roman" w:hAnsi="Times New Roman" w:eastAsia="Times New Roman" w:cs="Times New Roman"/>
          <w:sz w:val="24"/>
          <w:szCs w:val="24"/>
        </w:rPr>
        <w:t>, 95.</w:t>
      </w:r>
      <w:r>
        <w:fldChar w:fldCharType="begin"/>
      </w:r>
      <w:r>
        <w:instrText xml:space="preserve"> HYPERLINK "https://doi.org/10.1186/s12978-023-01629-5" \h </w:instrText>
      </w:r>
      <w:r>
        <w:fldChar w:fldCharType="separate"/>
      </w:r>
      <w:r>
        <w:rPr>
          <w:rFonts w:ascii="Times New Roman" w:hAnsi="Times New Roman" w:eastAsia="Times New Roman" w:cs="Times New Roman"/>
          <w:sz w:val="24"/>
          <w:szCs w:val="24"/>
        </w:rPr>
        <w:t xml:space="preserve"> https://doi.org/10.1186/s12978-023-01629-5</w:t>
      </w:r>
      <w:r>
        <w:rPr>
          <w:rFonts w:ascii="Times New Roman" w:hAnsi="Times New Roman" w:eastAsia="Times New Roman" w:cs="Times New Roman"/>
          <w:sz w:val="24"/>
          <w:szCs w:val="24"/>
        </w:rPr>
        <w:fldChar w:fldCharType="end"/>
      </w:r>
    </w:p>
    <w:p w14:paraId="3160712F">
      <w:pPr>
        <w:pStyle w:val="3"/>
        <w:keepNext w:val="0"/>
        <w:keepLines w:val="0"/>
        <w:spacing w:before="240" w:after="240"/>
        <w:ind w:left="720" w:hanging="720"/>
        <w:rPr>
          <w:rFonts w:ascii="Times New Roman" w:hAnsi="Times New Roman" w:eastAsia="Times New Roman" w:cs="Times New Roman"/>
          <w:sz w:val="24"/>
          <w:szCs w:val="24"/>
        </w:rPr>
      </w:pPr>
      <w:bookmarkStart w:id="22" w:name="_48x644ddv4r9" w:colFirst="0" w:colLast="0"/>
      <w:bookmarkEnd w:id="22"/>
      <w:r>
        <w:rPr>
          <w:rFonts w:ascii="Times New Roman" w:hAnsi="Times New Roman" w:eastAsia="Times New Roman" w:cs="Times New Roman"/>
          <w:sz w:val="24"/>
          <w:szCs w:val="24"/>
        </w:rPr>
        <w:t xml:space="preserve">Alukagberie, M. E., Elmusharaf, K., Ibrahim, N., &amp; Poix, S. (2023). Factors associated with adolescent pregnancy and public health interventions to address in Nigeria: A scoping review. </w:t>
      </w:r>
      <w:r>
        <w:rPr>
          <w:rFonts w:ascii="Times New Roman" w:hAnsi="Times New Roman" w:eastAsia="Times New Roman" w:cs="Times New Roman"/>
          <w:i/>
          <w:iCs/>
          <w:sz w:val="24"/>
          <w:szCs w:val="24"/>
        </w:rPr>
        <w:t>Reproductive Health, 20</w:t>
      </w:r>
      <w:r>
        <w:rPr>
          <w:rFonts w:ascii="Times New Roman" w:hAnsi="Times New Roman" w:eastAsia="Times New Roman" w:cs="Times New Roman"/>
          <w:sz w:val="24"/>
          <w:szCs w:val="24"/>
        </w:rPr>
        <w:t>, 95.</w:t>
      </w:r>
      <w:r>
        <w:fldChar w:fldCharType="begin"/>
      </w:r>
      <w:r>
        <w:instrText xml:space="preserve"> HYPERLINK "https://doi.org/10.1186/s12978-023-01629-5" \h </w:instrText>
      </w:r>
      <w:r>
        <w:fldChar w:fldCharType="separate"/>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rPr>
        <w:fldChar w:fldCharType="end"/>
      </w:r>
      <w:r>
        <w:fldChar w:fldCharType="begin"/>
      </w:r>
      <w:r>
        <w:instrText xml:space="preserve"> HYPERLINK "https://doi.org/10.1186/s12978-023-01629-5" \h </w:instrText>
      </w:r>
      <w:r>
        <w:fldChar w:fldCharType="separate"/>
      </w:r>
      <w:r>
        <w:rPr>
          <w:rFonts w:ascii="Times New Roman" w:hAnsi="Times New Roman" w:eastAsia="Times New Roman" w:cs="Times New Roman"/>
          <w:sz w:val="24"/>
          <w:szCs w:val="24"/>
        </w:rPr>
        <w:t>https://doi.org/10.1186/s12978-023-01629-5</w:t>
      </w:r>
      <w:r>
        <w:rPr>
          <w:rFonts w:ascii="Times New Roman" w:hAnsi="Times New Roman" w:eastAsia="Times New Roman" w:cs="Times New Roman"/>
          <w:sz w:val="24"/>
          <w:szCs w:val="24"/>
        </w:rPr>
        <w:fldChar w:fldCharType="end"/>
      </w:r>
    </w:p>
    <w:p w14:paraId="5BE2E03B">
      <w:pPr>
        <w:spacing w:before="240" w:after="240"/>
        <w:ind w:left="720" w:hanging="720"/>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Anyanwu, S. (2025, October 18). </w:t>
      </w:r>
      <w:r>
        <w:rPr>
          <w:rFonts w:ascii="Times New Roman" w:hAnsi="Times New Roman" w:eastAsia="Times New Roman" w:cs="Times New Roman"/>
          <w:i/>
          <w:iCs/>
          <w:sz w:val="24"/>
          <w:szCs w:val="24"/>
        </w:rPr>
        <w:t>FG launches 2024 NDHS report, unveils data on fertility, child mortality, others</w:t>
      </w:r>
      <w:r>
        <w:rPr>
          <w:rFonts w:ascii="Times New Roman" w:hAnsi="Times New Roman" w:eastAsia="Times New Roman" w:cs="Times New Roman"/>
          <w:sz w:val="24"/>
          <w:szCs w:val="24"/>
        </w:rPr>
        <w:t>. Federal Ministry of Information and National Orientation.</w:t>
      </w:r>
      <w:r>
        <w:fldChar w:fldCharType="begin"/>
      </w:r>
      <w:r>
        <w:instrText xml:space="preserve"> HYPERLINK "https://fmino.gov.ng/fg-launches-2024-ndhs-report-unveils-data-on-fertility-child-mortality-others/" \h </w:instrText>
      </w:r>
      <w:r>
        <w:fldChar w:fldCharType="separate"/>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rPr>
        <w:fldChar w:fldCharType="end"/>
      </w:r>
      <w:r>
        <w:fldChar w:fldCharType="begin"/>
      </w:r>
      <w:r>
        <w:instrText xml:space="preserve"> HYPERLINK "https://fmino.gov.ng/fg-launches-2024-ndhs-report-unveils-data-on-fertility-child-mortality-others/" \h </w:instrText>
      </w:r>
      <w:r>
        <w:fldChar w:fldCharType="separate"/>
      </w:r>
      <w:r>
        <w:rPr>
          <w:rFonts w:ascii="Times New Roman" w:hAnsi="Times New Roman" w:eastAsia="Times New Roman" w:cs="Times New Roman"/>
          <w:sz w:val="24"/>
          <w:szCs w:val="24"/>
        </w:rPr>
        <w:t>https://fmino.gov.ng/fg-launches-2024-ndhs-report-unveils-data-on-fertility-child-mortality-others/</w:t>
      </w:r>
      <w:r>
        <w:rPr>
          <w:rFonts w:ascii="Times New Roman" w:hAnsi="Times New Roman" w:eastAsia="Times New Roman" w:cs="Times New Roman"/>
          <w:sz w:val="24"/>
          <w:szCs w:val="24"/>
        </w:rPr>
        <w:fldChar w:fldCharType="end"/>
      </w:r>
    </w:p>
    <w:p w14:paraId="29C10E34">
      <w:pPr>
        <w:pStyle w:val="3"/>
        <w:keepNext w:val="0"/>
        <w:keepLines w:val="0"/>
        <w:spacing w:before="240" w:after="240"/>
        <w:ind w:left="720" w:hanging="720"/>
        <w:rPr>
          <w:rFonts w:ascii="Times New Roman" w:hAnsi="Times New Roman" w:eastAsia="Times New Roman" w:cs="Times New Roman"/>
          <w:sz w:val="24"/>
          <w:szCs w:val="24"/>
        </w:rPr>
      </w:pPr>
      <w:bookmarkStart w:id="23" w:name="_7kxhrmeho58t" w:colFirst="0" w:colLast="0"/>
      <w:bookmarkEnd w:id="23"/>
      <w:r>
        <w:rPr>
          <w:rFonts w:ascii="Times New Roman" w:hAnsi="Times New Roman" w:eastAsia="Times New Roman" w:cs="Times New Roman"/>
          <w:sz w:val="24"/>
          <w:szCs w:val="24"/>
        </w:rPr>
        <w:t xml:space="preserve">Ayo-Bello, O., &amp; Quinn-Walker, N. (2025). Factors associated with modern contraceptives use in Nigerian women: A systematic review of quantitative studies. </w:t>
      </w:r>
      <w:r>
        <w:rPr>
          <w:rFonts w:ascii="Times New Roman" w:hAnsi="Times New Roman" w:eastAsia="Times New Roman" w:cs="Times New Roman"/>
          <w:i/>
          <w:iCs/>
          <w:sz w:val="24"/>
          <w:szCs w:val="24"/>
        </w:rPr>
        <w:t>Discover Public Health, 22</w:t>
      </w:r>
      <w:r>
        <w:rPr>
          <w:rFonts w:ascii="Times New Roman" w:hAnsi="Times New Roman" w:eastAsia="Times New Roman" w:cs="Times New Roman"/>
          <w:sz w:val="24"/>
          <w:szCs w:val="24"/>
        </w:rPr>
        <w:t>, 300.</w:t>
      </w:r>
      <w:r>
        <w:fldChar w:fldCharType="begin"/>
      </w:r>
      <w:r>
        <w:instrText xml:space="preserve"> HYPERLINK "https://doi.org/10.1186/s12982-025-00674-8" \h </w:instrText>
      </w:r>
      <w:r>
        <w:fldChar w:fldCharType="separate"/>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rPr>
        <w:fldChar w:fldCharType="end"/>
      </w:r>
      <w:r>
        <w:fldChar w:fldCharType="begin"/>
      </w:r>
      <w:r>
        <w:instrText xml:space="preserve"> HYPERLINK "https://doi.org/10.1186/s12982-025-00674-8" \h </w:instrText>
      </w:r>
      <w:r>
        <w:fldChar w:fldCharType="separate"/>
      </w:r>
      <w:r>
        <w:rPr>
          <w:rFonts w:ascii="Times New Roman" w:hAnsi="Times New Roman" w:eastAsia="Times New Roman" w:cs="Times New Roman"/>
          <w:sz w:val="24"/>
          <w:szCs w:val="24"/>
        </w:rPr>
        <w:t>https://doi.org/10.1186/s12982-025-00674-8</w:t>
      </w:r>
      <w:r>
        <w:rPr>
          <w:rFonts w:ascii="Times New Roman" w:hAnsi="Times New Roman" w:eastAsia="Times New Roman" w:cs="Times New Roman"/>
          <w:sz w:val="24"/>
          <w:szCs w:val="24"/>
        </w:rPr>
        <w:fldChar w:fldCharType="end"/>
      </w:r>
    </w:p>
    <w:p w14:paraId="6E4AA167">
      <w:pPr>
        <w:spacing w:before="240" w:after="240"/>
        <w:ind w:left="720" w:hanging="720"/>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Bansode, O. M., Sarao, M. S., &amp; Cooper, D. B. (2023, July 24). </w:t>
      </w:r>
      <w:r>
        <w:rPr>
          <w:rFonts w:ascii="Times New Roman" w:hAnsi="Times New Roman" w:eastAsia="Times New Roman" w:cs="Times New Roman"/>
          <w:i/>
          <w:iCs/>
          <w:sz w:val="24"/>
          <w:szCs w:val="24"/>
        </w:rPr>
        <w:t>Contraception</w:t>
      </w:r>
      <w:r>
        <w:rPr>
          <w:rFonts w:ascii="Times New Roman" w:hAnsi="Times New Roman" w:eastAsia="Times New Roman" w:cs="Times New Roman"/>
          <w:sz w:val="24"/>
          <w:szCs w:val="24"/>
        </w:rPr>
        <w:t>. In StatPearls [Internet]. StatPearls Publishing.</w:t>
      </w:r>
      <w:r>
        <w:fldChar w:fldCharType="begin"/>
      </w:r>
      <w:r>
        <w:instrText xml:space="preserve"> HYPERLINK "https://www.ncbi.nlm.nih.gov/books/NBK536949/?utm_source=chatgpt.com" \h </w:instrText>
      </w:r>
      <w:r>
        <w:fldChar w:fldCharType="separate"/>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rPr>
        <w:fldChar w:fldCharType="end"/>
      </w:r>
      <w:r>
        <w:fldChar w:fldCharType="begin"/>
      </w:r>
      <w:r>
        <w:instrText xml:space="preserve"> HYPERLINK "https://www.ncbi.nlm.nih.gov/books/NBK536949/" \h </w:instrText>
      </w:r>
      <w:r>
        <w:fldChar w:fldCharType="separate"/>
      </w:r>
      <w:r>
        <w:rPr>
          <w:rFonts w:ascii="Times New Roman" w:hAnsi="Times New Roman" w:eastAsia="Times New Roman" w:cs="Times New Roman"/>
          <w:sz w:val="24"/>
          <w:szCs w:val="24"/>
        </w:rPr>
        <w:t>https://www.ncbi.nlm.nih.gov/books/NBK536949/</w:t>
      </w:r>
      <w:r>
        <w:rPr>
          <w:rFonts w:ascii="Times New Roman" w:hAnsi="Times New Roman" w:eastAsia="Times New Roman" w:cs="Times New Roman"/>
          <w:sz w:val="24"/>
          <w:szCs w:val="24"/>
        </w:rPr>
        <w:fldChar w:fldCharType="end"/>
      </w:r>
    </w:p>
    <w:p w14:paraId="401ED551">
      <w:pPr>
        <w:spacing w:before="240" w:after="240"/>
        <w:ind w:left="720" w:hanging="720"/>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Blackstone, S. R., Nwaozuru, U., &amp; Iwelunmor, J. (2017). </w:t>
      </w:r>
      <w:r>
        <w:rPr>
          <w:rFonts w:ascii="Times New Roman" w:hAnsi="Times New Roman" w:eastAsia="Times New Roman" w:cs="Times New Roman"/>
          <w:i/>
          <w:iCs/>
          <w:sz w:val="24"/>
          <w:szCs w:val="24"/>
        </w:rPr>
        <w:t>Factors influencing contraceptive use in sub-Saharan Africa: A systematic review</w:t>
      </w:r>
      <w:r>
        <w:rPr>
          <w:rFonts w:ascii="Times New Roman" w:hAnsi="Times New Roman" w:eastAsia="Times New Roman" w:cs="Times New Roman"/>
          <w:sz w:val="24"/>
          <w:szCs w:val="24"/>
        </w:rPr>
        <w:t xml:space="preserve">. </w:t>
      </w:r>
      <w:r>
        <w:rPr>
          <w:rFonts w:ascii="Times New Roman" w:hAnsi="Times New Roman" w:eastAsia="Times New Roman" w:cs="Times New Roman"/>
          <w:i/>
          <w:iCs/>
          <w:sz w:val="24"/>
          <w:szCs w:val="24"/>
        </w:rPr>
        <w:t>International Quarterly of Community Health Education, 37</w:t>
      </w:r>
      <w:r>
        <w:rPr>
          <w:rFonts w:ascii="Times New Roman" w:hAnsi="Times New Roman" w:eastAsia="Times New Roman" w:cs="Times New Roman"/>
          <w:sz w:val="24"/>
          <w:szCs w:val="24"/>
        </w:rPr>
        <w:t>(2), 79–91. https://doi.org/10.1177/0272684X16685254</w:t>
      </w:r>
    </w:p>
    <w:p w14:paraId="79EA69A7">
      <w:pPr>
        <w:spacing w:before="240" w:after="240"/>
        <w:ind w:left="720" w:hanging="720"/>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Bongaarts, J., &amp; Hardee, K. (2019). </w:t>
      </w:r>
      <w:r>
        <w:rPr>
          <w:rFonts w:ascii="Times New Roman" w:hAnsi="Times New Roman" w:eastAsia="Times New Roman" w:cs="Times New Roman"/>
          <w:i/>
          <w:iCs/>
          <w:sz w:val="24"/>
          <w:szCs w:val="24"/>
        </w:rPr>
        <w:t>Trends in contraceptive prevalence in sub-Saharan Africa: The roles of family planning programs and education</w:t>
      </w:r>
      <w:r>
        <w:rPr>
          <w:rFonts w:ascii="Times New Roman" w:hAnsi="Times New Roman" w:eastAsia="Times New Roman" w:cs="Times New Roman"/>
          <w:sz w:val="24"/>
          <w:szCs w:val="24"/>
        </w:rPr>
        <w:t>. African Journal of Reproductive Health, 23(3), 96–105. https://doi.org/10.29063/ajrh2019/v23i3.9</w:t>
      </w:r>
    </w:p>
    <w:p w14:paraId="30E414B8">
      <w:pPr>
        <w:spacing w:before="240" w:after="240"/>
        <w:ind w:left="720" w:hanging="720"/>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Cahill, N., Sonneveldt, E., Stover, J., Weinberger, M., Williamson, J., Wei, C., Brown, W., &amp; Alkema, L. (2018). Modern contraceptive use, unmet need, and demand satisfied among women of reproductive age who are married or in a union in the focus countries of the Family Planning 2020 initiative: A systematic analysis using the Family Planning Estimation Tool. </w:t>
      </w:r>
      <w:r>
        <w:rPr>
          <w:rFonts w:ascii="Times New Roman" w:hAnsi="Times New Roman" w:eastAsia="Times New Roman" w:cs="Times New Roman"/>
          <w:i/>
          <w:iCs/>
          <w:sz w:val="24"/>
          <w:szCs w:val="24"/>
        </w:rPr>
        <w:t>The Lancet, 391</w:t>
      </w:r>
      <w:r>
        <w:rPr>
          <w:rFonts w:ascii="Times New Roman" w:hAnsi="Times New Roman" w:eastAsia="Times New Roman" w:cs="Times New Roman"/>
          <w:sz w:val="24"/>
          <w:szCs w:val="24"/>
        </w:rPr>
        <w:t>(10123), 870–882.</w:t>
      </w:r>
      <w:r>
        <w:fldChar w:fldCharType="begin"/>
      </w:r>
      <w:r>
        <w:instrText xml:space="preserve"> HYPERLINK "https://doi.org/10.1016/S0140-6736(17)33104-5" \h </w:instrText>
      </w:r>
      <w:r>
        <w:fldChar w:fldCharType="separate"/>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rPr>
        <w:fldChar w:fldCharType="end"/>
      </w:r>
      <w:r>
        <w:fldChar w:fldCharType="begin"/>
      </w:r>
      <w:r>
        <w:instrText xml:space="preserve"> HYPERLINK "https://doi.org/10.1016/S0140-6736(17)33104-5" \h </w:instrText>
      </w:r>
      <w:r>
        <w:fldChar w:fldCharType="separate"/>
      </w:r>
      <w:r>
        <w:rPr>
          <w:rFonts w:ascii="Times New Roman" w:hAnsi="Times New Roman" w:eastAsia="Times New Roman" w:cs="Times New Roman"/>
          <w:sz w:val="24"/>
          <w:szCs w:val="24"/>
        </w:rPr>
        <w:t>https://doi.org/10.1016/S0140-6736(17)33104-5</w:t>
      </w:r>
      <w:r>
        <w:rPr>
          <w:rFonts w:ascii="Times New Roman" w:hAnsi="Times New Roman" w:eastAsia="Times New Roman" w:cs="Times New Roman"/>
          <w:sz w:val="24"/>
          <w:szCs w:val="24"/>
        </w:rPr>
        <w:fldChar w:fldCharType="end"/>
      </w:r>
    </w:p>
    <w:p w14:paraId="38FBA3CC">
      <w:pPr>
        <w:spacing w:before="240" w:after="240"/>
        <w:ind w:left="720" w:hanging="720"/>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Campbell, O. M. R., &amp; Graham, W. J. (2006). </w:t>
      </w:r>
      <w:r>
        <w:rPr>
          <w:rFonts w:ascii="Times New Roman" w:hAnsi="Times New Roman" w:eastAsia="Times New Roman" w:cs="Times New Roman"/>
          <w:i/>
          <w:iCs/>
          <w:sz w:val="24"/>
          <w:szCs w:val="24"/>
        </w:rPr>
        <w:t>Strategies for reducing maternal mortality: Getting on with what works</w:t>
      </w:r>
      <w:r>
        <w:rPr>
          <w:rFonts w:ascii="Times New Roman" w:hAnsi="Times New Roman" w:eastAsia="Times New Roman" w:cs="Times New Roman"/>
          <w:sz w:val="24"/>
          <w:szCs w:val="24"/>
        </w:rPr>
        <w:t>. The Lancet, 368(9543), 1284–1299. https://doi.org/10.1016/S0140-6736(06)69381-1</w:t>
      </w:r>
    </w:p>
    <w:p w14:paraId="28C7917E">
      <w:pPr>
        <w:spacing w:before="240" w:after="240"/>
        <w:ind w:left="720" w:hanging="720"/>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Carvajal, L., Wilson, E., Harris Requejo, J., Newby, H., de Carvalho Eriksson, C., Liang, M., Dennis, M., Gohar, F., Simen-Kapeu, A., Idele, P., &amp; Amouzou, A. (2020). Basic maternal health care coverage among adolescents in 22 sub-Saharan African countries with high adolescent birth rate. </w:t>
      </w:r>
      <w:r>
        <w:rPr>
          <w:rFonts w:ascii="Times New Roman" w:hAnsi="Times New Roman" w:eastAsia="Times New Roman" w:cs="Times New Roman"/>
          <w:i/>
          <w:iCs/>
          <w:sz w:val="24"/>
          <w:szCs w:val="24"/>
        </w:rPr>
        <w:t>Journal of Global Health, 10</w:t>
      </w:r>
      <w:r>
        <w:rPr>
          <w:rFonts w:ascii="Times New Roman" w:hAnsi="Times New Roman" w:eastAsia="Times New Roman" w:cs="Times New Roman"/>
          <w:sz w:val="24"/>
          <w:szCs w:val="24"/>
        </w:rPr>
        <w:t>(2), 021401.</w:t>
      </w:r>
      <w:r>
        <w:fldChar w:fldCharType="begin"/>
      </w:r>
      <w:r>
        <w:instrText xml:space="preserve"> HYPERLINK "https://doi.org/10.7189/jogh.10.021401" \h </w:instrText>
      </w:r>
      <w:r>
        <w:fldChar w:fldCharType="separate"/>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rPr>
        <w:fldChar w:fldCharType="end"/>
      </w:r>
      <w:r>
        <w:fldChar w:fldCharType="begin"/>
      </w:r>
      <w:r>
        <w:instrText xml:space="preserve"> HYPERLINK "https://doi.org/10.7189/jogh.10.021401" \h </w:instrText>
      </w:r>
      <w:r>
        <w:fldChar w:fldCharType="separate"/>
      </w:r>
      <w:r>
        <w:rPr>
          <w:rFonts w:ascii="Times New Roman" w:hAnsi="Times New Roman" w:eastAsia="Times New Roman" w:cs="Times New Roman"/>
          <w:sz w:val="24"/>
          <w:szCs w:val="24"/>
        </w:rPr>
        <w:t>https://doi.org/10.7189/jogh.10.021401</w:t>
      </w:r>
      <w:r>
        <w:rPr>
          <w:rFonts w:ascii="Times New Roman" w:hAnsi="Times New Roman" w:eastAsia="Times New Roman" w:cs="Times New Roman"/>
          <w:sz w:val="24"/>
          <w:szCs w:val="24"/>
        </w:rPr>
        <w:fldChar w:fldCharType="end"/>
      </w:r>
    </w:p>
    <w:p w14:paraId="0B255416">
      <w:pPr>
        <w:pStyle w:val="3"/>
        <w:keepNext w:val="0"/>
        <w:keepLines w:val="0"/>
        <w:spacing w:before="240" w:after="240"/>
        <w:ind w:left="720" w:hanging="720"/>
        <w:rPr>
          <w:rFonts w:ascii="Times New Roman" w:hAnsi="Times New Roman" w:eastAsia="Times New Roman" w:cs="Times New Roman"/>
          <w:sz w:val="24"/>
          <w:szCs w:val="24"/>
        </w:rPr>
      </w:pPr>
      <w:bookmarkStart w:id="24" w:name="_3dnoo842kued" w:colFirst="0" w:colLast="0"/>
      <w:bookmarkEnd w:id="24"/>
      <w:r>
        <w:rPr>
          <w:rFonts w:ascii="Times New Roman" w:hAnsi="Times New Roman" w:eastAsia="Times New Roman" w:cs="Times New Roman"/>
          <w:sz w:val="24"/>
          <w:szCs w:val="24"/>
        </w:rPr>
        <w:t xml:space="preserve">Chichaya, T. F., &amp; Awosanya, T. (2024). Social-cultural barriers to accessing family planning services among adolescent girls in Nigeria: A review. </w:t>
      </w:r>
      <w:r>
        <w:rPr>
          <w:rFonts w:ascii="Times New Roman" w:hAnsi="Times New Roman" w:eastAsia="Times New Roman" w:cs="Times New Roman"/>
          <w:i/>
          <w:iCs/>
          <w:sz w:val="24"/>
          <w:szCs w:val="24"/>
        </w:rPr>
        <w:t>Global Social Welfare</w:t>
      </w:r>
      <w:r>
        <w:rPr>
          <w:rFonts w:ascii="Times New Roman" w:hAnsi="Times New Roman" w:eastAsia="Times New Roman" w:cs="Times New Roman"/>
          <w:sz w:val="24"/>
          <w:szCs w:val="24"/>
        </w:rPr>
        <w:t>.</w:t>
      </w:r>
      <w:r>
        <w:fldChar w:fldCharType="begin"/>
      </w:r>
      <w:r>
        <w:instrText xml:space="preserve"> HYPERLINK "https://doi.org/10.1007/s40609-024-00372-4" \h </w:instrText>
      </w:r>
      <w:r>
        <w:fldChar w:fldCharType="separate"/>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rPr>
        <w:fldChar w:fldCharType="end"/>
      </w:r>
      <w:r>
        <w:fldChar w:fldCharType="begin"/>
      </w:r>
      <w:r>
        <w:instrText xml:space="preserve"> HYPERLINK "https://doi.org/10.1007/s40609-024-00372-4" \h </w:instrText>
      </w:r>
      <w:r>
        <w:fldChar w:fldCharType="separate"/>
      </w:r>
      <w:r>
        <w:rPr>
          <w:rFonts w:ascii="Times New Roman" w:hAnsi="Times New Roman" w:eastAsia="Times New Roman" w:cs="Times New Roman"/>
          <w:sz w:val="24"/>
          <w:szCs w:val="24"/>
        </w:rPr>
        <w:t>https://doi.org/10.1007/s40609-024-00372-4</w:t>
      </w:r>
      <w:r>
        <w:rPr>
          <w:rFonts w:ascii="Times New Roman" w:hAnsi="Times New Roman" w:eastAsia="Times New Roman" w:cs="Times New Roman"/>
          <w:sz w:val="24"/>
          <w:szCs w:val="24"/>
        </w:rPr>
        <w:fldChar w:fldCharType="end"/>
      </w:r>
    </w:p>
    <w:p w14:paraId="32178425">
      <w:pPr>
        <w:pStyle w:val="3"/>
        <w:keepNext w:val="0"/>
        <w:keepLines w:val="0"/>
        <w:spacing w:before="240" w:after="240"/>
        <w:ind w:left="720" w:hanging="720"/>
        <w:rPr>
          <w:rFonts w:ascii="Times New Roman" w:hAnsi="Times New Roman" w:eastAsia="Times New Roman" w:cs="Times New Roman"/>
          <w:sz w:val="24"/>
          <w:szCs w:val="24"/>
        </w:rPr>
      </w:pPr>
      <w:bookmarkStart w:id="25" w:name="_seb57hec06i2" w:colFirst="0" w:colLast="0"/>
      <w:bookmarkEnd w:id="25"/>
      <w:r>
        <w:rPr>
          <w:rFonts w:ascii="Times New Roman" w:hAnsi="Times New Roman" w:eastAsia="Times New Roman" w:cs="Times New Roman"/>
          <w:sz w:val="24"/>
          <w:szCs w:val="24"/>
        </w:rPr>
        <w:t xml:space="preserve">Chima, V., &amp; Alawode, O. A. (2020). Modern contraceptive use among female adolescents in rural Nigeria: Does exposure to family planning messages matter? </w:t>
      </w:r>
      <w:r>
        <w:rPr>
          <w:rFonts w:ascii="Times New Roman" w:hAnsi="Times New Roman" w:eastAsia="Times New Roman" w:cs="Times New Roman"/>
          <w:i/>
          <w:iCs/>
          <w:sz w:val="24"/>
          <w:szCs w:val="24"/>
        </w:rPr>
        <w:t>Gates Open Research</w:t>
      </w:r>
      <w:r>
        <w:rPr>
          <w:rFonts w:ascii="Times New Roman" w:hAnsi="Times New Roman" w:eastAsia="Times New Roman" w:cs="Times New Roman"/>
          <w:sz w:val="24"/>
          <w:szCs w:val="24"/>
        </w:rPr>
        <w:t xml:space="preserve">. </w:t>
      </w:r>
    </w:p>
    <w:p w14:paraId="4B35431A">
      <w:pPr>
        <w:spacing w:before="240" w:after="240"/>
        <w:ind w:left="720" w:hanging="720"/>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Cicerchia, G., Reid, L. D., &amp; Carvajal, D. N. (2022). Contraceptive decision-making and the importance of side effect information among a sample of Latinas. </w:t>
      </w:r>
      <w:r>
        <w:rPr>
          <w:rFonts w:ascii="Times New Roman" w:hAnsi="Times New Roman" w:eastAsia="Times New Roman" w:cs="Times New Roman"/>
          <w:i/>
          <w:iCs/>
          <w:sz w:val="24"/>
          <w:szCs w:val="24"/>
        </w:rPr>
        <w:t>Womens Health Reports, 3</w:t>
      </w:r>
      <w:r>
        <w:rPr>
          <w:rFonts w:ascii="Times New Roman" w:hAnsi="Times New Roman" w:eastAsia="Times New Roman" w:cs="Times New Roman"/>
          <w:sz w:val="24"/>
          <w:szCs w:val="24"/>
        </w:rPr>
        <w:t>(1), 78–84.</w:t>
      </w:r>
      <w:r>
        <w:fldChar w:fldCharType="begin"/>
      </w:r>
      <w:r>
        <w:instrText xml:space="preserve"> HYPERLINK "https://doi.org/10.1089/whr.2021.0115" \h </w:instrText>
      </w:r>
      <w:r>
        <w:fldChar w:fldCharType="separate"/>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rPr>
        <w:fldChar w:fldCharType="end"/>
      </w:r>
      <w:r>
        <w:fldChar w:fldCharType="begin"/>
      </w:r>
      <w:r>
        <w:instrText xml:space="preserve"> HYPERLINK "https://doi.org/10.1089/whr.2021.0115" \h </w:instrText>
      </w:r>
      <w:r>
        <w:fldChar w:fldCharType="separate"/>
      </w:r>
      <w:r>
        <w:rPr>
          <w:rFonts w:ascii="Times New Roman" w:hAnsi="Times New Roman" w:eastAsia="Times New Roman" w:cs="Times New Roman"/>
          <w:sz w:val="24"/>
          <w:szCs w:val="24"/>
        </w:rPr>
        <w:t>https://doi.org/10.1089/whr.2021.0115</w:t>
      </w:r>
      <w:r>
        <w:rPr>
          <w:rFonts w:ascii="Times New Roman" w:hAnsi="Times New Roman" w:eastAsia="Times New Roman" w:cs="Times New Roman"/>
          <w:sz w:val="24"/>
          <w:szCs w:val="24"/>
        </w:rPr>
        <w:fldChar w:fldCharType="end"/>
      </w:r>
    </w:p>
    <w:p w14:paraId="555C171C">
      <w:pPr>
        <w:spacing w:before="240" w:after="240"/>
        <w:ind w:left="720" w:hanging="720"/>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Cleland, J., Conde-Agudelo, A., Peterson, H., Ross, J., &amp; Tsui, A. (2012). </w:t>
      </w:r>
      <w:r>
        <w:rPr>
          <w:rFonts w:ascii="Times New Roman" w:hAnsi="Times New Roman" w:eastAsia="Times New Roman" w:cs="Times New Roman"/>
          <w:i/>
          <w:iCs/>
          <w:sz w:val="24"/>
          <w:szCs w:val="24"/>
        </w:rPr>
        <w:t>Contraception and health</w:t>
      </w:r>
      <w:r>
        <w:rPr>
          <w:rFonts w:ascii="Times New Roman" w:hAnsi="Times New Roman" w:eastAsia="Times New Roman" w:cs="Times New Roman"/>
          <w:sz w:val="24"/>
          <w:szCs w:val="24"/>
        </w:rPr>
        <w:t>. The Lancet, 380(9837), 149–156. https://doi.org/10.1016/S0140-6736(12)60609-6</w:t>
      </w:r>
    </w:p>
    <w:p w14:paraId="48EF5EC5">
      <w:pPr>
        <w:spacing w:before="240" w:after="240"/>
        <w:ind w:left="720" w:hanging="720"/>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Darroch, J. E., Woog, V., Bankole, A., &amp; Ashford, L. S. (2016). </w:t>
      </w:r>
      <w:r>
        <w:rPr>
          <w:rFonts w:ascii="Times New Roman" w:hAnsi="Times New Roman" w:eastAsia="Times New Roman" w:cs="Times New Roman"/>
          <w:i/>
          <w:iCs/>
          <w:sz w:val="24"/>
          <w:szCs w:val="24"/>
        </w:rPr>
        <w:t>Adding it up: Costs and benefits of meeting the contraceptive needs of adolescents</w:t>
      </w:r>
      <w:r>
        <w:rPr>
          <w:rFonts w:ascii="Times New Roman" w:hAnsi="Times New Roman" w:eastAsia="Times New Roman" w:cs="Times New Roman"/>
          <w:sz w:val="24"/>
          <w:szCs w:val="24"/>
        </w:rPr>
        <w:t>. Guttmacher Institute.</w:t>
      </w:r>
      <w:r>
        <w:fldChar w:fldCharType="begin"/>
      </w:r>
      <w:r>
        <w:instrText xml:space="preserve"> HYPERLINK "https://www.guttmacher.org/sites/default/files/report_pdf/adding-it-up-adolescents-report.pdf?utm_source=chatgpt.com" \h </w:instrText>
      </w:r>
      <w:r>
        <w:fldChar w:fldCharType="separate"/>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rPr>
        <w:fldChar w:fldCharType="end"/>
      </w:r>
      <w:r>
        <w:fldChar w:fldCharType="begin"/>
      </w:r>
      <w:r>
        <w:instrText xml:space="preserve"> HYPERLINK "https://www.guttmacher.org/sites/default/files/report_pdf/adding-it-up-adolescents-report.pdf?utm_source=chatgpt.com" \h </w:instrText>
      </w:r>
      <w:r>
        <w:fldChar w:fldCharType="separate"/>
      </w:r>
      <w:r>
        <w:rPr>
          <w:rFonts w:ascii="Times New Roman" w:hAnsi="Times New Roman" w:eastAsia="Times New Roman" w:cs="Times New Roman"/>
          <w:sz w:val="24"/>
          <w:szCs w:val="24"/>
        </w:rPr>
        <w:t>https://www.guttmacher.org/sites/default/files/report_pdf/adding-it-up-adolescents-report.pdf</w:t>
      </w:r>
      <w:r>
        <w:rPr>
          <w:rFonts w:ascii="Times New Roman" w:hAnsi="Times New Roman" w:eastAsia="Times New Roman" w:cs="Times New Roman"/>
          <w:sz w:val="24"/>
          <w:szCs w:val="24"/>
        </w:rPr>
        <w:fldChar w:fldCharType="end"/>
      </w:r>
    </w:p>
    <w:p w14:paraId="22137DFD">
      <w:pPr>
        <w:spacing w:before="240" w:after="240"/>
        <w:ind w:left="720" w:hanging="720"/>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Dave-Agboola, I. O. (2018). </w:t>
      </w:r>
      <w:r>
        <w:rPr>
          <w:rFonts w:ascii="Times New Roman" w:hAnsi="Times New Roman" w:eastAsia="Times New Roman" w:cs="Times New Roman"/>
          <w:i/>
          <w:iCs/>
          <w:sz w:val="24"/>
          <w:szCs w:val="24"/>
        </w:rPr>
        <w:t>Identification of intervention gaps in adolescents sexual and reproductive health programs in Nigeria</w:t>
      </w:r>
      <w:r>
        <w:rPr>
          <w:rFonts w:ascii="Times New Roman" w:hAnsi="Times New Roman" w:eastAsia="Times New Roman" w:cs="Times New Roman"/>
          <w:sz w:val="24"/>
          <w:szCs w:val="24"/>
        </w:rPr>
        <w:t>. Texila International Journal of Public Health, 6(4).</w:t>
      </w:r>
      <w:r>
        <w:fldChar w:fldCharType="begin"/>
      </w:r>
      <w:r>
        <w:instrText xml:space="preserve"> HYPERLINK "https://www.texilajournal.com/thumbs/article/Public_Health_Vol6_Issue4_Article_7.pdf" \h </w:instrText>
      </w:r>
      <w:r>
        <w:fldChar w:fldCharType="separate"/>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rPr>
        <w:fldChar w:fldCharType="end"/>
      </w:r>
      <w:r>
        <w:fldChar w:fldCharType="begin"/>
      </w:r>
      <w:r>
        <w:instrText xml:space="preserve"> HYPERLINK "https://www.texilajournal.com/thumbs/article/Public_Health_Vol6_Issue4_Article_7.pdf" \h </w:instrText>
      </w:r>
      <w:r>
        <w:fldChar w:fldCharType="separate"/>
      </w:r>
      <w:r>
        <w:rPr>
          <w:rFonts w:ascii="Times New Roman" w:hAnsi="Times New Roman" w:eastAsia="Times New Roman" w:cs="Times New Roman"/>
          <w:sz w:val="24"/>
          <w:szCs w:val="24"/>
        </w:rPr>
        <w:t>https://www.texilajournal.com/thumbs/article/Public_Health_Vol6_Issue4_Article_7.pdf</w:t>
      </w:r>
      <w:r>
        <w:rPr>
          <w:rFonts w:ascii="Times New Roman" w:hAnsi="Times New Roman" w:eastAsia="Times New Roman" w:cs="Times New Roman"/>
          <w:sz w:val="24"/>
          <w:szCs w:val="24"/>
        </w:rPr>
        <w:fldChar w:fldCharType="end"/>
      </w:r>
    </w:p>
    <w:p w14:paraId="60D52541">
      <w:pPr>
        <w:pStyle w:val="3"/>
        <w:keepNext w:val="0"/>
        <w:keepLines w:val="0"/>
        <w:spacing w:before="240" w:after="240"/>
        <w:ind w:left="720" w:hanging="720"/>
        <w:rPr>
          <w:rFonts w:ascii="Times New Roman" w:hAnsi="Times New Roman" w:eastAsia="Times New Roman" w:cs="Times New Roman"/>
          <w:sz w:val="24"/>
          <w:szCs w:val="24"/>
        </w:rPr>
      </w:pPr>
      <w:bookmarkStart w:id="26" w:name="_h93neq7yhb3r" w:colFirst="0" w:colLast="0"/>
      <w:bookmarkEnd w:id="26"/>
      <w:r>
        <w:rPr>
          <w:rFonts w:ascii="Times New Roman" w:hAnsi="Times New Roman" w:eastAsia="Times New Roman" w:cs="Times New Roman"/>
          <w:sz w:val="24"/>
          <w:szCs w:val="24"/>
        </w:rPr>
        <w:t xml:space="preserve">Disu, K. (2025). Barriers and facilitators of contraceptive uptake: A cross-sectional study among women in selected markets in Oyo State, Nigeria. </w:t>
      </w:r>
      <w:r>
        <w:rPr>
          <w:rFonts w:ascii="Times New Roman" w:hAnsi="Times New Roman" w:eastAsia="Times New Roman" w:cs="Times New Roman"/>
          <w:i/>
          <w:iCs/>
          <w:sz w:val="24"/>
          <w:szCs w:val="24"/>
        </w:rPr>
        <w:t>International Journal of Research and Innovation in Social Science (IJRISS)</w:t>
      </w:r>
      <w:r>
        <w:rPr>
          <w:rFonts w:ascii="Times New Roman" w:hAnsi="Times New Roman" w:eastAsia="Times New Roman" w:cs="Times New Roman"/>
          <w:sz w:val="24"/>
          <w:szCs w:val="24"/>
        </w:rPr>
        <w:t>, 130–143.</w:t>
      </w:r>
      <w:r>
        <w:fldChar w:fldCharType="begin"/>
      </w:r>
      <w:r>
        <w:instrText xml:space="preserve"> HYPERLINK "https://dx.doi.org/10.47772/IJRISS.2024.816SCO0011" \h </w:instrText>
      </w:r>
      <w:r>
        <w:fldChar w:fldCharType="separate"/>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rPr>
        <w:fldChar w:fldCharType="end"/>
      </w:r>
      <w:r>
        <w:fldChar w:fldCharType="begin"/>
      </w:r>
      <w:r>
        <w:instrText xml:space="preserve"> HYPERLINK "https://dx.doi.org/10.47772/IJRISS.2024.816SCO0011" \h </w:instrText>
      </w:r>
      <w:r>
        <w:fldChar w:fldCharType="separate"/>
      </w:r>
      <w:r>
        <w:rPr>
          <w:rFonts w:ascii="Times New Roman" w:hAnsi="Times New Roman" w:eastAsia="Times New Roman" w:cs="Times New Roman"/>
          <w:sz w:val="24"/>
          <w:szCs w:val="24"/>
        </w:rPr>
        <w:t>https://dx.doi.org/10.47772/IJRISS.2024.816SCO0011</w:t>
      </w:r>
      <w:r>
        <w:rPr>
          <w:rFonts w:ascii="Times New Roman" w:hAnsi="Times New Roman" w:eastAsia="Times New Roman" w:cs="Times New Roman"/>
          <w:sz w:val="24"/>
          <w:szCs w:val="24"/>
        </w:rPr>
        <w:fldChar w:fldCharType="end"/>
      </w:r>
    </w:p>
    <w:p w14:paraId="6C03205A">
      <w:pPr>
        <w:pStyle w:val="3"/>
        <w:keepNext w:val="0"/>
        <w:keepLines w:val="0"/>
        <w:spacing w:before="240" w:after="240"/>
        <w:ind w:left="720" w:hanging="720"/>
        <w:rPr>
          <w:rFonts w:ascii="Times New Roman" w:hAnsi="Times New Roman" w:eastAsia="Times New Roman" w:cs="Times New Roman"/>
          <w:sz w:val="24"/>
          <w:szCs w:val="24"/>
        </w:rPr>
      </w:pPr>
      <w:bookmarkStart w:id="27" w:name="_meiuo5lya8im" w:colFirst="0" w:colLast="0"/>
      <w:bookmarkEnd w:id="27"/>
      <w:r>
        <w:rPr>
          <w:rFonts w:ascii="Times New Roman" w:hAnsi="Times New Roman" w:eastAsia="Times New Roman" w:cs="Times New Roman"/>
          <w:sz w:val="24"/>
          <w:szCs w:val="24"/>
        </w:rPr>
        <w:t xml:space="preserve">Ezenwaka, U., Mbachu, C., Ezumah, N., Eze, I., Agu, C., Agu, I., &amp; Onwujekwe, O. (2020). Exploring factors constraining utilization of contraceptive services among adolescents in Southeast Nigeria: An application of the socio-ecological model. </w:t>
      </w:r>
      <w:r>
        <w:rPr>
          <w:rFonts w:ascii="Times New Roman" w:hAnsi="Times New Roman" w:eastAsia="Times New Roman" w:cs="Times New Roman"/>
          <w:i/>
          <w:iCs/>
          <w:sz w:val="24"/>
          <w:szCs w:val="24"/>
        </w:rPr>
        <w:t>BMC Public Health, 20</w:t>
      </w:r>
      <w:r>
        <w:rPr>
          <w:rFonts w:ascii="Times New Roman" w:hAnsi="Times New Roman" w:eastAsia="Times New Roman" w:cs="Times New Roman"/>
          <w:sz w:val="24"/>
          <w:szCs w:val="24"/>
        </w:rPr>
        <w:t>, 1162. https://doi.org/10.1186/s12889-020-09276-2</w:t>
      </w:r>
    </w:p>
    <w:p w14:paraId="4EFD128F">
      <w:pPr>
        <w:spacing w:before="240" w:after="240"/>
        <w:ind w:left="720" w:hanging="720"/>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Federal Government of Nigeria &amp; United Nations Children’s Fund Nigeria. (2025). </w:t>
      </w:r>
      <w:r>
        <w:rPr>
          <w:rFonts w:ascii="Times New Roman" w:hAnsi="Times New Roman" w:eastAsia="Times New Roman" w:cs="Times New Roman"/>
          <w:i/>
          <w:iCs/>
          <w:sz w:val="24"/>
          <w:szCs w:val="24"/>
        </w:rPr>
        <w:t>The state of Nigeria’s children: Summary of the 2024 situation analysis of children and adolescents in Nigeria (2nd ed.)</w:t>
      </w:r>
      <w:r>
        <w:rPr>
          <w:rFonts w:ascii="Times New Roman" w:hAnsi="Times New Roman" w:eastAsia="Times New Roman" w:cs="Times New Roman"/>
          <w:sz w:val="24"/>
          <w:szCs w:val="24"/>
        </w:rPr>
        <w:t>. UNICEF Nigeria.</w:t>
      </w:r>
      <w:r>
        <w:fldChar w:fldCharType="begin"/>
      </w:r>
      <w:r>
        <w:instrText xml:space="preserve"> HYPERLINK "https://www.unicef.org/nigeria/media/10591/file/State-of-Nigerias-Children_Summary-of-the-2024-Updated-SitAn.pdf?utm_source=chatgpt.com" \h </w:instrText>
      </w:r>
      <w:r>
        <w:fldChar w:fldCharType="separate"/>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rPr>
        <w:fldChar w:fldCharType="end"/>
      </w:r>
      <w:r>
        <w:fldChar w:fldCharType="begin"/>
      </w:r>
      <w:r>
        <w:instrText xml:space="preserve"> HYPERLINK "https://www.unicef.org/nigeria/media/10591/file/State-of-Nigerias-Children_Summary-of-the-2024-Updated-SitAn.pdf?utm_source=chatgpt.com" \h </w:instrText>
      </w:r>
      <w:r>
        <w:fldChar w:fldCharType="separate"/>
      </w:r>
      <w:r>
        <w:rPr>
          <w:rFonts w:ascii="Times New Roman" w:hAnsi="Times New Roman" w:eastAsia="Times New Roman" w:cs="Times New Roman"/>
          <w:sz w:val="24"/>
          <w:szCs w:val="24"/>
        </w:rPr>
        <w:t>https://www.unicef.org/nigeria/media/10591/file/State-of-Nigerias-Children_Summary-of-the-2024-Updated-SitAn.pdf</w:t>
      </w:r>
      <w:r>
        <w:rPr>
          <w:rFonts w:ascii="Times New Roman" w:hAnsi="Times New Roman" w:eastAsia="Times New Roman" w:cs="Times New Roman"/>
          <w:sz w:val="24"/>
          <w:szCs w:val="24"/>
        </w:rPr>
        <w:fldChar w:fldCharType="end"/>
      </w:r>
    </w:p>
    <w:p w14:paraId="5DBDC726">
      <w:pPr>
        <w:pStyle w:val="3"/>
        <w:keepNext w:val="0"/>
        <w:keepLines w:val="0"/>
        <w:spacing w:before="240" w:after="240"/>
        <w:ind w:left="720" w:hanging="720"/>
        <w:rPr>
          <w:rFonts w:ascii="Times New Roman" w:hAnsi="Times New Roman" w:eastAsia="Times New Roman" w:cs="Times New Roman"/>
          <w:sz w:val="24"/>
          <w:szCs w:val="24"/>
        </w:rPr>
      </w:pPr>
      <w:bookmarkStart w:id="28" w:name="_666gttud436u" w:colFirst="0" w:colLast="0"/>
      <w:bookmarkEnd w:id="28"/>
      <w:r>
        <w:rPr>
          <w:rFonts w:ascii="Times New Roman" w:hAnsi="Times New Roman" w:eastAsia="Times New Roman" w:cs="Times New Roman"/>
          <w:sz w:val="24"/>
          <w:szCs w:val="24"/>
        </w:rPr>
        <w:t xml:space="preserve">Ilori, O. R., Olugbenga-Bello, A. I., Goodman, O. O., Babakundi, A. A., &amp; Oladejo, R. A. (2023). Prevalence and pattern of contraceptive uptake among adolescents in an internally displaced camp, North Central, Nigeria. </w:t>
      </w:r>
      <w:r>
        <w:rPr>
          <w:rFonts w:ascii="Times New Roman" w:hAnsi="Times New Roman" w:eastAsia="Times New Roman" w:cs="Times New Roman"/>
          <w:i/>
          <w:iCs/>
          <w:sz w:val="24"/>
          <w:szCs w:val="24"/>
        </w:rPr>
        <w:t>Journal of Public Health in Africa, 14</w:t>
      </w:r>
      <w:r>
        <w:rPr>
          <w:rFonts w:ascii="Times New Roman" w:hAnsi="Times New Roman" w:eastAsia="Times New Roman" w:cs="Times New Roman"/>
          <w:sz w:val="24"/>
          <w:szCs w:val="24"/>
        </w:rPr>
        <w:t>(12), 2383. https://doi.org/10.4081/jphia.2023.2383</w:t>
      </w:r>
    </w:p>
    <w:p w14:paraId="548DD66B">
      <w:pPr>
        <w:pStyle w:val="3"/>
        <w:keepNext w:val="0"/>
        <w:keepLines w:val="0"/>
        <w:spacing w:before="240" w:after="240"/>
        <w:ind w:left="720" w:hanging="720"/>
        <w:rPr>
          <w:rFonts w:ascii="Times New Roman" w:hAnsi="Times New Roman" w:eastAsia="Times New Roman" w:cs="Times New Roman"/>
          <w:sz w:val="24"/>
          <w:szCs w:val="24"/>
        </w:rPr>
      </w:pPr>
      <w:bookmarkStart w:id="29" w:name="_2iz5zdxmf6bg" w:colFirst="0" w:colLast="0"/>
      <w:bookmarkEnd w:id="29"/>
      <w:r>
        <w:rPr>
          <w:rFonts w:ascii="Times New Roman" w:hAnsi="Times New Roman" w:eastAsia="Times New Roman" w:cs="Times New Roman"/>
          <w:sz w:val="24"/>
          <w:szCs w:val="24"/>
        </w:rPr>
        <w:t xml:space="preserve">Ilugbami, J. O., Ilugbami, F. M., &amp; Tayo-ladega, O. (2022). Factors influencing contraceptive usage among adolescent females aged 13–19 years in Ondo State, Nigeria. </w:t>
      </w:r>
      <w:r>
        <w:rPr>
          <w:rFonts w:ascii="Times New Roman" w:hAnsi="Times New Roman" w:eastAsia="Times New Roman" w:cs="Times New Roman"/>
          <w:i/>
          <w:iCs/>
          <w:sz w:val="24"/>
          <w:szCs w:val="24"/>
        </w:rPr>
        <w:t>Yenagoa Medical Journal, 4</w:t>
      </w:r>
      <w:r>
        <w:rPr>
          <w:rFonts w:ascii="Times New Roman" w:hAnsi="Times New Roman" w:eastAsia="Times New Roman" w:cs="Times New Roman"/>
          <w:sz w:val="24"/>
          <w:szCs w:val="24"/>
        </w:rPr>
        <w:t xml:space="preserve">(4), 78–84. </w:t>
      </w:r>
    </w:p>
    <w:p w14:paraId="6067AA00">
      <w:pPr>
        <w:pStyle w:val="3"/>
        <w:keepNext w:val="0"/>
        <w:keepLines w:val="0"/>
        <w:spacing w:before="240" w:after="240"/>
        <w:ind w:left="720" w:hanging="720"/>
        <w:rPr>
          <w:rFonts w:ascii="Times New Roman" w:hAnsi="Times New Roman" w:eastAsia="Times New Roman" w:cs="Times New Roman"/>
          <w:sz w:val="24"/>
          <w:szCs w:val="24"/>
        </w:rPr>
      </w:pPr>
      <w:bookmarkStart w:id="30" w:name="_2m0r2k6vcxli" w:colFirst="0" w:colLast="0"/>
      <w:bookmarkEnd w:id="30"/>
      <w:r>
        <w:rPr>
          <w:rFonts w:ascii="Times New Roman" w:hAnsi="Times New Roman" w:eastAsia="Times New Roman" w:cs="Times New Roman"/>
          <w:sz w:val="24"/>
          <w:szCs w:val="24"/>
        </w:rPr>
        <w:t xml:space="preserve">Ilugbami, J. O., Ilugbami, F. M., &amp; Tayo-ladega, O. (2022). Factors influencing contraceptive usage among adolescent females aged 13–19 years in Ondo State, Nigeria. </w:t>
      </w:r>
      <w:r>
        <w:rPr>
          <w:rFonts w:ascii="Times New Roman" w:hAnsi="Times New Roman" w:eastAsia="Times New Roman" w:cs="Times New Roman"/>
          <w:i/>
          <w:iCs/>
          <w:sz w:val="24"/>
          <w:szCs w:val="24"/>
        </w:rPr>
        <w:t>Yenagoa Medical Journal, 4</w:t>
      </w:r>
      <w:r>
        <w:rPr>
          <w:rFonts w:ascii="Times New Roman" w:hAnsi="Times New Roman" w:eastAsia="Times New Roman" w:cs="Times New Roman"/>
          <w:sz w:val="24"/>
          <w:szCs w:val="24"/>
        </w:rPr>
        <w:t>(4), 78–84.</w:t>
      </w:r>
    </w:p>
    <w:p w14:paraId="03F1A7C2">
      <w:pPr>
        <w:pStyle w:val="3"/>
        <w:keepNext w:val="0"/>
        <w:keepLines w:val="0"/>
        <w:spacing w:before="240" w:after="240"/>
        <w:ind w:left="720" w:hanging="720"/>
        <w:rPr>
          <w:rFonts w:ascii="Times New Roman" w:hAnsi="Times New Roman" w:eastAsia="Times New Roman" w:cs="Times New Roman"/>
          <w:sz w:val="24"/>
          <w:szCs w:val="24"/>
        </w:rPr>
      </w:pPr>
      <w:bookmarkStart w:id="31" w:name="_tvopvxpk9szz" w:colFirst="0" w:colLast="0"/>
      <w:bookmarkEnd w:id="31"/>
      <w:r>
        <w:rPr>
          <w:rFonts w:ascii="Times New Roman" w:hAnsi="Times New Roman" w:eastAsia="Times New Roman" w:cs="Times New Roman"/>
          <w:sz w:val="24"/>
          <w:szCs w:val="24"/>
        </w:rPr>
        <w:t xml:space="preserve">Israel, O. K., Adeomi, A. A., Adeoye, O. A., Israel, M. G., &amp; Olugbenga-Bello, A. I. (2019). Contraceptive knowledge, access and uptake among rural and urban unmarried in-school adolescents in Osun State, Nigeria: A comparative study. </w:t>
      </w:r>
      <w:r>
        <w:rPr>
          <w:rFonts w:ascii="Times New Roman" w:hAnsi="Times New Roman" w:eastAsia="Times New Roman" w:cs="Times New Roman"/>
          <w:i/>
          <w:iCs/>
          <w:sz w:val="24"/>
          <w:szCs w:val="24"/>
        </w:rPr>
        <w:t>Journal of Community Medicine &amp; Public Health, 3</w:t>
      </w:r>
      <w:r>
        <w:rPr>
          <w:rFonts w:ascii="Times New Roman" w:hAnsi="Times New Roman" w:eastAsia="Times New Roman" w:cs="Times New Roman"/>
          <w:sz w:val="24"/>
          <w:szCs w:val="24"/>
        </w:rPr>
        <w:t xml:space="preserve">, 166. </w:t>
      </w:r>
    </w:p>
    <w:p w14:paraId="68BD6436">
      <w:pPr>
        <w:spacing w:before="240" w:after="240"/>
        <w:ind w:left="720" w:hanging="720"/>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Jadloc, M. D. (2017, August 8). </w:t>
      </w:r>
      <w:r>
        <w:rPr>
          <w:rFonts w:ascii="Times New Roman" w:hAnsi="Times New Roman" w:eastAsia="Times New Roman" w:cs="Times New Roman"/>
          <w:i/>
          <w:iCs/>
          <w:sz w:val="24"/>
          <w:szCs w:val="24"/>
        </w:rPr>
        <w:t>1 in 3 Pinays use traditional over modern contraceptives</w:t>
      </w:r>
      <w:r>
        <w:rPr>
          <w:rFonts w:ascii="Times New Roman" w:hAnsi="Times New Roman" w:eastAsia="Times New Roman" w:cs="Times New Roman"/>
          <w:sz w:val="24"/>
          <w:szCs w:val="24"/>
        </w:rPr>
        <w:t>. University of the Philippines Diliman.</w:t>
      </w:r>
      <w:r>
        <w:fldChar w:fldCharType="begin"/>
      </w:r>
      <w:r>
        <w:instrText xml:space="preserve"> HYPERLINK "https://upd.edu.ph/1-in-3-pinays-use-traditional-over-modern-contraceptives/" \h </w:instrText>
      </w:r>
      <w:r>
        <w:fldChar w:fldCharType="separate"/>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rPr>
        <w:fldChar w:fldCharType="end"/>
      </w:r>
      <w:r>
        <w:fldChar w:fldCharType="begin"/>
      </w:r>
      <w:r>
        <w:instrText xml:space="preserve"> HYPERLINK "https://upd.edu.ph/1-in-3-pinays-use-traditional-over-modern-contraceptives/" \h </w:instrText>
      </w:r>
      <w:r>
        <w:fldChar w:fldCharType="separate"/>
      </w:r>
      <w:r>
        <w:rPr>
          <w:rFonts w:ascii="Times New Roman" w:hAnsi="Times New Roman" w:eastAsia="Times New Roman" w:cs="Times New Roman"/>
          <w:sz w:val="24"/>
          <w:szCs w:val="24"/>
        </w:rPr>
        <w:t>https://upd.edu.ph/1-in-3-pinays-use-traditional-over-modern-contraceptives/</w:t>
      </w:r>
      <w:r>
        <w:rPr>
          <w:rFonts w:ascii="Times New Roman" w:hAnsi="Times New Roman" w:eastAsia="Times New Roman" w:cs="Times New Roman"/>
          <w:sz w:val="24"/>
          <w:szCs w:val="24"/>
        </w:rPr>
        <w:fldChar w:fldCharType="end"/>
      </w:r>
    </w:p>
    <w:p w14:paraId="44BA684C">
      <w:pPr>
        <w:pStyle w:val="3"/>
        <w:keepNext w:val="0"/>
        <w:keepLines w:val="0"/>
        <w:spacing w:before="240" w:after="240"/>
        <w:ind w:left="720" w:hanging="720"/>
        <w:rPr>
          <w:rFonts w:ascii="Times New Roman" w:hAnsi="Times New Roman" w:eastAsia="Times New Roman" w:cs="Times New Roman"/>
          <w:sz w:val="24"/>
          <w:szCs w:val="24"/>
        </w:rPr>
      </w:pPr>
      <w:bookmarkStart w:id="32" w:name="_kcy5ud5bzemg" w:colFirst="0" w:colLast="0"/>
      <w:bookmarkEnd w:id="32"/>
      <w:r>
        <w:rPr>
          <w:rFonts w:ascii="Times New Roman" w:hAnsi="Times New Roman" w:eastAsia="Times New Roman" w:cs="Times New Roman"/>
          <w:sz w:val="24"/>
          <w:szCs w:val="24"/>
        </w:rPr>
        <w:t xml:space="preserve">Jimoh, I. I. (2020). </w:t>
      </w:r>
      <w:r>
        <w:rPr>
          <w:rFonts w:ascii="Times New Roman" w:hAnsi="Times New Roman" w:eastAsia="Times New Roman" w:cs="Times New Roman"/>
          <w:i/>
          <w:iCs/>
          <w:sz w:val="24"/>
          <w:szCs w:val="24"/>
        </w:rPr>
        <w:t>Analysis of the factors affecting access to modern contraceptives in Nigeria</w:t>
      </w:r>
      <w:r>
        <w:rPr>
          <w:rFonts w:ascii="Times New Roman" w:hAnsi="Times New Roman" w:eastAsia="Times New Roman" w:cs="Times New Roman"/>
          <w:sz w:val="24"/>
          <w:szCs w:val="24"/>
        </w:rPr>
        <w:t xml:space="preserve"> (Master’s thesis, KIT Royal Tropical Institute &amp; Vrije Universiteit Amsterdam). </w:t>
      </w:r>
    </w:p>
    <w:p w14:paraId="3E400F0A">
      <w:pPr>
        <w:spacing w:before="240" w:after="240"/>
        <w:ind w:left="720" w:hanging="720"/>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Kabagenyi, A., Jennings, L., Reid, A., Nalwadda, G., Ntozi, J., &amp; Atuyambe, L. (2014). Barriers to male involvement in contraceptive uptake and reproductive health services: A qualitative study of men and women’s perceptions in two rural districts in Uganda. </w:t>
      </w:r>
      <w:r>
        <w:rPr>
          <w:rFonts w:ascii="Times New Roman" w:hAnsi="Times New Roman" w:eastAsia="Times New Roman" w:cs="Times New Roman"/>
          <w:i/>
          <w:iCs/>
          <w:sz w:val="24"/>
          <w:szCs w:val="24"/>
        </w:rPr>
        <w:t>Reproductive Health, 11</w:t>
      </w:r>
      <w:r>
        <w:rPr>
          <w:rFonts w:ascii="Times New Roman" w:hAnsi="Times New Roman" w:eastAsia="Times New Roman" w:cs="Times New Roman"/>
          <w:sz w:val="24"/>
          <w:szCs w:val="24"/>
        </w:rPr>
        <w:t>, 21. https://doi.org/10.1186/1742-4755-11-21</w:t>
      </w:r>
    </w:p>
    <w:p w14:paraId="3A8DCDE5">
      <w:pPr>
        <w:pStyle w:val="3"/>
        <w:keepNext w:val="0"/>
        <w:keepLines w:val="0"/>
        <w:spacing w:before="240" w:after="240"/>
        <w:ind w:left="720" w:hanging="720"/>
        <w:rPr>
          <w:rFonts w:ascii="Times New Roman" w:hAnsi="Times New Roman" w:eastAsia="Times New Roman" w:cs="Times New Roman"/>
          <w:sz w:val="24"/>
          <w:szCs w:val="24"/>
        </w:rPr>
      </w:pPr>
      <w:bookmarkStart w:id="33" w:name="_dvexnx5v6tmj" w:colFirst="0" w:colLast="0"/>
      <w:bookmarkEnd w:id="33"/>
      <w:r>
        <w:rPr>
          <w:rFonts w:ascii="Times New Roman" w:hAnsi="Times New Roman" w:eastAsia="Times New Roman" w:cs="Times New Roman"/>
          <w:sz w:val="24"/>
          <w:szCs w:val="24"/>
        </w:rPr>
        <w:t xml:space="preserve">Kayira, Y. (2019). </w:t>
      </w:r>
      <w:r>
        <w:rPr>
          <w:rFonts w:ascii="Times New Roman" w:hAnsi="Times New Roman" w:eastAsia="Times New Roman" w:cs="Times New Roman"/>
          <w:i/>
          <w:iCs/>
          <w:sz w:val="24"/>
          <w:szCs w:val="24"/>
        </w:rPr>
        <w:t>Assessing uptake and utilization of modern contraceptive method amongst young people in tertiary institutions of Lilongwe University of Agriculture and Natural Resources (LUANAR) and Kamuzu College of Nursing (KCN) in Lilongwe</w:t>
      </w:r>
      <w:r>
        <w:rPr>
          <w:rFonts w:ascii="Times New Roman" w:hAnsi="Times New Roman" w:eastAsia="Times New Roman" w:cs="Times New Roman"/>
          <w:sz w:val="24"/>
          <w:szCs w:val="24"/>
        </w:rPr>
        <w:t xml:space="preserve"> (Master’s dissertation). </w:t>
      </w:r>
    </w:p>
    <w:p w14:paraId="6D20AD2B">
      <w:pPr>
        <w:pStyle w:val="3"/>
        <w:keepNext w:val="0"/>
        <w:keepLines w:val="0"/>
        <w:spacing w:before="240" w:after="240"/>
        <w:ind w:left="720" w:hanging="720"/>
        <w:rPr>
          <w:rFonts w:ascii="Times New Roman" w:hAnsi="Times New Roman" w:eastAsia="Times New Roman" w:cs="Times New Roman"/>
          <w:sz w:val="24"/>
          <w:szCs w:val="24"/>
        </w:rPr>
      </w:pPr>
      <w:bookmarkStart w:id="34" w:name="_o6qyc5v6wayi" w:colFirst="0" w:colLast="0"/>
      <w:bookmarkEnd w:id="34"/>
      <w:r>
        <w:rPr>
          <w:rFonts w:ascii="Times New Roman" w:hAnsi="Times New Roman" w:eastAsia="Times New Roman" w:cs="Times New Roman"/>
          <w:sz w:val="24"/>
          <w:szCs w:val="24"/>
        </w:rPr>
        <w:t xml:space="preserve">Kuria-Ndiritu, S. (2021). </w:t>
      </w:r>
      <w:r>
        <w:rPr>
          <w:rFonts w:ascii="Times New Roman" w:hAnsi="Times New Roman" w:eastAsia="Times New Roman" w:cs="Times New Roman"/>
          <w:i/>
          <w:iCs/>
          <w:sz w:val="24"/>
          <w:szCs w:val="24"/>
        </w:rPr>
        <w:t>Factors influencing family planning uptake among adolescents and postpartum women in Kenya</w:t>
      </w:r>
      <w:r>
        <w:rPr>
          <w:rFonts w:ascii="Times New Roman" w:hAnsi="Times New Roman" w:eastAsia="Times New Roman" w:cs="Times New Roman"/>
          <w:sz w:val="24"/>
          <w:szCs w:val="24"/>
        </w:rPr>
        <w:t xml:space="preserve"> (Doctoral dissertation, Walden University).</w:t>
      </w:r>
    </w:p>
    <w:p w14:paraId="19A048CE">
      <w:pPr>
        <w:spacing w:before="240" w:after="240"/>
        <w:ind w:left="720" w:hanging="720"/>
        <w:rPr>
          <w:rFonts w:ascii="Times New Roman" w:hAnsi="Times New Roman" w:eastAsia="Times New Roman" w:cs="Times New Roman"/>
          <w:sz w:val="24"/>
          <w:szCs w:val="24"/>
        </w:rPr>
      </w:pPr>
      <w:r>
        <w:rPr>
          <w:rFonts w:ascii="Times New Roman" w:hAnsi="Times New Roman" w:eastAsia="Times New Roman" w:cs="Times New Roman"/>
          <w:sz w:val="24"/>
          <w:szCs w:val="24"/>
        </w:rPr>
        <w:t>Mackie, G., Moneti, F., Shakya, H., &amp; Denny, E. (2015).</w:t>
      </w:r>
      <w:r>
        <w:rPr>
          <w:rFonts w:ascii="Times New Roman" w:hAnsi="Times New Roman" w:eastAsia="Times New Roman" w:cs="Times New Roman"/>
          <w:i/>
          <w:iCs/>
          <w:sz w:val="24"/>
          <w:szCs w:val="24"/>
        </w:rPr>
        <w:t>What are social norms? How are they measured?</w:t>
      </w:r>
      <w:r>
        <w:rPr>
          <w:rFonts w:ascii="Times New Roman" w:hAnsi="Times New Roman" w:eastAsia="Times New Roman" w:cs="Times New Roman"/>
          <w:sz w:val="24"/>
          <w:szCs w:val="24"/>
        </w:rPr>
        <w:t xml:space="preserve"> UNICEF / University of California, San Diego, Center on Global Justice.https://www.unicef.org/protection/files/4_09_30_Whole_What_are_Social_Norms.pdf</w:t>
      </w:r>
    </w:p>
    <w:p w14:paraId="3515B5D1">
      <w:pPr>
        <w:spacing w:before="240" w:after="240"/>
        <w:ind w:left="720" w:hanging="720"/>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National Population Commission (NPC) [Nigeria], Federal Ministry of Health and Social Welfare of Nigeria, &amp; The DHS Program. (2025). </w:t>
      </w:r>
      <w:r>
        <w:rPr>
          <w:rFonts w:ascii="Times New Roman" w:hAnsi="Times New Roman" w:eastAsia="Times New Roman" w:cs="Times New Roman"/>
          <w:i/>
          <w:iCs/>
          <w:sz w:val="24"/>
          <w:szCs w:val="24"/>
        </w:rPr>
        <w:t>Nigeria 2024 Demographic and Health Survey: Summary report (SR294)</w:t>
      </w:r>
      <w:r>
        <w:rPr>
          <w:rFonts w:ascii="Times New Roman" w:hAnsi="Times New Roman" w:eastAsia="Times New Roman" w:cs="Times New Roman"/>
          <w:sz w:val="24"/>
          <w:szCs w:val="24"/>
        </w:rPr>
        <w:t>. ICF.</w:t>
      </w:r>
      <w:r>
        <w:fldChar w:fldCharType="begin"/>
      </w:r>
      <w:r>
        <w:instrText xml:space="preserve"> HYPERLINK "https://dhsprogram.com/pubs/pdf/SR294/SR294.pdf?utm_source=chatgpt.com" \h </w:instrText>
      </w:r>
      <w:r>
        <w:fldChar w:fldCharType="separate"/>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rPr>
        <w:fldChar w:fldCharType="end"/>
      </w:r>
      <w:r>
        <w:fldChar w:fldCharType="begin"/>
      </w:r>
      <w:r>
        <w:instrText xml:space="preserve"> HYPERLINK "https://dhsprogram.com/pubs/pdf/SR294/SR294.pdf?utm_source=chatgpt.com" \h </w:instrText>
      </w:r>
      <w:r>
        <w:fldChar w:fldCharType="separate"/>
      </w:r>
      <w:r>
        <w:rPr>
          <w:rFonts w:ascii="Times New Roman" w:hAnsi="Times New Roman" w:eastAsia="Times New Roman" w:cs="Times New Roman"/>
          <w:sz w:val="24"/>
          <w:szCs w:val="24"/>
        </w:rPr>
        <w:t>https://dhsprogram.com/pubs/pdf/SR294/SR294.pdf</w:t>
      </w:r>
      <w:r>
        <w:rPr>
          <w:rFonts w:ascii="Times New Roman" w:hAnsi="Times New Roman" w:eastAsia="Times New Roman" w:cs="Times New Roman"/>
          <w:sz w:val="24"/>
          <w:szCs w:val="24"/>
        </w:rPr>
        <w:fldChar w:fldCharType="end"/>
      </w:r>
    </w:p>
    <w:p w14:paraId="1CECE87F">
      <w:pPr>
        <w:pStyle w:val="3"/>
        <w:keepNext w:val="0"/>
        <w:keepLines w:val="0"/>
        <w:spacing w:before="240" w:after="240"/>
        <w:ind w:left="720" w:hanging="720"/>
        <w:rPr>
          <w:rFonts w:ascii="Times New Roman" w:hAnsi="Times New Roman" w:eastAsia="Times New Roman" w:cs="Times New Roman"/>
          <w:sz w:val="24"/>
          <w:szCs w:val="24"/>
        </w:rPr>
      </w:pPr>
      <w:bookmarkStart w:id="35" w:name="_mura7j8xohgp" w:colFirst="0" w:colLast="0"/>
      <w:bookmarkEnd w:id="35"/>
      <w:r>
        <w:rPr>
          <w:rFonts w:ascii="Times New Roman" w:hAnsi="Times New Roman" w:eastAsia="Times New Roman" w:cs="Times New Roman"/>
          <w:sz w:val="24"/>
          <w:szCs w:val="24"/>
        </w:rPr>
        <w:t xml:space="preserve">Ogundiran, T. A., Mohammadnezhad, M., Ogundiran, A. I., &amp; Mohammed, H. (2024). Role of sociocultural beliefs/norms on level of access and uptake of contraceptives among unmarried adolescent girls in Nigeria: A systematic review study. </w:t>
      </w:r>
      <w:r>
        <w:rPr>
          <w:rFonts w:ascii="Times New Roman" w:hAnsi="Times New Roman" w:eastAsia="Times New Roman" w:cs="Times New Roman"/>
          <w:i/>
          <w:iCs/>
          <w:sz w:val="24"/>
          <w:szCs w:val="24"/>
        </w:rPr>
        <w:t>MOJ Public Health, 13</w:t>
      </w:r>
      <w:r>
        <w:rPr>
          <w:rFonts w:ascii="Times New Roman" w:hAnsi="Times New Roman" w:eastAsia="Times New Roman" w:cs="Times New Roman"/>
          <w:sz w:val="24"/>
          <w:szCs w:val="24"/>
        </w:rPr>
        <w:t>(1), 73–79. https://doi.org/10.15406/mojph.2024.13.00441</w:t>
      </w:r>
    </w:p>
    <w:p w14:paraId="47A0143F">
      <w:pPr>
        <w:pStyle w:val="3"/>
        <w:keepNext w:val="0"/>
        <w:keepLines w:val="0"/>
        <w:spacing w:before="240" w:after="240"/>
        <w:ind w:left="720" w:hanging="720"/>
        <w:rPr>
          <w:rFonts w:ascii="Times New Roman" w:hAnsi="Times New Roman" w:eastAsia="Times New Roman" w:cs="Times New Roman"/>
          <w:sz w:val="24"/>
          <w:szCs w:val="24"/>
        </w:rPr>
      </w:pPr>
      <w:bookmarkStart w:id="36" w:name="_olxcpfnlglye" w:colFirst="0" w:colLast="0"/>
      <w:bookmarkEnd w:id="36"/>
      <w:r>
        <w:rPr>
          <w:rFonts w:ascii="Times New Roman" w:hAnsi="Times New Roman" w:eastAsia="Times New Roman" w:cs="Times New Roman"/>
          <w:sz w:val="24"/>
          <w:szCs w:val="24"/>
        </w:rPr>
        <w:t xml:space="preserve">Oluwasina, F. O. (2013). Factors affecting the uptake of modern contraception services among women of reproductive age in Nigeria. </w:t>
      </w:r>
      <w:r>
        <w:rPr>
          <w:rFonts w:ascii="Times New Roman" w:hAnsi="Times New Roman" w:eastAsia="Times New Roman" w:cs="Times New Roman"/>
          <w:i/>
          <w:iCs/>
          <w:sz w:val="24"/>
          <w:szCs w:val="24"/>
        </w:rPr>
        <w:t>Texila International Journal of Public Health, 5</w:t>
      </w:r>
      <w:r>
        <w:rPr>
          <w:rFonts w:ascii="Times New Roman" w:hAnsi="Times New Roman" w:eastAsia="Times New Roman" w:cs="Times New Roman"/>
          <w:sz w:val="24"/>
          <w:szCs w:val="24"/>
        </w:rPr>
        <w:t>(4). DOI: 10.21522/TIJPH.2013.05.04.Art028</w:t>
      </w:r>
    </w:p>
    <w:p w14:paraId="633592FF">
      <w:pPr>
        <w:spacing w:before="240" w:after="240"/>
        <w:ind w:left="720" w:hanging="720"/>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Sanchez, E. K., McGuire, C., Calhoun, L. M., Hainsworth, G., &amp; Speizer, I. S. (2021). Influences on contraceptive method choice among adolescent women across urban centers in Nigeria: A qualitative study. </w:t>
      </w:r>
      <w:r>
        <w:rPr>
          <w:rFonts w:ascii="Times New Roman" w:hAnsi="Times New Roman" w:eastAsia="Times New Roman" w:cs="Times New Roman"/>
          <w:i/>
          <w:iCs/>
          <w:sz w:val="24"/>
          <w:szCs w:val="24"/>
        </w:rPr>
        <w:t>Contraception and Reproductive Medicine, 6</w:t>
      </w:r>
      <w:r>
        <w:rPr>
          <w:rFonts w:ascii="Times New Roman" w:hAnsi="Times New Roman" w:eastAsia="Times New Roman" w:cs="Times New Roman"/>
          <w:sz w:val="24"/>
          <w:szCs w:val="24"/>
        </w:rPr>
        <w:t>(1), 8. https://doi.org/10.1186/s40834-020-00146-1</w:t>
      </w:r>
    </w:p>
    <w:p w14:paraId="19551FE0">
      <w:pPr>
        <w:pStyle w:val="3"/>
        <w:keepNext w:val="0"/>
        <w:keepLines w:val="0"/>
        <w:spacing w:before="240" w:after="240"/>
        <w:ind w:left="720" w:hanging="720"/>
        <w:rPr>
          <w:rFonts w:ascii="Times New Roman" w:hAnsi="Times New Roman" w:eastAsia="Times New Roman" w:cs="Times New Roman"/>
          <w:sz w:val="24"/>
          <w:szCs w:val="24"/>
        </w:rPr>
      </w:pPr>
      <w:bookmarkStart w:id="37" w:name="_jg9aqnaa5n0d" w:colFirst="0" w:colLast="0"/>
      <w:bookmarkEnd w:id="37"/>
      <w:r>
        <w:rPr>
          <w:rFonts w:ascii="Times New Roman" w:hAnsi="Times New Roman" w:eastAsia="Times New Roman" w:cs="Times New Roman"/>
          <w:sz w:val="24"/>
          <w:szCs w:val="24"/>
        </w:rPr>
        <w:t xml:space="preserve">Sanni, O. F., Sanni, A. E., Onyeagwaibe, C. I., Ahamuefula, T., &amp; Akeju, O. P. (2025). A comparative analysis of factors associated with modern contraceptive use among youth in Northern and Southern Nigeria: A cross-sectional population-based survey (2011–2021). </w:t>
      </w:r>
      <w:r>
        <w:rPr>
          <w:rFonts w:ascii="Times New Roman" w:hAnsi="Times New Roman" w:eastAsia="Times New Roman" w:cs="Times New Roman"/>
          <w:i/>
          <w:iCs/>
          <w:sz w:val="24"/>
          <w:szCs w:val="24"/>
        </w:rPr>
        <w:t>PLOS Global Public Health, 5</w:t>
      </w:r>
      <w:r>
        <w:rPr>
          <w:rFonts w:ascii="Times New Roman" w:hAnsi="Times New Roman" w:eastAsia="Times New Roman" w:cs="Times New Roman"/>
          <w:sz w:val="24"/>
          <w:szCs w:val="24"/>
        </w:rPr>
        <w:t>(6), e0004685. https://doi.org/10.1371/journal.pgph.0004685</w:t>
      </w:r>
    </w:p>
    <w:p w14:paraId="71B482AE">
      <w:pPr>
        <w:spacing w:before="240" w:after="240"/>
        <w:ind w:left="720" w:hanging="720"/>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Shattuck, D., Kerner, B., Gilles, K., Hartmann, M., Ng’ombe, T., &amp; Guest, G. (2011). </w:t>
      </w:r>
      <w:r>
        <w:rPr>
          <w:rFonts w:ascii="Times New Roman" w:hAnsi="Times New Roman" w:eastAsia="Times New Roman" w:cs="Times New Roman"/>
          <w:i/>
          <w:iCs/>
          <w:sz w:val="24"/>
          <w:szCs w:val="24"/>
        </w:rPr>
        <w:t>Encouraging contraceptive uptake by motivating men to communicate about family planning: The Malawi Male Motivator project.</w:t>
      </w:r>
      <w:r>
        <w:rPr>
          <w:rFonts w:ascii="Times New Roman" w:hAnsi="Times New Roman" w:eastAsia="Times New Roman" w:cs="Times New Roman"/>
          <w:sz w:val="24"/>
          <w:szCs w:val="24"/>
        </w:rPr>
        <w:t xml:space="preserve"> American Journal of Public Health, 101(6), 1089–1095. https://doi.org/10.2105/AJPH.2010.300091</w:t>
      </w:r>
    </w:p>
    <w:p w14:paraId="350630CB">
      <w:pPr>
        <w:spacing w:before="240" w:after="240"/>
        <w:ind w:left="720" w:hanging="720"/>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Todhunter, L., Hogan-Roy, M., &amp; Pressman, E. K. (2022). Complications of pregnancy in adolescents. </w:t>
      </w:r>
      <w:r>
        <w:rPr>
          <w:rFonts w:ascii="Times New Roman" w:hAnsi="Times New Roman" w:eastAsia="Times New Roman" w:cs="Times New Roman"/>
          <w:i/>
          <w:iCs/>
          <w:sz w:val="24"/>
          <w:szCs w:val="24"/>
        </w:rPr>
        <w:t>Seminars in Reproductive Medicine, 40</w:t>
      </w:r>
      <w:r>
        <w:rPr>
          <w:rFonts w:ascii="Times New Roman" w:hAnsi="Times New Roman" w:eastAsia="Times New Roman" w:cs="Times New Roman"/>
          <w:sz w:val="24"/>
          <w:szCs w:val="24"/>
        </w:rPr>
        <w:t>(1–02), 98–106.</w:t>
      </w:r>
      <w:r>
        <w:fldChar w:fldCharType="begin"/>
      </w:r>
      <w:r>
        <w:instrText xml:space="preserve"> HYPERLINK "https://doi.org/10.1055/s-0041-1734020" \h </w:instrText>
      </w:r>
      <w:r>
        <w:fldChar w:fldCharType="separate"/>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rPr>
        <w:fldChar w:fldCharType="end"/>
      </w:r>
      <w:r>
        <w:fldChar w:fldCharType="begin"/>
      </w:r>
      <w:r>
        <w:instrText xml:space="preserve"> HYPERLINK "https://doi.org/10.1055/s-0041-1734020" \h </w:instrText>
      </w:r>
      <w:r>
        <w:fldChar w:fldCharType="separate"/>
      </w:r>
      <w:r>
        <w:rPr>
          <w:rFonts w:ascii="Times New Roman" w:hAnsi="Times New Roman" w:eastAsia="Times New Roman" w:cs="Times New Roman"/>
          <w:sz w:val="24"/>
          <w:szCs w:val="24"/>
        </w:rPr>
        <w:t>https://doi.org/10.1055/s-0041-1734020</w:t>
      </w:r>
      <w:r>
        <w:rPr>
          <w:rFonts w:ascii="Times New Roman" w:hAnsi="Times New Roman" w:eastAsia="Times New Roman" w:cs="Times New Roman"/>
          <w:sz w:val="24"/>
          <w:szCs w:val="24"/>
        </w:rPr>
        <w:fldChar w:fldCharType="end"/>
      </w:r>
    </w:p>
    <w:p w14:paraId="498A9EA8">
      <w:pPr>
        <w:spacing w:before="240" w:after="240"/>
        <w:ind w:left="720" w:hanging="720"/>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Tylee, A., Haller, D. M., Graham, T., Churchill, R., &amp; Sanci, L. A. (2007). </w:t>
      </w:r>
      <w:r>
        <w:rPr>
          <w:rFonts w:ascii="Times New Roman" w:hAnsi="Times New Roman" w:eastAsia="Times New Roman" w:cs="Times New Roman"/>
          <w:i/>
          <w:iCs/>
          <w:sz w:val="24"/>
          <w:szCs w:val="24"/>
        </w:rPr>
        <w:t>Youth-friendly primary-care services: how are we doing and what more needs to be done?</w:t>
      </w:r>
      <w:r>
        <w:rPr>
          <w:rFonts w:ascii="Times New Roman" w:hAnsi="Times New Roman" w:eastAsia="Times New Roman" w:cs="Times New Roman"/>
          <w:sz w:val="24"/>
          <w:szCs w:val="24"/>
        </w:rPr>
        <w:t xml:space="preserve"> The Lancet, 369(9572), 1565–1573. https://doi.org/10.1016/S0140-6736(07)60371-7</w:t>
      </w:r>
    </w:p>
    <w:p w14:paraId="65F574BC">
      <w:pPr>
        <w:pStyle w:val="3"/>
        <w:keepNext w:val="0"/>
        <w:keepLines w:val="0"/>
        <w:spacing w:before="240" w:after="240"/>
        <w:ind w:left="720" w:hanging="720"/>
        <w:rPr>
          <w:rFonts w:ascii="Times New Roman" w:hAnsi="Times New Roman" w:eastAsia="Times New Roman" w:cs="Times New Roman"/>
          <w:sz w:val="24"/>
          <w:szCs w:val="24"/>
        </w:rPr>
      </w:pPr>
      <w:bookmarkStart w:id="38" w:name="_hv0ojw6paw68" w:colFirst="0" w:colLast="0"/>
      <w:bookmarkEnd w:id="38"/>
      <w:r>
        <w:rPr>
          <w:rFonts w:ascii="Times New Roman" w:hAnsi="Times New Roman" w:eastAsia="Times New Roman" w:cs="Times New Roman"/>
          <w:sz w:val="24"/>
          <w:szCs w:val="24"/>
        </w:rPr>
        <w:t xml:space="preserve">Umoren, H. A. (2021). </w:t>
      </w:r>
      <w:r>
        <w:rPr>
          <w:rFonts w:ascii="Times New Roman" w:hAnsi="Times New Roman" w:eastAsia="Times New Roman" w:cs="Times New Roman"/>
          <w:i/>
          <w:iCs/>
          <w:sz w:val="24"/>
          <w:szCs w:val="24"/>
        </w:rPr>
        <w:t>To describe the factors influencing utilization of modern contraceptive services by adolescents in Southern Nigeria and ways to improve utilization</w:t>
      </w:r>
      <w:r>
        <w:rPr>
          <w:rFonts w:ascii="Times New Roman" w:hAnsi="Times New Roman" w:eastAsia="Times New Roman" w:cs="Times New Roman"/>
          <w:sz w:val="24"/>
          <w:szCs w:val="24"/>
        </w:rPr>
        <w:t xml:space="preserve"> (Master’s thesis). Royal Tropical Institute / Vrije Universiteit Amsterdam. </w:t>
      </w:r>
    </w:p>
    <w:p w14:paraId="148C4B1B">
      <w:pPr>
        <w:spacing w:before="240" w:after="240"/>
        <w:ind w:left="720" w:hanging="720"/>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World Health Organization (WHO). (2018). </w:t>
      </w:r>
      <w:r>
        <w:rPr>
          <w:rFonts w:ascii="Times New Roman" w:hAnsi="Times New Roman" w:eastAsia="Times New Roman" w:cs="Times New Roman"/>
          <w:i/>
          <w:iCs/>
          <w:sz w:val="24"/>
          <w:szCs w:val="24"/>
        </w:rPr>
        <w:t>WHO recommendations on adolescent sexual and reproductive health and rights</w:t>
      </w:r>
      <w:r>
        <w:rPr>
          <w:rFonts w:ascii="Times New Roman" w:hAnsi="Times New Roman" w:eastAsia="Times New Roman" w:cs="Times New Roman"/>
          <w:sz w:val="24"/>
          <w:szCs w:val="24"/>
        </w:rPr>
        <w:t>. Geneva: World Health Organization.</w:t>
      </w:r>
      <w:r>
        <w:fldChar w:fldCharType="begin"/>
      </w:r>
      <w:r>
        <w:instrText xml:space="preserve"> HYPERLINK "https://www.who.int/publications/i/item/9789241514606" \h </w:instrText>
      </w:r>
      <w:r>
        <w:fldChar w:fldCharType="separate"/>
      </w:r>
      <w:r>
        <w:rPr>
          <w:rFonts w:ascii="Times New Roman" w:hAnsi="Times New Roman" w:eastAsia="Times New Roman" w:cs="Times New Roman"/>
          <w:sz w:val="24"/>
          <w:szCs w:val="24"/>
        </w:rPr>
        <w:t>https://www.who.int/publications/i/item/9789241514606</w:t>
      </w:r>
      <w:r>
        <w:rPr>
          <w:rFonts w:ascii="Times New Roman" w:hAnsi="Times New Roman" w:eastAsia="Times New Roman" w:cs="Times New Roman"/>
          <w:sz w:val="24"/>
          <w:szCs w:val="24"/>
        </w:rPr>
        <w:fldChar w:fldCharType="end"/>
      </w:r>
    </w:p>
    <w:p w14:paraId="652A197B">
      <w:pPr>
        <w:spacing w:before="240" w:after="240"/>
        <w:ind w:left="720" w:hanging="720"/>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World Health Organization. (2018). </w:t>
      </w:r>
      <w:r>
        <w:rPr>
          <w:rFonts w:ascii="Times New Roman" w:hAnsi="Times New Roman" w:eastAsia="Times New Roman" w:cs="Times New Roman"/>
          <w:i/>
          <w:iCs/>
          <w:sz w:val="24"/>
          <w:szCs w:val="24"/>
        </w:rPr>
        <w:t>Married or in-union women of reproductive age who have their need for family planning satisfied with modern methods (SDG 3.7.1)</w:t>
      </w:r>
      <w:r>
        <w:rPr>
          <w:rFonts w:ascii="Times New Roman" w:hAnsi="Times New Roman" w:eastAsia="Times New Roman" w:cs="Times New Roman"/>
          <w:sz w:val="24"/>
          <w:szCs w:val="24"/>
        </w:rPr>
        <w:t>. The Global Health Observatory.</w:t>
      </w:r>
      <w:r>
        <w:fldChar w:fldCharType="begin"/>
      </w:r>
      <w:r>
        <w:instrText xml:space="preserve"> HYPERLINK "https://www.who.int/data/gho/indicator-metadata-registry/imr-details/4668" \h </w:instrText>
      </w:r>
      <w:r>
        <w:fldChar w:fldCharType="separate"/>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rPr>
        <w:fldChar w:fldCharType="end"/>
      </w:r>
      <w:r>
        <w:fldChar w:fldCharType="begin"/>
      </w:r>
      <w:r>
        <w:instrText xml:space="preserve"> HYPERLINK "https://www.who.int/data/gho/indicator-metadata-registry/imr-details/4668" \h </w:instrText>
      </w:r>
      <w:r>
        <w:fldChar w:fldCharType="separate"/>
      </w:r>
      <w:r>
        <w:rPr>
          <w:rFonts w:ascii="Times New Roman" w:hAnsi="Times New Roman" w:eastAsia="Times New Roman" w:cs="Times New Roman"/>
          <w:sz w:val="24"/>
          <w:szCs w:val="24"/>
        </w:rPr>
        <w:t>https://www.who.int/data/gho/indicator-metadata-registry/imr-details/4668</w:t>
      </w:r>
      <w:r>
        <w:rPr>
          <w:rFonts w:ascii="Times New Roman" w:hAnsi="Times New Roman" w:eastAsia="Times New Roman" w:cs="Times New Roman"/>
          <w:sz w:val="24"/>
          <w:szCs w:val="24"/>
        </w:rPr>
        <w:fldChar w:fldCharType="end"/>
      </w:r>
    </w:p>
    <w:p w14:paraId="1B207940">
      <w:pPr>
        <w:spacing w:before="240" w:after="240"/>
        <w:ind w:left="720" w:hanging="720"/>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World Health Organization. (2024, April 10). </w:t>
      </w:r>
      <w:r>
        <w:rPr>
          <w:rFonts w:ascii="Times New Roman" w:hAnsi="Times New Roman" w:eastAsia="Times New Roman" w:cs="Times New Roman"/>
          <w:i/>
          <w:iCs/>
          <w:sz w:val="24"/>
          <w:szCs w:val="24"/>
        </w:rPr>
        <w:t>Adolescent pregnancy</w:t>
      </w:r>
      <w:r>
        <w:rPr>
          <w:rFonts w:ascii="Times New Roman" w:hAnsi="Times New Roman" w:eastAsia="Times New Roman" w:cs="Times New Roman"/>
          <w:sz w:val="24"/>
          <w:szCs w:val="24"/>
        </w:rPr>
        <w:t>.</w:t>
      </w:r>
      <w:r>
        <w:fldChar w:fldCharType="begin"/>
      </w:r>
      <w:r>
        <w:instrText xml:space="preserve"> HYPERLINK "https://www.who.int/news-room/fact-sheets/detail/adolescent-pregnancy?utm_source=chatgpt.com" \h </w:instrText>
      </w:r>
      <w:r>
        <w:fldChar w:fldCharType="separate"/>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rPr>
        <w:fldChar w:fldCharType="end"/>
      </w:r>
      <w:r>
        <w:fldChar w:fldCharType="begin"/>
      </w:r>
      <w:r>
        <w:instrText xml:space="preserve"> HYPERLINK "https://www.who.int/news-room/fact-sheets/detail/adolescent-pregnancy?utm_source=chatgpt.com" \h </w:instrText>
      </w:r>
      <w:r>
        <w:fldChar w:fldCharType="separate"/>
      </w:r>
      <w:r>
        <w:rPr>
          <w:rFonts w:ascii="Times New Roman" w:hAnsi="Times New Roman" w:eastAsia="Times New Roman" w:cs="Times New Roman"/>
          <w:sz w:val="24"/>
          <w:szCs w:val="24"/>
        </w:rPr>
        <w:t>https://www.who.int/news-room/fact-sheets/detail/adolescent-pregnancy</w:t>
      </w:r>
      <w:r>
        <w:rPr>
          <w:rFonts w:ascii="Times New Roman" w:hAnsi="Times New Roman" w:eastAsia="Times New Roman" w:cs="Times New Roman"/>
          <w:sz w:val="24"/>
          <w:szCs w:val="24"/>
        </w:rPr>
        <w:fldChar w:fldCharType="end"/>
      </w:r>
    </w:p>
    <w:p w14:paraId="47D83F80">
      <w:pPr>
        <w:spacing w:before="240" w:after="240"/>
        <w:ind w:left="720" w:hanging="720"/>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World Health Organization. (2025, July 3). </w:t>
      </w:r>
      <w:r>
        <w:rPr>
          <w:rFonts w:ascii="Times New Roman" w:hAnsi="Times New Roman" w:eastAsia="Times New Roman" w:cs="Times New Roman"/>
          <w:i/>
          <w:iCs/>
          <w:sz w:val="24"/>
          <w:szCs w:val="24"/>
        </w:rPr>
        <w:t>Family planning/contraception methods</w:t>
      </w:r>
      <w:r>
        <w:rPr>
          <w:rFonts w:ascii="Times New Roman" w:hAnsi="Times New Roman" w:eastAsia="Times New Roman" w:cs="Times New Roman"/>
          <w:sz w:val="24"/>
          <w:szCs w:val="24"/>
        </w:rPr>
        <w:t>.</w:t>
      </w:r>
      <w:r>
        <w:fldChar w:fldCharType="begin"/>
      </w:r>
      <w:r>
        <w:instrText xml:space="preserve"> HYPERLINK "https://www.who.int/news-room/fact-sheets/detail/family-planning-contraception" \h </w:instrText>
      </w:r>
      <w:r>
        <w:fldChar w:fldCharType="separate"/>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rPr>
        <w:fldChar w:fldCharType="end"/>
      </w:r>
      <w:r>
        <w:fldChar w:fldCharType="begin"/>
      </w:r>
      <w:r>
        <w:instrText xml:space="preserve"> HYPERLINK "https://www.who.int/news-room/fact-sheets/detail/family-planning-contraception" \h </w:instrText>
      </w:r>
      <w:r>
        <w:fldChar w:fldCharType="separate"/>
      </w:r>
      <w:r>
        <w:rPr>
          <w:rFonts w:ascii="Times New Roman" w:hAnsi="Times New Roman" w:eastAsia="Times New Roman" w:cs="Times New Roman"/>
          <w:sz w:val="24"/>
          <w:szCs w:val="24"/>
        </w:rPr>
        <w:t>https://www.who.int/news-room/fact-sheets/detail/family-planning-contraception</w:t>
      </w:r>
      <w:r>
        <w:rPr>
          <w:rFonts w:ascii="Times New Roman" w:hAnsi="Times New Roman" w:eastAsia="Times New Roman" w:cs="Times New Roman"/>
          <w:sz w:val="24"/>
          <w:szCs w:val="24"/>
        </w:rPr>
        <w:fldChar w:fldCharType="end"/>
      </w:r>
    </w:p>
    <w:p w14:paraId="4E08F4A1">
      <w:pPr>
        <w:spacing w:before="240" w:after="240"/>
        <w:rPr>
          <w:rFonts w:ascii="Times New Roman" w:hAnsi="Times New Roman" w:eastAsia="Times New Roman" w:cs="Times New Roman"/>
          <w:sz w:val="24"/>
          <w:szCs w:val="24"/>
        </w:rPr>
      </w:pPr>
    </w:p>
    <w:p w14:paraId="1596C943">
      <w:pPr>
        <w:spacing w:before="240" w:after="240"/>
        <w:rPr>
          <w:rFonts w:ascii="Times New Roman" w:hAnsi="Times New Roman" w:eastAsia="Times New Roman" w:cs="Times New Roman"/>
          <w:sz w:val="24"/>
          <w:szCs w:val="24"/>
        </w:rPr>
      </w:pPr>
    </w:p>
    <w:p w14:paraId="0FC79226">
      <w:pPr>
        <w:spacing w:before="240" w:after="240"/>
        <w:rPr>
          <w:rFonts w:ascii="Times New Roman" w:hAnsi="Times New Roman" w:eastAsia="Times New Roman" w:cs="Times New Roman"/>
          <w:sz w:val="24"/>
          <w:szCs w:val="24"/>
        </w:rPr>
      </w:pPr>
    </w:p>
    <w:p w14:paraId="6398D99F">
      <w:pPr>
        <w:pStyle w:val="4"/>
        <w:keepNext w:val="0"/>
        <w:keepLines w:val="0"/>
        <w:spacing w:before="280" w:line="240" w:lineRule="auto"/>
        <w:rPr>
          <w:rFonts w:ascii="Times New Roman" w:hAnsi="Times New Roman" w:eastAsia="Times New Roman" w:cs="Times New Roman"/>
          <w:b/>
          <w:bCs/>
          <w:color w:val="000000"/>
          <w:sz w:val="24"/>
          <w:szCs w:val="24"/>
        </w:rPr>
      </w:pPr>
      <w:bookmarkStart w:id="39" w:name="_uwnnjgp7ob9e" w:colFirst="0" w:colLast="0"/>
      <w:bookmarkEnd w:id="39"/>
      <w:bookmarkStart w:id="40" w:name="_7bs2f5s4spxb" w:colFirst="0" w:colLast="0"/>
      <w:bookmarkEnd w:id="40"/>
      <w:r>
        <w:rPr>
          <w:rFonts w:ascii="Times New Roman" w:hAnsi="Times New Roman" w:eastAsia="Times New Roman" w:cs="Times New Roman"/>
          <w:b/>
          <w:bCs/>
          <w:color w:val="000000"/>
          <w:sz w:val="24"/>
          <w:szCs w:val="24"/>
        </w:rPr>
        <w:t>Table 1: Summary of Included Studies</w:t>
      </w:r>
    </w:p>
    <w:tbl>
      <w:tblPr>
        <w:tblStyle w:val="18"/>
        <w:tblW w:w="9795" w:type="dxa"/>
        <w:tblInd w:w="0" w:type="dxa"/>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ayout w:type="fixed"/>
        <w:tblCellMar>
          <w:top w:w="100" w:type="dxa"/>
          <w:left w:w="100" w:type="dxa"/>
          <w:bottom w:w="100" w:type="dxa"/>
          <w:right w:w="100" w:type="dxa"/>
        </w:tblCellMar>
      </w:tblPr>
      <w:tblGrid>
        <w:gridCol w:w="1560"/>
        <w:gridCol w:w="1695"/>
        <w:gridCol w:w="1515"/>
        <w:gridCol w:w="1245"/>
        <w:gridCol w:w="1515"/>
        <w:gridCol w:w="2265"/>
      </w:tblGrid>
      <w:tr w14:paraId="7649C879">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100" w:type="dxa"/>
            <w:left w:w="100" w:type="dxa"/>
            <w:bottom w:w="100" w:type="dxa"/>
            <w:right w:w="100" w:type="dxa"/>
          </w:tblCellMar>
        </w:tblPrEx>
        <w:trPr>
          <w:trHeight w:val="800" w:hRule="atLeast"/>
        </w:trPr>
        <w:tc>
          <w:tcPr>
            <w:tcW w:w="1560" w:type="dxa"/>
            <w:tcBorders>
              <w:top w:val="nil"/>
              <w:left w:val="nil"/>
              <w:bottom w:val="nil"/>
              <w:right w:val="nil"/>
            </w:tcBorders>
            <w:tcMar>
              <w:top w:w="100" w:type="dxa"/>
              <w:left w:w="100" w:type="dxa"/>
              <w:bottom w:w="100" w:type="dxa"/>
              <w:right w:w="100" w:type="dxa"/>
            </w:tcMar>
          </w:tcPr>
          <w:p w14:paraId="79E1A570">
            <w:pPr>
              <w:spacing w:line="240" w:lineRule="auto"/>
              <w:rPr>
                <w:rFonts w:ascii="Times New Roman" w:hAnsi="Times New Roman" w:eastAsia="Times New Roman" w:cs="Times New Roman"/>
                <w:sz w:val="24"/>
                <w:szCs w:val="24"/>
              </w:rPr>
            </w:pPr>
            <w:r>
              <w:rPr>
                <w:rFonts w:ascii="Times New Roman" w:hAnsi="Times New Roman" w:eastAsia="Times New Roman" w:cs="Times New Roman"/>
                <w:b/>
                <w:bCs/>
                <w:sz w:val="24"/>
                <w:szCs w:val="24"/>
              </w:rPr>
              <w:t>Author (Year)</w:t>
            </w:r>
          </w:p>
        </w:tc>
        <w:tc>
          <w:tcPr>
            <w:tcW w:w="1695" w:type="dxa"/>
            <w:tcBorders>
              <w:top w:val="nil"/>
              <w:left w:val="nil"/>
              <w:bottom w:val="nil"/>
              <w:right w:val="nil"/>
            </w:tcBorders>
            <w:tcMar>
              <w:top w:w="100" w:type="dxa"/>
              <w:left w:w="100" w:type="dxa"/>
              <w:bottom w:w="100" w:type="dxa"/>
              <w:right w:w="100" w:type="dxa"/>
            </w:tcMar>
          </w:tcPr>
          <w:p w14:paraId="6094C37B">
            <w:pPr>
              <w:spacing w:line="240" w:lineRule="auto"/>
              <w:rPr>
                <w:rFonts w:ascii="Times New Roman" w:hAnsi="Times New Roman" w:eastAsia="Times New Roman" w:cs="Times New Roman"/>
                <w:sz w:val="24"/>
                <w:szCs w:val="24"/>
              </w:rPr>
            </w:pPr>
            <w:r>
              <w:rPr>
                <w:rFonts w:ascii="Times New Roman" w:hAnsi="Times New Roman" w:eastAsia="Times New Roman" w:cs="Times New Roman"/>
                <w:b/>
                <w:bCs/>
                <w:sz w:val="24"/>
                <w:szCs w:val="24"/>
              </w:rPr>
              <w:t>Study Design</w:t>
            </w:r>
          </w:p>
        </w:tc>
        <w:tc>
          <w:tcPr>
            <w:tcW w:w="1515" w:type="dxa"/>
            <w:tcBorders>
              <w:top w:val="nil"/>
              <w:left w:val="nil"/>
              <w:bottom w:val="nil"/>
              <w:right w:val="nil"/>
            </w:tcBorders>
            <w:tcMar>
              <w:top w:w="100" w:type="dxa"/>
              <w:left w:w="100" w:type="dxa"/>
              <w:bottom w:w="100" w:type="dxa"/>
              <w:right w:w="100" w:type="dxa"/>
            </w:tcMar>
          </w:tcPr>
          <w:p w14:paraId="461C2105">
            <w:pPr>
              <w:spacing w:line="240" w:lineRule="auto"/>
              <w:rPr>
                <w:rFonts w:ascii="Times New Roman" w:hAnsi="Times New Roman" w:eastAsia="Times New Roman" w:cs="Times New Roman"/>
                <w:sz w:val="24"/>
                <w:szCs w:val="24"/>
              </w:rPr>
            </w:pPr>
            <w:r>
              <w:rPr>
                <w:rFonts w:ascii="Times New Roman" w:hAnsi="Times New Roman" w:eastAsia="Times New Roman" w:cs="Times New Roman"/>
                <w:b/>
                <w:bCs/>
                <w:sz w:val="24"/>
                <w:szCs w:val="24"/>
              </w:rPr>
              <w:t>Location</w:t>
            </w:r>
          </w:p>
        </w:tc>
        <w:tc>
          <w:tcPr>
            <w:tcW w:w="1245" w:type="dxa"/>
            <w:tcBorders>
              <w:top w:val="nil"/>
              <w:left w:val="nil"/>
              <w:bottom w:val="nil"/>
              <w:right w:val="nil"/>
            </w:tcBorders>
            <w:tcMar>
              <w:top w:w="100" w:type="dxa"/>
              <w:left w:w="100" w:type="dxa"/>
              <w:bottom w:w="100" w:type="dxa"/>
              <w:right w:w="100" w:type="dxa"/>
            </w:tcMar>
          </w:tcPr>
          <w:p w14:paraId="402BA6C4">
            <w:pPr>
              <w:spacing w:line="240" w:lineRule="auto"/>
              <w:rPr>
                <w:rFonts w:ascii="Times New Roman" w:hAnsi="Times New Roman" w:eastAsia="Times New Roman" w:cs="Times New Roman"/>
                <w:sz w:val="24"/>
                <w:szCs w:val="24"/>
              </w:rPr>
            </w:pPr>
            <w:r>
              <w:rPr>
                <w:rFonts w:ascii="Times New Roman" w:hAnsi="Times New Roman" w:eastAsia="Times New Roman" w:cs="Times New Roman"/>
                <w:b/>
                <w:bCs/>
                <w:sz w:val="24"/>
                <w:szCs w:val="24"/>
              </w:rPr>
              <w:t>Sample Size</w:t>
            </w:r>
          </w:p>
        </w:tc>
        <w:tc>
          <w:tcPr>
            <w:tcW w:w="1515" w:type="dxa"/>
            <w:tcBorders>
              <w:top w:val="nil"/>
              <w:left w:val="nil"/>
              <w:bottom w:val="nil"/>
              <w:right w:val="nil"/>
            </w:tcBorders>
            <w:tcMar>
              <w:top w:w="100" w:type="dxa"/>
              <w:left w:w="100" w:type="dxa"/>
              <w:bottom w:w="100" w:type="dxa"/>
              <w:right w:w="100" w:type="dxa"/>
            </w:tcMar>
          </w:tcPr>
          <w:p w14:paraId="65A980E5">
            <w:pPr>
              <w:spacing w:line="240" w:lineRule="auto"/>
              <w:rPr>
                <w:rFonts w:ascii="Times New Roman" w:hAnsi="Times New Roman" w:eastAsia="Times New Roman" w:cs="Times New Roman"/>
                <w:sz w:val="24"/>
                <w:szCs w:val="24"/>
              </w:rPr>
            </w:pPr>
            <w:r>
              <w:rPr>
                <w:rFonts w:ascii="Times New Roman" w:hAnsi="Times New Roman" w:eastAsia="Times New Roman" w:cs="Times New Roman"/>
                <w:b/>
                <w:bCs/>
                <w:sz w:val="24"/>
                <w:szCs w:val="24"/>
              </w:rPr>
              <w:t>Population</w:t>
            </w:r>
          </w:p>
        </w:tc>
        <w:tc>
          <w:tcPr>
            <w:tcW w:w="2265" w:type="dxa"/>
            <w:tcBorders>
              <w:top w:val="nil"/>
              <w:left w:val="nil"/>
              <w:bottom w:val="nil"/>
              <w:right w:val="nil"/>
            </w:tcBorders>
            <w:tcMar>
              <w:top w:w="100" w:type="dxa"/>
              <w:left w:w="100" w:type="dxa"/>
              <w:bottom w:w="100" w:type="dxa"/>
              <w:right w:w="100" w:type="dxa"/>
            </w:tcMar>
          </w:tcPr>
          <w:p w14:paraId="32C2CD46">
            <w:pPr>
              <w:spacing w:line="240" w:lineRule="auto"/>
              <w:rPr>
                <w:rFonts w:ascii="Times New Roman" w:hAnsi="Times New Roman" w:eastAsia="Times New Roman" w:cs="Times New Roman"/>
                <w:sz w:val="24"/>
                <w:szCs w:val="24"/>
              </w:rPr>
            </w:pPr>
            <w:r>
              <w:rPr>
                <w:rFonts w:ascii="Times New Roman" w:hAnsi="Times New Roman" w:eastAsia="Times New Roman" w:cs="Times New Roman"/>
                <w:b/>
                <w:bCs/>
                <w:sz w:val="24"/>
                <w:szCs w:val="24"/>
              </w:rPr>
              <w:t>Key Findings</w:t>
            </w:r>
          </w:p>
        </w:tc>
      </w:tr>
      <w:tr w14:paraId="1731D3E1">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100" w:type="dxa"/>
            <w:left w:w="100" w:type="dxa"/>
            <w:bottom w:w="100" w:type="dxa"/>
            <w:right w:w="100" w:type="dxa"/>
          </w:tblCellMar>
        </w:tblPrEx>
        <w:trPr>
          <w:trHeight w:val="1085" w:hRule="atLeast"/>
        </w:trPr>
        <w:tc>
          <w:tcPr>
            <w:tcW w:w="1560" w:type="dxa"/>
            <w:tcBorders>
              <w:top w:val="nil"/>
              <w:left w:val="nil"/>
              <w:bottom w:val="nil"/>
              <w:right w:val="nil"/>
            </w:tcBorders>
            <w:tcMar>
              <w:top w:w="100" w:type="dxa"/>
              <w:left w:w="100" w:type="dxa"/>
              <w:bottom w:w="100" w:type="dxa"/>
              <w:right w:w="100" w:type="dxa"/>
            </w:tcMar>
          </w:tcPr>
          <w:p w14:paraId="079CC631">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Ilugbami et al. (2022)</w:t>
            </w:r>
          </w:p>
        </w:tc>
        <w:tc>
          <w:tcPr>
            <w:tcW w:w="1695" w:type="dxa"/>
            <w:tcBorders>
              <w:top w:val="nil"/>
              <w:left w:val="nil"/>
              <w:bottom w:val="nil"/>
              <w:right w:val="nil"/>
            </w:tcBorders>
            <w:tcMar>
              <w:top w:w="100" w:type="dxa"/>
              <w:left w:w="100" w:type="dxa"/>
              <w:bottom w:w="100" w:type="dxa"/>
              <w:right w:w="100" w:type="dxa"/>
            </w:tcMar>
          </w:tcPr>
          <w:p w14:paraId="246BFF93">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Cross-sectional</w:t>
            </w:r>
          </w:p>
        </w:tc>
        <w:tc>
          <w:tcPr>
            <w:tcW w:w="1515" w:type="dxa"/>
            <w:tcBorders>
              <w:top w:val="nil"/>
              <w:left w:val="nil"/>
              <w:bottom w:val="nil"/>
              <w:right w:val="nil"/>
            </w:tcBorders>
            <w:tcMar>
              <w:top w:w="100" w:type="dxa"/>
              <w:left w:w="100" w:type="dxa"/>
              <w:bottom w:w="100" w:type="dxa"/>
              <w:right w:w="100" w:type="dxa"/>
            </w:tcMar>
          </w:tcPr>
          <w:p w14:paraId="5E385F9A">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Ondo State</w:t>
            </w:r>
          </w:p>
        </w:tc>
        <w:tc>
          <w:tcPr>
            <w:tcW w:w="1245" w:type="dxa"/>
            <w:tcBorders>
              <w:top w:val="nil"/>
              <w:left w:val="nil"/>
              <w:bottom w:val="nil"/>
              <w:right w:val="nil"/>
            </w:tcBorders>
            <w:tcMar>
              <w:top w:w="100" w:type="dxa"/>
              <w:left w:w="100" w:type="dxa"/>
              <w:bottom w:w="100" w:type="dxa"/>
              <w:right w:w="100" w:type="dxa"/>
            </w:tcMar>
          </w:tcPr>
          <w:p w14:paraId="33B86F70">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&lt;500</w:t>
            </w:r>
          </w:p>
        </w:tc>
        <w:tc>
          <w:tcPr>
            <w:tcW w:w="1515" w:type="dxa"/>
            <w:tcBorders>
              <w:top w:val="nil"/>
              <w:left w:val="nil"/>
              <w:bottom w:val="nil"/>
              <w:right w:val="nil"/>
            </w:tcBorders>
            <w:tcMar>
              <w:top w:w="100" w:type="dxa"/>
              <w:left w:w="100" w:type="dxa"/>
              <w:bottom w:w="100" w:type="dxa"/>
              <w:right w:w="100" w:type="dxa"/>
            </w:tcMar>
          </w:tcPr>
          <w:p w14:paraId="4597E305">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Female adolescents</w:t>
            </w:r>
          </w:p>
        </w:tc>
        <w:tc>
          <w:tcPr>
            <w:tcW w:w="2265" w:type="dxa"/>
            <w:tcBorders>
              <w:top w:val="nil"/>
              <w:left w:val="nil"/>
              <w:bottom w:val="nil"/>
              <w:right w:val="nil"/>
            </w:tcBorders>
            <w:tcMar>
              <w:top w:w="100" w:type="dxa"/>
              <w:left w:w="100" w:type="dxa"/>
              <w:bottom w:w="100" w:type="dxa"/>
              <w:right w:w="100" w:type="dxa"/>
            </w:tcMar>
          </w:tcPr>
          <w:p w14:paraId="6EED0DA8">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High awareness but low utilisation; fear of side effects</w:t>
            </w:r>
          </w:p>
        </w:tc>
      </w:tr>
      <w:tr w14:paraId="0E7F4538">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100" w:type="dxa"/>
            <w:left w:w="100" w:type="dxa"/>
            <w:bottom w:w="100" w:type="dxa"/>
            <w:right w:w="100" w:type="dxa"/>
          </w:tblCellMar>
        </w:tblPrEx>
        <w:trPr>
          <w:trHeight w:val="1085" w:hRule="atLeast"/>
        </w:trPr>
        <w:tc>
          <w:tcPr>
            <w:tcW w:w="1560" w:type="dxa"/>
            <w:tcBorders>
              <w:top w:val="nil"/>
              <w:left w:val="nil"/>
              <w:bottom w:val="nil"/>
              <w:right w:val="nil"/>
            </w:tcBorders>
            <w:tcMar>
              <w:top w:w="100" w:type="dxa"/>
              <w:left w:w="100" w:type="dxa"/>
              <w:bottom w:w="100" w:type="dxa"/>
              <w:right w:w="100" w:type="dxa"/>
            </w:tcMar>
          </w:tcPr>
          <w:p w14:paraId="6D9A1D4D">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Ilori et al. (2023)</w:t>
            </w:r>
          </w:p>
        </w:tc>
        <w:tc>
          <w:tcPr>
            <w:tcW w:w="1695" w:type="dxa"/>
            <w:tcBorders>
              <w:top w:val="nil"/>
              <w:left w:val="nil"/>
              <w:bottom w:val="nil"/>
              <w:right w:val="nil"/>
            </w:tcBorders>
            <w:tcMar>
              <w:top w:w="100" w:type="dxa"/>
              <w:left w:w="100" w:type="dxa"/>
              <w:bottom w:w="100" w:type="dxa"/>
              <w:right w:w="100" w:type="dxa"/>
            </w:tcMar>
          </w:tcPr>
          <w:p w14:paraId="4C630683">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Cross-sectional</w:t>
            </w:r>
          </w:p>
        </w:tc>
        <w:tc>
          <w:tcPr>
            <w:tcW w:w="1515" w:type="dxa"/>
            <w:tcBorders>
              <w:top w:val="nil"/>
              <w:left w:val="nil"/>
              <w:bottom w:val="nil"/>
              <w:right w:val="nil"/>
            </w:tcBorders>
            <w:tcMar>
              <w:top w:w="100" w:type="dxa"/>
              <w:left w:w="100" w:type="dxa"/>
              <w:bottom w:w="100" w:type="dxa"/>
              <w:right w:w="100" w:type="dxa"/>
            </w:tcMar>
          </w:tcPr>
          <w:p w14:paraId="0DFDAD07">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North Central Nigeria</w:t>
            </w:r>
          </w:p>
        </w:tc>
        <w:tc>
          <w:tcPr>
            <w:tcW w:w="1245" w:type="dxa"/>
            <w:tcBorders>
              <w:top w:val="nil"/>
              <w:left w:val="nil"/>
              <w:bottom w:val="nil"/>
              <w:right w:val="nil"/>
            </w:tcBorders>
            <w:tcMar>
              <w:top w:w="100" w:type="dxa"/>
              <w:left w:w="100" w:type="dxa"/>
              <w:bottom w:w="100" w:type="dxa"/>
              <w:right w:w="100" w:type="dxa"/>
            </w:tcMar>
          </w:tcPr>
          <w:p w14:paraId="57E3AC6D">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&gt;500</w:t>
            </w:r>
          </w:p>
        </w:tc>
        <w:tc>
          <w:tcPr>
            <w:tcW w:w="1515" w:type="dxa"/>
            <w:tcBorders>
              <w:top w:val="nil"/>
              <w:left w:val="nil"/>
              <w:bottom w:val="nil"/>
              <w:right w:val="nil"/>
            </w:tcBorders>
            <w:tcMar>
              <w:top w:w="100" w:type="dxa"/>
              <w:left w:w="100" w:type="dxa"/>
              <w:bottom w:w="100" w:type="dxa"/>
              <w:right w:w="100" w:type="dxa"/>
            </w:tcMar>
          </w:tcPr>
          <w:p w14:paraId="545AA4FE">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Adolescents in IDP camp</w:t>
            </w:r>
          </w:p>
        </w:tc>
        <w:tc>
          <w:tcPr>
            <w:tcW w:w="2265" w:type="dxa"/>
            <w:tcBorders>
              <w:top w:val="nil"/>
              <w:left w:val="nil"/>
              <w:bottom w:val="nil"/>
              <w:right w:val="nil"/>
            </w:tcBorders>
            <w:tcMar>
              <w:top w:w="100" w:type="dxa"/>
              <w:left w:w="100" w:type="dxa"/>
              <w:bottom w:w="100" w:type="dxa"/>
              <w:right w:w="100" w:type="dxa"/>
            </w:tcMar>
          </w:tcPr>
          <w:p w14:paraId="3478847B">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Low uptake due to poor access and instability</w:t>
            </w:r>
          </w:p>
        </w:tc>
      </w:tr>
      <w:tr w14:paraId="0A27D97B">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100" w:type="dxa"/>
            <w:left w:w="100" w:type="dxa"/>
            <w:bottom w:w="100" w:type="dxa"/>
            <w:right w:w="100" w:type="dxa"/>
          </w:tblCellMar>
        </w:tblPrEx>
        <w:trPr>
          <w:trHeight w:val="1085" w:hRule="atLeast"/>
        </w:trPr>
        <w:tc>
          <w:tcPr>
            <w:tcW w:w="1560" w:type="dxa"/>
            <w:tcBorders>
              <w:top w:val="nil"/>
              <w:left w:val="nil"/>
              <w:bottom w:val="nil"/>
              <w:right w:val="nil"/>
            </w:tcBorders>
            <w:tcMar>
              <w:top w:w="100" w:type="dxa"/>
              <w:left w:w="100" w:type="dxa"/>
              <w:bottom w:w="100" w:type="dxa"/>
              <w:right w:w="100" w:type="dxa"/>
            </w:tcMar>
          </w:tcPr>
          <w:p w14:paraId="438F235A">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Ayo-Bello &amp; Quinn-Walker (2025)</w:t>
            </w:r>
          </w:p>
        </w:tc>
        <w:tc>
          <w:tcPr>
            <w:tcW w:w="1695" w:type="dxa"/>
            <w:tcBorders>
              <w:top w:val="nil"/>
              <w:left w:val="nil"/>
              <w:bottom w:val="nil"/>
              <w:right w:val="nil"/>
            </w:tcBorders>
            <w:tcMar>
              <w:top w:w="100" w:type="dxa"/>
              <w:left w:w="100" w:type="dxa"/>
              <w:bottom w:w="100" w:type="dxa"/>
              <w:right w:w="100" w:type="dxa"/>
            </w:tcMar>
          </w:tcPr>
          <w:p w14:paraId="654BFB66">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Systematic review</w:t>
            </w:r>
          </w:p>
        </w:tc>
        <w:tc>
          <w:tcPr>
            <w:tcW w:w="1515" w:type="dxa"/>
            <w:tcBorders>
              <w:top w:val="nil"/>
              <w:left w:val="nil"/>
              <w:bottom w:val="nil"/>
              <w:right w:val="nil"/>
            </w:tcBorders>
            <w:tcMar>
              <w:top w:w="100" w:type="dxa"/>
              <w:left w:w="100" w:type="dxa"/>
              <w:bottom w:w="100" w:type="dxa"/>
              <w:right w:w="100" w:type="dxa"/>
            </w:tcMar>
          </w:tcPr>
          <w:p w14:paraId="2EF871BD">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Nigeria</w:t>
            </w:r>
          </w:p>
        </w:tc>
        <w:tc>
          <w:tcPr>
            <w:tcW w:w="1245" w:type="dxa"/>
            <w:tcBorders>
              <w:top w:val="nil"/>
              <w:left w:val="nil"/>
              <w:bottom w:val="nil"/>
              <w:right w:val="nil"/>
            </w:tcBorders>
            <w:tcMar>
              <w:top w:w="100" w:type="dxa"/>
              <w:left w:w="100" w:type="dxa"/>
              <w:bottom w:w="100" w:type="dxa"/>
              <w:right w:w="100" w:type="dxa"/>
            </w:tcMar>
          </w:tcPr>
          <w:p w14:paraId="0C3038E7">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Large datasets</w:t>
            </w:r>
          </w:p>
        </w:tc>
        <w:tc>
          <w:tcPr>
            <w:tcW w:w="1515" w:type="dxa"/>
            <w:tcBorders>
              <w:top w:val="nil"/>
              <w:left w:val="nil"/>
              <w:bottom w:val="nil"/>
              <w:right w:val="nil"/>
            </w:tcBorders>
            <w:tcMar>
              <w:top w:w="100" w:type="dxa"/>
              <w:left w:w="100" w:type="dxa"/>
              <w:bottom w:w="100" w:type="dxa"/>
              <w:right w:w="100" w:type="dxa"/>
            </w:tcMar>
          </w:tcPr>
          <w:p w14:paraId="3103B635">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Women incl. adolescents</w:t>
            </w:r>
          </w:p>
        </w:tc>
        <w:tc>
          <w:tcPr>
            <w:tcW w:w="2265" w:type="dxa"/>
            <w:tcBorders>
              <w:top w:val="nil"/>
              <w:left w:val="nil"/>
              <w:bottom w:val="nil"/>
              <w:right w:val="nil"/>
            </w:tcBorders>
            <w:tcMar>
              <w:top w:w="100" w:type="dxa"/>
              <w:left w:w="100" w:type="dxa"/>
              <w:bottom w:w="100" w:type="dxa"/>
              <w:right w:w="100" w:type="dxa"/>
            </w:tcMar>
          </w:tcPr>
          <w:p w14:paraId="7671E33F">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Education and wealth increase uptake</w:t>
            </w:r>
          </w:p>
        </w:tc>
      </w:tr>
      <w:tr w14:paraId="0D64984A">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100" w:type="dxa"/>
            <w:left w:w="100" w:type="dxa"/>
            <w:bottom w:w="100" w:type="dxa"/>
            <w:right w:w="100" w:type="dxa"/>
          </w:tblCellMar>
        </w:tblPrEx>
        <w:trPr>
          <w:trHeight w:val="800" w:hRule="atLeast"/>
        </w:trPr>
        <w:tc>
          <w:tcPr>
            <w:tcW w:w="1560" w:type="dxa"/>
            <w:tcBorders>
              <w:top w:val="nil"/>
              <w:left w:val="nil"/>
              <w:bottom w:val="nil"/>
              <w:right w:val="nil"/>
            </w:tcBorders>
            <w:tcMar>
              <w:top w:w="100" w:type="dxa"/>
              <w:left w:w="100" w:type="dxa"/>
              <w:bottom w:w="100" w:type="dxa"/>
              <w:right w:w="100" w:type="dxa"/>
            </w:tcMar>
          </w:tcPr>
          <w:p w14:paraId="35CF053F">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Sanni et al. (2025)</w:t>
            </w:r>
          </w:p>
        </w:tc>
        <w:tc>
          <w:tcPr>
            <w:tcW w:w="1695" w:type="dxa"/>
            <w:tcBorders>
              <w:top w:val="nil"/>
              <w:left w:val="nil"/>
              <w:bottom w:val="nil"/>
              <w:right w:val="nil"/>
            </w:tcBorders>
            <w:tcMar>
              <w:top w:w="100" w:type="dxa"/>
              <w:left w:w="100" w:type="dxa"/>
              <w:bottom w:w="100" w:type="dxa"/>
              <w:right w:w="100" w:type="dxa"/>
            </w:tcMar>
          </w:tcPr>
          <w:p w14:paraId="62091940">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Secondary data analysis</w:t>
            </w:r>
          </w:p>
        </w:tc>
        <w:tc>
          <w:tcPr>
            <w:tcW w:w="1515" w:type="dxa"/>
            <w:tcBorders>
              <w:top w:val="nil"/>
              <w:left w:val="nil"/>
              <w:bottom w:val="nil"/>
              <w:right w:val="nil"/>
            </w:tcBorders>
            <w:tcMar>
              <w:top w:w="100" w:type="dxa"/>
              <w:left w:w="100" w:type="dxa"/>
              <w:bottom w:w="100" w:type="dxa"/>
              <w:right w:w="100" w:type="dxa"/>
            </w:tcMar>
          </w:tcPr>
          <w:p w14:paraId="121AA483">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National</w:t>
            </w:r>
          </w:p>
        </w:tc>
        <w:tc>
          <w:tcPr>
            <w:tcW w:w="1245" w:type="dxa"/>
            <w:tcBorders>
              <w:top w:val="nil"/>
              <w:left w:val="nil"/>
              <w:bottom w:val="nil"/>
              <w:right w:val="nil"/>
            </w:tcBorders>
            <w:tcMar>
              <w:top w:w="100" w:type="dxa"/>
              <w:left w:w="100" w:type="dxa"/>
              <w:bottom w:w="100" w:type="dxa"/>
              <w:right w:w="100" w:type="dxa"/>
            </w:tcMar>
          </w:tcPr>
          <w:p w14:paraId="2325FD86">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Large dataset</w:t>
            </w:r>
          </w:p>
        </w:tc>
        <w:tc>
          <w:tcPr>
            <w:tcW w:w="1515" w:type="dxa"/>
            <w:tcBorders>
              <w:top w:val="nil"/>
              <w:left w:val="nil"/>
              <w:bottom w:val="nil"/>
              <w:right w:val="nil"/>
            </w:tcBorders>
            <w:tcMar>
              <w:top w:w="100" w:type="dxa"/>
              <w:left w:w="100" w:type="dxa"/>
              <w:bottom w:w="100" w:type="dxa"/>
              <w:right w:w="100" w:type="dxa"/>
            </w:tcMar>
          </w:tcPr>
          <w:p w14:paraId="037BBF8C">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Youth</w:t>
            </w:r>
          </w:p>
        </w:tc>
        <w:tc>
          <w:tcPr>
            <w:tcW w:w="2265" w:type="dxa"/>
            <w:tcBorders>
              <w:top w:val="nil"/>
              <w:left w:val="nil"/>
              <w:bottom w:val="nil"/>
              <w:right w:val="nil"/>
            </w:tcBorders>
            <w:tcMar>
              <w:top w:w="100" w:type="dxa"/>
              <w:left w:w="100" w:type="dxa"/>
              <w:bottom w:w="100" w:type="dxa"/>
              <w:right w:w="100" w:type="dxa"/>
            </w:tcMar>
          </w:tcPr>
          <w:p w14:paraId="3D70045F">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Regional disparities (South &gt; North)</w:t>
            </w:r>
          </w:p>
        </w:tc>
      </w:tr>
      <w:tr w14:paraId="1A44F07D">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100" w:type="dxa"/>
            <w:left w:w="100" w:type="dxa"/>
            <w:bottom w:w="100" w:type="dxa"/>
            <w:right w:w="100" w:type="dxa"/>
          </w:tblCellMar>
        </w:tblPrEx>
        <w:trPr>
          <w:trHeight w:val="800" w:hRule="atLeast"/>
        </w:trPr>
        <w:tc>
          <w:tcPr>
            <w:tcW w:w="1560" w:type="dxa"/>
            <w:tcBorders>
              <w:top w:val="nil"/>
              <w:left w:val="nil"/>
              <w:bottom w:val="nil"/>
              <w:right w:val="nil"/>
            </w:tcBorders>
            <w:tcMar>
              <w:top w:w="100" w:type="dxa"/>
              <w:left w:w="100" w:type="dxa"/>
              <w:bottom w:w="100" w:type="dxa"/>
              <w:right w:w="100" w:type="dxa"/>
            </w:tcMar>
          </w:tcPr>
          <w:p w14:paraId="6733184F">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Ezenwaka et al. (2020)</w:t>
            </w:r>
          </w:p>
        </w:tc>
        <w:tc>
          <w:tcPr>
            <w:tcW w:w="1695" w:type="dxa"/>
            <w:tcBorders>
              <w:top w:val="nil"/>
              <w:left w:val="nil"/>
              <w:bottom w:val="nil"/>
              <w:right w:val="nil"/>
            </w:tcBorders>
            <w:tcMar>
              <w:top w:w="100" w:type="dxa"/>
              <w:left w:w="100" w:type="dxa"/>
              <w:bottom w:w="100" w:type="dxa"/>
              <w:right w:w="100" w:type="dxa"/>
            </w:tcMar>
          </w:tcPr>
          <w:p w14:paraId="2E388F34">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Qualitative</w:t>
            </w:r>
          </w:p>
        </w:tc>
        <w:tc>
          <w:tcPr>
            <w:tcW w:w="1515" w:type="dxa"/>
            <w:tcBorders>
              <w:top w:val="nil"/>
              <w:left w:val="nil"/>
              <w:bottom w:val="nil"/>
              <w:right w:val="nil"/>
            </w:tcBorders>
            <w:tcMar>
              <w:top w:w="100" w:type="dxa"/>
              <w:left w:w="100" w:type="dxa"/>
              <w:bottom w:w="100" w:type="dxa"/>
              <w:right w:w="100" w:type="dxa"/>
            </w:tcMar>
          </w:tcPr>
          <w:p w14:paraId="4ADA8512">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Southeast Nigeria</w:t>
            </w:r>
          </w:p>
        </w:tc>
        <w:tc>
          <w:tcPr>
            <w:tcW w:w="1245" w:type="dxa"/>
            <w:tcBorders>
              <w:top w:val="nil"/>
              <w:left w:val="nil"/>
              <w:bottom w:val="nil"/>
              <w:right w:val="nil"/>
            </w:tcBorders>
            <w:tcMar>
              <w:top w:w="100" w:type="dxa"/>
              <w:left w:w="100" w:type="dxa"/>
              <w:bottom w:w="100" w:type="dxa"/>
              <w:right w:w="100" w:type="dxa"/>
            </w:tcMar>
          </w:tcPr>
          <w:p w14:paraId="3C2FF2CF">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&lt;200</w:t>
            </w:r>
          </w:p>
        </w:tc>
        <w:tc>
          <w:tcPr>
            <w:tcW w:w="1515" w:type="dxa"/>
            <w:tcBorders>
              <w:top w:val="nil"/>
              <w:left w:val="nil"/>
              <w:bottom w:val="nil"/>
              <w:right w:val="nil"/>
            </w:tcBorders>
            <w:tcMar>
              <w:top w:w="100" w:type="dxa"/>
              <w:left w:w="100" w:type="dxa"/>
              <w:bottom w:w="100" w:type="dxa"/>
              <w:right w:w="100" w:type="dxa"/>
            </w:tcMar>
          </w:tcPr>
          <w:p w14:paraId="1682BEED">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Adolescents</w:t>
            </w:r>
          </w:p>
        </w:tc>
        <w:tc>
          <w:tcPr>
            <w:tcW w:w="2265" w:type="dxa"/>
            <w:tcBorders>
              <w:top w:val="nil"/>
              <w:left w:val="nil"/>
              <w:bottom w:val="nil"/>
              <w:right w:val="nil"/>
            </w:tcBorders>
            <w:tcMar>
              <w:top w:w="100" w:type="dxa"/>
              <w:left w:w="100" w:type="dxa"/>
              <w:bottom w:w="100" w:type="dxa"/>
              <w:right w:w="100" w:type="dxa"/>
            </w:tcMar>
          </w:tcPr>
          <w:p w14:paraId="30E347C4">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Health system barriers and stigma</w:t>
            </w:r>
          </w:p>
        </w:tc>
      </w:tr>
      <w:tr w14:paraId="0F5D9A62">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100" w:type="dxa"/>
            <w:left w:w="100" w:type="dxa"/>
            <w:bottom w:w="100" w:type="dxa"/>
            <w:right w:w="100" w:type="dxa"/>
          </w:tblCellMar>
        </w:tblPrEx>
        <w:trPr>
          <w:trHeight w:val="1085" w:hRule="atLeast"/>
        </w:trPr>
        <w:tc>
          <w:tcPr>
            <w:tcW w:w="1560" w:type="dxa"/>
            <w:tcBorders>
              <w:top w:val="nil"/>
              <w:left w:val="nil"/>
              <w:bottom w:val="nil"/>
              <w:right w:val="nil"/>
            </w:tcBorders>
            <w:tcMar>
              <w:top w:w="100" w:type="dxa"/>
              <w:left w:w="100" w:type="dxa"/>
              <w:bottom w:w="100" w:type="dxa"/>
              <w:right w:w="100" w:type="dxa"/>
            </w:tcMar>
          </w:tcPr>
          <w:p w14:paraId="61CAAD6C">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Chima &amp; Alawode (2020)</w:t>
            </w:r>
          </w:p>
        </w:tc>
        <w:tc>
          <w:tcPr>
            <w:tcW w:w="1695" w:type="dxa"/>
            <w:tcBorders>
              <w:top w:val="nil"/>
              <w:left w:val="nil"/>
              <w:bottom w:val="nil"/>
              <w:right w:val="nil"/>
            </w:tcBorders>
            <w:tcMar>
              <w:top w:w="100" w:type="dxa"/>
              <w:left w:w="100" w:type="dxa"/>
              <w:bottom w:w="100" w:type="dxa"/>
              <w:right w:w="100" w:type="dxa"/>
            </w:tcMar>
          </w:tcPr>
          <w:p w14:paraId="376BE30C">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Cross-sectional</w:t>
            </w:r>
          </w:p>
        </w:tc>
        <w:tc>
          <w:tcPr>
            <w:tcW w:w="1515" w:type="dxa"/>
            <w:tcBorders>
              <w:top w:val="nil"/>
              <w:left w:val="nil"/>
              <w:bottom w:val="nil"/>
              <w:right w:val="nil"/>
            </w:tcBorders>
            <w:tcMar>
              <w:top w:w="100" w:type="dxa"/>
              <w:left w:w="100" w:type="dxa"/>
              <w:bottom w:w="100" w:type="dxa"/>
              <w:right w:w="100" w:type="dxa"/>
            </w:tcMar>
          </w:tcPr>
          <w:p w14:paraId="40F222E5">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Rural Nigeria</w:t>
            </w:r>
          </w:p>
        </w:tc>
        <w:tc>
          <w:tcPr>
            <w:tcW w:w="1245" w:type="dxa"/>
            <w:tcBorders>
              <w:top w:val="nil"/>
              <w:left w:val="nil"/>
              <w:bottom w:val="nil"/>
              <w:right w:val="nil"/>
            </w:tcBorders>
            <w:tcMar>
              <w:top w:w="100" w:type="dxa"/>
              <w:left w:w="100" w:type="dxa"/>
              <w:bottom w:w="100" w:type="dxa"/>
              <w:right w:w="100" w:type="dxa"/>
            </w:tcMar>
          </w:tcPr>
          <w:p w14:paraId="2431755F">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&lt;500</w:t>
            </w:r>
          </w:p>
        </w:tc>
        <w:tc>
          <w:tcPr>
            <w:tcW w:w="1515" w:type="dxa"/>
            <w:tcBorders>
              <w:top w:val="nil"/>
              <w:left w:val="nil"/>
              <w:bottom w:val="nil"/>
              <w:right w:val="nil"/>
            </w:tcBorders>
            <w:tcMar>
              <w:top w:w="100" w:type="dxa"/>
              <w:left w:w="100" w:type="dxa"/>
              <w:bottom w:w="100" w:type="dxa"/>
              <w:right w:w="100" w:type="dxa"/>
            </w:tcMar>
          </w:tcPr>
          <w:p w14:paraId="1870909C">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Female adolescents</w:t>
            </w:r>
          </w:p>
        </w:tc>
        <w:tc>
          <w:tcPr>
            <w:tcW w:w="2265" w:type="dxa"/>
            <w:tcBorders>
              <w:top w:val="nil"/>
              <w:left w:val="nil"/>
              <w:bottom w:val="nil"/>
              <w:right w:val="nil"/>
            </w:tcBorders>
            <w:tcMar>
              <w:top w:w="100" w:type="dxa"/>
              <w:left w:w="100" w:type="dxa"/>
              <w:bottom w:w="100" w:type="dxa"/>
              <w:right w:w="100" w:type="dxa"/>
            </w:tcMar>
          </w:tcPr>
          <w:p w14:paraId="31687502">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Media exposure improves uptake</w:t>
            </w:r>
          </w:p>
        </w:tc>
      </w:tr>
      <w:tr w14:paraId="585432B9">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100" w:type="dxa"/>
            <w:left w:w="100" w:type="dxa"/>
            <w:bottom w:w="100" w:type="dxa"/>
            <w:right w:w="100" w:type="dxa"/>
          </w:tblCellMar>
        </w:tblPrEx>
        <w:trPr>
          <w:trHeight w:val="800" w:hRule="atLeast"/>
        </w:trPr>
        <w:tc>
          <w:tcPr>
            <w:tcW w:w="1560" w:type="dxa"/>
            <w:tcBorders>
              <w:top w:val="nil"/>
              <w:left w:val="nil"/>
              <w:bottom w:val="nil"/>
              <w:right w:val="nil"/>
            </w:tcBorders>
            <w:tcMar>
              <w:top w:w="100" w:type="dxa"/>
              <w:left w:w="100" w:type="dxa"/>
              <w:bottom w:w="100" w:type="dxa"/>
              <w:right w:w="100" w:type="dxa"/>
            </w:tcMar>
          </w:tcPr>
          <w:p w14:paraId="14F84E1D">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Umoren (2021)</w:t>
            </w:r>
          </w:p>
        </w:tc>
        <w:tc>
          <w:tcPr>
            <w:tcW w:w="1695" w:type="dxa"/>
            <w:tcBorders>
              <w:top w:val="nil"/>
              <w:left w:val="nil"/>
              <w:bottom w:val="nil"/>
              <w:right w:val="nil"/>
            </w:tcBorders>
            <w:tcMar>
              <w:top w:w="100" w:type="dxa"/>
              <w:left w:w="100" w:type="dxa"/>
              <w:bottom w:w="100" w:type="dxa"/>
              <w:right w:w="100" w:type="dxa"/>
            </w:tcMar>
          </w:tcPr>
          <w:p w14:paraId="14D95DF8">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Mixed-methods</w:t>
            </w:r>
          </w:p>
        </w:tc>
        <w:tc>
          <w:tcPr>
            <w:tcW w:w="1515" w:type="dxa"/>
            <w:tcBorders>
              <w:top w:val="nil"/>
              <w:left w:val="nil"/>
              <w:bottom w:val="nil"/>
              <w:right w:val="nil"/>
            </w:tcBorders>
            <w:tcMar>
              <w:top w:w="100" w:type="dxa"/>
              <w:left w:w="100" w:type="dxa"/>
              <w:bottom w:w="100" w:type="dxa"/>
              <w:right w:w="100" w:type="dxa"/>
            </w:tcMar>
          </w:tcPr>
          <w:p w14:paraId="71F6A5BE">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Southern Nigeria</w:t>
            </w:r>
          </w:p>
        </w:tc>
        <w:tc>
          <w:tcPr>
            <w:tcW w:w="1245" w:type="dxa"/>
            <w:tcBorders>
              <w:top w:val="nil"/>
              <w:left w:val="nil"/>
              <w:bottom w:val="nil"/>
              <w:right w:val="nil"/>
            </w:tcBorders>
            <w:tcMar>
              <w:top w:w="100" w:type="dxa"/>
              <w:left w:w="100" w:type="dxa"/>
              <w:bottom w:w="100" w:type="dxa"/>
              <w:right w:w="100" w:type="dxa"/>
            </w:tcMar>
          </w:tcPr>
          <w:p w14:paraId="1E416223">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&lt;300</w:t>
            </w:r>
          </w:p>
        </w:tc>
        <w:tc>
          <w:tcPr>
            <w:tcW w:w="1515" w:type="dxa"/>
            <w:tcBorders>
              <w:top w:val="nil"/>
              <w:left w:val="nil"/>
              <w:bottom w:val="nil"/>
              <w:right w:val="nil"/>
            </w:tcBorders>
            <w:tcMar>
              <w:top w:w="100" w:type="dxa"/>
              <w:left w:w="100" w:type="dxa"/>
              <w:bottom w:w="100" w:type="dxa"/>
              <w:right w:w="100" w:type="dxa"/>
            </w:tcMar>
          </w:tcPr>
          <w:p w14:paraId="4D5E92C9">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Adolescents</w:t>
            </w:r>
          </w:p>
        </w:tc>
        <w:tc>
          <w:tcPr>
            <w:tcW w:w="2265" w:type="dxa"/>
            <w:tcBorders>
              <w:top w:val="nil"/>
              <w:left w:val="nil"/>
              <w:bottom w:val="nil"/>
              <w:right w:val="nil"/>
            </w:tcBorders>
            <w:tcMar>
              <w:top w:w="100" w:type="dxa"/>
              <w:left w:w="100" w:type="dxa"/>
              <w:bottom w:w="100" w:type="dxa"/>
              <w:right w:w="100" w:type="dxa"/>
            </w:tcMar>
          </w:tcPr>
          <w:p w14:paraId="4031FA18">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Socioeconomic barriers significant</w:t>
            </w:r>
          </w:p>
        </w:tc>
      </w:tr>
      <w:tr w14:paraId="7FEF2A6F">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100" w:type="dxa"/>
            <w:left w:w="100" w:type="dxa"/>
            <w:bottom w:w="100" w:type="dxa"/>
            <w:right w:w="100" w:type="dxa"/>
          </w:tblCellMar>
        </w:tblPrEx>
        <w:trPr>
          <w:trHeight w:val="800" w:hRule="atLeast"/>
        </w:trPr>
        <w:tc>
          <w:tcPr>
            <w:tcW w:w="1560" w:type="dxa"/>
            <w:tcBorders>
              <w:top w:val="nil"/>
              <w:left w:val="nil"/>
              <w:bottom w:val="nil"/>
              <w:right w:val="nil"/>
            </w:tcBorders>
            <w:tcMar>
              <w:top w:w="100" w:type="dxa"/>
              <w:left w:w="100" w:type="dxa"/>
              <w:bottom w:w="100" w:type="dxa"/>
              <w:right w:w="100" w:type="dxa"/>
            </w:tcMar>
          </w:tcPr>
          <w:p w14:paraId="312AD267">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Disu (2025)</w:t>
            </w:r>
          </w:p>
        </w:tc>
        <w:tc>
          <w:tcPr>
            <w:tcW w:w="1695" w:type="dxa"/>
            <w:tcBorders>
              <w:top w:val="nil"/>
              <w:left w:val="nil"/>
              <w:bottom w:val="nil"/>
              <w:right w:val="nil"/>
            </w:tcBorders>
            <w:tcMar>
              <w:top w:w="100" w:type="dxa"/>
              <w:left w:w="100" w:type="dxa"/>
              <w:bottom w:w="100" w:type="dxa"/>
              <w:right w:w="100" w:type="dxa"/>
            </w:tcMar>
          </w:tcPr>
          <w:p w14:paraId="52D6822C">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Cross-sectional</w:t>
            </w:r>
          </w:p>
        </w:tc>
        <w:tc>
          <w:tcPr>
            <w:tcW w:w="1515" w:type="dxa"/>
            <w:tcBorders>
              <w:top w:val="nil"/>
              <w:left w:val="nil"/>
              <w:bottom w:val="nil"/>
              <w:right w:val="nil"/>
            </w:tcBorders>
            <w:tcMar>
              <w:top w:w="100" w:type="dxa"/>
              <w:left w:w="100" w:type="dxa"/>
              <w:bottom w:w="100" w:type="dxa"/>
              <w:right w:w="100" w:type="dxa"/>
            </w:tcMar>
          </w:tcPr>
          <w:p w14:paraId="0A4CBA23">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Oyo State</w:t>
            </w:r>
          </w:p>
        </w:tc>
        <w:tc>
          <w:tcPr>
            <w:tcW w:w="1245" w:type="dxa"/>
            <w:tcBorders>
              <w:top w:val="nil"/>
              <w:left w:val="nil"/>
              <w:bottom w:val="nil"/>
              <w:right w:val="nil"/>
            </w:tcBorders>
            <w:tcMar>
              <w:top w:w="100" w:type="dxa"/>
              <w:left w:w="100" w:type="dxa"/>
              <w:bottom w:w="100" w:type="dxa"/>
              <w:right w:w="100" w:type="dxa"/>
            </w:tcMar>
          </w:tcPr>
          <w:p w14:paraId="3C8D96A0">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&lt;400</w:t>
            </w:r>
          </w:p>
        </w:tc>
        <w:tc>
          <w:tcPr>
            <w:tcW w:w="1515" w:type="dxa"/>
            <w:tcBorders>
              <w:top w:val="nil"/>
              <w:left w:val="nil"/>
              <w:bottom w:val="nil"/>
              <w:right w:val="nil"/>
            </w:tcBorders>
            <w:tcMar>
              <w:top w:w="100" w:type="dxa"/>
              <w:left w:w="100" w:type="dxa"/>
              <w:bottom w:w="100" w:type="dxa"/>
              <w:right w:w="100" w:type="dxa"/>
            </w:tcMar>
          </w:tcPr>
          <w:p w14:paraId="1ED83DA9">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Women incl. adolescents</w:t>
            </w:r>
          </w:p>
        </w:tc>
        <w:tc>
          <w:tcPr>
            <w:tcW w:w="2265" w:type="dxa"/>
            <w:tcBorders>
              <w:top w:val="nil"/>
              <w:left w:val="nil"/>
              <w:bottom w:val="nil"/>
              <w:right w:val="nil"/>
            </w:tcBorders>
            <w:tcMar>
              <w:top w:w="100" w:type="dxa"/>
              <w:left w:w="100" w:type="dxa"/>
              <w:bottom w:w="100" w:type="dxa"/>
              <w:right w:w="100" w:type="dxa"/>
            </w:tcMar>
          </w:tcPr>
          <w:p w14:paraId="68C24573">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Partner influence critical</w:t>
            </w:r>
          </w:p>
        </w:tc>
      </w:tr>
      <w:tr w14:paraId="7F049017">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100" w:type="dxa"/>
            <w:left w:w="100" w:type="dxa"/>
            <w:bottom w:w="100" w:type="dxa"/>
            <w:right w:w="100" w:type="dxa"/>
          </w:tblCellMar>
        </w:tblPrEx>
        <w:trPr>
          <w:trHeight w:val="800" w:hRule="atLeast"/>
        </w:trPr>
        <w:tc>
          <w:tcPr>
            <w:tcW w:w="1560" w:type="dxa"/>
            <w:tcBorders>
              <w:top w:val="nil"/>
              <w:left w:val="nil"/>
              <w:bottom w:val="nil"/>
              <w:right w:val="nil"/>
            </w:tcBorders>
            <w:tcMar>
              <w:top w:w="100" w:type="dxa"/>
              <w:left w:w="100" w:type="dxa"/>
              <w:bottom w:w="100" w:type="dxa"/>
              <w:right w:w="100" w:type="dxa"/>
            </w:tcMar>
          </w:tcPr>
          <w:p w14:paraId="153BE67A">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Ogundiran et al. (2024)</w:t>
            </w:r>
          </w:p>
        </w:tc>
        <w:tc>
          <w:tcPr>
            <w:tcW w:w="1695" w:type="dxa"/>
            <w:tcBorders>
              <w:top w:val="nil"/>
              <w:left w:val="nil"/>
              <w:bottom w:val="nil"/>
              <w:right w:val="nil"/>
            </w:tcBorders>
            <w:tcMar>
              <w:top w:w="100" w:type="dxa"/>
              <w:left w:w="100" w:type="dxa"/>
              <w:bottom w:w="100" w:type="dxa"/>
              <w:right w:w="100" w:type="dxa"/>
            </w:tcMar>
          </w:tcPr>
          <w:p w14:paraId="36059D6E">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Systematic review</w:t>
            </w:r>
          </w:p>
        </w:tc>
        <w:tc>
          <w:tcPr>
            <w:tcW w:w="1515" w:type="dxa"/>
            <w:tcBorders>
              <w:top w:val="nil"/>
              <w:left w:val="nil"/>
              <w:bottom w:val="nil"/>
              <w:right w:val="nil"/>
            </w:tcBorders>
            <w:tcMar>
              <w:top w:w="100" w:type="dxa"/>
              <w:left w:w="100" w:type="dxa"/>
              <w:bottom w:w="100" w:type="dxa"/>
              <w:right w:w="100" w:type="dxa"/>
            </w:tcMar>
          </w:tcPr>
          <w:p w14:paraId="107546E7">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Nigeria</w:t>
            </w:r>
          </w:p>
        </w:tc>
        <w:tc>
          <w:tcPr>
            <w:tcW w:w="1245" w:type="dxa"/>
            <w:tcBorders>
              <w:top w:val="nil"/>
              <w:left w:val="nil"/>
              <w:bottom w:val="nil"/>
              <w:right w:val="nil"/>
            </w:tcBorders>
            <w:tcMar>
              <w:top w:w="100" w:type="dxa"/>
              <w:left w:w="100" w:type="dxa"/>
              <w:bottom w:w="100" w:type="dxa"/>
              <w:right w:w="100" w:type="dxa"/>
            </w:tcMar>
          </w:tcPr>
          <w:p w14:paraId="7E2DB965">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Multiple studies</w:t>
            </w:r>
          </w:p>
        </w:tc>
        <w:tc>
          <w:tcPr>
            <w:tcW w:w="1515" w:type="dxa"/>
            <w:tcBorders>
              <w:top w:val="nil"/>
              <w:left w:val="nil"/>
              <w:bottom w:val="nil"/>
              <w:right w:val="nil"/>
            </w:tcBorders>
            <w:tcMar>
              <w:top w:w="100" w:type="dxa"/>
              <w:left w:w="100" w:type="dxa"/>
              <w:bottom w:w="100" w:type="dxa"/>
              <w:right w:w="100" w:type="dxa"/>
            </w:tcMar>
          </w:tcPr>
          <w:p w14:paraId="3B2E61B6">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Adolescents</w:t>
            </w:r>
          </w:p>
        </w:tc>
        <w:tc>
          <w:tcPr>
            <w:tcW w:w="2265" w:type="dxa"/>
            <w:tcBorders>
              <w:top w:val="nil"/>
              <w:left w:val="nil"/>
              <w:bottom w:val="nil"/>
              <w:right w:val="nil"/>
            </w:tcBorders>
            <w:tcMar>
              <w:top w:w="100" w:type="dxa"/>
              <w:left w:w="100" w:type="dxa"/>
              <w:bottom w:w="100" w:type="dxa"/>
              <w:right w:w="100" w:type="dxa"/>
            </w:tcMar>
          </w:tcPr>
          <w:p w14:paraId="7D674D11">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Sociocultural norms restrict use</w:t>
            </w:r>
          </w:p>
        </w:tc>
      </w:tr>
      <w:tr w14:paraId="16EA3FF4">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100" w:type="dxa"/>
            <w:left w:w="100" w:type="dxa"/>
            <w:bottom w:w="100" w:type="dxa"/>
            <w:right w:w="100" w:type="dxa"/>
          </w:tblCellMar>
        </w:tblPrEx>
        <w:trPr>
          <w:trHeight w:val="1085" w:hRule="atLeast"/>
        </w:trPr>
        <w:tc>
          <w:tcPr>
            <w:tcW w:w="1560" w:type="dxa"/>
            <w:tcBorders>
              <w:top w:val="nil"/>
              <w:left w:val="nil"/>
              <w:bottom w:val="nil"/>
              <w:right w:val="nil"/>
            </w:tcBorders>
            <w:tcMar>
              <w:top w:w="100" w:type="dxa"/>
              <w:left w:w="100" w:type="dxa"/>
              <w:bottom w:w="100" w:type="dxa"/>
              <w:right w:w="100" w:type="dxa"/>
            </w:tcMar>
          </w:tcPr>
          <w:p w14:paraId="6D18B990">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Chichaya &amp; Awosanya (2024)</w:t>
            </w:r>
          </w:p>
        </w:tc>
        <w:tc>
          <w:tcPr>
            <w:tcW w:w="1695" w:type="dxa"/>
            <w:tcBorders>
              <w:top w:val="nil"/>
              <w:left w:val="nil"/>
              <w:bottom w:val="nil"/>
              <w:right w:val="nil"/>
            </w:tcBorders>
            <w:tcMar>
              <w:top w:w="100" w:type="dxa"/>
              <w:left w:w="100" w:type="dxa"/>
              <w:bottom w:w="100" w:type="dxa"/>
              <w:right w:w="100" w:type="dxa"/>
            </w:tcMar>
          </w:tcPr>
          <w:p w14:paraId="6893C937">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Review</w:t>
            </w:r>
          </w:p>
        </w:tc>
        <w:tc>
          <w:tcPr>
            <w:tcW w:w="1515" w:type="dxa"/>
            <w:tcBorders>
              <w:top w:val="nil"/>
              <w:left w:val="nil"/>
              <w:bottom w:val="nil"/>
              <w:right w:val="nil"/>
            </w:tcBorders>
            <w:tcMar>
              <w:top w:w="100" w:type="dxa"/>
              <w:left w:w="100" w:type="dxa"/>
              <w:bottom w:w="100" w:type="dxa"/>
              <w:right w:w="100" w:type="dxa"/>
            </w:tcMar>
          </w:tcPr>
          <w:p w14:paraId="089B1F39">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Nigeria</w:t>
            </w:r>
          </w:p>
        </w:tc>
        <w:tc>
          <w:tcPr>
            <w:tcW w:w="1245" w:type="dxa"/>
            <w:tcBorders>
              <w:top w:val="nil"/>
              <w:left w:val="nil"/>
              <w:bottom w:val="nil"/>
              <w:right w:val="nil"/>
            </w:tcBorders>
            <w:tcMar>
              <w:top w:w="100" w:type="dxa"/>
              <w:left w:w="100" w:type="dxa"/>
              <w:bottom w:w="100" w:type="dxa"/>
              <w:right w:w="100" w:type="dxa"/>
            </w:tcMar>
          </w:tcPr>
          <w:p w14:paraId="420971D3">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Multiple studies</w:t>
            </w:r>
          </w:p>
        </w:tc>
        <w:tc>
          <w:tcPr>
            <w:tcW w:w="1515" w:type="dxa"/>
            <w:tcBorders>
              <w:top w:val="nil"/>
              <w:left w:val="nil"/>
              <w:bottom w:val="nil"/>
              <w:right w:val="nil"/>
            </w:tcBorders>
            <w:tcMar>
              <w:top w:w="100" w:type="dxa"/>
              <w:left w:w="100" w:type="dxa"/>
              <w:bottom w:w="100" w:type="dxa"/>
              <w:right w:w="100" w:type="dxa"/>
            </w:tcMar>
          </w:tcPr>
          <w:p w14:paraId="7F607441">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Adolescents</w:t>
            </w:r>
          </w:p>
        </w:tc>
        <w:tc>
          <w:tcPr>
            <w:tcW w:w="2265" w:type="dxa"/>
            <w:tcBorders>
              <w:top w:val="nil"/>
              <w:left w:val="nil"/>
              <w:bottom w:val="nil"/>
              <w:right w:val="nil"/>
            </w:tcBorders>
            <w:tcMar>
              <w:top w:w="100" w:type="dxa"/>
              <w:left w:w="100" w:type="dxa"/>
              <w:bottom w:w="100" w:type="dxa"/>
              <w:right w:w="100" w:type="dxa"/>
            </w:tcMar>
          </w:tcPr>
          <w:p w14:paraId="3258E231">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Religious beliefs limit uptake</w:t>
            </w:r>
          </w:p>
        </w:tc>
      </w:tr>
      <w:tr w14:paraId="60F29DDA">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100" w:type="dxa"/>
            <w:left w:w="100" w:type="dxa"/>
            <w:bottom w:w="100" w:type="dxa"/>
            <w:right w:w="100" w:type="dxa"/>
          </w:tblCellMar>
        </w:tblPrEx>
        <w:trPr>
          <w:trHeight w:val="1085" w:hRule="atLeast"/>
        </w:trPr>
        <w:tc>
          <w:tcPr>
            <w:tcW w:w="1560" w:type="dxa"/>
            <w:tcBorders>
              <w:top w:val="nil"/>
              <w:left w:val="nil"/>
              <w:bottom w:val="nil"/>
              <w:right w:val="nil"/>
            </w:tcBorders>
            <w:tcMar>
              <w:top w:w="100" w:type="dxa"/>
              <w:left w:w="100" w:type="dxa"/>
              <w:bottom w:w="100" w:type="dxa"/>
              <w:right w:w="100" w:type="dxa"/>
            </w:tcMar>
          </w:tcPr>
          <w:p w14:paraId="33A4386D">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Israel et al. (2019)</w:t>
            </w:r>
          </w:p>
        </w:tc>
        <w:tc>
          <w:tcPr>
            <w:tcW w:w="1695" w:type="dxa"/>
            <w:tcBorders>
              <w:top w:val="nil"/>
              <w:left w:val="nil"/>
              <w:bottom w:val="nil"/>
              <w:right w:val="nil"/>
            </w:tcBorders>
            <w:tcMar>
              <w:top w:w="100" w:type="dxa"/>
              <w:left w:w="100" w:type="dxa"/>
              <w:bottom w:w="100" w:type="dxa"/>
              <w:right w:w="100" w:type="dxa"/>
            </w:tcMar>
          </w:tcPr>
          <w:p w14:paraId="3E157DB2">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Comparative</w:t>
            </w:r>
          </w:p>
        </w:tc>
        <w:tc>
          <w:tcPr>
            <w:tcW w:w="1515" w:type="dxa"/>
            <w:tcBorders>
              <w:top w:val="nil"/>
              <w:left w:val="nil"/>
              <w:bottom w:val="nil"/>
              <w:right w:val="nil"/>
            </w:tcBorders>
            <w:tcMar>
              <w:top w:w="100" w:type="dxa"/>
              <w:left w:w="100" w:type="dxa"/>
              <w:bottom w:w="100" w:type="dxa"/>
              <w:right w:w="100" w:type="dxa"/>
            </w:tcMar>
          </w:tcPr>
          <w:p w14:paraId="5983F62C">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Osun State</w:t>
            </w:r>
          </w:p>
        </w:tc>
        <w:tc>
          <w:tcPr>
            <w:tcW w:w="1245" w:type="dxa"/>
            <w:tcBorders>
              <w:top w:val="nil"/>
              <w:left w:val="nil"/>
              <w:bottom w:val="nil"/>
              <w:right w:val="nil"/>
            </w:tcBorders>
            <w:tcMar>
              <w:top w:w="100" w:type="dxa"/>
              <w:left w:w="100" w:type="dxa"/>
              <w:bottom w:w="100" w:type="dxa"/>
              <w:right w:w="100" w:type="dxa"/>
            </w:tcMar>
          </w:tcPr>
          <w:p w14:paraId="3687CE07">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&lt;500</w:t>
            </w:r>
          </w:p>
        </w:tc>
        <w:tc>
          <w:tcPr>
            <w:tcW w:w="1515" w:type="dxa"/>
            <w:tcBorders>
              <w:top w:val="nil"/>
              <w:left w:val="nil"/>
              <w:bottom w:val="nil"/>
              <w:right w:val="nil"/>
            </w:tcBorders>
            <w:tcMar>
              <w:top w:w="100" w:type="dxa"/>
              <w:left w:w="100" w:type="dxa"/>
              <w:bottom w:w="100" w:type="dxa"/>
              <w:right w:w="100" w:type="dxa"/>
            </w:tcMar>
          </w:tcPr>
          <w:p w14:paraId="12F7A66E">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In-school adolescents</w:t>
            </w:r>
          </w:p>
        </w:tc>
        <w:tc>
          <w:tcPr>
            <w:tcW w:w="2265" w:type="dxa"/>
            <w:tcBorders>
              <w:top w:val="nil"/>
              <w:left w:val="nil"/>
              <w:bottom w:val="nil"/>
              <w:right w:val="nil"/>
            </w:tcBorders>
            <w:tcMar>
              <w:top w:w="100" w:type="dxa"/>
              <w:left w:w="100" w:type="dxa"/>
              <w:bottom w:w="100" w:type="dxa"/>
              <w:right w:w="100" w:type="dxa"/>
            </w:tcMar>
          </w:tcPr>
          <w:p w14:paraId="41B8932B">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Urban adolescents use more contraception</w:t>
            </w:r>
          </w:p>
        </w:tc>
      </w:tr>
      <w:tr w14:paraId="3214793C">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100" w:type="dxa"/>
            <w:left w:w="100" w:type="dxa"/>
            <w:bottom w:w="100" w:type="dxa"/>
            <w:right w:w="100" w:type="dxa"/>
          </w:tblCellMar>
        </w:tblPrEx>
        <w:trPr>
          <w:trHeight w:val="800" w:hRule="atLeast"/>
        </w:trPr>
        <w:tc>
          <w:tcPr>
            <w:tcW w:w="1560" w:type="dxa"/>
            <w:tcBorders>
              <w:top w:val="nil"/>
              <w:left w:val="nil"/>
              <w:bottom w:val="nil"/>
              <w:right w:val="nil"/>
            </w:tcBorders>
            <w:tcMar>
              <w:top w:w="100" w:type="dxa"/>
              <w:left w:w="100" w:type="dxa"/>
              <w:bottom w:w="100" w:type="dxa"/>
              <w:right w:w="100" w:type="dxa"/>
            </w:tcMar>
          </w:tcPr>
          <w:p w14:paraId="569EAE1A">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Itopa (2020)</w:t>
            </w:r>
          </w:p>
        </w:tc>
        <w:tc>
          <w:tcPr>
            <w:tcW w:w="1695" w:type="dxa"/>
            <w:tcBorders>
              <w:top w:val="nil"/>
              <w:left w:val="nil"/>
              <w:bottom w:val="nil"/>
              <w:right w:val="nil"/>
            </w:tcBorders>
            <w:tcMar>
              <w:top w:w="100" w:type="dxa"/>
              <w:left w:w="100" w:type="dxa"/>
              <w:bottom w:w="100" w:type="dxa"/>
              <w:right w:w="100" w:type="dxa"/>
            </w:tcMar>
          </w:tcPr>
          <w:p w14:paraId="208A0998">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Cross-sectional</w:t>
            </w:r>
          </w:p>
        </w:tc>
        <w:tc>
          <w:tcPr>
            <w:tcW w:w="1515" w:type="dxa"/>
            <w:tcBorders>
              <w:top w:val="nil"/>
              <w:left w:val="nil"/>
              <w:bottom w:val="nil"/>
              <w:right w:val="nil"/>
            </w:tcBorders>
            <w:tcMar>
              <w:top w:w="100" w:type="dxa"/>
              <w:left w:w="100" w:type="dxa"/>
              <w:bottom w:w="100" w:type="dxa"/>
              <w:right w:w="100" w:type="dxa"/>
            </w:tcMar>
          </w:tcPr>
          <w:p w14:paraId="6A9EC024">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Nigeria</w:t>
            </w:r>
          </w:p>
        </w:tc>
        <w:tc>
          <w:tcPr>
            <w:tcW w:w="1245" w:type="dxa"/>
            <w:tcBorders>
              <w:top w:val="nil"/>
              <w:left w:val="nil"/>
              <w:bottom w:val="nil"/>
              <w:right w:val="nil"/>
            </w:tcBorders>
            <w:tcMar>
              <w:top w:w="100" w:type="dxa"/>
              <w:left w:w="100" w:type="dxa"/>
              <w:bottom w:w="100" w:type="dxa"/>
              <w:right w:w="100" w:type="dxa"/>
            </w:tcMar>
          </w:tcPr>
          <w:p w14:paraId="673E208F">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&lt;300</w:t>
            </w:r>
          </w:p>
        </w:tc>
        <w:tc>
          <w:tcPr>
            <w:tcW w:w="1515" w:type="dxa"/>
            <w:tcBorders>
              <w:top w:val="nil"/>
              <w:left w:val="nil"/>
              <w:bottom w:val="nil"/>
              <w:right w:val="nil"/>
            </w:tcBorders>
            <w:tcMar>
              <w:top w:w="100" w:type="dxa"/>
              <w:left w:w="100" w:type="dxa"/>
              <w:bottom w:w="100" w:type="dxa"/>
              <w:right w:w="100" w:type="dxa"/>
            </w:tcMar>
          </w:tcPr>
          <w:p w14:paraId="5573F4FA">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Adolescents</w:t>
            </w:r>
          </w:p>
        </w:tc>
        <w:tc>
          <w:tcPr>
            <w:tcW w:w="2265" w:type="dxa"/>
            <w:tcBorders>
              <w:top w:val="nil"/>
              <w:left w:val="nil"/>
              <w:bottom w:val="nil"/>
              <w:right w:val="nil"/>
            </w:tcBorders>
            <w:tcMar>
              <w:top w:w="100" w:type="dxa"/>
              <w:left w:w="100" w:type="dxa"/>
              <w:bottom w:w="100" w:type="dxa"/>
              <w:right w:w="100" w:type="dxa"/>
            </w:tcMar>
          </w:tcPr>
          <w:p w14:paraId="5C89EB4B">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Fear and cost barriers</w:t>
            </w:r>
          </w:p>
        </w:tc>
      </w:tr>
      <w:tr w14:paraId="27A1060F">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100" w:type="dxa"/>
            <w:left w:w="100" w:type="dxa"/>
            <w:bottom w:w="100" w:type="dxa"/>
            <w:right w:w="100" w:type="dxa"/>
          </w:tblCellMar>
        </w:tblPrEx>
        <w:trPr>
          <w:trHeight w:val="1085" w:hRule="atLeast"/>
        </w:trPr>
        <w:tc>
          <w:tcPr>
            <w:tcW w:w="1560" w:type="dxa"/>
            <w:tcBorders>
              <w:top w:val="nil"/>
              <w:left w:val="nil"/>
              <w:bottom w:val="nil"/>
              <w:right w:val="nil"/>
            </w:tcBorders>
            <w:tcMar>
              <w:top w:w="100" w:type="dxa"/>
              <w:left w:w="100" w:type="dxa"/>
              <w:bottom w:w="100" w:type="dxa"/>
              <w:right w:w="100" w:type="dxa"/>
            </w:tcMar>
          </w:tcPr>
          <w:p w14:paraId="567BB63B">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Kayira (2019)</w:t>
            </w:r>
          </w:p>
        </w:tc>
        <w:tc>
          <w:tcPr>
            <w:tcW w:w="1695" w:type="dxa"/>
            <w:tcBorders>
              <w:top w:val="nil"/>
              <w:left w:val="nil"/>
              <w:bottom w:val="nil"/>
              <w:right w:val="nil"/>
            </w:tcBorders>
            <w:tcMar>
              <w:top w:w="100" w:type="dxa"/>
              <w:left w:w="100" w:type="dxa"/>
              <w:bottom w:w="100" w:type="dxa"/>
              <w:right w:w="100" w:type="dxa"/>
            </w:tcMar>
          </w:tcPr>
          <w:p w14:paraId="630AE18E">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Qualitative</w:t>
            </w:r>
          </w:p>
        </w:tc>
        <w:tc>
          <w:tcPr>
            <w:tcW w:w="1515" w:type="dxa"/>
            <w:tcBorders>
              <w:top w:val="nil"/>
              <w:left w:val="nil"/>
              <w:bottom w:val="nil"/>
              <w:right w:val="nil"/>
            </w:tcBorders>
            <w:tcMar>
              <w:top w:w="100" w:type="dxa"/>
              <w:left w:w="100" w:type="dxa"/>
              <w:bottom w:w="100" w:type="dxa"/>
              <w:right w:w="100" w:type="dxa"/>
            </w:tcMar>
          </w:tcPr>
          <w:p w14:paraId="337BE28C">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Africa </w:t>
            </w:r>
            <w:r>
              <w:rPr>
                <w:rFonts w:ascii="Times New Roman" w:hAnsi="Times New Roman" w:eastAsia="Times New Roman" w:cs="Times New Roman"/>
                <w:sz w:val="24"/>
                <w:szCs w:val="24"/>
              </w:rPr>
              <w:br w:type="textWrapping"/>
            </w:r>
            <w:r>
              <w:rPr>
                <w:rFonts w:ascii="Times New Roman" w:hAnsi="Times New Roman" w:eastAsia="Times New Roman" w:cs="Times New Roman"/>
                <w:sz w:val="24"/>
                <w:szCs w:val="24"/>
              </w:rPr>
              <w:t>(incl. Nigeria context)</w:t>
            </w:r>
          </w:p>
        </w:tc>
        <w:tc>
          <w:tcPr>
            <w:tcW w:w="1245" w:type="dxa"/>
            <w:tcBorders>
              <w:top w:val="nil"/>
              <w:left w:val="nil"/>
              <w:bottom w:val="nil"/>
              <w:right w:val="nil"/>
            </w:tcBorders>
            <w:tcMar>
              <w:top w:w="100" w:type="dxa"/>
              <w:left w:w="100" w:type="dxa"/>
              <w:bottom w:w="100" w:type="dxa"/>
              <w:right w:w="100" w:type="dxa"/>
            </w:tcMar>
          </w:tcPr>
          <w:p w14:paraId="32AEE628">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&lt;200</w:t>
            </w:r>
          </w:p>
        </w:tc>
        <w:tc>
          <w:tcPr>
            <w:tcW w:w="1515" w:type="dxa"/>
            <w:tcBorders>
              <w:top w:val="nil"/>
              <w:left w:val="nil"/>
              <w:bottom w:val="nil"/>
              <w:right w:val="nil"/>
            </w:tcBorders>
            <w:tcMar>
              <w:top w:w="100" w:type="dxa"/>
              <w:left w:w="100" w:type="dxa"/>
              <w:bottom w:w="100" w:type="dxa"/>
              <w:right w:w="100" w:type="dxa"/>
            </w:tcMar>
          </w:tcPr>
          <w:p w14:paraId="7AC06970">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Youth</w:t>
            </w:r>
          </w:p>
        </w:tc>
        <w:tc>
          <w:tcPr>
            <w:tcW w:w="2265" w:type="dxa"/>
            <w:tcBorders>
              <w:top w:val="nil"/>
              <w:left w:val="nil"/>
              <w:bottom w:val="nil"/>
              <w:right w:val="nil"/>
            </w:tcBorders>
            <w:tcMar>
              <w:top w:w="100" w:type="dxa"/>
              <w:left w:w="100" w:type="dxa"/>
              <w:bottom w:w="100" w:type="dxa"/>
              <w:right w:w="100" w:type="dxa"/>
            </w:tcMar>
          </w:tcPr>
          <w:p w14:paraId="4299F6E2">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Peer influence important</w:t>
            </w:r>
          </w:p>
        </w:tc>
      </w:tr>
      <w:tr w14:paraId="3871258E">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100" w:type="dxa"/>
            <w:left w:w="100" w:type="dxa"/>
            <w:bottom w:w="100" w:type="dxa"/>
            <w:right w:w="100" w:type="dxa"/>
          </w:tblCellMar>
        </w:tblPrEx>
        <w:trPr>
          <w:trHeight w:val="800" w:hRule="atLeast"/>
        </w:trPr>
        <w:tc>
          <w:tcPr>
            <w:tcW w:w="1560" w:type="dxa"/>
            <w:tcBorders>
              <w:top w:val="nil"/>
              <w:left w:val="nil"/>
              <w:bottom w:val="nil"/>
              <w:right w:val="nil"/>
            </w:tcBorders>
            <w:tcMar>
              <w:top w:w="100" w:type="dxa"/>
              <w:left w:w="100" w:type="dxa"/>
              <w:bottom w:w="100" w:type="dxa"/>
              <w:right w:w="100" w:type="dxa"/>
            </w:tcMar>
          </w:tcPr>
          <w:p w14:paraId="67722BA3">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Alo et al. (2020)</w:t>
            </w:r>
          </w:p>
        </w:tc>
        <w:tc>
          <w:tcPr>
            <w:tcW w:w="1695" w:type="dxa"/>
            <w:tcBorders>
              <w:top w:val="nil"/>
              <w:left w:val="nil"/>
              <w:bottom w:val="nil"/>
              <w:right w:val="nil"/>
            </w:tcBorders>
            <w:tcMar>
              <w:top w:w="100" w:type="dxa"/>
              <w:left w:w="100" w:type="dxa"/>
              <w:bottom w:w="100" w:type="dxa"/>
              <w:right w:w="100" w:type="dxa"/>
            </w:tcMar>
          </w:tcPr>
          <w:p w14:paraId="22010347">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Quantitative</w:t>
            </w:r>
          </w:p>
        </w:tc>
        <w:tc>
          <w:tcPr>
            <w:tcW w:w="1515" w:type="dxa"/>
            <w:tcBorders>
              <w:top w:val="nil"/>
              <w:left w:val="nil"/>
              <w:bottom w:val="nil"/>
              <w:right w:val="nil"/>
            </w:tcBorders>
            <w:tcMar>
              <w:top w:w="100" w:type="dxa"/>
              <w:left w:w="100" w:type="dxa"/>
              <w:bottom w:w="100" w:type="dxa"/>
              <w:right w:w="100" w:type="dxa"/>
            </w:tcMar>
          </w:tcPr>
          <w:p w14:paraId="1BE78653">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Nigeria</w:t>
            </w:r>
          </w:p>
        </w:tc>
        <w:tc>
          <w:tcPr>
            <w:tcW w:w="1245" w:type="dxa"/>
            <w:tcBorders>
              <w:top w:val="nil"/>
              <w:left w:val="nil"/>
              <w:bottom w:val="nil"/>
              <w:right w:val="nil"/>
            </w:tcBorders>
            <w:tcMar>
              <w:top w:w="100" w:type="dxa"/>
              <w:left w:w="100" w:type="dxa"/>
              <w:bottom w:w="100" w:type="dxa"/>
              <w:right w:w="100" w:type="dxa"/>
            </w:tcMar>
          </w:tcPr>
          <w:p w14:paraId="1C18D53A">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Large dataset</w:t>
            </w:r>
          </w:p>
        </w:tc>
        <w:tc>
          <w:tcPr>
            <w:tcW w:w="1515" w:type="dxa"/>
            <w:tcBorders>
              <w:top w:val="nil"/>
              <w:left w:val="nil"/>
              <w:bottom w:val="nil"/>
              <w:right w:val="nil"/>
            </w:tcBorders>
            <w:tcMar>
              <w:top w:w="100" w:type="dxa"/>
              <w:left w:w="100" w:type="dxa"/>
              <w:bottom w:w="100" w:type="dxa"/>
              <w:right w:w="100" w:type="dxa"/>
            </w:tcMar>
          </w:tcPr>
          <w:p w14:paraId="7FB8D8F3">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Women</w:t>
            </w:r>
          </w:p>
        </w:tc>
        <w:tc>
          <w:tcPr>
            <w:tcW w:w="2265" w:type="dxa"/>
            <w:tcBorders>
              <w:top w:val="nil"/>
              <w:left w:val="nil"/>
              <w:bottom w:val="nil"/>
              <w:right w:val="nil"/>
            </w:tcBorders>
            <w:tcMar>
              <w:top w:w="100" w:type="dxa"/>
              <w:left w:w="100" w:type="dxa"/>
              <w:bottom w:w="100" w:type="dxa"/>
              <w:right w:w="100" w:type="dxa"/>
            </w:tcMar>
          </w:tcPr>
          <w:p w14:paraId="7167DC08">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Education strongly predicts use</w:t>
            </w:r>
          </w:p>
        </w:tc>
      </w:tr>
      <w:tr w14:paraId="23768673">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100" w:type="dxa"/>
            <w:left w:w="100" w:type="dxa"/>
            <w:bottom w:w="100" w:type="dxa"/>
            <w:right w:w="100" w:type="dxa"/>
          </w:tblCellMar>
        </w:tblPrEx>
        <w:trPr>
          <w:trHeight w:val="800" w:hRule="atLeast"/>
        </w:trPr>
        <w:tc>
          <w:tcPr>
            <w:tcW w:w="1560" w:type="dxa"/>
            <w:tcBorders>
              <w:top w:val="nil"/>
              <w:left w:val="nil"/>
              <w:bottom w:val="nil"/>
              <w:right w:val="nil"/>
            </w:tcBorders>
            <w:tcMar>
              <w:top w:w="100" w:type="dxa"/>
              <w:left w:w="100" w:type="dxa"/>
              <w:bottom w:w="100" w:type="dxa"/>
              <w:right w:w="100" w:type="dxa"/>
            </w:tcMar>
          </w:tcPr>
          <w:p w14:paraId="67BA7BCB">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Sanchez et al. (2021)</w:t>
            </w:r>
          </w:p>
        </w:tc>
        <w:tc>
          <w:tcPr>
            <w:tcW w:w="1695" w:type="dxa"/>
            <w:tcBorders>
              <w:top w:val="nil"/>
              <w:left w:val="nil"/>
              <w:bottom w:val="nil"/>
              <w:right w:val="nil"/>
            </w:tcBorders>
            <w:tcMar>
              <w:top w:w="100" w:type="dxa"/>
              <w:left w:w="100" w:type="dxa"/>
              <w:bottom w:w="100" w:type="dxa"/>
              <w:right w:w="100" w:type="dxa"/>
            </w:tcMar>
          </w:tcPr>
          <w:p w14:paraId="782C1853">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Qualitative</w:t>
            </w:r>
          </w:p>
        </w:tc>
        <w:tc>
          <w:tcPr>
            <w:tcW w:w="1515" w:type="dxa"/>
            <w:tcBorders>
              <w:top w:val="nil"/>
              <w:left w:val="nil"/>
              <w:bottom w:val="nil"/>
              <w:right w:val="nil"/>
            </w:tcBorders>
            <w:tcMar>
              <w:top w:w="100" w:type="dxa"/>
              <w:left w:w="100" w:type="dxa"/>
              <w:bottom w:w="100" w:type="dxa"/>
              <w:right w:w="100" w:type="dxa"/>
            </w:tcMar>
          </w:tcPr>
          <w:p w14:paraId="4EAE127A">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Urban Nigeria</w:t>
            </w:r>
          </w:p>
        </w:tc>
        <w:tc>
          <w:tcPr>
            <w:tcW w:w="1245" w:type="dxa"/>
            <w:tcBorders>
              <w:top w:val="nil"/>
              <w:left w:val="nil"/>
              <w:bottom w:val="nil"/>
              <w:right w:val="nil"/>
            </w:tcBorders>
            <w:tcMar>
              <w:top w:w="100" w:type="dxa"/>
              <w:left w:w="100" w:type="dxa"/>
              <w:bottom w:w="100" w:type="dxa"/>
              <w:right w:w="100" w:type="dxa"/>
            </w:tcMar>
          </w:tcPr>
          <w:p w14:paraId="0707A293">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&lt;200</w:t>
            </w:r>
          </w:p>
        </w:tc>
        <w:tc>
          <w:tcPr>
            <w:tcW w:w="1515" w:type="dxa"/>
            <w:tcBorders>
              <w:top w:val="nil"/>
              <w:left w:val="nil"/>
              <w:bottom w:val="nil"/>
              <w:right w:val="nil"/>
            </w:tcBorders>
            <w:tcMar>
              <w:top w:w="100" w:type="dxa"/>
              <w:left w:w="100" w:type="dxa"/>
              <w:bottom w:w="100" w:type="dxa"/>
              <w:right w:w="100" w:type="dxa"/>
            </w:tcMar>
          </w:tcPr>
          <w:p w14:paraId="4AF4831F">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Adolescent females</w:t>
            </w:r>
          </w:p>
        </w:tc>
        <w:tc>
          <w:tcPr>
            <w:tcW w:w="2265" w:type="dxa"/>
            <w:tcBorders>
              <w:top w:val="nil"/>
              <w:left w:val="nil"/>
              <w:bottom w:val="nil"/>
              <w:right w:val="nil"/>
            </w:tcBorders>
            <w:tcMar>
              <w:top w:w="100" w:type="dxa"/>
              <w:left w:w="100" w:type="dxa"/>
              <w:bottom w:w="100" w:type="dxa"/>
              <w:right w:w="100" w:type="dxa"/>
            </w:tcMar>
          </w:tcPr>
          <w:p w14:paraId="21570C10">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Social norms and stigma major barriers</w:t>
            </w:r>
          </w:p>
        </w:tc>
      </w:tr>
    </w:tbl>
    <w:p w14:paraId="1510ABF1">
      <w:pPr>
        <w:spacing w:line="240" w:lineRule="auto"/>
        <w:rPr>
          <w:rFonts w:ascii="Times New Roman" w:hAnsi="Times New Roman" w:eastAsia="Times New Roman" w:cs="Times New Roman"/>
          <w:sz w:val="24"/>
          <w:szCs w:val="24"/>
        </w:rPr>
      </w:pPr>
    </w:p>
    <w:p w14:paraId="3BA0FEF0">
      <w:pPr>
        <w:pStyle w:val="4"/>
        <w:keepNext w:val="0"/>
        <w:keepLines w:val="0"/>
        <w:spacing w:before="280" w:line="240" w:lineRule="auto"/>
        <w:rPr>
          <w:rFonts w:ascii="Times New Roman" w:hAnsi="Times New Roman" w:eastAsia="Times New Roman" w:cs="Times New Roman"/>
          <w:b/>
          <w:bCs/>
          <w:color w:val="000000"/>
          <w:sz w:val="24"/>
          <w:szCs w:val="24"/>
        </w:rPr>
      </w:pPr>
      <w:bookmarkStart w:id="41" w:name="_20vfiky9scti" w:colFirst="0" w:colLast="0"/>
      <w:bookmarkEnd w:id="41"/>
      <w:r>
        <w:rPr>
          <w:rFonts w:ascii="Times New Roman" w:hAnsi="Times New Roman" w:eastAsia="Times New Roman" w:cs="Times New Roman"/>
          <w:b/>
          <w:bCs/>
          <w:color w:val="000000"/>
          <w:sz w:val="24"/>
          <w:szCs w:val="24"/>
        </w:rPr>
        <w:t>Table 2: Factors Affecting Contraceptive Uptake</w:t>
      </w:r>
    </w:p>
    <w:tbl>
      <w:tblPr>
        <w:tblStyle w:val="19"/>
        <w:tblW w:w="9360" w:type="dxa"/>
        <w:tblInd w:w="0" w:type="dxa"/>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ayout w:type="fixed"/>
        <w:tblCellMar>
          <w:top w:w="100" w:type="dxa"/>
          <w:left w:w="100" w:type="dxa"/>
          <w:bottom w:w="100" w:type="dxa"/>
          <w:right w:w="100" w:type="dxa"/>
        </w:tblCellMar>
      </w:tblPr>
      <w:tblGrid>
        <w:gridCol w:w="2655"/>
        <w:gridCol w:w="3855"/>
        <w:gridCol w:w="2850"/>
      </w:tblGrid>
      <w:tr w14:paraId="62B27FD7">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100" w:type="dxa"/>
            <w:left w:w="100" w:type="dxa"/>
            <w:bottom w:w="100" w:type="dxa"/>
            <w:right w:w="100" w:type="dxa"/>
          </w:tblCellMar>
        </w:tblPrEx>
        <w:trPr>
          <w:trHeight w:val="515" w:hRule="atLeast"/>
        </w:trPr>
        <w:tc>
          <w:tcPr>
            <w:tcW w:w="2655" w:type="dxa"/>
            <w:tcBorders>
              <w:top w:val="nil"/>
              <w:left w:val="nil"/>
              <w:bottom w:val="nil"/>
              <w:right w:val="nil"/>
            </w:tcBorders>
            <w:tcMar>
              <w:top w:w="100" w:type="dxa"/>
              <w:left w:w="100" w:type="dxa"/>
              <w:bottom w:w="100" w:type="dxa"/>
              <w:right w:w="100" w:type="dxa"/>
            </w:tcMar>
          </w:tcPr>
          <w:p w14:paraId="2A61147B">
            <w:pPr>
              <w:spacing w:line="240" w:lineRule="auto"/>
              <w:rPr>
                <w:rFonts w:ascii="Times New Roman" w:hAnsi="Times New Roman" w:eastAsia="Times New Roman" w:cs="Times New Roman"/>
                <w:sz w:val="24"/>
                <w:szCs w:val="24"/>
              </w:rPr>
            </w:pPr>
            <w:r>
              <w:rPr>
                <w:rFonts w:ascii="Times New Roman" w:hAnsi="Times New Roman" w:eastAsia="Times New Roman" w:cs="Times New Roman"/>
                <w:b/>
                <w:bCs/>
                <w:sz w:val="24"/>
                <w:szCs w:val="24"/>
              </w:rPr>
              <w:t>Category</w:t>
            </w:r>
          </w:p>
        </w:tc>
        <w:tc>
          <w:tcPr>
            <w:tcW w:w="3855" w:type="dxa"/>
            <w:tcBorders>
              <w:top w:val="nil"/>
              <w:left w:val="nil"/>
              <w:bottom w:val="nil"/>
              <w:right w:val="nil"/>
            </w:tcBorders>
            <w:tcMar>
              <w:top w:w="100" w:type="dxa"/>
              <w:left w:w="100" w:type="dxa"/>
              <w:bottom w:w="100" w:type="dxa"/>
              <w:right w:w="100" w:type="dxa"/>
            </w:tcMar>
          </w:tcPr>
          <w:p w14:paraId="695B7D9C">
            <w:pPr>
              <w:spacing w:line="240" w:lineRule="auto"/>
              <w:rPr>
                <w:rFonts w:ascii="Times New Roman" w:hAnsi="Times New Roman" w:eastAsia="Times New Roman" w:cs="Times New Roman"/>
                <w:sz w:val="24"/>
                <w:szCs w:val="24"/>
              </w:rPr>
            </w:pPr>
            <w:r>
              <w:rPr>
                <w:rFonts w:ascii="Times New Roman" w:hAnsi="Times New Roman" w:eastAsia="Times New Roman" w:cs="Times New Roman"/>
                <w:b/>
                <w:bCs/>
                <w:sz w:val="24"/>
                <w:szCs w:val="24"/>
              </w:rPr>
              <w:t>Factors</w:t>
            </w:r>
          </w:p>
        </w:tc>
        <w:tc>
          <w:tcPr>
            <w:tcW w:w="2850" w:type="dxa"/>
            <w:tcBorders>
              <w:top w:val="nil"/>
              <w:left w:val="nil"/>
              <w:bottom w:val="nil"/>
              <w:right w:val="nil"/>
            </w:tcBorders>
            <w:tcMar>
              <w:top w:w="100" w:type="dxa"/>
              <w:left w:w="100" w:type="dxa"/>
              <w:bottom w:w="100" w:type="dxa"/>
              <w:right w:w="100" w:type="dxa"/>
            </w:tcMar>
          </w:tcPr>
          <w:p w14:paraId="75EEBC16">
            <w:pPr>
              <w:spacing w:line="240" w:lineRule="auto"/>
              <w:rPr>
                <w:rFonts w:ascii="Times New Roman" w:hAnsi="Times New Roman" w:eastAsia="Times New Roman" w:cs="Times New Roman"/>
                <w:sz w:val="24"/>
                <w:szCs w:val="24"/>
              </w:rPr>
            </w:pPr>
            <w:r>
              <w:rPr>
                <w:rFonts w:ascii="Times New Roman" w:hAnsi="Times New Roman" w:eastAsia="Times New Roman" w:cs="Times New Roman"/>
                <w:b/>
                <w:bCs/>
                <w:sz w:val="24"/>
                <w:szCs w:val="24"/>
              </w:rPr>
              <w:t>Effect on Uptake</w:t>
            </w:r>
          </w:p>
        </w:tc>
      </w:tr>
      <w:tr w14:paraId="7B0BA2BD">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100" w:type="dxa"/>
            <w:left w:w="100" w:type="dxa"/>
            <w:bottom w:w="100" w:type="dxa"/>
            <w:right w:w="100" w:type="dxa"/>
          </w:tblCellMar>
        </w:tblPrEx>
        <w:trPr>
          <w:trHeight w:val="800" w:hRule="atLeast"/>
        </w:trPr>
        <w:tc>
          <w:tcPr>
            <w:tcW w:w="2655" w:type="dxa"/>
            <w:tcBorders>
              <w:top w:val="nil"/>
              <w:left w:val="nil"/>
              <w:bottom w:val="nil"/>
              <w:right w:val="nil"/>
            </w:tcBorders>
            <w:tcMar>
              <w:top w:w="100" w:type="dxa"/>
              <w:left w:w="100" w:type="dxa"/>
              <w:bottom w:w="100" w:type="dxa"/>
              <w:right w:w="100" w:type="dxa"/>
            </w:tcMar>
          </w:tcPr>
          <w:p w14:paraId="74DF5204">
            <w:pPr>
              <w:spacing w:line="240" w:lineRule="auto"/>
              <w:rPr>
                <w:rFonts w:ascii="Times New Roman" w:hAnsi="Times New Roman" w:eastAsia="Times New Roman" w:cs="Times New Roman"/>
                <w:sz w:val="24"/>
                <w:szCs w:val="24"/>
              </w:rPr>
            </w:pPr>
            <w:r>
              <w:rPr>
                <w:rFonts w:ascii="Times New Roman" w:hAnsi="Times New Roman" w:eastAsia="Times New Roman" w:cs="Times New Roman"/>
                <w:b/>
                <w:bCs/>
                <w:sz w:val="24"/>
                <w:szCs w:val="24"/>
              </w:rPr>
              <w:t>Individual</w:t>
            </w:r>
          </w:p>
        </w:tc>
        <w:tc>
          <w:tcPr>
            <w:tcW w:w="3855" w:type="dxa"/>
            <w:tcBorders>
              <w:top w:val="nil"/>
              <w:left w:val="nil"/>
              <w:bottom w:val="nil"/>
              <w:right w:val="nil"/>
            </w:tcBorders>
            <w:tcMar>
              <w:top w:w="100" w:type="dxa"/>
              <w:left w:w="100" w:type="dxa"/>
              <w:bottom w:w="100" w:type="dxa"/>
              <w:right w:w="100" w:type="dxa"/>
            </w:tcMar>
          </w:tcPr>
          <w:p w14:paraId="365A4769">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Age, education, knowledge, fear of side effects</w:t>
            </w:r>
          </w:p>
        </w:tc>
        <w:tc>
          <w:tcPr>
            <w:tcW w:w="2850" w:type="dxa"/>
            <w:tcBorders>
              <w:top w:val="nil"/>
              <w:left w:val="nil"/>
              <w:bottom w:val="nil"/>
              <w:right w:val="nil"/>
            </w:tcBorders>
            <w:tcMar>
              <w:top w:w="100" w:type="dxa"/>
              <w:left w:w="100" w:type="dxa"/>
              <w:bottom w:w="100" w:type="dxa"/>
              <w:right w:w="100" w:type="dxa"/>
            </w:tcMar>
          </w:tcPr>
          <w:p w14:paraId="4072469C">
            <w:pPr>
              <w:spacing w:line="240" w:lineRule="auto"/>
              <w:rPr>
                <w:rFonts w:ascii="Times New Roman" w:hAnsi="Times New Roman" w:eastAsia="Times New Roman" w:cs="Times New Roman"/>
                <w:sz w:val="24"/>
                <w:szCs w:val="24"/>
              </w:rPr>
            </w:pPr>
            <w:r>
              <w:rPr>
                <w:rFonts w:ascii="Cardo" w:hAnsi="Cardo" w:eastAsia="Cardo" w:cs="Cardo"/>
                <w:sz w:val="24"/>
                <w:szCs w:val="24"/>
              </w:rPr>
              <w:t>Older age &amp; education ↑ uptake; fear ↓ uptake</w:t>
            </w:r>
          </w:p>
        </w:tc>
      </w:tr>
      <w:tr w14:paraId="4F6B3920">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100" w:type="dxa"/>
            <w:left w:w="100" w:type="dxa"/>
            <w:bottom w:w="100" w:type="dxa"/>
            <w:right w:w="100" w:type="dxa"/>
          </w:tblCellMar>
        </w:tblPrEx>
        <w:trPr>
          <w:trHeight w:val="800" w:hRule="atLeast"/>
        </w:trPr>
        <w:tc>
          <w:tcPr>
            <w:tcW w:w="2655" w:type="dxa"/>
            <w:tcBorders>
              <w:top w:val="nil"/>
              <w:left w:val="nil"/>
              <w:bottom w:val="nil"/>
              <w:right w:val="nil"/>
            </w:tcBorders>
            <w:tcMar>
              <w:top w:w="100" w:type="dxa"/>
              <w:left w:w="100" w:type="dxa"/>
              <w:bottom w:w="100" w:type="dxa"/>
              <w:right w:w="100" w:type="dxa"/>
            </w:tcMar>
          </w:tcPr>
          <w:p w14:paraId="086F2539">
            <w:pPr>
              <w:spacing w:line="240" w:lineRule="auto"/>
              <w:rPr>
                <w:rFonts w:ascii="Times New Roman" w:hAnsi="Times New Roman" w:eastAsia="Times New Roman" w:cs="Times New Roman"/>
                <w:sz w:val="24"/>
                <w:szCs w:val="24"/>
              </w:rPr>
            </w:pPr>
            <w:r>
              <w:rPr>
                <w:rFonts w:ascii="Times New Roman" w:hAnsi="Times New Roman" w:eastAsia="Times New Roman" w:cs="Times New Roman"/>
                <w:b/>
                <w:bCs/>
                <w:sz w:val="24"/>
                <w:szCs w:val="24"/>
              </w:rPr>
              <w:t>Interpersonal</w:t>
            </w:r>
          </w:p>
        </w:tc>
        <w:tc>
          <w:tcPr>
            <w:tcW w:w="3855" w:type="dxa"/>
            <w:tcBorders>
              <w:top w:val="nil"/>
              <w:left w:val="nil"/>
              <w:bottom w:val="nil"/>
              <w:right w:val="nil"/>
            </w:tcBorders>
            <w:tcMar>
              <w:top w:w="100" w:type="dxa"/>
              <w:left w:w="100" w:type="dxa"/>
              <w:bottom w:w="100" w:type="dxa"/>
              <w:right w:w="100" w:type="dxa"/>
            </w:tcMar>
          </w:tcPr>
          <w:p w14:paraId="2AF3B93A">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Partner approval, parental communication, peer influence</w:t>
            </w:r>
          </w:p>
        </w:tc>
        <w:tc>
          <w:tcPr>
            <w:tcW w:w="2850" w:type="dxa"/>
            <w:tcBorders>
              <w:top w:val="nil"/>
              <w:left w:val="nil"/>
              <w:bottom w:val="nil"/>
              <w:right w:val="nil"/>
            </w:tcBorders>
            <w:tcMar>
              <w:top w:w="100" w:type="dxa"/>
              <w:left w:w="100" w:type="dxa"/>
              <w:bottom w:w="100" w:type="dxa"/>
              <w:right w:w="100" w:type="dxa"/>
            </w:tcMar>
          </w:tcPr>
          <w:p w14:paraId="63159E6A">
            <w:pPr>
              <w:spacing w:line="240" w:lineRule="auto"/>
              <w:rPr>
                <w:rFonts w:ascii="Times New Roman" w:hAnsi="Times New Roman" w:eastAsia="Times New Roman" w:cs="Times New Roman"/>
                <w:sz w:val="24"/>
                <w:szCs w:val="24"/>
              </w:rPr>
            </w:pPr>
            <w:r>
              <w:rPr>
                <w:rFonts w:ascii="Cardo" w:hAnsi="Cardo" w:eastAsia="Cardo" w:cs="Cardo"/>
                <w:sz w:val="24"/>
                <w:szCs w:val="24"/>
              </w:rPr>
              <w:t>Support ↑ uptake; disapproval ↓ uptake</w:t>
            </w:r>
          </w:p>
        </w:tc>
      </w:tr>
      <w:tr w14:paraId="403CE888">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100" w:type="dxa"/>
            <w:left w:w="100" w:type="dxa"/>
            <w:bottom w:w="100" w:type="dxa"/>
            <w:right w:w="100" w:type="dxa"/>
          </w:tblCellMar>
        </w:tblPrEx>
        <w:trPr>
          <w:trHeight w:val="800" w:hRule="atLeast"/>
        </w:trPr>
        <w:tc>
          <w:tcPr>
            <w:tcW w:w="2655" w:type="dxa"/>
            <w:tcBorders>
              <w:top w:val="nil"/>
              <w:left w:val="nil"/>
              <w:bottom w:val="nil"/>
              <w:right w:val="nil"/>
            </w:tcBorders>
            <w:tcMar>
              <w:top w:w="100" w:type="dxa"/>
              <w:left w:w="100" w:type="dxa"/>
              <w:bottom w:w="100" w:type="dxa"/>
              <w:right w:w="100" w:type="dxa"/>
            </w:tcMar>
          </w:tcPr>
          <w:p w14:paraId="5F7B5AB0">
            <w:pPr>
              <w:spacing w:line="240" w:lineRule="auto"/>
              <w:rPr>
                <w:rFonts w:ascii="Times New Roman" w:hAnsi="Times New Roman" w:eastAsia="Times New Roman" w:cs="Times New Roman"/>
                <w:sz w:val="24"/>
                <w:szCs w:val="24"/>
              </w:rPr>
            </w:pPr>
            <w:r>
              <w:rPr>
                <w:rFonts w:ascii="Times New Roman" w:hAnsi="Times New Roman" w:eastAsia="Times New Roman" w:cs="Times New Roman"/>
                <w:b/>
                <w:bCs/>
                <w:sz w:val="24"/>
                <w:szCs w:val="24"/>
              </w:rPr>
              <w:t>Sociocultural/Religious</w:t>
            </w:r>
          </w:p>
        </w:tc>
        <w:tc>
          <w:tcPr>
            <w:tcW w:w="3855" w:type="dxa"/>
            <w:tcBorders>
              <w:top w:val="nil"/>
              <w:left w:val="nil"/>
              <w:bottom w:val="nil"/>
              <w:right w:val="nil"/>
            </w:tcBorders>
            <w:tcMar>
              <w:top w:w="100" w:type="dxa"/>
              <w:left w:w="100" w:type="dxa"/>
              <w:bottom w:w="100" w:type="dxa"/>
              <w:right w:w="100" w:type="dxa"/>
            </w:tcMar>
          </w:tcPr>
          <w:p w14:paraId="1A52F884">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Norms, stigma, religious beliefs, gender roles</w:t>
            </w:r>
          </w:p>
        </w:tc>
        <w:tc>
          <w:tcPr>
            <w:tcW w:w="2850" w:type="dxa"/>
            <w:tcBorders>
              <w:top w:val="nil"/>
              <w:left w:val="nil"/>
              <w:bottom w:val="nil"/>
              <w:right w:val="nil"/>
            </w:tcBorders>
            <w:tcMar>
              <w:top w:w="100" w:type="dxa"/>
              <w:left w:w="100" w:type="dxa"/>
              <w:bottom w:w="100" w:type="dxa"/>
              <w:right w:w="100" w:type="dxa"/>
            </w:tcMar>
          </w:tcPr>
          <w:p w14:paraId="7C14ACFA">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Strong negative influence</w:t>
            </w:r>
          </w:p>
        </w:tc>
      </w:tr>
      <w:tr w14:paraId="6EFA68E1">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100" w:type="dxa"/>
            <w:left w:w="100" w:type="dxa"/>
            <w:bottom w:w="100" w:type="dxa"/>
            <w:right w:w="100" w:type="dxa"/>
          </w:tblCellMar>
        </w:tblPrEx>
        <w:trPr>
          <w:trHeight w:val="800" w:hRule="atLeast"/>
        </w:trPr>
        <w:tc>
          <w:tcPr>
            <w:tcW w:w="2655" w:type="dxa"/>
            <w:tcBorders>
              <w:top w:val="nil"/>
              <w:left w:val="nil"/>
              <w:bottom w:val="nil"/>
              <w:right w:val="nil"/>
            </w:tcBorders>
            <w:tcMar>
              <w:top w:w="100" w:type="dxa"/>
              <w:left w:w="100" w:type="dxa"/>
              <w:bottom w:w="100" w:type="dxa"/>
              <w:right w:w="100" w:type="dxa"/>
            </w:tcMar>
          </w:tcPr>
          <w:p w14:paraId="7BB19107">
            <w:pPr>
              <w:spacing w:line="240" w:lineRule="auto"/>
              <w:rPr>
                <w:rFonts w:ascii="Times New Roman" w:hAnsi="Times New Roman" w:eastAsia="Times New Roman" w:cs="Times New Roman"/>
                <w:sz w:val="24"/>
                <w:szCs w:val="24"/>
              </w:rPr>
            </w:pPr>
            <w:r>
              <w:rPr>
                <w:rFonts w:ascii="Times New Roman" w:hAnsi="Times New Roman" w:eastAsia="Times New Roman" w:cs="Times New Roman"/>
                <w:b/>
                <w:bCs/>
                <w:sz w:val="24"/>
                <w:szCs w:val="24"/>
              </w:rPr>
              <w:t>Socioeconomic</w:t>
            </w:r>
          </w:p>
        </w:tc>
        <w:tc>
          <w:tcPr>
            <w:tcW w:w="3855" w:type="dxa"/>
            <w:tcBorders>
              <w:top w:val="nil"/>
              <w:left w:val="nil"/>
              <w:bottom w:val="nil"/>
              <w:right w:val="nil"/>
            </w:tcBorders>
            <w:tcMar>
              <w:top w:w="100" w:type="dxa"/>
              <w:left w:w="100" w:type="dxa"/>
              <w:bottom w:w="100" w:type="dxa"/>
              <w:right w:w="100" w:type="dxa"/>
            </w:tcMar>
          </w:tcPr>
          <w:p w14:paraId="6615C1C3">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Income, education level, rural/urban residence</w:t>
            </w:r>
          </w:p>
        </w:tc>
        <w:tc>
          <w:tcPr>
            <w:tcW w:w="2850" w:type="dxa"/>
            <w:tcBorders>
              <w:top w:val="nil"/>
              <w:left w:val="nil"/>
              <w:bottom w:val="nil"/>
              <w:right w:val="nil"/>
            </w:tcBorders>
            <w:tcMar>
              <w:top w:w="100" w:type="dxa"/>
              <w:left w:w="100" w:type="dxa"/>
              <w:bottom w:w="100" w:type="dxa"/>
              <w:right w:w="100" w:type="dxa"/>
            </w:tcMar>
          </w:tcPr>
          <w:p w14:paraId="6BB7385E">
            <w:pPr>
              <w:spacing w:line="240" w:lineRule="auto"/>
              <w:rPr>
                <w:rFonts w:ascii="Times New Roman" w:hAnsi="Times New Roman" w:eastAsia="Times New Roman" w:cs="Times New Roman"/>
                <w:sz w:val="24"/>
                <w:szCs w:val="24"/>
              </w:rPr>
            </w:pPr>
            <w:r>
              <w:rPr>
                <w:rFonts w:ascii="Cardo" w:hAnsi="Cardo" w:eastAsia="Cardo" w:cs="Cardo"/>
                <w:sz w:val="24"/>
                <w:szCs w:val="24"/>
              </w:rPr>
              <w:t>Wealth &amp; urban residence ↑ uptake</w:t>
            </w:r>
          </w:p>
        </w:tc>
      </w:tr>
      <w:tr w14:paraId="76703C88">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100" w:type="dxa"/>
            <w:left w:w="100" w:type="dxa"/>
            <w:bottom w:w="100" w:type="dxa"/>
            <w:right w:w="100" w:type="dxa"/>
          </w:tblCellMar>
        </w:tblPrEx>
        <w:trPr>
          <w:trHeight w:val="800" w:hRule="atLeast"/>
        </w:trPr>
        <w:tc>
          <w:tcPr>
            <w:tcW w:w="2655" w:type="dxa"/>
            <w:tcBorders>
              <w:top w:val="nil"/>
              <w:left w:val="nil"/>
              <w:bottom w:val="nil"/>
              <w:right w:val="nil"/>
            </w:tcBorders>
            <w:tcMar>
              <w:top w:w="100" w:type="dxa"/>
              <w:left w:w="100" w:type="dxa"/>
              <w:bottom w:w="100" w:type="dxa"/>
              <w:right w:w="100" w:type="dxa"/>
            </w:tcMar>
          </w:tcPr>
          <w:p w14:paraId="17966DF6">
            <w:pPr>
              <w:spacing w:line="240" w:lineRule="auto"/>
              <w:rPr>
                <w:rFonts w:ascii="Times New Roman" w:hAnsi="Times New Roman" w:eastAsia="Times New Roman" w:cs="Times New Roman"/>
                <w:sz w:val="24"/>
                <w:szCs w:val="24"/>
              </w:rPr>
            </w:pPr>
            <w:r>
              <w:rPr>
                <w:rFonts w:ascii="Times New Roman" w:hAnsi="Times New Roman" w:eastAsia="Times New Roman" w:cs="Times New Roman"/>
                <w:b/>
                <w:bCs/>
                <w:sz w:val="24"/>
                <w:szCs w:val="24"/>
              </w:rPr>
              <w:t>Health System</w:t>
            </w:r>
          </w:p>
        </w:tc>
        <w:tc>
          <w:tcPr>
            <w:tcW w:w="3855" w:type="dxa"/>
            <w:tcBorders>
              <w:top w:val="nil"/>
              <w:left w:val="nil"/>
              <w:bottom w:val="nil"/>
              <w:right w:val="nil"/>
            </w:tcBorders>
            <w:tcMar>
              <w:top w:w="100" w:type="dxa"/>
              <w:left w:w="100" w:type="dxa"/>
              <w:bottom w:w="100" w:type="dxa"/>
              <w:right w:w="100" w:type="dxa"/>
            </w:tcMar>
          </w:tcPr>
          <w:p w14:paraId="01053157">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Service accessibility, provider attitude, confidentiality, stock-outs</w:t>
            </w:r>
          </w:p>
        </w:tc>
        <w:tc>
          <w:tcPr>
            <w:tcW w:w="2850" w:type="dxa"/>
            <w:tcBorders>
              <w:top w:val="nil"/>
              <w:left w:val="nil"/>
              <w:bottom w:val="nil"/>
              <w:right w:val="nil"/>
            </w:tcBorders>
            <w:tcMar>
              <w:top w:w="100" w:type="dxa"/>
              <w:left w:w="100" w:type="dxa"/>
              <w:bottom w:w="100" w:type="dxa"/>
              <w:right w:w="100" w:type="dxa"/>
            </w:tcMar>
          </w:tcPr>
          <w:p w14:paraId="3F428835">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Barriers reduce utilisation</w:t>
            </w:r>
          </w:p>
        </w:tc>
      </w:tr>
      <w:tr w14:paraId="4F8906B3">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100" w:type="dxa"/>
            <w:left w:w="100" w:type="dxa"/>
            <w:bottom w:w="100" w:type="dxa"/>
            <w:right w:w="100" w:type="dxa"/>
          </w:tblCellMar>
        </w:tblPrEx>
        <w:trPr>
          <w:trHeight w:val="515" w:hRule="atLeast"/>
        </w:trPr>
        <w:tc>
          <w:tcPr>
            <w:tcW w:w="2655" w:type="dxa"/>
            <w:tcBorders>
              <w:top w:val="nil"/>
              <w:left w:val="nil"/>
              <w:bottom w:val="nil"/>
              <w:right w:val="nil"/>
            </w:tcBorders>
            <w:tcMar>
              <w:top w:w="100" w:type="dxa"/>
              <w:left w:w="100" w:type="dxa"/>
              <w:bottom w:w="100" w:type="dxa"/>
              <w:right w:w="100" w:type="dxa"/>
            </w:tcMar>
          </w:tcPr>
          <w:p w14:paraId="4ACF2C8F">
            <w:pPr>
              <w:spacing w:line="240" w:lineRule="auto"/>
              <w:rPr>
                <w:rFonts w:ascii="Times New Roman" w:hAnsi="Times New Roman" w:eastAsia="Times New Roman" w:cs="Times New Roman"/>
                <w:sz w:val="24"/>
                <w:szCs w:val="24"/>
              </w:rPr>
            </w:pPr>
            <w:r>
              <w:rPr>
                <w:rFonts w:ascii="Times New Roman" w:hAnsi="Times New Roman" w:eastAsia="Times New Roman" w:cs="Times New Roman"/>
                <w:b/>
                <w:bCs/>
                <w:sz w:val="24"/>
                <w:szCs w:val="24"/>
              </w:rPr>
              <w:t>Media Exposure</w:t>
            </w:r>
          </w:p>
        </w:tc>
        <w:tc>
          <w:tcPr>
            <w:tcW w:w="3855" w:type="dxa"/>
            <w:tcBorders>
              <w:top w:val="nil"/>
              <w:left w:val="nil"/>
              <w:bottom w:val="nil"/>
              <w:right w:val="nil"/>
            </w:tcBorders>
            <w:tcMar>
              <w:top w:w="100" w:type="dxa"/>
              <w:left w:w="100" w:type="dxa"/>
              <w:bottom w:w="100" w:type="dxa"/>
              <w:right w:w="100" w:type="dxa"/>
            </w:tcMar>
          </w:tcPr>
          <w:p w14:paraId="08ED4D3C">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Family planning messages</w:t>
            </w:r>
          </w:p>
        </w:tc>
        <w:tc>
          <w:tcPr>
            <w:tcW w:w="2850" w:type="dxa"/>
            <w:tcBorders>
              <w:top w:val="nil"/>
              <w:left w:val="nil"/>
              <w:bottom w:val="nil"/>
              <w:right w:val="nil"/>
            </w:tcBorders>
            <w:tcMar>
              <w:top w:w="100" w:type="dxa"/>
              <w:left w:w="100" w:type="dxa"/>
              <w:bottom w:w="100" w:type="dxa"/>
              <w:right w:w="100" w:type="dxa"/>
            </w:tcMar>
          </w:tcPr>
          <w:p w14:paraId="12B89DC3">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Positive influence</w:t>
            </w:r>
          </w:p>
        </w:tc>
      </w:tr>
    </w:tbl>
    <w:p w14:paraId="56D2D818">
      <w:pPr>
        <w:spacing w:line="240" w:lineRule="auto"/>
        <w:rPr>
          <w:rFonts w:ascii="Times New Roman" w:hAnsi="Times New Roman" w:eastAsia="Times New Roman" w:cs="Times New Roman"/>
          <w:sz w:val="24"/>
          <w:szCs w:val="24"/>
        </w:rPr>
      </w:pPr>
    </w:p>
    <w:p w14:paraId="71B8ED1A">
      <w:pPr>
        <w:pStyle w:val="4"/>
        <w:keepNext w:val="0"/>
        <w:keepLines w:val="0"/>
        <w:spacing w:before="280" w:line="240" w:lineRule="auto"/>
        <w:rPr>
          <w:rFonts w:ascii="Times New Roman" w:hAnsi="Times New Roman" w:eastAsia="Times New Roman" w:cs="Times New Roman"/>
          <w:b/>
          <w:bCs/>
          <w:color w:val="000000"/>
          <w:sz w:val="24"/>
          <w:szCs w:val="24"/>
        </w:rPr>
      </w:pPr>
      <w:bookmarkStart w:id="42" w:name="_78d99rlu1zrb" w:colFirst="0" w:colLast="0"/>
      <w:bookmarkEnd w:id="42"/>
      <w:r>
        <w:rPr>
          <w:rFonts w:ascii="Times New Roman" w:hAnsi="Times New Roman" w:eastAsia="Times New Roman" w:cs="Times New Roman"/>
          <w:b/>
          <w:bCs/>
          <w:color w:val="000000"/>
          <w:sz w:val="24"/>
          <w:szCs w:val="24"/>
        </w:rPr>
        <w:t>Table 3: Barriers and Facilitators to Contraceptive Uptake</w:t>
      </w:r>
    </w:p>
    <w:tbl>
      <w:tblPr>
        <w:tblStyle w:val="20"/>
        <w:tblW w:w="9225" w:type="dxa"/>
        <w:tblInd w:w="0" w:type="dxa"/>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ayout w:type="fixed"/>
        <w:tblCellMar>
          <w:top w:w="100" w:type="dxa"/>
          <w:left w:w="100" w:type="dxa"/>
          <w:bottom w:w="100" w:type="dxa"/>
          <w:right w:w="100" w:type="dxa"/>
        </w:tblCellMar>
      </w:tblPr>
      <w:tblGrid>
        <w:gridCol w:w="4815"/>
        <w:gridCol w:w="4410"/>
      </w:tblGrid>
      <w:tr w14:paraId="7E092F49">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100" w:type="dxa"/>
            <w:left w:w="100" w:type="dxa"/>
            <w:bottom w:w="100" w:type="dxa"/>
            <w:right w:w="100" w:type="dxa"/>
          </w:tblCellMar>
        </w:tblPrEx>
        <w:trPr>
          <w:trHeight w:val="515" w:hRule="atLeast"/>
        </w:trPr>
        <w:tc>
          <w:tcPr>
            <w:tcW w:w="4815" w:type="dxa"/>
            <w:tcBorders>
              <w:top w:val="nil"/>
              <w:left w:val="nil"/>
              <w:bottom w:val="nil"/>
              <w:right w:val="nil"/>
            </w:tcBorders>
            <w:tcMar>
              <w:top w:w="100" w:type="dxa"/>
              <w:left w:w="100" w:type="dxa"/>
              <w:bottom w:w="100" w:type="dxa"/>
              <w:right w:w="100" w:type="dxa"/>
            </w:tcMar>
          </w:tcPr>
          <w:p w14:paraId="5E6CFD39">
            <w:pPr>
              <w:spacing w:line="240" w:lineRule="auto"/>
              <w:rPr>
                <w:rFonts w:ascii="Times New Roman" w:hAnsi="Times New Roman" w:eastAsia="Times New Roman" w:cs="Times New Roman"/>
                <w:sz w:val="24"/>
                <w:szCs w:val="24"/>
              </w:rPr>
            </w:pPr>
            <w:r>
              <w:rPr>
                <w:rFonts w:ascii="Times New Roman" w:hAnsi="Times New Roman" w:eastAsia="Times New Roman" w:cs="Times New Roman"/>
                <w:b/>
                <w:bCs/>
                <w:sz w:val="24"/>
                <w:szCs w:val="24"/>
              </w:rPr>
              <w:t>Barriers</w:t>
            </w:r>
          </w:p>
        </w:tc>
        <w:tc>
          <w:tcPr>
            <w:tcW w:w="4410" w:type="dxa"/>
            <w:tcBorders>
              <w:top w:val="nil"/>
              <w:left w:val="nil"/>
              <w:bottom w:val="nil"/>
              <w:right w:val="nil"/>
            </w:tcBorders>
            <w:tcMar>
              <w:top w:w="100" w:type="dxa"/>
              <w:left w:w="100" w:type="dxa"/>
              <w:bottom w:w="100" w:type="dxa"/>
              <w:right w:w="100" w:type="dxa"/>
            </w:tcMar>
          </w:tcPr>
          <w:p w14:paraId="163B5A70">
            <w:pPr>
              <w:spacing w:line="240" w:lineRule="auto"/>
              <w:rPr>
                <w:rFonts w:ascii="Times New Roman" w:hAnsi="Times New Roman" w:eastAsia="Times New Roman" w:cs="Times New Roman"/>
                <w:sz w:val="24"/>
                <w:szCs w:val="24"/>
              </w:rPr>
            </w:pPr>
            <w:r>
              <w:rPr>
                <w:rFonts w:ascii="Times New Roman" w:hAnsi="Times New Roman" w:eastAsia="Times New Roman" w:cs="Times New Roman"/>
                <w:b/>
                <w:bCs/>
                <w:sz w:val="24"/>
                <w:szCs w:val="24"/>
              </w:rPr>
              <w:t>Facilitators</w:t>
            </w:r>
          </w:p>
        </w:tc>
      </w:tr>
      <w:tr w14:paraId="2E858556">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100" w:type="dxa"/>
            <w:left w:w="100" w:type="dxa"/>
            <w:bottom w:w="100" w:type="dxa"/>
            <w:right w:w="100" w:type="dxa"/>
          </w:tblCellMar>
        </w:tblPrEx>
        <w:trPr>
          <w:trHeight w:val="515" w:hRule="atLeast"/>
        </w:trPr>
        <w:tc>
          <w:tcPr>
            <w:tcW w:w="4815" w:type="dxa"/>
            <w:tcBorders>
              <w:top w:val="nil"/>
              <w:left w:val="nil"/>
              <w:bottom w:val="nil"/>
              <w:right w:val="nil"/>
            </w:tcBorders>
            <w:tcMar>
              <w:top w:w="100" w:type="dxa"/>
              <w:left w:w="100" w:type="dxa"/>
              <w:bottom w:w="100" w:type="dxa"/>
              <w:right w:w="100" w:type="dxa"/>
            </w:tcMar>
          </w:tcPr>
          <w:p w14:paraId="4167F0FD">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Fear of side effects</w:t>
            </w:r>
          </w:p>
        </w:tc>
        <w:tc>
          <w:tcPr>
            <w:tcW w:w="4410" w:type="dxa"/>
            <w:tcBorders>
              <w:top w:val="nil"/>
              <w:left w:val="nil"/>
              <w:bottom w:val="nil"/>
              <w:right w:val="nil"/>
            </w:tcBorders>
            <w:tcMar>
              <w:top w:w="100" w:type="dxa"/>
              <w:left w:w="100" w:type="dxa"/>
              <w:bottom w:w="100" w:type="dxa"/>
              <w:right w:w="100" w:type="dxa"/>
            </w:tcMar>
          </w:tcPr>
          <w:p w14:paraId="4B950249">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Media exposure to family planning</w:t>
            </w:r>
          </w:p>
        </w:tc>
      </w:tr>
      <w:tr w14:paraId="20E4C409">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100" w:type="dxa"/>
            <w:left w:w="100" w:type="dxa"/>
            <w:bottom w:w="100" w:type="dxa"/>
            <w:right w:w="100" w:type="dxa"/>
          </w:tblCellMar>
        </w:tblPrEx>
        <w:trPr>
          <w:trHeight w:val="515" w:hRule="atLeast"/>
        </w:trPr>
        <w:tc>
          <w:tcPr>
            <w:tcW w:w="4815" w:type="dxa"/>
            <w:tcBorders>
              <w:top w:val="nil"/>
              <w:left w:val="nil"/>
              <w:bottom w:val="nil"/>
              <w:right w:val="nil"/>
            </w:tcBorders>
            <w:tcMar>
              <w:top w:w="100" w:type="dxa"/>
              <w:left w:w="100" w:type="dxa"/>
              <w:bottom w:w="100" w:type="dxa"/>
              <w:right w:w="100" w:type="dxa"/>
            </w:tcMar>
          </w:tcPr>
          <w:p w14:paraId="5358ED69">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Cultural and religious restrictions</w:t>
            </w:r>
          </w:p>
        </w:tc>
        <w:tc>
          <w:tcPr>
            <w:tcW w:w="4410" w:type="dxa"/>
            <w:tcBorders>
              <w:top w:val="nil"/>
              <w:left w:val="nil"/>
              <w:bottom w:val="nil"/>
              <w:right w:val="nil"/>
            </w:tcBorders>
            <w:tcMar>
              <w:top w:w="100" w:type="dxa"/>
              <w:left w:w="100" w:type="dxa"/>
              <w:bottom w:w="100" w:type="dxa"/>
              <w:right w:w="100" w:type="dxa"/>
            </w:tcMar>
          </w:tcPr>
          <w:p w14:paraId="1598C5B1">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Higher education</w:t>
            </w:r>
          </w:p>
        </w:tc>
      </w:tr>
      <w:tr w14:paraId="0641773E">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100" w:type="dxa"/>
            <w:left w:w="100" w:type="dxa"/>
            <w:bottom w:w="100" w:type="dxa"/>
            <w:right w:w="100" w:type="dxa"/>
          </w:tblCellMar>
        </w:tblPrEx>
        <w:trPr>
          <w:trHeight w:val="515" w:hRule="atLeast"/>
        </w:trPr>
        <w:tc>
          <w:tcPr>
            <w:tcW w:w="4815" w:type="dxa"/>
            <w:tcBorders>
              <w:top w:val="nil"/>
              <w:left w:val="nil"/>
              <w:bottom w:val="nil"/>
              <w:right w:val="nil"/>
            </w:tcBorders>
            <w:tcMar>
              <w:top w:w="100" w:type="dxa"/>
              <w:left w:w="100" w:type="dxa"/>
              <w:bottom w:w="100" w:type="dxa"/>
              <w:right w:w="100" w:type="dxa"/>
            </w:tcMar>
          </w:tcPr>
          <w:p w14:paraId="0341519C">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Stigma (especially for unmarried adolescents)</w:t>
            </w:r>
          </w:p>
        </w:tc>
        <w:tc>
          <w:tcPr>
            <w:tcW w:w="4410" w:type="dxa"/>
            <w:tcBorders>
              <w:top w:val="nil"/>
              <w:left w:val="nil"/>
              <w:bottom w:val="nil"/>
              <w:right w:val="nil"/>
            </w:tcBorders>
            <w:tcMar>
              <w:top w:w="100" w:type="dxa"/>
              <w:left w:w="100" w:type="dxa"/>
              <w:bottom w:w="100" w:type="dxa"/>
              <w:right w:w="100" w:type="dxa"/>
            </w:tcMar>
          </w:tcPr>
          <w:p w14:paraId="7BE473F5">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Partner support</w:t>
            </w:r>
          </w:p>
        </w:tc>
      </w:tr>
      <w:tr w14:paraId="1BBB5E1B">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100" w:type="dxa"/>
            <w:left w:w="100" w:type="dxa"/>
            <w:bottom w:w="100" w:type="dxa"/>
            <w:right w:w="100" w:type="dxa"/>
          </w:tblCellMar>
        </w:tblPrEx>
        <w:trPr>
          <w:trHeight w:val="515" w:hRule="atLeast"/>
        </w:trPr>
        <w:tc>
          <w:tcPr>
            <w:tcW w:w="4815" w:type="dxa"/>
            <w:tcBorders>
              <w:top w:val="nil"/>
              <w:left w:val="nil"/>
              <w:bottom w:val="nil"/>
              <w:right w:val="nil"/>
            </w:tcBorders>
            <w:tcMar>
              <w:top w:w="100" w:type="dxa"/>
              <w:left w:w="100" w:type="dxa"/>
              <w:bottom w:w="100" w:type="dxa"/>
              <w:right w:w="100" w:type="dxa"/>
            </w:tcMar>
          </w:tcPr>
          <w:p w14:paraId="18884C09">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Poor access to youth-friendly services</w:t>
            </w:r>
          </w:p>
        </w:tc>
        <w:tc>
          <w:tcPr>
            <w:tcW w:w="4410" w:type="dxa"/>
            <w:tcBorders>
              <w:top w:val="nil"/>
              <w:left w:val="nil"/>
              <w:bottom w:val="nil"/>
              <w:right w:val="nil"/>
            </w:tcBorders>
            <w:tcMar>
              <w:top w:w="100" w:type="dxa"/>
              <w:left w:w="100" w:type="dxa"/>
              <w:bottom w:w="100" w:type="dxa"/>
              <w:right w:w="100" w:type="dxa"/>
            </w:tcMar>
          </w:tcPr>
          <w:p w14:paraId="3FD9A5D3">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Urban residence</w:t>
            </w:r>
          </w:p>
        </w:tc>
      </w:tr>
      <w:tr w14:paraId="30CB1C51">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100" w:type="dxa"/>
            <w:left w:w="100" w:type="dxa"/>
            <w:bottom w:w="100" w:type="dxa"/>
            <w:right w:w="100" w:type="dxa"/>
          </w:tblCellMar>
        </w:tblPrEx>
        <w:trPr>
          <w:trHeight w:val="515" w:hRule="atLeast"/>
        </w:trPr>
        <w:tc>
          <w:tcPr>
            <w:tcW w:w="4815" w:type="dxa"/>
            <w:tcBorders>
              <w:top w:val="nil"/>
              <w:left w:val="nil"/>
              <w:bottom w:val="nil"/>
              <w:right w:val="nil"/>
            </w:tcBorders>
            <w:tcMar>
              <w:top w:w="100" w:type="dxa"/>
              <w:left w:w="100" w:type="dxa"/>
              <w:bottom w:w="100" w:type="dxa"/>
              <w:right w:w="100" w:type="dxa"/>
            </w:tcMar>
          </w:tcPr>
          <w:p w14:paraId="7E15EC19">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Provider bias and lack of confidentiality</w:t>
            </w:r>
          </w:p>
        </w:tc>
        <w:tc>
          <w:tcPr>
            <w:tcW w:w="4410" w:type="dxa"/>
            <w:tcBorders>
              <w:top w:val="nil"/>
              <w:left w:val="nil"/>
              <w:bottom w:val="nil"/>
              <w:right w:val="nil"/>
            </w:tcBorders>
            <w:tcMar>
              <w:top w:w="100" w:type="dxa"/>
              <w:left w:w="100" w:type="dxa"/>
              <w:bottom w:w="100" w:type="dxa"/>
              <w:right w:w="100" w:type="dxa"/>
            </w:tcMar>
          </w:tcPr>
          <w:p w14:paraId="2A0F876D">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Awareness programs</w:t>
            </w:r>
          </w:p>
        </w:tc>
      </w:tr>
      <w:tr w14:paraId="4C46EE5A">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100" w:type="dxa"/>
            <w:left w:w="100" w:type="dxa"/>
            <w:bottom w:w="100" w:type="dxa"/>
            <w:right w:w="100" w:type="dxa"/>
          </w:tblCellMar>
        </w:tblPrEx>
        <w:trPr>
          <w:trHeight w:val="515" w:hRule="atLeast"/>
        </w:trPr>
        <w:tc>
          <w:tcPr>
            <w:tcW w:w="4815" w:type="dxa"/>
            <w:tcBorders>
              <w:top w:val="nil"/>
              <w:left w:val="nil"/>
              <w:bottom w:val="nil"/>
              <w:right w:val="nil"/>
            </w:tcBorders>
            <w:tcMar>
              <w:top w:w="100" w:type="dxa"/>
              <w:left w:w="100" w:type="dxa"/>
              <w:bottom w:w="100" w:type="dxa"/>
              <w:right w:w="100" w:type="dxa"/>
            </w:tcMar>
          </w:tcPr>
          <w:p w14:paraId="7B0A2058">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Poverty and cost of services</w:t>
            </w:r>
          </w:p>
        </w:tc>
        <w:tc>
          <w:tcPr>
            <w:tcW w:w="4410" w:type="dxa"/>
            <w:tcBorders>
              <w:top w:val="nil"/>
              <w:left w:val="nil"/>
              <w:bottom w:val="nil"/>
              <w:right w:val="nil"/>
            </w:tcBorders>
            <w:tcMar>
              <w:top w:w="100" w:type="dxa"/>
              <w:left w:w="100" w:type="dxa"/>
              <w:bottom w:w="100" w:type="dxa"/>
              <w:right w:w="100" w:type="dxa"/>
            </w:tcMar>
          </w:tcPr>
          <w:p w14:paraId="4E87D6C4">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Improved health system access</w:t>
            </w:r>
          </w:p>
        </w:tc>
      </w:tr>
    </w:tbl>
    <w:p w14:paraId="5832C1AB">
      <w:pPr>
        <w:spacing w:line="240" w:lineRule="auto"/>
        <w:rPr>
          <w:rFonts w:ascii="Times New Roman" w:hAnsi="Times New Roman" w:eastAsia="Times New Roman" w:cs="Times New Roman"/>
          <w:sz w:val="24"/>
          <w:szCs w:val="24"/>
        </w:rPr>
      </w:pPr>
    </w:p>
    <w:p w14:paraId="2E3CA832">
      <w:pPr>
        <w:pStyle w:val="4"/>
        <w:keepNext w:val="0"/>
        <w:keepLines w:val="0"/>
        <w:spacing w:before="280" w:line="240" w:lineRule="auto"/>
        <w:rPr>
          <w:rFonts w:ascii="Times New Roman" w:hAnsi="Times New Roman" w:eastAsia="Times New Roman" w:cs="Times New Roman"/>
          <w:b/>
          <w:bCs/>
          <w:color w:val="000000"/>
          <w:sz w:val="24"/>
          <w:szCs w:val="24"/>
        </w:rPr>
      </w:pPr>
      <w:bookmarkStart w:id="43" w:name="_b6568jabss5i" w:colFirst="0" w:colLast="0"/>
      <w:bookmarkEnd w:id="43"/>
      <w:r>
        <w:rPr>
          <w:rFonts w:ascii="Times New Roman" w:hAnsi="Times New Roman" w:eastAsia="Times New Roman" w:cs="Times New Roman"/>
          <w:b/>
          <w:bCs/>
          <w:color w:val="000000"/>
          <w:sz w:val="24"/>
          <w:szCs w:val="24"/>
        </w:rPr>
        <w:t>Table 4: Quality Assessment of Included Studies (JBI Criteria)</w:t>
      </w:r>
    </w:p>
    <w:tbl>
      <w:tblPr>
        <w:tblStyle w:val="21"/>
        <w:tblW w:w="9360" w:type="dxa"/>
        <w:tblInd w:w="0" w:type="dxa"/>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ayout w:type="fixed"/>
        <w:tblCellMar>
          <w:top w:w="100" w:type="dxa"/>
          <w:left w:w="100" w:type="dxa"/>
          <w:bottom w:w="100" w:type="dxa"/>
          <w:right w:w="100" w:type="dxa"/>
        </w:tblCellMar>
      </w:tblPr>
      <w:tblGrid>
        <w:gridCol w:w="2790"/>
        <w:gridCol w:w="2085"/>
        <w:gridCol w:w="4485"/>
      </w:tblGrid>
      <w:tr w14:paraId="1ECA0668">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100" w:type="dxa"/>
            <w:left w:w="100" w:type="dxa"/>
            <w:bottom w:w="100" w:type="dxa"/>
            <w:right w:w="100" w:type="dxa"/>
          </w:tblCellMar>
        </w:tblPrEx>
        <w:trPr>
          <w:trHeight w:val="800" w:hRule="atLeast"/>
        </w:trPr>
        <w:tc>
          <w:tcPr>
            <w:tcW w:w="2790" w:type="dxa"/>
            <w:tcBorders>
              <w:top w:val="nil"/>
              <w:left w:val="nil"/>
              <w:bottom w:val="nil"/>
              <w:right w:val="nil"/>
            </w:tcBorders>
            <w:tcMar>
              <w:top w:w="100" w:type="dxa"/>
              <w:left w:w="100" w:type="dxa"/>
              <w:bottom w:w="100" w:type="dxa"/>
              <w:right w:w="100" w:type="dxa"/>
            </w:tcMar>
          </w:tcPr>
          <w:p w14:paraId="680D4F4B">
            <w:pPr>
              <w:spacing w:line="240" w:lineRule="auto"/>
              <w:rPr>
                <w:rFonts w:ascii="Times New Roman" w:hAnsi="Times New Roman" w:eastAsia="Times New Roman" w:cs="Times New Roman"/>
                <w:sz w:val="24"/>
                <w:szCs w:val="24"/>
              </w:rPr>
            </w:pPr>
            <w:r>
              <w:rPr>
                <w:rFonts w:ascii="Times New Roman" w:hAnsi="Times New Roman" w:eastAsia="Times New Roman" w:cs="Times New Roman"/>
                <w:b/>
                <w:bCs/>
                <w:sz w:val="24"/>
                <w:szCs w:val="24"/>
              </w:rPr>
              <w:t>Quality Rating</w:t>
            </w:r>
          </w:p>
        </w:tc>
        <w:tc>
          <w:tcPr>
            <w:tcW w:w="2085" w:type="dxa"/>
            <w:tcBorders>
              <w:top w:val="nil"/>
              <w:left w:val="nil"/>
              <w:bottom w:val="nil"/>
              <w:right w:val="nil"/>
            </w:tcBorders>
            <w:tcMar>
              <w:top w:w="100" w:type="dxa"/>
              <w:left w:w="100" w:type="dxa"/>
              <w:bottom w:w="100" w:type="dxa"/>
              <w:right w:w="100" w:type="dxa"/>
            </w:tcMar>
          </w:tcPr>
          <w:p w14:paraId="61A7D4E0">
            <w:pPr>
              <w:spacing w:line="240" w:lineRule="auto"/>
              <w:rPr>
                <w:rFonts w:ascii="Times New Roman" w:hAnsi="Times New Roman" w:eastAsia="Times New Roman" w:cs="Times New Roman"/>
                <w:sz w:val="24"/>
                <w:szCs w:val="24"/>
              </w:rPr>
            </w:pPr>
            <w:r>
              <w:rPr>
                <w:rFonts w:ascii="Times New Roman" w:hAnsi="Times New Roman" w:eastAsia="Times New Roman" w:cs="Times New Roman"/>
                <w:b/>
                <w:bCs/>
                <w:sz w:val="24"/>
                <w:szCs w:val="24"/>
              </w:rPr>
              <w:t>Number of Studies</w:t>
            </w:r>
          </w:p>
        </w:tc>
        <w:tc>
          <w:tcPr>
            <w:tcW w:w="4485" w:type="dxa"/>
            <w:tcBorders>
              <w:top w:val="nil"/>
              <w:left w:val="nil"/>
              <w:bottom w:val="nil"/>
              <w:right w:val="nil"/>
            </w:tcBorders>
            <w:tcMar>
              <w:top w:w="100" w:type="dxa"/>
              <w:left w:w="100" w:type="dxa"/>
              <w:bottom w:w="100" w:type="dxa"/>
              <w:right w:w="100" w:type="dxa"/>
            </w:tcMar>
          </w:tcPr>
          <w:p w14:paraId="7E9E6D0A">
            <w:pPr>
              <w:spacing w:line="240" w:lineRule="auto"/>
              <w:rPr>
                <w:rFonts w:ascii="Times New Roman" w:hAnsi="Times New Roman" w:eastAsia="Times New Roman" w:cs="Times New Roman"/>
                <w:sz w:val="24"/>
                <w:szCs w:val="24"/>
              </w:rPr>
            </w:pPr>
            <w:r>
              <w:rPr>
                <w:rFonts w:ascii="Times New Roman" w:hAnsi="Times New Roman" w:eastAsia="Times New Roman" w:cs="Times New Roman"/>
                <w:b/>
                <w:bCs/>
                <w:sz w:val="24"/>
                <w:szCs w:val="24"/>
              </w:rPr>
              <w:t>Characteristics</w:t>
            </w:r>
          </w:p>
        </w:tc>
      </w:tr>
      <w:tr w14:paraId="4DCE0AEA">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100" w:type="dxa"/>
            <w:left w:w="100" w:type="dxa"/>
            <w:bottom w:w="100" w:type="dxa"/>
            <w:right w:w="100" w:type="dxa"/>
          </w:tblCellMar>
        </w:tblPrEx>
        <w:trPr>
          <w:trHeight w:val="800" w:hRule="atLeast"/>
        </w:trPr>
        <w:tc>
          <w:tcPr>
            <w:tcW w:w="2790" w:type="dxa"/>
            <w:tcBorders>
              <w:top w:val="nil"/>
              <w:left w:val="nil"/>
              <w:bottom w:val="nil"/>
              <w:right w:val="nil"/>
            </w:tcBorders>
            <w:tcMar>
              <w:top w:w="100" w:type="dxa"/>
              <w:left w:w="100" w:type="dxa"/>
              <w:bottom w:w="100" w:type="dxa"/>
              <w:right w:w="100" w:type="dxa"/>
            </w:tcMar>
          </w:tcPr>
          <w:p w14:paraId="47647B4E">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High Quality</w:t>
            </w:r>
          </w:p>
        </w:tc>
        <w:tc>
          <w:tcPr>
            <w:tcW w:w="2085" w:type="dxa"/>
            <w:tcBorders>
              <w:top w:val="nil"/>
              <w:left w:val="nil"/>
              <w:bottom w:val="nil"/>
              <w:right w:val="nil"/>
            </w:tcBorders>
            <w:tcMar>
              <w:top w:w="100" w:type="dxa"/>
              <w:left w:w="100" w:type="dxa"/>
              <w:bottom w:w="100" w:type="dxa"/>
              <w:right w:w="100" w:type="dxa"/>
            </w:tcMar>
          </w:tcPr>
          <w:p w14:paraId="74DB29A9">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6</w:t>
            </w:r>
          </w:p>
        </w:tc>
        <w:tc>
          <w:tcPr>
            <w:tcW w:w="4485" w:type="dxa"/>
            <w:tcBorders>
              <w:top w:val="nil"/>
              <w:left w:val="nil"/>
              <w:bottom w:val="nil"/>
              <w:right w:val="nil"/>
            </w:tcBorders>
            <w:tcMar>
              <w:top w:w="100" w:type="dxa"/>
              <w:left w:w="100" w:type="dxa"/>
              <w:bottom w:w="100" w:type="dxa"/>
              <w:right w:w="100" w:type="dxa"/>
            </w:tcMar>
          </w:tcPr>
          <w:p w14:paraId="16DA3FCB">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Clear methodology, large samples, controlled confounders</w:t>
            </w:r>
          </w:p>
        </w:tc>
      </w:tr>
      <w:tr w14:paraId="44ED84E8">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100" w:type="dxa"/>
            <w:left w:w="100" w:type="dxa"/>
            <w:bottom w:w="100" w:type="dxa"/>
            <w:right w:w="100" w:type="dxa"/>
          </w:tblCellMar>
        </w:tblPrEx>
        <w:trPr>
          <w:trHeight w:val="800" w:hRule="atLeast"/>
        </w:trPr>
        <w:tc>
          <w:tcPr>
            <w:tcW w:w="2790" w:type="dxa"/>
            <w:tcBorders>
              <w:top w:val="nil"/>
              <w:left w:val="nil"/>
              <w:bottom w:val="nil"/>
              <w:right w:val="nil"/>
            </w:tcBorders>
            <w:tcMar>
              <w:top w:w="100" w:type="dxa"/>
              <w:left w:w="100" w:type="dxa"/>
              <w:bottom w:w="100" w:type="dxa"/>
              <w:right w:w="100" w:type="dxa"/>
            </w:tcMar>
          </w:tcPr>
          <w:p w14:paraId="74858760">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Moderate Quality</w:t>
            </w:r>
          </w:p>
        </w:tc>
        <w:tc>
          <w:tcPr>
            <w:tcW w:w="2085" w:type="dxa"/>
            <w:tcBorders>
              <w:top w:val="nil"/>
              <w:left w:val="nil"/>
              <w:bottom w:val="nil"/>
              <w:right w:val="nil"/>
            </w:tcBorders>
            <w:tcMar>
              <w:top w:w="100" w:type="dxa"/>
              <w:left w:w="100" w:type="dxa"/>
              <w:bottom w:w="100" w:type="dxa"/>
              <w:right w:w="100" w:type="dxa"/>
            </w:tcMar>
          </w:tcPr>
          <w:p w14:paraId="41A75BF2">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7</w:t>
            </w:r>
          </w:p>
        </w:tc>
        <w:tc>
          <w:tcPr>
            <w:tcW w:w="4485" w:type="dxa"/>
            <w:tcBorders>
              <w:top w:val="nil"/>
              <w:left w:val="nil"/>
              <w:bottom w:val="nil"/>
              <w:right w:val="nil"/>
            </w:tcBorders>
            <w:tcMar>
              <w:top w:w="100" w:type="dxa"/>
              <w:left w:w="100" w:type="dxa"/>
              <w:bottom w:w="100" w:type="dxa"/>
              <w:right w:w="100" w:type="dxa"/>
            </w:tcMar>
          </w:tcPr>
          <w:p w14:paraId="4C7F264F">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Some methodological limitations</w:t>
            </w:r>
          </w:p>
        </w:tc>
      </w:tr>
      <w:tr w14:paraId="2DC9A5BB">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100" w:type="dxa"/>
            <w:left w:w="100" w:type="dxa"/>
            <w:bottom w:w="100" w:type="dxa"/>
            <w:right w:w="100" w:type="dxa"/>
          </w:tblCellMar>
        </w:tblPrEx>
        <w:trPr>
          <w:trHeight w:val="515" w:hRule="atLeast"/>
        </w:trPr>
        <w:tc>
          <w:tcPr>
            <w:tcW w:w="2790" w:type="dxa"/>
            <w:tcBorders>
              <w:top w:val="nil"/>
              <w:left w:val="nil"/>
              <w:bottom w:val="nil"/>
              <w:right w:val="nil"/>
            </w:tcBorders>
            <w:tcMar>
              <w:top w:w="100" w:type="dxa"/>
              <w:left w:w="100" w:type="dxa"/>
              <w:bottom w:w="100" w:type="dxa"/>
              <w:right w:w="100" w:type="dxa"/>
            </w:tcMar>
          </w:tcPr>
          <w:p w14:paraId="67109ACF">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Low Quality</w:t>
            </w:r>
          </w:p>
        </w:tc>
        <w:tc>
          <w:tcPr>
            <w:tcW w:w="2085" w:type="dxa"/>
            <w:tcBorders>
              <w:top w:val="nil"/>
              <w:left w:val="nil"/>
              <w:bottom w:val="nil"/>
              <w:right w:val="nil"/>
            </w:tcBorders>
            <w:tcMar>
              <w:top w:w="100" w:type="dxa"/>
              <w:left w:w="100" w:type="dxa"/>
              <w:bottom w:w="100" w:type="dxa"/>
              <w:right w:w="100" w:type="dxa"/>
            </w:tcMar>
          </w:tcPr>
          <w:p w14:paraId="030FF1F0">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4485" w:type="dxa"/>
            <w:tcBorders>
              <w:top w:val="nil"/>
              <w:left w:val="nil"/>
              <w:bottom w:val="nil"/>
              <w:right w:val="nil"/>
            </w:tcBorders>
            <w:tcMar>
              <w:top w:w="100" w:type="dxa"/>
              <w:left w:w="100" w:type="dxa"/>
              <w:bottom w:w="100" w:type="dxa"/>
              <w:right w:w="100" w:type="dxa"/>
            </w:tcMar>
          </w:tcPr>
          <w:p w14:paraId="15C12589">
            <w:pPr>
              <w:spacing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Small samples, limited statistical rigor</w:t>
            </w:r>
          </w:p>
        </w:tc>
      </w:tr>
    </w:tbl>
    <w:p w14:paraId="2BE7C0D0">
      <w:pPr>
        <w:spacing w:line="240" w:lineRule="auto"/>
        <w:rPr>
          <w:rFonts w:ascii="Times New Roman" w:hAnsi="Times New Roman" w:eastAsia="Times New Roman" w:cs="Times New Roman"/>
          <w:sz w:val="24"/>
          <w:szCs w:val="24"/>
        </w:rPr>
      </w:pPr>
    </w:p>
    <w:sectPr>
      <w:headerReference r:id="rId7" w:type="first"/>
      <w:footerReference r:id="rId10" w:type="first"/>
      <w:headerReference r:id="rId5" w:type="default"/>
      <w:footerReference r:id="rId8" w:type="default"/>
      <w:headerReference r:id="rId6" w:type="even"/>
      <w:footerReference r:id="rId9" w:type="even"/>
      <w:pgSz w:w="12240" w:h="15840"/>
      <w:pgMar w:top="1440" w:right="1440" w:bottom="1440" w:left="1440" w:header="720" w:footer="720" w:gutter="0"/>
      <w:pgNumType w:start="1"/>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embedRegular r:id="rId1" w:fontKey="{922263B6-B4E2-4C1C-ADE9-432D2BD1C8D3}"/>
  </w:font>
  <w:font w:name="Arial">
    <w:panose1 w:val="020B0604020202020204"/>
    <w:charset w:val="00"/>
    <w:family w:val="swiss"/>
    <w:pitch w:val="default"/>
    <w:sig w:usb0="E0002EFF" w:usb1="C000785B" w:usb2="00000009" w:usb3="00000000" w:csb0="400001FF" w:csb1="FFFF0000"/>
    <w:embedRegular r:id="rId2" w:fontKey="{A10D0EA4-B077-4405-85DC-06D519870F98}"/>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embedRegular r:id="rId3" w:fontKey="{AB7BFF85-BD4E-402E-BA0B-04B15D82045E}"/>
  </w:font>
  <w:font w:name="Wingdings">
    <w:panose1 w:val="05000000000000000000"/>
    <w:charset w:val="02"/>
    <w:family w:val="auto"/>
    <w:pitch w:val="default"/>
    <w:sig w:usb0="00000000" w:usb1="00000000" w:usb2="00000000" w:usb3="00000000" w:csb0="80000000" w:csb1="00000000"/>
    <w:embedRegular r:id="rId4" w:fontKey="{45513D18-2D3B-4C64-AFDB-4BD69421E9F5}"/>
  </w:font>
  <w:font w:name="Calibri">
    <w:panose1 w:val="020F0502020204030204"/>
    <w:charset w:val="00"/>
    <w:family w:val="swiss"/>
    <w:pitch w:val="default"/>
    <w:sig w:usb0="E4002EFF" w:usb1="C200247B" w:usb2="00000009" w:usb3="00000000" w:csb0="200001FF" w:csb1="00000000"/>
    <w:embedRegular r:id="rId5" w:fontKey="{7762899A-2521-46BF-98AD-0A6FD970EA79}"/>
  </w:font>
  <w:font w:name="等线">
    <w:altName w:val="Microsoft YaHei"/>
    <w:panose1 w:val="00000000000000000000"/>
    <w:charset w:val="86"/>
    <w:family w:val="auto"/>
    <w:pitch w:val="default"/>
    <w:sig w:usb0="00000000" w:usb1="00000000" w:usb2="00000000" w:usb3="00000000" w:csb0="00000000" w:csb1="00000000"/>
  </w:font>
  <w:font w:name="Arial">
    <w:panose1 w:val="020B0604020202020204"/>
    <w:charset w:val="86"/>
    <w:family w:val="swiss"/>
    <w:pitch w:val="default"/>
    <w:sig w:usb0="E0002EFF" w:usb1="C000785B" w:usb2="00000009" w:usb3="00000000" w:csb0="400001FF" w:csb1="FFFF0000"/>
    <w:embedRegular r:id="rId6" w:fontKey="{874F4CA3-BE36-469F-8CAF-6E35BE9B6F40}"/>
  </w:font>
  <w:font w:name="Cardo">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embedRegular r:id="rId7" w:fontKey="{046F57B0-CD1D-4E48-88E5-929C6E77E2E4}"/>
  </w:font>
  <w:font w:name="Microsoft YaHei">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18BE294">
    <w:pPr>
      <w:pStyle w:val="1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8EC520">
    <w:pPr>
      <w:pStyle w:val="1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106AEF">
    <w:pPr>
      <w:pStyle w:val="1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76" w:lineRule="auto"/>
      </w:pPr>
      <w:r>
        <w:separator/>
      </w:r>
    </w:p>
  </w:footnote>
  <w:footnote w:type="continuationSeparator" w:id="1">
    <w:p>
      <w:pPr>
        <w:spacing w:line="276"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D1739B1">
    <w:pPr>
      <w:pStyle w:val="11"/>
    </w:pPr>
    <w:r>
      <w:pict>
        <v:shape id="PowerPlusWaterMarkObject10997033" o:spid="_x0000_s2051" o:spt="136" type="#_x0000_t136" style="position:absolute;left:0pt;height:66.9pt;width:592.85pt;mso-position-horizontal:center;mso-position-horizontal-relative:margin;mso-position-vertical:center;mso-position-vertical-relative:margin;rotation:20643840f;z-index:-251654144;mso-width-relative:page;mso-height-relative:page;" fillcolor="#C0C0C0" filled="t" stroked="f" coordsize="21600,21600" o:allowincell="f">
          <v:path/>
          <v:fill on="t" opacity="32768f" focussize="0,0"/>
          <v:stroke on="f"/>
          <v:imagedata o:title=""/>
          <o:lock v:ext="edit"/>
          <v:textpath on="t" fitshape="t" fitpath="t" trim="f" xscale="f" string="UNDER PEER REVIEW" style="font-family:Arial;font-size:1pt;v-text-align:center;"/>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58D78F6">
    <w:pPr>
      <w:pStyle w:val="11"/>
    </w:pPr>
    <w:r>
      <w:pict>
        <v:shape id="PowerPlusWaterMarkObject10997032" o:spid="_x0000_s2050" o:spt="136" type="#_x0000_t136" style="position:absolute;left:0pt;height:66.9pt;width:592.85pt;mso-position-horizontal:center;mso-position-horizontal-relative:margin;mso-position-vertical:center;mso-position-vertical-relative:margin;rotation:20643840f;z-index:-251655168;mso-width-relative:page;mso-height-relative:page;" fillcolor="#C0C0C0" filled="t" stroked="f" coordsize="21600,21600" o:allowincell="f">
          <v:path/>
          <v:fill on="t" opacity="32768f" focussize="0,0"/>
          <v:stroke on="f"/>
          <v:imagedata o:title=""/>
          <o:lock v:ext="edit"/>
          <v:textpath on="t" fitshape="t" fitpath="t" trim="f" xscale="f" string="UNDER PEER REVIEW" style="font-family:Arial;font-size:1pt;v-text-align:center;"/>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2430F38">
    <w:pPr>
      <w:pStyle w:val="11"/>
    </w:pPr>
    <w:r>
      <w:pict>
        <v:shape id="PowerPlusWaterMarkObject10997031" o:spid="_x0000_s2049" o:spt="136" type="#_x0000_t136" style="position:absolute;left:0pt;height:66.9pt;width:592.85pt;mso-position-horizontal:center;mso-position-horizontal-relative:margin;mso-position-vertical:center;mso-position-vertical-relative:margin;rotation:20643840f;z-index:-251656192;mso-width-relative:page;mso-height-relative:page;" fillcolor="#C0C0C0" filled="t" stroked="f" coordsize="21600,21600" o:allowincell="f">
          <v:path/>
          <v:fill on="t" opacity="32768f" focussize="0,0"/>
          <v:stroke on="f"/>
          <v:imagedata o:title=""/>
          <o:lock v:ext="edit"/>
          <v:textpath on="t" fitshape="t" fitpath="t" trim="f" xscale="f" string="UNDER PEER REVIEW" style="font-family:Arial;font-size:1pt;v-text-align:center;"/>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53208E"/>
    <w:multiLevelType w:val="multilevel"/>
    <w:tmpl w:val="0053208E"/>
    <w:lvl w:ilvl="0" w:tentative="0">
      <w:start w:val="1"/>
      <w:numFmt w:val="decimal"/>
      <w:lvlText w:val="%1."/>
      <w:lvlJc w:val="left"/>
      <w:pPr>
        <w:ind w:left="720" w:hanging="360"/>
      </w:pPr>
      <w:rPr>
        <w:u w:val="none"/>
      </w:rPr>
    </w:lvl>
    <w:lvl w:ilvl="1" w:tentative="0">
      <w:start w:val="1"/>
      <w:numFmt w:val="lowerLetter"/>
      <w:lvlText w:val="%2."/>
      <w:lvlJc w:val="left"/>
      <w:pPr>
        <w:ind w:left="1440" w:hanging="360"/>
      </w:pPr>
      <w:rPr>
        <w:u w:val="none"/>
      </w:rPr>
    </w:lvl>
    <w:lvl w:ilvl="2" w:tentative="0">
      <w:start w:val="1"/>
      <w:numFmt w:val="lowerRoman"/>
      <w:lvlText w:val="%3."/>
      <w:lvlJc w:val="left"/>
      <w:pPr>
        <w:ind w:left="2160" w:hanging="360"/>
      </w:pPr>
      <w:rPr>
        <w:u w:val="none"/>
      </w:rPr>
    </w:lvl>
    <w:lvl w:ilvl="3" w:tentative="0">
      <w:start w:val="1"/>
      <w:numFmt w:val="decimal"/>
      <w:lvlText w:val="%4."/>
      <w:lvlJc w:val="left"/>
      <w:pPr>
        <w:ind w:left="2880" w:hanging="360"/>
      </w:pPr>
      <w:rPr>
        <w:u w:val="none"/>
      </w:rPr>
    </w:lvl>
    <w:lvl w:ilvl="4" w:tentative="0">
      <w:start w:val="1"/>
      <w:numFmt w:val="lowerLetter"/>
      <w:lvlText w:val="%5."/>
      <w:lvlJc w:val="left"/>
      <w:pPr>
        <w:ind w:left="3600" w:hanging="360"/>
      </w:pPr>
      <w:rPr>
        <w:u w:val="none"/>
      </w:rPr>
    </w:lvl>
    <w:lvl w:ilvl="5" w:tentative="0">
      <w:start w:val="1"/>
      <w:numFmt w:val="lowerRoman"/>
      <w:lvlText w:val="%6."/>
      <w:lvlJc w:val="left"/>
      <w:pPr>
        <w:ind w:left="4320" w:hanging="360"/>
      </w:pPr>
      <w:rPr>
        <w:u w:val="none"/>
      </w:rPr>
    </w:lvl>
    <w:lvl w:ilvl="6" w:tentative="0">
      <w:start w:val="1"/>
      <w:numFmt w:val="decimal"/>
      <w:lvlText w:val="%7."/>
      <w:lvlJc w:val="left"/>
      <w:pPr>
        <w:ind w:left="5040" w:hanging="360"/>
      </w:pPr>
      <w:rPr>
        <w:u w:val="none"/>
      </w:rPr>
    </w:lvl>
    <w:lvl w:ilvl="7" w:tentative="0">
      <w:start w:val="1"/>
      <w:numFmt w:val="lowerLetter"/>
      <w:lvlText w:val="%8."/>
      <w:lvlJc w:val="left"/>
      <w:pPr>
        <w:ind w:left="5760" w:hanging="360"/>
      </w:pPr>
      <w:rPr>
        <w:u w:val="none"/>
      </w:rPr>
    </w:lvl>
    <w:lvl w:ilvl="8" w:tentative="0">
      <w:start w:val="1"/>
      <w:numFmt w:val="lowerRoman"/>
      <w:lvlText w:val="%9."/>
      <w:lvlJc w:val="left"/>
      <w:pPr>
        <w:ind w:left="6480" w:hanging="360"/>
      </w:pPr>
      <w:rPr>
        <w:u w:val="none"/>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TrueTypeFonts/>
  <w:bordersDoNotSurroundHeader w:val="0"/>
  <w:bordersDoNotSurroundFooter w:val="0"/>
  <w:documentProtection w:enforcement="0"/>
  <w:defaultTabStop w:val="720"/>
  <w:displayHorizontalDrawingGridEvery w:val="1"/>
  <w:displayVerticalDrawingGridEvery w:val="1"/>
  <w:noPunctuationKerning w:val="1"/>
  <w:characterSpacingControl w:val="doNotCompress"/>
  <w:hdrShapeDefaults>
    <o:shapelayout v:ext="edit">
      <o:idmap v:ext="edit" data="2"/>
    </o:shapelayout>
  </w:hdrShapeDefaults>
  <w:footnotePr>
    <w:footnote w:id="0"/>
    <w:footnote w:id="1"/>
  </w:footnotePr>
  <w:endnotePr>
    <w:endnote w:id="0"/>
    <w:endnote w:id="1"/>
  </w:endnotePr>
  <w:compat>
    <w:doNotExpandShiftReturn/>
    <w:doNotWrapTextWithPunct/>
    <w:doNotUseEastAsian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A45C3"/>
    <w:rsid w:val="00406A87"/>
    <w:rsid w:val="00594977"/>
    <w:rsid w:val="007A2C75"/>
    <w:rsid w:val="007A45C3"/>
    <w:rsid w:val="007F213B"/>
    <w:rsid w:val="00873353"/>
    <w:rsid w:val="008D2754"/>
    <w:rsid w:val="00B10601"/>
    <w:rsid w:val="00BE6635"/>
    <w:rsid w:val="00C22DE1"/>
    <w:rsid w:val="00D56734"/>
    <w:rsid w:val="05ED4A22"/>
    <w:rsid w:val="25FD7F66"/>
    <w:rsid w:val="4D2137D8"/>
    <w:rsid w:val="4F165DC8"/>
    <w:rsid w:val="520D589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SimSun"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unhideWhenUsed="0" w:uiPriority="0" w:semiHidden="0" w:name="heading 4"/>
    <w:lsdException w:unhideWhenUsed="0" w:uiPriority="0" w:semiHidden="0" w:name="heading 5"/>
    <w:lsdException w:qFormat="1" w:unhideWhenUsed="0" w:uiPriority="0" w:semiHidden="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line="276" w:lineRule="auto"/>
    </w:pPr>
    <w:rPr>
      <w:rFonts w:ascii="Arial" w:hAnsi="Arial" w:eastAsia="Arial" w:cs="Arial"/>
      <w:sz w:val="22"/>
      <w:szCs w:val="22"/>
      <w:lang w:val="en" w:eastAsia="en-GB" w:bidi="ar-SA"/>
    </w:rPr>
  </w:style>
  <w:style w:type="paragraph" w:styleId="2">
    <w:name w:val="heading 1"/>
    <w:basedOn w:val="1"/>
    <w:next w:val="1"/>
    <w:qFormat/>
    <w:uiPriority w:val="0"/>
    <w:pPr>
      <w:keepNext/>
      <w:keepLines/>
      <w:spacing w:before="400" w:after="120"/>
      <w:outlineLvl w:val="0"/>
    </w:pPr>
    <w:rPr>
      <w:sz w:val="40"/>
      <w:szCs w:val="40"/>
    </w:rPr>
  </w:style>
  <w:style w:type="paragraph" w:styleId="3">
    <w:name w:val="heading 2"/>
    <w:basedOn w:val="1"/>
    <w:next w:val="1"/>
    <w:qFormat/>
    <w:uiPriority w:val="0"/>
    <w:pPr>
      <w:keepNext/>
      <w:keepLines/>
      <w:spacing w:before="360" w:after="120"/>
      <w:outlineLvl w:val="1"/>
    </w:pPr>
    <w:rPr>
      <w:sz w:val="32"/>
      <w:szCs w:val="32"/>
    </w:rPr>
  </w:style>
  <w:style w:type="paragraph" w:styleId="4">
    <w:name w:val="heading 3"/>
    <w:basedOn w:val="1"/>
    <w:next w:val="1"/>
    <w:qFormat/>
    <w:uiPriority w:val="0"/>
    <w:pPr>
      <w:keepNext/>
      <w:keepLines/>
      <w:spacing w:before="320" w:after="80"/>
      <w:outlineLvl w:val="2"/>
    </w:pPr>
    <w:rPr>
      <w:color w:val="434343"/>
      <w:sz w:val="28"/>
      <w:szCs w:val="28"/>
    </w:rPr>
  </w:style>
  <w:style w:type="paragraph" w:styleId="5">
    <w:name w:val="heading 4"/>
    <w:basedOn w:val="1"/>
    <w:next w:val="1"/>
    <w:uiPriority w:val="0"/>
    <w:pPr>
      <w:keepNext/>
      <w:keepLines/>
      <w:spacing w:before="280" w:after="80"/>
      <w:outlineLvl w:val="3"/>
    </w:pPr>
    <w:rPr>
      <w:color w:val="666666"/>
      <w:sz w:val="24"/>
      <w:szCs w:val="24"/>
    </w:rPr>
  </w:style>
  <w:style w:type="paragraph" w:styleId="6">
    <w:name w:val="heading 5"/>
    <w:basedOn w:val="1"/>
    <w:next w:val="1"/>
    <w:uiPriority w:val="0"/>
    <w:pPr>
      <w:keepNext/>
      <w:keepLines/>
      <w:spacing w:before="240" w:after="80"/>
      <w:outlineLvl w:val="4"/>
    </w:pPr>
    <w:rPr>
      <w:color w:val="666666"/>
    </w:rPr>
  </w:style>
  <w:style w:type="paragraph" w:styleId="7">
    <w:name w:val="heading 6"/>
    <w:basedOn w:val="1"/>
    <w:next w:val="1"/>
    <w:qFormat/>
    <w:uiPriority w:val="0"/>
    <w:pPr>
      <w:keepNext/>
      <w:keepLines/>
      <w:spacing w:before="240" w:after="80"/>
      <w:outlineLvl w:val="5"/>
    </w:pPr>
    <w:rPr>
      <w:i/>
      <w:iCs/>
      <w:color w:val="666666"/>
    </w:rPr>
  </w:style>
  <w:style w:type="character" w:default="1" w:styleId="8">
    <w:name w:val="Default Paragraph Font"/>
    <w:semiHidden/>
    <w:unhideWhenUsed/>
    <w:uiPriority w:val="1"/>
  </w:style>
  <w:style w:type="table" w:default="1" w:styleId="9">
    <w:name w:val="Normal Table"/>
    <w:semiHidden/>
    <w:unhideWhenUsed/>
    <w:qFormat/>
    <w:uiPriority w:val="99"/>
    <w:tblPr>
      <w:tblCellMar>
        <w:top w:w="0" w:type="dxa"/>
        <w:left w:w="108" w:type="dxa"/>
        <w:bottom w:w="0" w:type="dxa"/>
        <w:right w:w="108" w:type="dxa"/>
      </w:tblCellMar>
    </w:tblPr>
  </w:style>
  <w:style w:type="paragraph" w:styleId="10">
    <w:name w:val="footer"/>
    <w:basedOn w:val="1"/>
    <w:link w:val="24"/>
    <w:qFormat/>
    <w:uiPriority w:val="0"/>
    <w:pPr>
      <w:tabs>
        <w:tab w:val="center" w:pos="4680"/>
        <w:tab w:val="right" w:pos="9360"/>
      </w:tabs>
      <w:spacing w:line="240" w:lineRule="auto"/>
    </w:pPr>
  </w:style>
  <w:style w:type="paragraph" w:styleId="11">
    <w:name w:val="header"/>
    <w:basedOn w:val="1"/>
    <w:link w:val="23"/>
    <w:qFormat/>
    <w:uiPriority w:val="0"/>
    <w:pPr>
      <w:tabs>
        <w:tab w:val="center" w:pos="4680"/>
        <w:tab w:val="right" w:pos="9360"/>
      </w:tabs>
      <w:spacing w:line="240" w:lineRule="auto"/>
    </w:pPr>
  </w:style>
  <w:style w:type="character" w:styleId="12">
    <w:name w:val="Hyperlink"/>
    <w:basedOn w:val="8"/>
    <w:uiPriority w:val="0"/>
    <w:rPr>
      <w:color w:val="0000FF" w:themeColor="hyperlink"/>
      <w:u w:val="single"/>
      <w14:textFill>
        <w14:solidFill>
          <w14:schemeClr w14:val="hlink"/>
        </w14:solidFill>
      </w14:textFill>
    </w:rPr>
  </w:style>
  <w:style w:type="paragraph" w:styleId="13">
    <w:name w:val="Normal (Web)"/>
    <w:uiPriority w:val="0"/>
    <w:pPr>
      <w:spacing w:before="0" w:beforeAutospacing="1" w:after="0" w:afterAutospacing="1"/>
      <w:ind w:left="0" w:right="0"/>
      <w:jc w:val="left"/>
    </w:pPr>
    <w:rPr>
      <w:kern w:val="0"/>
      <w:sz w:val="24"/>
      <w:szCs w:val="24"/>
      <w:lang w:val="en-US" w:eastAsia="zh-CN" w:bidi="ar"/>
    </w:rPr>
  </w:style>
  <w:style w:type="character" w:styleId="14">
    <w:name w:val="Strong"/>
    <w:basedOn w:val="8"/>
    <w:qFormat/>
    <w:uiPriority w:val="0"/>
    <w:rPr>
      <w:b/>
      <w:bCs/>
    </w:rPr>
  </w:style>
  <w:style w:type="paragraph" w:styleId="15">
    <w:name w:val="Subtitle"/>
    <w:basedOn w:val="1"/>
    <w:next w:val="1"/>
    <w:qFormat/>
    <w:uiPriority w:val="0"/>
    <w:pPr>
      <w:keepNext/>
      <w:keepLines/>
      <w:spacing w:after="320"/>
    </w:pPr>
    <w:rPr>
      <w:color w:val="666666"/>
      <w:sz w:val="30"/>
      <w:szCs w:val="30"/>
    </w:rPr>
  </w:style>
  <w:style w:type="paragraph" w:styleId="16">
    <w:name w:val="Title"/>
    <w:basedOn w:val="1"/>
    <w:next w:val="1"/>
    <w:qFormat/>
    <w:uiPriority w:val="0"/>
    <w:pPr>
      <w:keepNext/>
      <w:keepLines/>
      <w:spacing w:after="60"/>
    </w:pPr>
    <w:rPr>
      <w:sz w:val="52"/>
      <w:szCs w:val="52"/>
    </w:rPr>
  </w:style>
  <w:style w:type="table" w:customStyle="1" w:styleId="17">
    <w:name w:val="TableNormal"/>
    <w:qFormat/>
    <w:uiPriority w:val="0"/>
    <w:tblPr>
      <w:tblCellMar>
        <w:top w:w="100" w:type="dxa"/>
        <w:left w:w="100" w:type="dxa"/>
        <w:bottom w:w="100" w:type="dxa"/>
        <w:right w:w="100" w:type="dxa"/>
      </w:tblCellMar>
    </w:tblPr>
  </w:style>
  <w:style w:type="table" w:customStyle="1" w:styleId="18">
    <w:name w:val="_Style 10"/>
    <w:basedOn w:val="17"/>
    <w:qFormat/>
    <w:uiPriority w:val="0"/>
  </w:style>
  <w:style w:type="table" w:customStyle="1" w:styleId="19">
    <w:name w:val="_Style 11"/>
    <w:basedOn w:val="17"/>
    <w:qFormat/>
    <w:uiPriority w:val="0"/>
  </w:style>
  <w:style w:type="table" w:customStyle="1" w:styleId="20">
    <w:name w:val="_Style 12"/>
    <w:basedOn w:val="17"/>
    <w:qFormat/>
    <w:uiPriority w:val="0"/>
  </w:style>
  <w:style w:type="table" w:customStyle="1" w:styleId="21">
    <w:name w:val="_Style 13"/>
    <w:basedOn w:val="17"/>
    <w:qFormat/>
    <w:uiPriority w:val="0"/>
  </w:style>
  <w:style w:type="character" w:customStyle="1" w:styleId="22">
    <w:name w:val="Unresolved Mention"/>
    <w:basedOn w:val="8"/>
    <w:semiHidden/>
    <w:unhideWhenUsed/>
    <w:uiPriority w:val="99"/>
    <w:rPr>
      <w:color w:val="605E5C"/>
      <w:shd w:val="clear" w:color="auto" w:fill="E1DFDD"/>
    </w:rPr>
  </w:style>
  <w:style w:type="character" w:customStyle="1" w:styleId="23">
    <w:name w:val="Header Char"/>
    <w:basedOn w:val="8"/>
    <w:link w:val="11"/>
    <w:qFormat/>
    <w:uiPriority w:val="0"/>
    <w:rPr>
      <w:sz w:val="22"/>
      <w:szCs w:val="22"/>
      <w:lang w:val="en"/>
    </w:rPr>
  </w:style>
  <w:style w:type="character" w:customStyle="1" w:styleId="24">
    <w:name w:val="Footer Char"/>
    <w:basedOn w:val="8"/>
    <w:link w:val="10"/>
    <w:qFormat/>
    <w:uiPriority w:val="0"/>
    <w:rPr>
      <w:sz w:val="22"/>
      <w:szCs w:val="22"/>
      <w:lang w:val="en"/>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3.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4" Type="http://schemas.openxmlformats.org/officeDocument/2006/relationships/fontTable" Target="fontTable.xml"/><Relationship Id="rId13" Type="http://schemas.openxmlformats.org/officeDocument/2006/relationships/numbering" Target="numbering.xml"/><Relationship Id="rId12" Type="http://schemas.openxmlformats.org/officeDocument/2006/relationships/customXml" Target="../customXml/item1.xml"/><Relationship Id="rId11" Type="http://schemas.openxmlformats.org/officeDocument/2006/relationships/theme" Target="theme/theme1.xml"/><Relationship Id="rId10" Type="http://schemas.openxmlformats.org/officeDocument/2006/relationships/footer" Target="footer3.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2051"/>
    <customShpInfo spid="_x0000_s2050"/>
    <customShpInfo spid="_x0000_s2049"/>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18</Pages>
  <Words>6159</Words>
  <Characters>35110</Characters>
  <Lines>292</Lines>
  <Paragraphs>82</Paragraphs>
  <TotalTime>9</TotalTime>
  <ScaleCrop>false</ScaleCrop>
  <LinksUpToDate>false</LinksUpToDate>
  <CharactersWithSpaces>41187</CharactersWithSpaces>
  <Application>WPS Office_12.2.0.23196_F1E327BC-269C-435d-A152-05C5408002CA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2026-04-09T14:52:00Z</dcterms:created>
  <dc:creator>ADMIN</dc:creator>
  <cp:lastModifiedBy>Alofa Chinwe Melford</cp:lastModifiedBy>
  <dcterms:modified xsi:type="dcterms:W3CDTF">2026-04-13T14:23:55Z</dcterms:modified>
  <cp:revision>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1033-12.2.0.23196</vt:lpwstr>
  </property>
  <property fmtid="{D5CDD505-2E9C-101B-9397-08002B2CF9AE}" pid="3" name="ICV">
    <vt:lpwstr>652938497BEC43D682B251EF0B6DD2A7_12</vt:lpwstr>
  </property>
</Properties>
</file>