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56291" w14:textId="224F87CE" w:rsidR="00E0130E" w:rsidRDefault="00746A16" w:rsidP="0026798B">
      <w:pPr>
        <w:spacing w:line="240" w:lineRule="auto"/>
        <w:jc w:val="center"/>
        <w:rPr>
          <w:rFonts w:ascii="Times New Roman" w:hAnsi="Times New Roman" w:cs="Times New Roman"/>
          <w:b/>
          <w:bCs/>
        </w:rPr>
      </w:pPr>
      <w:r w:rsidRPr="00746A16">
        <w:rPr>
          <w:rFonts w:ascii="Times New Roman" w:hAnsi="Times New Roman" w:cs="Times New Roman"/>
          <w:b/>
          <w:bCs/>
        </w:rPr>
        <w:t xml:space="preserve">Comparative Study of T2DM Knowledge, Adherence, and Socio-Demographic Predictors at University Medical </w:t>
      </w:r>
      <w:proofErr w:type="spellStart"/>
      <w:r w:rsidRPr="00746A16">
        <w:rPr>
          <w:rFonts w:ascii="Times New Roman" w:hAnsi="Times New Roman" w:cs="Times New Roman"/>
          <w:b/>
          <w:bCs/>
        </w:rPr>
        <w:t>Centres</w:t>
      </w:r>
      <w:proofErr w:type="spellEnd"/>
      <w:r w:rsidRPr="00746A16">
        <w:rPr>
          <w:rFonts w:ascii="Times New Roman" w:hAnsi="Times New Roman" w:cs="Times New Roman"/>
          <w:b/>
          <w:bCs/>
        </w:rPr>
        <w:t xml:space="preserve"> in Rivers State</w:t>
      </w:r>
      <w:r w:rsidR="00B76E90">
        <w:rPr>
          <w:rFonts w:ascii="Times New Roman" w:hAnsi="Times New Roman" w:cs="Times New Roman"/>
          <w:b/>
          <w:bCs/>
        </w:rPr>
        <w:t xml:space="preserve">, </w:t>
      </w:r>
      <w:r w:rsidR="00B76E90" w:rsidRPr="00B76E90">
        <w:rPr>
          <w:rFonts w:ascii="Times New Roman" w:hAnsi="Times New Roman" w:cs="Times New Roman"/>
          <w:b/>
          <w:bCs/>
        </w:rPr>
        <w:t>Nigeria</w:t>
      </w:r>
    </w:p>
    <w:p w14:paraId="390F5DB8" w14:textId="77777777" w:rsidR="0026798B" w:rsidRDefault="0026798B" w:rsidP="0026798B">
      <w:pPr>
        <w:spacing w:line="240" w:lineRule="auto"/>
        <w:jc w:val="center"/>
        <w:rPr>
          <w:rFonts w:ascii="Times New Roman" w:hAnsi="Times New Roman" w:cs="Times New Roman"/>
          <w:b/>
          <w:bCs/>
        </w:rPr>
      </w:pPr>
    </w:p>
    <w:p w14:paraId="1AA9041A" w14:textId="60BC30D3" w:rsidR="00F464F2" w:rsidRDefault="00F464F2" w:rsidP="002A490C">
      <w:pPr>
        <w:spacing w:line="480" w:lineRule="auto"/>
        <w:jc w:val="center"/>
        <w:rPr>
          <w:rFonts w:ascii="Times New Roman" w:eastAsia="Calibri" w:hAnsi="Times New Roman" w:cs="Times New Roman"/>
          <w:b/>
          <w:bCs/>
          <w:kern w:val="0"/>
          <w:lang w:val="en-GB"/>
          <w14:ligatures w14:val="none"/>
        </w:rPr>
      </w:pPr>
    </w:p>
    <w:p w14:paraId="2EA9F887" w14:textId="77777777" w:rsidR="00CC144C" w:rsidRDefault="00CC144C" w:rsidP="002A490C">
      <w:pPr>
        <w:spacing w:line="480" w:lineRule="auto"/>
        <w:jc w:val="center"/>
        <w:rPr>
          <w:rFonts w:ascii="Times New Roman" w:hAnsi="Times New Roman" w:cs="Times New Roman"/>
          <w:b/>
          <w:bCs/>
        </w:rPr>
      </w:pPr>
    </w:p>
    <w:p w14:paraId="6082401D" w14:textId="51169680" w:rsidR="00746A16" w:rsidRDefault="00746A16" w:rsidP="002A490C">
      <w:pPr>
        <w:spacing w:line="480" w:lineRule="auto"/>
        <w:rPr>
          <w:rFonts w:ascii="Times New Roman" w:hAnsi="Times New Roman" w:cs="Times New Roman"/>
          <w:b/>
          <w:bCs/>
        </w:rPr>
      </w:pPr>
      <w:r>
        <w:rPr>
          <w:rFonts w:ascii="Times New Roman" w:hAnsi="Times New Roman" w:cs="Times New Roman"/>
          <w:b/>
          <w:bCs/>
        </w:rPr>
        <w:t>Abstract</w:t>
      </w:r>
    </w:p>
    <w:p w14:paraId="231F25CB" w14:textId="6B7D0E0B" w:rsidR="00C51FB5" w:rsidRDefault="00760769" w:rsidP="00C51FB5">
      <w:pPr>
        <w:spacing w:line="240" w:lineRule="auto"/>
        <w:rPr>
          <w:rFonts w:ascii="Times New Roman" w:hAnsi="Times New Roman" w:cs="Times New Roman"/>
        </w:rPr>
      </w:pPr>
      <w:r w:rsidRPr="005A2BDE">
        <w:rPr>
          <w:rFonts w:ascii="Times New Roman" w:hAnsi="Times New Roman" w:cs="Times New Roman"/>
          <w:highlight w:val="yellow"/>
        </w:rPr>
        <w:t>Type 2 diabetes mellitus (</w:t>
      </w:r>
      <w:r w:rsidRPr="005A2BDE">
        <w:rPr>
          <w:rFonts w:ascii="Times New Roman" w:eastAsia="Calibri" w:hAnsi="Times New Roman" w:cs="Times New Roman"/>
          <w:bCs/>
          <w:kern w:val="0"/>
          <w:highlight w:val="yellow"/>
          <w14:ligatures w14:val="none"/>
        </w:rPr>
        <w:t>T2DM) involves hyperglycemia from insulin resistance, inadequate insulin secretion, and excess glucagon. Nigeria</w:t>
      </w:r>
      <w:r w:rsidR="00C51FB5" w:rsidRPr="00C51FB5">
        <w:rPr>
          <w:rFonts w:ascii="Times New Roman" w:hAnsi="Times New Roman" w:cs="Times New Roman"/>
        </w:rPr>
        <w:t xml:space="preserve"> faces the highest diabetes prevalence in Africa, with T2DM dominating cases, particularly in the south-south region</w:t>
      </w:r>
      <w:r>
        <w:rPr>
          <w:rFonts w:ascii="Times New Roman" w:hAnsi="Times New Roman" w:cs="Times New Roman"/>
        </w:rPr>
        <w:t>,</w:t>
      </w:r>
      <w:r w:rsidR="00C51FB5" w:rsidRPr="00C51FB5">
        <w:rPr>
          <w:rFonts w:ascii="Times New Roman" w:hAnsi="Times New Roman" w:cs="Times New Roman"/>
        </w:rPr>
        <w:t xml:space="preserve"> including Rivers State. </w:t>
      </w:r>
      <w:r w:rsidRPr="005A2BDE">
        <w:rPr>
          <w:rFonts w:ascii="Times New Roman" w:hAnsi="Times New Roman" w:cs="Times New Roman"/>
          <w:highlight w:val="yellow"/>
        </w:rPr>
        <w:t xml:space="preserve">This study aimed at investigating the level of knowledge about T2DM among patients attending different university medical </w:t>
      </w:r>
      <w:proofErr w:type="spellStart"/>
      <w:r w:rsidRPr="005A2BDE">
        <w:rPr>
          <w:rFonts w:ascii="Times New Roman" w:hAnsi="Times New Roman" w:cs="Times New Roman"/>
          <w:highlight w:val="yellow"/>
        </w:rPr>
        <w:t>centres</w:t>
      </w:r>
      <w:proofErr w:type="spellEnd"/>
      <w:r w:rsidRPr="005A2BDE">
        <w:rPr>
          <w:rFonts w:ascii="Times New Roman" w:hAnsi="Times New Roman" w:cs="Times New Roman"/>
          <w:highlight w:val="yellow"/>
        </w:rPr>
        <w:t xml:space="preserve"> in Rivers State</w:t>
      </w:r>
      <w:r w:rsidRPr="00760769">
        <w:rPr>
          <w:rFonts w:ascii="Times New Roman" w:hAnsi="Times New Roman" w:cs="Times New Roman"/>
        </w:rPr>
        <w:t>.</w:t>
      </w:r>
      <w:r>
        <w:rPr>
          <w:rFonts w:ascii="Times New Roman" w:hAnsi="Times New Roman" w:cs="Times New Roman"/>
        </w:rPr>
        <w:t xml:space="preserve"> </w:t>
      </w:r>
      <w:r w:rsidR="00C51FB5" w:rsidRPr="00C51FB5">
        <w:rPr>
          <w:rFonts w:ascii="Times New Roman" w:hAnsi="Times New Roman" w:cs="Times New Roman"/>
        </w:rPr>
        <w:t xml:space="preserve">This comparative study at Rivers State University Medical Centre (RSUMC) and Ignatius </w:t>
      </w:r>
      <w:proofErr w:type="spellStart"/>
      <w:r w:rsidR="00C51FB5" w:rsidRPr="00C51FB5">
        <w:rPr>
          <w:rFonts w:ascii="Times New Roman" w:hAnsi="Times New Roman" w:cs="Times New Roman"/>
        </w:rPr>
        <w:t>Ajuru</w:t>
      </w:r>
      <w:proofErr w:type="spellEnd"/>
      <w:r w:rsidR="00C51FB5" w:rsidRPr="00C51FB5">
        <w:rPr>
          <w:rFonts w:ascii="Times New Roman" w:hAnsi="Times New Roman" w:cs="Times New Roman"/>
        </w:rPr>
        <w:t xml:space="preserve"> University of Education Medical Centre (IAUEMC) in Port Harcourt assessed T2DM knowledge, treatment adherence, and socio-demographic predictors among 560 adult patients using a quasi-experimental pre-test-post-test design with questionnaires, clinical measurements, and laboratory tests like HbA1c.</w:t>
      </w:r>
      <w:r w:rsidR="00C51FB5">
        <w:rPr>
          <w:rFonts w:ascii="Times New Roman" w:hAnsi="Times New Roman" w:cs="Times New Roman"/>
        </w:rPr>
        <w:t xml:space="preserve"> </w:t>
      </w:r>
      <w:r w:rsidR="00C51FB5" w:rsidRPr="00C51FB5">
        <w:rPr>
          <w:rFonts w:ascii="Times New Roman" w:hAnsi="Times New Roman" w:cs="Times New Roman"/>
        </w:rPr>
        <w:t xml:space="preserve">Patients at both </w:t>
      </w:r>
      <w:proofErr w:type="spellStart"/>
      <w:r w:rsidR="00C51FB5" w:rsidRPr="00C51FB5">
        <w:rPr>
          <w:rFonts w:ascii="Times New Roman" w:hAnsi="Times New Roman" w:cs="Times New Roman"/>
        </w:rPr>
        <w:t>centres</w:t>
      </w:r>
      <w:proofErr w:type="spellEnd"/>
      <w:r w:rsidR="00C51FB5" w:rsidRPr="00C51FB5">
        <w:rPr>
          <w:rFonts w:ascii="Times New Roman" w:hAnsi="Times New Roman" w:cs="Times New Roman"/>
        </w:rPr>
        <w:t xml:space="preserve"> showed substantial T2DM knowledge (grand means 3.12 RSUMC, 3.09 IAUEMC), good adherence (2.93 RSUMC, 2.98 IAUEMC), and similar socio-demographic influences (2.89 both), with no significant inter-</w:t>
      </w:r>
      <w:proofErr w:type="spellStart"/>
      <w:r w:rsidR="00C51FB5" w:rsidRPr="00C51FB5">
        <w:rPr>
          <w:rFonts w:ascii="Times New Roman" w:hAnsi="Times New Roman" w:cs="Times New Roman"/>
        </w:rPr>
        <w:t>centre</w:t>
      </w:r>
      <w:proofErr w:type="spellEnd"/>
      <w:r w:rsidR="00C51FB5" w:rsidRPr="00C51FB5">
        <w:rPr>
          <w:rFonts w:ascii="Times New Roman" w:hAnsi="Times New Roman" w:cs="Times New Roman"/>
        </w:rPr>
        <w:t xml:space="preserve"> differences.</w:t>
      </w:r>
      <w:r w:rsidR="00C51FB5">
        <w:rPr>
          <w:rFonts w:ascii="Times New Roman" w:hAnsi="Times New Roman" w:cs="Times New Roman"/>
        </w:rPr>
        <w:t xml:space="preserve"> </w:t>
      </w:r>
      <w:r w:rsidR="00C51FB5" w:rsidRPr="00C51FB5">
        <w:rPr>
          <w:rFonts w:ascii="Times New Roman" w:hAnsi="Times New Roman" w:cs="Times New Roman"/>
        </w:rPr>
        <w:t>Medication adherence exceeded self-care practices like exercise and monitoring, while low income and insurance gaps hindered outcomes.</w:t>
      </w:r>
      <w:r w:rsidR="00C51FB5">
        <w:rPr>
          <w:rFonts w:ascii="Times New Roman" w:hAnsi="Times New Roman" w:cs="Times New Roman"/>
        </w:rPr>
        <w:t xml:space="preserve"> </w:t>
      </w:r>
      <w:r w:rsidR="00C51FB5" w:rsidRPr="00C51FB5">
        <w:rPr>
          <w:rFonts w:ascii="Times New Roman" w:hAnsi="Times New Roman" w:cs="Times New Roman"/>
        </w:rPr>
        <w:t>Facility-based education fosters knowledge, but targeted interventions</w:t>
      </w:r>
      <w:r>
        <w:rPr>
          <w:rFonts w:ascii="Times New Roman" w:hAnsi="Times New Roman" w:cs="Times New Roman"/>
        </w:rPr>
        <w:t>, such as</w:t>
      </w:r>
      <w:r w:rsidR="00C51FB5">
        <w:rPr>
          <w:rFonts w:ascii="Times New Roman" w:hAnsi="Times New Roman" w:cs="Times New Roman"/>
        </w:rPr>
        <w:t xml:space="preserve"> </w:t>
      </w:r>
      <w:r w:rsidR="00C51FB5" w:rsidRPr="00C51FB5">
        <w:rPr>
          <w:rFonts w:ascii="Times New Roman" w:hAnsi="Times New Roman" w:cs="Times New Roman"/>
        </w:rPr>
        <w:t>self-care enhancement, insurance expansion, and support mechanisms</w:t>
      </w:r>
      <w:r w:rsidR="00CE2A7D">
        <w:rPr>
          <w:rFonts w:ascii="Times New Roman" w:hAnsi="Times New Roman" w:cs="Times New Roman"/>
        </w:rPr>
        <w:t>,</w:t>
      </w:r>
      <w:r w:rsidR="00C51FB5">
        <w:rPr>
          <w:rFonts w:ascii="Times New Roman" w:hAnsi="Times New Roman" w:cs="Times New Roman"/>
        </w:rPr>
        <w:t xml:space="preserve"> </w:t>
      </w:r>
      <w:r w:rsidR="00C51FB5" w:rsidRPr="00C51FB5">
        <w:rPr>
          <w:rFonts w:ascii="Times New Roman" w:hAnsi="Times New Roman" w:cs="Times New Roman"/>
        </w:rPr>
        <w:t xml:space="preserve">are needed to </w:t>
      </w:r>
      <w:proofErr w:type="spellStart"/>
      <w:r w:rsidR="00CE2A7D" w:rsidRPr="005A2BDE">
        <w:rPr>
          <w:rFonts w:ascii="Times New Roman" w:hAnsi="Times New Roman" w:cs="Times New Roman"/>
          <w:highlight w:val="yellow"/>
        </w:rPr>
        <w:t>optimise</w:t>
      </w:r>
      <w:proofErr w:type="spellEnd"/>
      <w:r w:rsidR="00CE2A7D" w:rsidRPr="00C51FB5">
        <w:rPr>
          <w:rFonts w:ascii="Times New Roman" w:hAnsi="Times New Roman" w:cs="Times New Roman"/>
        </w:rPr>
        <w:t xml:space="preserve"> </w:t>
      </w:r>
      <w:r w:rsidR="00C51FB5" w:rsidRPr="00C51FB5">
        <w:rPr>
          <w:rFonts w:ascii="Times New Roman" w:hAnsi="Times New Roman" w:cs="Times New Roman"/>
        </w:rPr>
        <w:t>glycemic control and align with ADA/WHO guidelines in resource-limited</w:t>
      </w:r>
      <w:r w:rsidR="00C51FB5">
        <w:rPr>
          <w:rFonts w:ascii="Times New Roman" w:hAnsi="Times New Roman" w:cs="Times New Roman"/>
        </w:rPr>
        <w:t xml:space="preserve"> settings</w:t>
      </w:r>
      <w:r w:rsidR="00C51FB5" w:rsidRPr="00C51FB5">
        <w:rPr>
          <w:rFonts w:ascii="Times New Roman" w:hAnsi="Times New Roman" w:cs="Times New Roman"/>
        </w:rPr>
        <w:t>.</w:t>
      </w:r>
    </w:p>
    <w:p w14:paraId="3640FCBA" w14:textId="77777777" w:rsidR="00A83EB7" w:rsidRPr="00C51FB5" w:rsidRDefault="00A83EB7" w:rsidP="00C51FB5">
      <w:pPr>
        <w:spacing w:line="240" w:lineRule="auto"/>
        <w:rPr>
          <w:rFonts w:ascii="Times New Roman" w:hAnsi="Times New Roman" w:cs="Times New Roman"/>
        </w:rPr>
      </w:pPr>
    </w:p>
    <w:p w14:paraId="7A6BF1FF" w14:textId="73CC64F1" w:rsidR="00746A16" w:rsidRDefault="00746A16" w:rsidP="00A83EB7">
      <w:pPr>
        <w:spacing w:line="480" w:lineRule="auto"/>
        <w:rPr>
          <w:rFonts w:ascii="Times New Roman" w:hAnsi="Times New Roman" w:cs="Times New Roman"/>
          <w:b/>
          <w:bCs/>
        </w:rPr>
      </w:pPr>
      <w:r>
        <w:rPr>
          <w:rFonts w:ascii="Times New Roman" w:hAnsi="Times New Roman" w:cs="Times New Roman"/>
          <w:b/>
          <w:bCs/>
        </w:rPr>
        <w:t>Keywords</w:t>
      </w:r>
      <w:r w:rsidR="00A83EB7">
        <w:rPr>
          <w:rFonts w:ascii="Times New Roman" w:hAnsi="Times New Roman" w:cs="Times New Roman"/>
          <w:b/>
          <w:bCs/>
        </w:rPr>
        <w:t xml:space="preserve">: </w:t>
      </w:r>
      <w:r w:rsidR="00A83EB7" w:rsidRPr="00A83EB7">
        <w:rPr>
          <w:rFonts w:ascii="Times New Roman" w:hAnsi="Times New Roman" w:cs="Times New Roman"/>
          <w:b/>
          <w:bCs/>
        </w:rPr>
        <w:t>Type 2 Diabetes Mellitus (T2DM)</w:t>
      </w:r>
      <w:r w:rsidR="00A83EB7">
        <w:rPr>
          <w:rFonts w:ascii="Times New Roman" w:hAnsi="Times New Roman" w:cs="Times New Roman"/>
          <w:b/>
          <w:bCs/>
        </w:rPr>
        <w:t xml:space="preserve">, </w:t>
      </w:r>
      <w:r w:rsidR="00A83EB7" w:rsidRPr="00A83EB7">
        <w:rPr>
          <w:rFonts w:ascii="Times New Roman" w:hAnsi="Times New Roman" w:cs="Times New Roman"/>
          <w:b/>
          <w:bCs/>
        </w:rPr>
        <w:t>Adherence</w:t>
      </w:r>
      <w:r w:rsidR="00A83EB7">
        <w:rPr>
          <w:rFonts w:ascii="Times New Roman" w:hAnsi="Times New Roman" w:cs="Times New Roman"/>
          <w:b/>
          <w:bCs/>
        </w:rPr>
        <w:t xml:space="preserve">, </w:t>
      </w:r>
      <w:r w:rsidR="00A83EB7" w:rsidRPr="00A83EB7">
        <w:rPr>
          <w:rFonts w:ascii="Times New Roman" w:hAnsi="Times New Roman" w:cs="Times New Roman"/>
          <w:b/>
          <w:bCs/>
        </w:rPr>
        <w:t>Socio-Demographic Predictors</w:t>
      </w:r>
    </w:p>
    <w:p w14:paraId="424FF4F5" w14:textId="6F5E03E8" w:rsidR="00746A16" w:rsidRDefault="00746A16" w:rsidP="002A490C">
      <w:pPr>
        <w:spacing w:line="480" w:lineRule="auto"/>
        <w:rPr>
          <w:rFonts w:ascii="Times New Roman" w:hAnsi="Times New Roman" w:cs="Times New Roman"/>
          <w:b/>
          <w:bCs/>
        </w:rPr>
      </w:pPr>
      <w:r>
        <w:rPr>
          <w:rFonts w:ascii="Times New Roman" w:hAnsi="Times New Roman" w:cs="Times New Roman"/>
          <w:b/>
          <w:bCs/>
        </w:rPr>
        <w:t>Introduction</w:t>
      </w:r>
    </w:p>
    <w:p w14:paraId="08E8B6A7" w14:textId="37909ADB"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Nigeria bears the highest diabetes prevalence in Africa. In 2016, about 3.9 million Nigerians lived with diabetes (</w:t>
      </w:r>
      <w:proofErr w:type="spellStart"/>
      <w:r w:rsidRPr="003D5C8E">
        <w:rPr>
          <w:rFonts w:ascii="Times New Roman" w:eastAsia="Calibri" w:hAnsi="Times New Roman" w:cs="Times New Roman"/>
          <w:bCs/>
          <w:kern w:val="0"/>
          <w14:ligatures w14:val="none"/>
        </w:rPr>
        <w:t>Dahiru</w:t>
      </w:r>
      <w:proofErr w:type="spellEnd"/>
      <w:r w:rsidRPr="003D5C8E">
        <w:rPr>
          <w:rFonts w:ascii="Times New Roman" w:eastAsia="Calibri" w:hAnsi="Times New Roman" w:cs="Times New Roman"/>
          <w:bCs/>
          <w:kern w:val="0"/>
          <w14:ligatures w14:val="none"/>
        </w:rPr>
        <w:t xml:space="preserve"> et al., 2016); by 2023, this surged to 11.2 million (Diabetes Association of Nigeria, 2023). The overall pooled prevalence reached 5.8% (95% CI 4.3–7.1) in 2019</w:t>
      </w:r>
      <w:r w:rsidR="002777B9">
        <w:rPr>
          <w:rFonts w:ascii="Times New Roman" w:eastAsia="Calibri" w:hAnsi="Times New Roman" w:cs="Times New Roman"/>
          <w:bCs/>
          <w:kern w:val="0"/>
          <w14:ligatures w14:val="none"/>
        </w:rPr>
        <w:t xml:space="preserve">, </w:t>
      </w:r>
      <w:proofErr w:type="spellStart"/>
      <w:r w:rsidR="002777B9" w:rsidRPr="002777B9">
        <w:rPr>
          <w:rFonts w:ascii="Times New Roman" w:eastAsia="Calibri" w:hAnsi="Times New Roman" w:cs="Times New Roman"/>
          <w:bCs/>
          <w:kern w:val="0"/>
          <w14:ligatures w14:val="none"/>
        </w:rPr>
        <w:t>Egwim</w:t>
      </w:r>
      <w:proofErr w:type="spellEnd"/>
      <w:r w:rsidR="002777B9">
        <w:rPr>
          <w:rFonts w:ascii="Times New Roman" w:eastAsia="Calibri" w:hAnsi="Times New Roman" w:cs="Times New Roman"/>
          <w:bCs/>
          <w:kern w:val="0"/>
          <w14:ligatures w14:val="none"/>
        </w:rPr>
        <w:t xml:space="preserve"> </w:t>
      </w:r>
      <w:r w:rsidR="002777B9" w:rsidRPr="002777B9">
        <w:rPr>
          <w:rFonts w:ascii="Times New Roman" w:eastAsia="Calibri" w:hAnsi="Times New Roman" w:cs="Times New Roman"/>
          <w:bCs/>
          <w:kern w:val="0"/>
          <w14:ligatures w14:val="none"/>
        </w:rPr>
        <w:t>(2022)</w:t>
      </w:r>
      <w:r w:rsidR="00CE2A7D">
        <w:rPr>
          <w:rFonts w:ascii="Times New Roman" w:eastAsia="Calibri" w:hAnsi="Times New Roman" w:cs="Times New Roman"/>
          <w:bCs/>
          <w:kern w:val="0"/>
          <w14:ligatures w14:val="none"/>
        </w:rPr>
        <w:t>,</w:t>
      </w:r>
      <w:r w:rsidR="002777B9">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varying by geopolitical zone: 3.0% (northwest), 3.8% (north-central), 4.6% (southeast), 5.5% (southwest), 5.9% (northeast), and 9.8% (south-south). Recent data show south-south prevalence dropping to 8.0% (</w:t>
      </w:r>
      <w:proofErr w:type="spellStart"/>
      <w:r w:rsidRPr="003D5C8E">
        <w:rPr>
          <w:rFonts w:ascii="Times New Roman" w:eastAsia="Calibri" w:hAnsi="Times New Roman" w:cs="Times New Roman"/>
          <w:bCs/>
          <w:kern w:val="0"/>
          <w14:ligatures w14:val="none"/>
        </w:rPr>
        <w:t>Cookey</w:t>
      </w:r>
      <w:proofErr w:type="spellEnd"/>
      <w:r w:rsidRPr="003D5C8E">
        <w:rPr>
          <w:rFonts w:ascii="Times New Roman" w:eastAsia="Calibri" w:hAnsi="Times New Roman" w:cs="Times New Roman"/>
          <w:bCs/>
          <w:kern w:val="0"/>
          <w14:ligatures w14:val="none"/>
        </w:rPr>
        <w:t xml:space="preserve"> et al., 2022). Type 2 diabetes mellitus (T2DM) dominates at 95% of cases (</w:t>
      </w:r>
      <w:proofErr w:type="spellStart"/>
      <w:r w:rsidRPr="003D5C8E">
        <w:rPr>
          <w:rFonts w:ascii="Times New Roman" w:eastAsia="Calibri" w:hAnsi="Times New Roman" w:cs="Times New Roman"/>
          <w:bCs/>
          <w:kern w:val="0"/>
          <w14:ligatures w14:val="none"/>
        </w:rPr>
        <w:t>Fasanmade</w:t>
      </w:r>
      <w:proofErr w:type="spellEnd"/>
      <w:r w:rsidRPr="003D5C8E">
        <w:rPr>
          <w:rFonts w:ascii="Times New Roman" w:eastAsia="Calibri" w:hAnsi="Times New Roman" w:cs="Times New Roman"/>
          <w:bCs/>
          <w:kern w:val="0"/>
          <w14:ligatures w14:val="none"/>
        </w:rPr>
        <w:t xml:space="preserve"> &amp; </w:t>
      </w:r>
      <w:proofErr w:type="spellStart"/>
      <w:r w:rsidRPr="003D5C8E">
        <w:rPr>
          <w:rFonts w:ascii="Times New Roman" w:eastAsia="Calibri" w:hAnsi="Times New Roman" w:cs="Times New Roman"/>
          <w:bCs/>
          <w:kern w:val="0"/>
          <w14:ligatures w14:val="none"/>
        </w:rPr>
        <w:t>Dagogo</w:t>
      </w:r>
      <w:proofErr w:type="spellEnd"/>
      <w:r w:rsidRPr="003D5C8E">
        <w:rPr>
          <w:rFonts w:ascii="Times New Roman" w:eastAsia="Calibri" w:hAnsi="Times New Roman" w:cs="Times New Roman"/>
          <w:bCs/>
          <w:kern w:val="0"/>
          <w14:ligatures w14:val="none"/>
        </w:rPr>
        <w:t xml:space="preserve">-Jack, 2015), with urban rates exceeding rural ones </w:t>
      </w:r>
      <w:r w:rsidRPr="003D5C8E">
        <w:rPr>
          <w:rFonts w:ascii="Times New Roman" w:eastAsia="Calibri" w:hAnsi="Times New Roman" w:cs="Times New Roman"/>
          <w:bCs/>
          <w:kern w:val="0"/>
          <w14:ligatures w14:val="none"/>
        </w:rPr>
        <w:lastRenderedPageBreak/>
        <w:t>(</w:t>
      </w:r>
      <w:proofErr w:type="spellStart"/>
      <w:r w:rsidRPr="003D5C8E">
        <w:rPr>
          <w:rFonts w:ascii="Times New Roman" w:eastAsia="Calibri" w:hAnsi="Times New Roman" w:cs="Times New Roman"/>
          <w:bCs/>
          <w:kern w:val="0"/>
          <w14:ligatures w14:val="none"/>
        </w:rPr>
        <w:t>Gezawa</w:t>
      </w:r>
      <w:proofErr w:type="spellEnd"/>
      <w:r w:rsidRPr="003D5C8E">
        <w:rPr>
          <w:rFonts w:ascii="Times New Roman" w:eastAsia="Calibri" w:hAnsi="Times New Roman" w:cs="Times New Roman"/>
          <w:bCs/>
          <w:kern w:val="0"/>
          <w14:ligatures w14:val="none"/>
        </w:rPr>
        <w:t xml:space="preserve"> et al., 2015). The International Diabetes Federation estimated 1,240–3,876 million cases in 2017 at 4.6% prevalence, doubling from 2.2% in 1997 (</w:t>
      </w:r>
      <w:proofErr w:type="spellStart"/>
      <w:r w:rsidRPr="003D5C8E">
        <w:rPr>
          <w:rFonts w:ascii="Times New Roman" w:eastAsia="Calibri" w:hAnsi="Times New Roman" w:cs="Times New Roman"/>
          <w:bCs/>
          <w:kern w:val="0"/>
          <w14:ligatures w14:val="none"/>
        </w:rPr>
        <w:t>Akinkugbe</w:t>
      </w:r>
      <w:proofErr w:type="spellEnd"/>
      <w:r w:rsidRPr="003D5C8E">
        <w:rPr>
          <w:rFonts w:ascii="Times New Roman" w:eastAsia="Calibri" w:hAnsi="Times New Roman" w:cs="Times New Roman"/>
          <w:bCs/>
          <w:kern w:val="0"/>
          <w14:ligatures w14:val="none"/>
        </w:rPr>
        <w:t xml:space="preserve"> &amp; </w:t>
      </w:r>
      <w:proofErr w:type="spellStart"/>
      <w:r w:rsidRPr="003D5C8E">
        <w:rPr>
          <w:rFonts w:ascii="Times New Roman" w:eastAsia="Calibri" w:hAnsi="Times New Roman" w:cs="Times New Roman"/>
          <w:bCs/>
          <w:kern w:val="0"/>
          <w14:ligatures w14:val="none"/>
        </w:rPr>
        <w:t>Akinyanju</w:t>
      </w:r>
      <w:proofErr w:type="spellEnd"/>
      <w:r w:rsidRPr="003D5C8E">
        <w:rPr>
          <w:rFonts w:ascii="Times New Roman" w:eastAsia="Calibri" w:hAnsi="Times New Roman" w:cs="Times New Roman"/>
          <w:bCs/>
          <w:kern w:val="0"/>
          <w14:ligatures w14:val="none"/>
        </w:rPr>
        <w:t>, 1997).</w:t>
      </w:r>
    </w:p>
    <w:p w14:paraId="64D2978D" w14:textId="41919BE6" w:rsidR="003D5C8E" w:rsidRPr="003D5C8E" w:rsidRDefault="00D05B30" w:rsidP="003D5C8E">
      <w:pPr>
        <w:spacing w:line="480" w:lineRule="auto"/>
        <w:rPr>
          <w:rFonts w:ascii="Times New Roman" w:eastAsia="Calibri" w:hAnsi="Times New Roman" w:cs="Times New Roman"/>
          <w:bCs/>
          <w:kern w:val="0"/>
          <w14:ligatures w14:val="none"/>
        </w:rPr>
      </w:pPr>
      <w:r w:rsidRPr="005A2BDE">
        <w:rPr>
          <w:rFonts w:ascii="Times New Roman" w:eastAsia="Calibri" w:hAnsi="Times New Roman" w:cs="Times New Roman"/>
          <w:bCs/>
          <w:kern w:val="0"/>
          <w:highlight w:val="yellow"/>
          <w14:ligatures w14:val="none"/>
        </w:rPr>
        <w:t xml:space="preserve">T2DM is a disease </w:t>
      </w:r>
      <w:proofErr w:type="spellStart"/>
      <w:r w:rsidRPr="005A2BDE">
        <w:rPr>
          <w:rFonts w:ascii="Times New Roman" w:eastAsia="Calibri" w:hAnsi="Times New Roman" w:cs="Times New Roman"/>
          <w:bCs/>
          <w:kern w:val="0"/>
          <w:highlight w:val="yellow"/>
          <w14:ligatures w14:val="none"/>
        </w:rPr>
        <w:t>characterised</w:t>
      </w:r>
      <w:proofErr w:type="spellEnd"/>
      <w:r w:rsidRPr="005A2BDE">
        <w:rPr>
          <w:rFonts w:ascii="Times New Roman" w:eastAsia="Calibri" w:hAnsi="Times New Roman" w:cs="Times New Roman"/>
          <w:bCs/>
          <w:kern w:val="0"/>
          <w:highlight w:val="yellow"/>
          <w14:ligatures w14:val="none"/>
        </w:rPr>
        <w:t xml:space="preserve"> by a nonautoimmune heterogeneously progressive loss of adequate islet β-cell insulin secretion, frequently in the presence of insulin resistance (IR) and metabolic syndrome. It accounts for 96% of diabetes and is one of the important noncommunicable chronic diseases that seriously threaten human health (</w:t>
      </w:r>
      <w:r w:rsidRPr="005A2BDE">
        <w:rPr>
          <w:rFonts w:ascii="Times New Roman" w:hAnsi="Times New Roman" w:cs="Times New Roman"/>
          <w:highlight w:val="yellow"/>
        </w:rPr>
        <w:t>Lu et al., 2024</w:t>
      </w:r>
      <w:r w:rsidR="00115734" w:rsidRPr="005A2BDE">
        <w:rPr>
          <w:rFonts w:ascii="Times New Roman" w:hAnsi="Times New Roman" w:cs="Times New Roman"/>
          <w:highlight w:val="yellow"/>
        </w:rPr>
        <w:t xml:space="preserve">; </w:t>
      </w:r>
      <w:proofErr w:type="spellStart"/>
      <w:r w:rsidR="00115734" w:rsidRPr="005A2BDE">
        <w:rPr>
          <w:rFonts w:ascii="Times New Roman" w:hAnsi="Times New Roman" w:cs="Times New Roman"/>
          <w:highlight w:val="yellow"/>
        </w:rPr>
        <w:t>Młynarska</w:t>
      </w:r>
      <w:proofErr w:type="spellEnd"/>
      <w:r w:rsidR="00115734" w:rsidRPr="005A2BDE">
        <w:rPr>
          <w:rFonts w:ascii="Times New Roman" w:hAnsi="Times New Roman" w:cs="Times New Roman"/>
          <w:highlight w:val="yellow"/>
        </w:rPr>
        <w:t xml:space="preserve"> et al., 2025</w:t>
      </w:r>
      <w:r w:rsidRPr="005A2BDE">
        <w:rPr>
          <w:highlight w:val="yellow"/>
        </w:rPr>
        <w:t>)</w:t>
      </w:r>
      <w:r w:rsidRPr="005A2BDE">
        <w:rPr>
          <w:rFonts w:ascii="Times New Roman" w:eastAsia="Calibri" w:hAnsi="Times New Roman" w:cs="Times New Roman"/>
          <w:bCs/>
          <w:kern w:val="0"/>
          <w:highlight w:val="yellow"/>
          <w14:ligatures w14:val="none"/>
        </w:rPr>
        <w:t>.</w:t>
      </w:r>
      <w:r w:rsidRPr="00D05B30">
        <w:rPr>
          <w:rFonts w:ascii="Times New Roman" w:eastAsia="Calibri" w:hAnsi="Times New Roman" w:cs="Times New Roman"/>
          <w:bCs/>
          <w:kern w:val="0"/>
          <w14:ligatures w14:val="none"/>
        </w:rPr>
        <w:t xml:space="preserve"> </w:t>
      </w:r>
      <w:r w:rsidR="003D5C8E" w:rsidRPr="003D5C8E">
        <w:rPr>
          <w:rFonts w:ascii="Times New Roman" w:eastAsia="Calibri" w:hAnsi="Times New Roman" w:cs="Times New Roman"/>
          <w:bCs/>
          <w:kern w:val="0"/>
          <w14:ligatures w14:val="none"/>
        </w:rPr>
        <w:t>T2DM involves hyperglycemia from insulin resistance, inadequate insulin secretion, and excess glucagon. Poor control leads to microvascular (retinal, renal, neuropathic), macrovascular (coronary, peripheral vascular), and neuropathic complications. Hyperglycemia, a diabetes hallmark, arises from insufficient insulin, causing glucose buildup. It risks diabetic ketoacidosis, hyperosmolar hyperglycemic state, and organ damage. Glycemic control uses fasting plasma glucose or HbA1c (IDF threshold: &lt;7.0%; American Diabetes Association [ADA], 2018), reflecting 2–3 months' average glucose (</w:t>
      </w:r>
      <w:proofErr w:type="spellStart"/>
      <w:r w:rsidR="002777B9" w:rsidRPr="002777B9">
        <w:rPr>
          <w:rFonts w:ascii="Times New Roman" w:eastAsia="Calibri" w:hAnsi="Times New Roman" w:cs="Times New Roman"/>
          <w:bCs/>
          <w:kern w:val="0"/>
          <w14:ligatures w14:val="none"/>
        </w:rPr>
        <w:t>Maina</w:t>
      </w:r>
      <w:proofErr w:type="spellEnd"/>
      <w:r w:rsidR="002777B9" w:rsidRPr="002777B9">
        <w:rPr>
          <w:rFonts w:ascii="Times New Roman" w:eastAsia="Calibri" w:hAnsi="Times New Roman" w:cs="Times New Roman"/>
          <w:bCs/>
          <w:kern w:val="0"/>
          <w14:ligatures w14:val="none"/>
        </w:rPr>
        <w:t xml:space="preserve">, 2025). </w:t>
      </w:r>
      <w:r w:rsidR="003D5C8E" w:rsidRPr="003D5C8E">
        <w:rPr>
          <w:rFonts w:ascii="Times New Roman" w:eastAsia="Calibri" w:hAnsi="Times New Roman" w:cs="Times New Roman"/>
          <w:bCs/>
          <w:kern w:val="0"/>
          <w14:ligatures w14:val="none"/>
        </w:rPr>
        <w:t xml:space="preserve">Management starts with lifestyle (diet, exercise, 5–10% weight loss), metformin first-line, and early SGLT2 inhibitors/GLP-1 </w:t>
      </w:r>
      <w:proofErr w:type="gramStart"/>
      <w:r w:rsidR="003D5C8E" w:rsidRPr="003D5C8E">
        <w:rPr>
          <w:rFonts w:ascii="Times New Roman" w:eastAsia="Calibri" w:hAnsi="Times New Roman" w:cs="Times New Roman"/>
          <w:bCs/>
          <w:kern w:val="0"/>
          <w14:ligatures w14:val="none"/>
        </w:rPr>
        <w:t>agonists</w:t>
      </w:r>
      <w:proofErr w:type="gramEnd"/>
      <w:r w:rsidR="003D5C8E" w:rsidRPr="003D5C8E">
        <w:rPr>
          <w:rFonts w:ascii="Times New Roman" w:eastAsia="Calibri" w:hAnsi="Times New Roman" w:cs="Times New Roman"/>
          <w:bCs/>
          <w:kern w:val="0"/>
          <w14:ligatures w14:val="none"/>
        </w:rPr>
        <w:t xml:space="preserve"> for cardiovascular/kidney risks (</w:t>
      </w:r>
      <w:r w:rsidR="002777B9" w:rsidRPr="002777B9">
        <w:rPr>
          <w:rFonts w:ascii="Times New Roman" w:eastAsia="Calibri" w:hAnsi="Times New Roman" w:cs="Times New Roman"/>
          <w:bCs/>
          <w:kern w:val="0"/>
          <w14:ligatures w14:val="none"/>
        </w:rPr>
        <w:t>Marx</w:t>
      </w:r>
      <w:r w:rsidR="002777B9">
        <w:rPr>
          <w:rFonts w:ascii="Times New Roman" w:eastAsia="Calibri" w:hAnsi="Times New Roman" w:cs="Times New Roman"/>
          <w:bCs/>
          <w:kern w:val="0"/>
          <w14:ligatures w14:val="none"/>
        </w:rPr>
        <w:t xml:space="preserve"> et al. 2022</w:t>
      </w:r>
      <w:r w:rsidR="003D5C8E" w:rsidRPr="003D5C8E">
        <w:rPr>
          <w:rFonts w:ascii="Times New Roman" w:eastAsia="Calibri" w:hAnsi="Times New Roman" w:cs="Times New Roman"/>
          <w:bCs/>
          <w:kern w:val="0"/>
          <w14:ligatures w14:val="none"/>
        </w:rPr>
        <w:t>).</w:t>
      </w:r>
    </w:p>
    <w:p w14:paraId="0847699B" w14:textId="51567BCD" w:rsidR="003D5C8E" w:rsidRPr="003D5C8E" w:rsidRDefault="00746E0A" w:rsidP="003D5C8E">
      <w:pPr>
        <w:spacing w:line="480" w:lineRule="auto"/>
        <w:rPr>
          <w:rFonts w:ascii="Times New Roman" w:eastAsia="Calibri" w:hAnsi="Times New Roman" w:cs="Times New Roman"/>
          <w:bCs/>
          <w:kern w:val="0"/>
          <w14:ligatures w14:val="none"/>
        </w:rPr>
      </w:pPr>
      <w:r w:rsidRPr="005A2BDE">
        <w:rPr>
          <w:rFonts w:ascii="Times New Roman" w:eastAsia="Calibri" w:hAnsi="Times New Roman" w:cs="Times New Roman"/>
          <w:bCs/>
          <w:kern w:val="0"/>
          <w:highlight w:val="yellow"/>
          <w14:ligatures w14:val="none"/>
        </w:rPr>
        <w:t xml:space="preserve">For the management of all diabetic patients, the key therapeutic goal is to maintain good glycemic control in order to prevent macro and microvascular complications. Glycemic control is the optimal blood sugar level in a DM patient. Glycemic control in T2DM patients can be evaluated using three parameters: glycosylated </w:t>
      </w:r>
      <w:proofErr w:type="spellStart"/>
      <w:r w:rsidRPr="005A2BDE">
        <w:rPr>
          <w:rFonts w:ascii="Times New Roman" w:eastAsia="Calibri" w:hAnsi="Times New Roman" w:cs="Times New Roman"/>
          <w:bCs/>
          <w:kern w:val="0"/>
          <w:highlight w:val="yellow"/>
          <w14:ligatures w14:val="none"/>
        </w:rPr>
        <w:t>haemoglobin</w:t>
      </w:r>
      <w:proofErr w:type="spellEnd"/>
      <w:r w:rsidRPr="005A2BDE">
        <w:rPr>
          <w:rFonts w:ascii="Times New Roman" w:eastAsia="Calibri" w:hAnsi="Times New Roman" w:cs="Times New Roman"/>
          <w:bCs/>
          <w:kern w:val="0"/>
          <w:highlight w:val="yellow"/>
          <w14:ligatures w14:val="none"/>
        </w:rPr>
        <w:t xml:space="preserve"> (HbA1c), fasting blood glucose (FBG), and postprandial glucose (PPG) (</w:t>
      </w:r>
      <w:proofErr w:type="spellStart"/>
      <w:r w:rsidRPr="005A2BDE">
        <w:rPr>
          <w:rFonts w:ascii="Times New Roman" w:hAnsi="Times New Roman" w:cs="Times New Roman"/>
          <w:highlight w:val="yellow"/>
        </w:rPr>
        <w:t>Rakhis</w:t>
      </w:r>
      <w:proofErr w:type="spellEnd"/>
      <w:r w:rsidRPr="005A2BDE">
        <w:rPr>
          <w:rFonts w:ascii="Times New Roman" w:hAnsi="Times New Roman" w:cs="Times New Roman"/>
          <w:highlight w:val="yellow"/>
        </w:rPr>
        <w:t xml:space="preserve"> et al., 2022</w:t>
      </w:r>
      <w:r w:rsidRPr="005A2BDE">
        <w:rPr>
          <w:highlight w:val="yellow"/>
        </w:rPr>
        <w:t>)</w:t>
      </w:r>
      <w:r w:rsidRPr="005A2BDE">
        <w:rPr>
          <w:rFonts w:ascii="Times New Roman" w:eastAsia="Calibri" w:hAnsi="Times New Roman" w:cs="Times New Roman"/>
          <w:bCs/>
          <w:kern w:val="0"/>
          <w:highlight w:val="yellow"/>
          <w14:ligatures w14:val="none"/>
        </w:rPr>
        <w:t xml:space="preserve">. </w:t>
      </w:r>
      <w:r w:rsidR="003D5C8E" w:rsidRPr="005A2BDE">
        <w:rPr>
          <w:rFonts w:ascii="Times New Roman" w:eastAsia="Calibri" w:hAnsi="Times New Roman" w:cs="Times New Roman"/>
          <w:bCs/>
          <w:kern w:val="0"/>
          <w:highlight w:val="yellow"/>
          <w14:ligatures w14:val="none"/>
        </w:rPr>
        <w:t>Globally</w:t>
      </w:r>
      <w:r w:rsidR="003D5C8E" w:rsidRPr="003D5C8E">
        <w:rPr>
          <w:rFonts w:ascii="Times New Roman" w:eastAsia="Calibri" w:hAnsi="Times New Roman" w:cs="Times New Roman"/>
          <w:bCs/>
          <w:kern w:val="0"/>
          <w14:ligatures w14:val="none"/>
        </w:rPr>
        <w:t>, &lt;50% of T2DM patients meet HbA1c targets despite pharmacotherapy (ADA, 2023). Traditional models focus on medication, ignoring multifactorial needs and raising complication risks (Zheng et al., 2022). In Nigeria, poor infrastructure and education worsen outcomes (</w:t>
      </w:r>
      <w:proofErr w:type="spellStart"/>
      <w:r w:rsidR="003D5C8E" w:rsidRPr="003D5C8E">
        <w:rPr>
          <w:rFonts w:ascii="Times New Roman" w:eastAsia="Calibri" w:hAnsi="Times New Roman" w:cs="Times New Roman"/>
          <w:bCs/>
          <w:kern w:val="0"/>
          <w14:ligatures w14:val="none"/>
        </w:rPr>
        <w:t>Uloko</w:t>
      </w:r>
      <w:proofErr w:type="spellEnd"/>
      <w:r w:rsidR="003D5C8E" w:rsidRPr="003D5C8E">
        <w:rPr>
          <w:rFonts w:ascii="Times New Roman" w:eastAsia="Calibri" w:hAnsi="Times New Roman" w:cs="Times New Roman"/>
          <w:bCs/>
          <w:kern w:val="0"/>
          <w14:ligatures w14:val="none"/>
        </w:rPr>
        <w:t xml:space="preserve"> et al., 2021).</w:t>
      </w:r>
    </w:p>
    <w:p w14:paraId="486B96DF" w14:textId="21F72A26" w:rsid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lastRenderedPageBreak/>
        <w:t>Multidisciplinary care integrates endocrinologists, dietitians, nurses, physiotherapists, and psychologists for holistic management (WHO, 2020). It improves glycemic control (HbA1c drop 0.8–1.2%), blood pressure, lipids, and quality of life (</w:t>
      </w:r>
      <w:r w:rsidR="007716E1" w:rsidRPr="007716E1">
        <w:rPr>
          <w:rFonts w:ascii="Times New Roman" w:eastAsia="Calibri" w:hAnsi="Times New Roman" w:cs="Times New Roman"/>
          <w:bCs/>
          <w:kern w:val="0"/>
          <w14:ligatures w14:val="none"/>
        </w:rPr>
        <w:t>SSDI</w:t>
      </w:r>
      <w:r w:rsidR="007716E1">
        <w:rPr>
          <w:rFonts w:ascii="Times New Roman" w:eastAsia="Calibri" w:hAnsi="Times New Roman" w:cs="Times New Roman"/>
          <w:bCs/>
          <w:kern w:val="0"/>
          <w14:ligatures w14:val="none"/>
        </w:rPr>
        <w:t xml:space="preserve">, </w:t>
      </w:r>
      <w:r w:rsidR="007716E1" w:rsidRPr="007716E1">
        <w:rPr>
          <w:rFonts w:ascii="Times New Roman" w:eastAsia="Calibri" w:hAnsi="Times New Roman" w:cs="Times New Roman"/>
          <w:bCs/>
          <w:kern w:val="0"/>
          <w14:ligatures w14:val="none"/>
        </w:rPr>
        <w:t>2025</w:t>
      </w:r>
      <w:r w:rsidRPr="003D5C8E">
        <w:rPr>
          <w:rFonts w:ascii="Times New Roman" w:eastAsia="Calibri" w:hAnsi="Times New Roman" w:cs="Times New Roman"/>
          <w:bCs/>
          <w:kern w:val="0"/>
          <w14:ligatures w14:val="none"/>
        </w:rPr>
        <w:t>). In sub-Saharan Africa, an RCT showed 1.5% HbA1c reduction and 10 mmHg systolic BP drop over six months (</w:t>
      </w:r>
      <w:r w:rsidR="007716E1" w:rsidRPr="007716E1">
        <w:rPr>
          <w:rFonts w:ascii="Times New Roman" w:eastAsia="Calibri" w:hAnsi="Times New Roman" w:cs="Times New Roman"/>
          <w:bCs/>
          <w:kern w:val="0"/>
          <w14:ligatures w14:val="none"/>
        </w:rPr>
        <w:t>Opoku, 2021).</w:t>
      </w:r>
      <w:r w:rsidR="007716E1">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At Rivers State University Teaching Hospital (RSUTH), a 2022 audit found 65% of T2DM patients with HbA1c &gt;8%, 58% hypertension, and 42% obesity (</w:t>
      </w:r>
      <w:proofErr w:type="spellStart"/>
      <w:r w:rsidR="00CE642C" w:rsidRPr="00CE642C">
        <w:rPr>
          <w:rFonts w:ascii="Times New Roman" w:eastAsia="Calibri" w:hAnsi="Times New Roman" w:cs="Times New Roman"/>
          <w:bCs/>
          <w:kern w:val="0"/>
          <w14:ligatures w14:val="none"/>
        </w:rPr>
        <w:t>Ezechukwu</w:t>
      </w:r>
      <w:proofErr w:type="spellEnd"/>
      <w:r w:rsidR="00CE642C" w:rsidRPr="00CE642C">
        <w:rPr>
          <w:rFonts w:ascii="Times New Roman" w:eastAsia="Calibri" w:hAnsi="Times New Roman" w:cs="Times New Roman"/>
          <w:bCs/>
          <w:kern w:val="0"/>
          <w14:ligatures w14:val="none"/>
        </w:rPr>
        <w:t>,</w:t>
      </w:r>
      <w:r w:rsidR="00CE642C">
        <w:rPr>
          <w:rFonts w:ascii="Times New Roman" w:eastAsia="Calibri" w:hAnsi="Times New Roman" w:cs="Times New Roman"/>
          <w:bCs/>
          <w:kern w:val="0"/>
          <w14:ligatures w14:val="none"/>
        </w:rPr>
        <w:t xml:space="preserve"> </w:t>
      </w:r>
      <w:r w:rsidR="00CE642C" w:rsidRPr="00CE642C">
        <w:rPr>
          <w:rFonts w:ascii="Times New Roman" w:eastAsia="Calibri" w:hAnsi="Times New Roman" w:cs="Times New Roman"/>
          <w:bCs/>
          <w:kern w:val="0"/>
          <w14:ligatures w14:val="none"/>
        </w:rPr>
        <w:t>2023).</w:t>
      </w:r>
      <w:r w:rsidRPr="003D5C8E">
        <w:rPr>
          <w:rFonts w:ascii="Times New Roman" w:eastAsia="Calibri" w:hAnsi="Times New Roman" w:cs="Times New Roman"/>
          <w:bCs/>
          <w:kern w:val="0"/>
          <w14:ligatures w14:val="none"/>
        </w:rPr>
        <w:t xml:space="preserve"> A 2023 RSUTH pilot boosted adherence 30% and cut admissions 20% (</w:t>
      </w:r>
      <w:r w:rsidR="00CE642C" w:rsidRPr="00CE642C">
        <w:rPr>
          <w:rFonts w:ascii="Times New Roman" w:eastAsia="Calibri" w:hAnsi="Times New Roman" w:cs="Times New Roman"/>
          <w:bCs/>
          <w:kern w:val="0"/>
          <w14:ligatures w14:val="none"/>
        </w:rPr>
        <w:t>Sayegh</w:t>
      </w:r>
      <w:r w:rsidR="00CE642C">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202</w:t>
      </w:r>
      <w:r w:rsidR="00CE642C">
        <w:rPr>
          <w:rFonts w:ascii="Times New Roman" w:eastAsia="Calibri" w:hAnsi="Times New Roman" w:cs="Times New Roman"/>
          <w:bCs/>
          <w:kern w:val="0"/>
          <w14:ligatures w14:val="none"/>
        </w:rPr>
        <w:t>2</w:t>
      </w:r>
      <w:r w:rsidRPr="003D5C8E">
        <w:rPr>
          <w:rFonts w:ascii="Times New Roman" w:eastAsia="Calibri" w:hAnsi="Times New Roman" w:cs="Times New Roman"/>
          <w:bCs/>
          <w:kern w:val="0"/>
          <w14:ligatures w14:val="none"/>
        </w:rPr>
        <w:t xml:space="preserve">). Challenges persist: low retention, funding shortages, </w:t>
      </w:r>
      <w:r w:rsidR="00005D0C">
        <w:rPr>
          <w:rFonts w:ascii="Times New Roman" w:eastAsia="Calibri" w:hAnsi="Times New Roman" w:cs="Times New Roman"/>
          <w:bCs/>
          <w:kern w:val="0"/>
          <w14:ligatures w14:val="none"/>
        </w:rPr>
        <w:t xml:space="preserve">and </w:t>
      </w:r>
      <w:r w:rsidRPr="003D5C8E">
        <w:rPr>
          <w:rFonts w:ascii="Times New Roman" w:eastAsia="Calibri" w:hAnsi="Times New Roman" w:cs="Times New Roman"/>
          <w:bCs/>
          <w:kern w:val="0"/>
          <w14:ligatures w14:val="none"/>
        </w:rPr>
        <w:t>cultural barriers (</w:t>
      </w:r>
      <w:proofErr w:type="spellStart"/>
      <w:r w:rsidRPr="003D5C8E">
        <w:rPr>
          <w:rFonts w:ascii="Times New Roman" w:eastAsia="Calibri" w:hAnsi="Times New Roman" w:cs="Times New Roman"/>
          <w:bCs/>
          <w:kern w:val="0"/>
          <w14:ligatures w14:val="none"/>
        </w:rPr>
        <w:t>Oguntibeju</w:t>
      </w:r>
      <w:proofErr w:type="spellEnd"/>
      <w:r w:rsidRPr="003D5C8E">
        <w:rPr>
          <w:rFonts w:ascii="Times New Roman" w:eastAsia="Calibri" w:hAnsi="Times New Roman" w:cs="Times New Roman"/>
          <w:bCs/>
          <w:kern w:val="0"/>
          <w14:ligatures w14:val="none"/>
        </w:rPr>
        <w:t xml:space="preserve">, 2020). Yet, it aligns with ADA's </w:t>
      </w:r>
      <w:r w:rsidR="00005D0C" w:rsidRPr="005A2BDE">
        <w:rPr>
          <w:rFonts w:ascii="Times New Roman" w:eastAsia="Calibri" w:hAnsi="Times New Roman" w:cs="Times New Roman"/>
          <w:bCs/>
          <w:kern w:val="0"/>
          <w:highlight w:val="yellow"/>
          <w14:ligatures w14:val="none"/>
        </w:rPr>
        <w:t>patient-</w:t>
      </w:r>
      <w:proofErr w:type="spellStart"/>
      <w:r w:rsidR="00005D0C" w:rsidRPr="005A2BDE">
        <w:rPr>
          <w:rFonts w:ascii="Times New Roman" w:eastAsia="Calibri" w:hAnsi="Times New Roman" w:cs="Times New Roman"/>
          <w:bCs/>
          <w:kern w:val="0"/>
          <w:highlight w:val="yellow"/>
          <w14:ligatures w14:val="none"/>
        </w:rPr>
        <w:t>centred</w:t>
      </w:r>
      <w:proofErr w:type="spellEnd"/>
      <w:r w:rsidRPr="003D5C8E">
        <w:rPr>
          <w:rFonts w:ascii="Times New Roman" w:eastAsia="Calibri" w:hAnsi="Times New Roman" w:cs="Times New Roman"/>
          <w:bCs/>
          <w:kern w:val="0"/>
          <w14:ligatures w14:val="none"/>
        </w:rPr>
        <w:t xml:space="preserve"> guidelines (ADA, 2023), offering cost-effective comorbidity control</w:t>
      </w:r>
      <w:r>
        <w:rPr>
          <w:rFonts w:ascii="Times New Roman" w:eastAsia="Calibri" w:hAnsi="Times New Roman" w:cs="Times New Roman"/>
          <w:bCs/>
          <w:kern w:val="0"/>
          <w14:ligatures w14:val="none"/>
        </w:rPr>
        <w:t>.</w:t>
      </w:r>
    </w:p>
    <w:p w14:paraId="0C83E339" w14:textId="2218BA8A"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 xml:space="preserve">Type 2 diabetes (T2DM) affects over 537 million adults globally, projected to reach 783 million by 2045, with low- and middle-income countries bearing the brunt (IDF, 2021). Chronic hyperglycemia drives retinopathy, nephropathy, cardiovascular disease, premature mortality, and rising costs (WHO, 2023). Despite pharmacotherapy, &lt;50% achieve glycemic targets (ADA, 2023). Traditional management </w:t>
      </w:r>
      <w:proofErr w:type="spellStart"/>
      <w:r w:rsidR="00005D0C" w:rsidRPr="005A2BDE">
        <w:rPr>
          <w:rFonts w:ascii="Times New Roman" w:eastAsia="Calibri" w:hAnsi="Times New Roman" w:cs="Times New Roman"/>
          <w:bCs/>
          <w:kern w:val="0"/>
          <w:highlight w:val="yellow"/>
          <w14:ligatures w14:val="none"/>
        </w:rPr>
        <w:t>emphasises</w:t>
      </w:r>
      <w:proofErr w:type="spellEnd"/>
      <w:r w:rsidR="00005D0C" w:rsidRPr="003D5C8E">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medications but overlooks nutrition, exercise, multidisciplinary integration, patient education, and comorbidities like hypertension (80% prevalence) and dyslipidemia (40%), leading to fragmented care and higher risks (Ali et al., 2022; Zheng et al., 2020).</w:t>
      </w:r>
    </w:p>
    <w:p w14:paraId="1F504DC3" w14:textId="4DC5A8E6" w:rsidR="003D5C8E" w:rsidRPr="003D5C8E" w:rsidRDefault="00861AB5" w:rsidP="003D5C8E">
      <w:pPr>
        <w:spacing w:line="480" w:lineRule="auto"/>
        <w:rPr>
          <w:rFonts w:ascii="Times New Roman" w:eastAsia="Calibri" w:hAnsi="Times New Roman" w:cs="Times New Roman"/>
          <w:bCs/>
          <w:kern w:val="0"/>
          <w14:ligatures w14:val="none"/>
        </w:rPr>
      </w:pPr>
      <w:r w:rsidRPr="00861AB5">
        <w:rPr>
          <w:rStyle w:val="Strong"/>
          <w:rFonts w:ascii="Times New Roman" w:hAnsi="Times New Roman" w:cs="Times New Roman"/>
          <w:b w:val="0"/>
          <w:bCs w:val="0"/>
          <w:color w:val="0A0A0A"/>
          <w:highlight w:val="yellow"/>
          <w:shd w:val="clear" w:color="auto" w:fill="FFFFFF"/>
        </w:rPr>
        <w:t>Management of Diabetes Protocol</w:t>
      </w:r>
      <w:r w:rsidRPr="00861AB5">
        <w:rPr>
          <w:rStyle w:val="Strong"/>
          <w:rFonts w:ascii="Arial" w:hAnsi="Arial" w:cs="Arial"/>
          <w:color w:val="0A0A0A"/>
          <w:highlight w:val="yellow"/>
          <w:shd w:val="clear" w:color="auto" w:fill="FFFFFF"/>
        </w:rPr>
        <w:t xml:space="preserve"> (</w:t>
      </w:r>
      <w:r w:rsidR="003D5C8E" w:rsidRPr="003D5C8E">
        <w:rPr>
          <w:rFonts w:ascii="Times New Roman" w:eastAsia="Calibri" w:hAnsi="Times New Roman" w:cs="Times New Roman"/>
          <w:bCs/>
          <w:kern w:val="0"/>
          <w14:ligatures w14:val="none"/>
        </w:rPr>
        <w:t>MDPs</w:t>
      </w:r>
      <w:r>
        <w:rPr>
          <w:rFonts w:ascii="Times New Roman" w:eastAsia="Calibri" w:hAnsi="Times New Roman" w:cs="Times New Roman"/>
          <w:bCs/>
          <w:kern w:val="0"/>
          <w14:ligatures w14:val="none"/>
        </w:rPr>
        <w:t>)</w:t>
      </w:r>
      <w:r w:rsidR="003D5C8E" w:rsidRPr="003D5C8E">
        <w:rPr>
          <w:rFonts w:ascii="Times New Roman" w:eastAsia="Calibri" w:hAnsi="Times New Roman" w:cs="Times New Roman"/>
          <w:bCs/>
          <w:kern w:val="0"/>
          <w14:ligatures w14:val="none"/>
        </w:rPr>
        <w:t xml:space="preserve"> unite professionals for holistic, </w:t>
      </w:r>
      <w:r w:rsidR="00005D0C" w:rsidRPr="005A2BDE">
        <w:rPr>
          <w:rFonts w:ascii="Times New Roman" w:eastAsia="Calibri" w:hAnsi="Times New Roman" w:cs="Times New Roman"/>
          <w:bCs/>
          <w:kern w:val="0"/>
          <w:highlight w:val="yellow"/>
          <w14:ligatures w14:val="none"/>
        </w:rPr>
        <w:t>patient-</w:t>
      </w:r>
      <w:proofErr w:type="spellStart"/>
      <w:r w:rsidR="00005D0C" w:rsidRPr="005A2BDE">
        <w:rPr>
          <w:rFonts w:ascii="Times New Roman" w:eastAsia="Calibri" w:hAnsi="Times New Roman" w:cs="Times New Roman"/>
          <w:bCs/>
          <w:kern w:val="0"/>
          <w:highlight w:val="yellow"/>
          <w14:ligatures w14:val="none"/>
        </w:rPr>
        <w:t>centred</w:t>
      </w:r>
      <w:proofErr w:type="spellEnd"/>
      <w:r w:rsidR="003D5C8E" w:rsidRPr="003D5C8E">
        <w:rPr>
          <w:rFonts w:ascii="Times New Roman" w:eastAsia="Calibri" w:hAnsi="Times New Roman" w:cs="Times New Roman"/>
          <w:bCs/>
          <w:kern w:val="0"/>
          <w14:ligatures w14:val="none"/>
        </w:rPr>
        <w:t xml:space="preserve"> care, improving HbA1c, cardiovascular risk, self-management, and outcomes versus usual care (Johnson et al., 2021; ADA, 2023). A 2022 RCT showed 1.5% HbA1c reduction and 12 mmHg systolic BP </w:t>
      </w:r>
      <w:r w:rsidR="00005D0C">
        <w:rPr>
          <w:rFonts w:ascii="Times New Roman" w:eastAsia="Calibri" w:hAnsi="Times New Roman" w:cs="Times New Roman"/>
          <w:bCs/>
          <w:kern w:val="0"/>
          <w14:ligatures w14:val="none"/>
        </w:rPr>
        <w:t>drop in</w:t>
      </w:r>
      <w:r w:rsidR="003D5C8E" w:rsidRPr="003D5C8E">
        <w:rPr>
          <w:rFonts w:ascii="Times New Roman" w:eastAsia="Calibri" w:hAnsi="Times New Roman" w:cs="Times New Roman"/>
          <w:bCs/>
          <w:kern w:val="0"/>
          <w14:ligatures w14:val="none"/>
        </w:rPr>
        <w:t xml:space="preserve"> high-risk groups (Smith et al., 2022). They cut hospitalizations 30% and costs 22% over five years via lifestyle changes and coordination (</w:t>
      </w:r>
      <w:bookmarkStart w:id="0" w:name="_Hlk217656295"/>
      <w:proofErr w:type="spellStart"/>
      <w:r w:rsidR="003D5C8E" w:rsidRPr="003D5C8E">
        <w:rPr>
          <w:rFonts w:ascii="Times New Roman" w:eastAsia="Calibri" w:hAnsi="Times New Roman" w:cs="Times New Roman"/>
          <w:bCs/>
          <w:kern w:val="0"/>
          <w14:ligatures w14:val="none"/>
        </w:rPr>
        <w:t>Echouffo-Tcheugui</w:t>
      </w:r>
      <w:proofErr w:type="spellEnd"/>
      <w:r w:rsidR="003D5C8E" w:rsidRPr="003D5C8E">
        <w:rPr>
          <w:rFonts w:ascii="Times New Roman" w:eastAsia="Calibri" w:hAnsi="Times New Roman" w:cs="Times New Roman"/>
          <w:bCs/>
          <w:kern w:val="0"/>
          <w14:ligatures w14:val="none"/>
        </w:rPr>
        <w:t xml:space="preserve"> et al., 2021), </w:t>
      </w:r>
      <w:bookmarkEnd w:id="0"/>
      <w:r w:rsidR="003D5C8E" w:rsidRPr="003D5C8E">
        <w:rPr>
          <w:rFonts w:ascii="Times New Roman" w:eastAsia="Calibri" w:hAnsi="Times New Roman" w:cs="Times New Roman"/>
          <w:bCs/>
          <w:kern w:val="0"/>
          <w14:ligatures w14:val="none"/>
        </w:rPr>
        <w:t xml:space="preserve">with </w:t>
      </w:r>
      <w:r w:rsidR="003D5C8E" w:rsidRPr="003D5C8E">
        <w:rPr>
          <w:rFonts w:ascii="Times New Roman" w:eastAsia="Calibri" w:hAnsi="Times New Roman" w:cs="Times New Roman"/>
          <w:bCs/>
          <w:kern w:val="0"/>
          <w14:ligatures w14:val="none"/>
        </w:rPr>
        <w:lastRenderedPageBreak/>
        <w:t>a 2023 meta-analysis confirming cost-effectiveness from fewer complications and better adherence (Brown et al., 2023).</w:t>
      </w:r>
    </w:p>
    <w:p w14:paraId="22B0218E" w14:textId="4851B78D" w:rsid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 xml:space="preserve">At Rivers State University Teaching Hospital (RSUTH) in Port Harcourt, T2DM prevalence rises amid limited </w:t>
      </w:r>
      <w:proofErr w:type="spellStart"/>
      <w:r w:rsidR="00005D0C">
        <w:rPr>
          <w:rFonts w:ascii="Times New Roman" w:eastAsia="Calibri" w:hAnsi="Times New Roman" w:cs="Times New Roman"/>
          <w:bCs/>
          <w:kern w:val="0"/>
          <w14:ligatures w14:val="none"/>
        </w:rPr>
        <w:t>specialised</w:t>
      </w:r>
      <w:proofErr w:type="spellEnd"/>
      <w:r w:rsidR="00005D0C" w:rsidRPr="003D5C8E">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 xml:space="preserve">care and low health literacy, with </w:t>
      </w:r>
      <w:r w:rsidR="00005D0C">
        <w:rPr>
          <w:rFonts w:ascii="Times New Roman" w:eastAsia="Calibri" w:hAnsi="Times New Roman" w:cs="Times New Roman"/>
          <w:bCs/>
          <w:kern w:val="0"/>
          <w14:ligatures w14:val="none"/>
        </w:rPr>
        <w:t xml:space="preserve">a </w:t>
      </w:r>
      <w:r w:rsidRPr="003D5C8E">
        <w:rPr>
          <w:rFonts w:ascii="Times New Roman" w:eastAsia="Calibri" w:hAnsi="Times New Roman" w:cs="Times New Roman"/>
          <w:bCs/>
          <w:kern w:val="0"/>
          <w14:ligatures w14:val="none"/>
        </w:rPr>
        <w:t>mean HbA1c &gt;9% and 60% untreated hypertension (</w:t>
      </w:r>
      <w:proofErr w:type="spellStart"/>
      <w:r w:rsidRPr="003D5C8E">
        <w:rPr>
          <w:rFonts w:ascii="Times New Roman" w:eastAsia="Calibri" w:hAnsi="Times New Roman" w:cs="Times New Roman"/>
          <w:bCs/>
          <w:kern w:val="0"/>
          <w14:ligatures w14:val="none"/>
        </w:rPr>
        <w:t>Uloko</w:t>
      </w:r>
      <w:proofErr w:type="spellEnd"/>
      <w:r w:rsidRPr="003D5C8E">
        <w:rPr>
          <w:rFonts w:ascii="Times New Roman" w:eastAsia="Calibri" w:hAnsi="Times New Roman" w:cs="Times New Roman"/>
          <w:bCs/>
          <w:kern w:val="0"/>
          <w14:ligatures w14:val="none"/>
        </w:rPr>
        <w:t xml:space="preserve"> et al., 2020). MDP evidence in sub-Saharan Africa is limited, prompting this study to evaluate impacts on HbA1c, comorbidities, quality of life, and </w:t>
      </w:r>
      <w:proofErr w:type="spellStart"/>
      <w:r w:rsidR="00005D0C">
        <w:rPr>
          <w:rFonts w:ascii="Times New Roman" w:eastAsia="Calibri" w:hAnsi="Times New Roman" w:cs="Times New Roman"/>
          <w:bCs/>
          <w:kern w:val="0"/>
          <w14:ligatures w14:val="none"/>
        </w:rPr>
        <w:t>utilisation</w:t>
      </w:r>
      <w:proofErr w:type="spellEnd"/>
      <w:r w:rsidR="00005D0C" w:rsidRPr="003D5C8E">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 xml:space="preserve">at two Port Harcourt </w:t>
      </w:r>
      <w:proofErr w:type="spellStart"/>
      <w:r w:rsidR="00005D0C">
        <w:rPr>
          <w:rFonts w:ascii="Times New Roman" w:eastAsia="Calibri" w:hAnsi="Times New Roman" w:cs="Times New Roman"/>
          <w:bCs/>
          <w:kern w:val="0"/>
          <w14:ligatures w14:val="none"/>
        </w:rPr>
        <w:t>centres</w:t>
      </w:r>
      <w:proofErr w:type="spellEnd"/>
      <w:r w:rsidRPr="003D5C8E">
        <w:rPr>
          <w:rFonts w:ascii="Times New Roman" w:eastAsia="Calibri" w:hAnsi="Times New Roman" w:cs="Times New Roman"/>
          <w:bCs/>
          <w:kern w:val="0"/>
          <w14:ligatures w14:val="none"/>
        </w:rPr>
        <w:t>. It incorporates culturally adapted nutrition, group education, and screening per ADA (2023) and WHO (2023) guidelines, offering a feasible roadmap to cut morbidity, mortality, and healthcare costs in Rivers State, Nigeria.</w:t>
      </w:r>
      <w:r w:rsidR="005C5F17">
        <w:rPr>
          <w:rFonts w:ascii="Times New Roman" w:eastAsia="Calibri" w:hAnsi="Times New Roman" w:cs="Times New Roman"/>
          <w:bCs/>
          <w:kern w:val="0"/>
          <w14:ligatures w14:val="none"/>
        </w:rPr>
        <w:t xml:space="preserve"> This study aimed at investigat</w:t>
      </w:r>
      <w:r w:rsidR="00760769">
        <w:rPr>
          <w:rFonts w:ascii="Times New Roman" w:eastAsia="Calibri" w:hAnsi="Times New Roman" w:cs="Times New Roman"/>
          <w:bCs/>
          <w:kern w:val="0"/>
          <w14:ligatures w14:val="none"/>
        </w:rPr>
        <w:t>ing</w:t>
      </w:r>
      <w:r w:rsidR="005C5F17">
        <w:rPr>
          <w:rFonts w:ascii="Times New Roman" w:eastAsia="Calibri" w:hAnsi="Times New Roman" w:cs="Times New Roman"/>
          <w:bCs/>
          <w:kern w:val="0"/>
          <w14:ligatures w14:val="none"/>
        </w:rPr>
        <w:t xml:space="preserve"> </w:t>
      </w:r>
      <w:r w:rsidR="005C5F17" w:rsidRPr="005C5F17">
        <w:rPr>
          <w:rFonts w:ascii="Times New Roman" w:eastAsia="Calibri" w:hAnsi="Times New Roman" w:cs="Times New Roman"/>
          <w:bCs/>
          <w:kern w:val="0"/>
          <w14:ligatures w14:val="none"/>
        </w:rPr>
        <w:t xml:space="preserve">the level of knowledge about Type 2 Diabetes Mellitus (T2DM) among patients attending different university medical </w:t>
      </w:r>
      <w:proofErr w:type="spellStart"/>
      <w:r w:rsidR="005C5F17" w:rsidRPr="005C5F17">
        <w:rPr>
          <w:rFonts w:ascii="Times New Roman" w:eastAsia="Calibri" w:hAnsi="Times New Roman" w:cs="Times New Roman"/>
          <w:bCs/>
          <w:kern w:val="0"/>
          <w14:ligatures w14:val="none"/>
        </w:rPr>
        <w:t>centres</w:t>
      </w:r>
      <w:proofErr w:type="spellEnd"/>
      <w:r w:rsidR="005C5F17" w:rsidRPr="005C5F17">
        <w:rPr>
          <w:rFonts w:ascii="Times New Roman" w:eastAsia="Calibri" w:hAnsi="Times New Roman" w:cs="Times New Roman"/>
          <w:bCs/>
          <w:kern w:val="0"/>
          <w14:ligatures w14:val="none"/>
        </w:rPr>
        <w:t xml:space="preserve"> in Rivers State</w:t>
      </w:r>
      <w:r w:rsidR="00760769">
        <w:rPr>
          <w:rFonts w:ascii="Times New Roman" w:eastAsia="Calibri" w:hAnsi="Times New Roman" w:cs="Times New Roman"/>
          <w:bCs/>
          <w:kern w:val="0"/>
          <w14:ligatures w14:val="none"/>
        </w:rPr>
        <w:t>.</w:t>
      </w:r>
    </w:p>
    <w:p w14:paraId="4E87F05E" w14:textId="658B5A5F" w:rsidR="00746A16" w:rsidRDefault="00746A16" w:rsidP="002A490C">
      <w:pPr>
        <w:spacing w:line="480" w:lineRule="auto"/>
        <w:rPr>
          <w:rFonts w:ascii="Times New Roman" w:hAnsi="Times New Roman" w:cs="Times New Roman"/>
          <w:b/>
          <w:bCs/>
        </w:rPr>
      </w:pPr>
      <w:r>
        <w:rPr>
          <w:rFonts w:ascii="Times New Roman" w:hAnsi="Times New Roman" w:cs="Times New Roman"/>
          <w:b/>
          <w:bCs/>
        </w:rPr>
        <w:t>Methodology</w:t>
      </w:r>
    </w:p>
    <w:p w14:paraId="45400773" w14:textId="7EB48DF3" w:rsidR="005C5F17" w:rsidRDefault="001035B2" w:rsidP="002A490C">
      <w:pPr>
        <w:spacing w:line="480" w:lineRule="auto"/>
        <w:rPr>
          <w:rFonts w:ascii="Times New Roman" w:hAnsi="Times New Roman" w:cs="Times New Roman"/>
        </w:rPr>
      </w:pPr>
      <w:r>
        <w:rPr>
          <w:rFonts w:ascii="Times New Roman" w:hAnsi="Times New Roman" w:cs="Times New Roman"/>
        </w:rPr>
        <w:t>A</w:t>
      </w:r>
      <w:r w:rsidRPr="001035B2">
        <w:rPr>
          <w:rFonts w:ascii="Times New Roman" w:hAnsi="Times New Roman" w:cs="Times New Roman"/>
        </w:rPr>
        <w:t>dopt</w:t>
      </w:r>
      <w:r>
        <w:rPr>
          <w:rFonts w:ascii="Times New Roman" w:hAnsi="Times New Roman" w:cs="Times New Roman"/>
        </w:rPr>
        <w:t>ing</w:t>
      </w:r>
      <w:r w:rsidRPr="001035B2">
        <w:rPr>
          <w:rFonts w:ascii="Times New Roman" w:hAnsi="Times New Roman" w:cs="Times New Roman"/>
        </w:rPr>
        <w:t xml:space="preserve"> a quasi-experimental research design</w:t>
      </w:r>
      <w:r w:rsidR="008301FA">
        <w:rPr>
          <w:rFonts w:ascii="Times New Roman" w:hAnsi="Times New Roman" w:cs="Times New Roman"/>
        </w:rPr>
        <w:t>,</w:t>
      </w:r>
      <w:r>
        <w:rPr>
          <w:rFonts w:ascii="Times New Roman" w:hAnsi="Times New Roman" w:cs="Times New Roman"/>
        </w:rPr>
        <w:t xml:space="preserve"> which i</w:t>
      </w:r>
      <w:r w:rsidRPr="001035B2">
        <w:rPr>
          <w:rFonts w:ascii="Times New Roman" w:hAnsi="Times New Roman" w:cs="Times New Roman"/>
        </w:rPr>
        <w:t>nvolv</w:t>
      </w:r>
      <w:r>
        <w:rPr>
          <w:rFonts w:ascii="Times New Roman" w:hAnsi="Times New Roman" w:cs="Times New Roman"/>
        </w:rPr>
        <w:t>ed</w:t>
      </w:r>
      <w:r w:rsidRPr="001035B2">
        <w:rPr>
          <w:rFonts w:ascii="Times New Roman" w:hAnsi="Times New Roman" w:cs="Times New Roman"/>
        </w:rPr>
        <w:t xml:space="preserve"> a pre-test-post-test control group design</w:t>
      </w:r>
      <w:r>
        <w:rPr>
          <w:rFonts w:ascii="Times New Roman" w:hAnsi="Times New Roman" w:cs="Times New Roman"/>
        </w:rPr>
        <w:t xml:space="preserve">, the study was </w:t>
      </w:r>
      <w:r w:rsidRPr="001035B2">
        <w:rPr>
          <w:rFonts w:ascii="Times New Roman" w:hAnsi="Times New Roman" w:cs="Times New Roman"/>
        </w:rPr>
        <w:t xml:space="preserve">conducted at the main campuses of Rivers State University (RSU) medical </w:t>
      </w:r>
      <w:proofErr w:type="spellStart"/>
      <w:r w:rsidRPr="001035B2">
        <w:rPr>
          <w:rFonts w:ascii="Times New Roman" w:hAnsi="Times New Roman" w:cs="Times New Roman"/>
        </w:rPr>
        <w:t>centre</w:t>
      </w:r>
      <w:proofErr w:type="spellEnd"/>
      <w:r w:rsidRPr="001035B2">
        <w:rPr>
          <w:rFonts w:ascii="Times New Roman" w:hAnsi="Times New Roman" w:cs="Times New Roman"/>
        </w:rPr>
        <w:t xml:space="preserve"> and Ignatius </w:t>
      </w:r>
      <w:proofErr w:type="spellStart"/>
      <w:r w:rsidRPr="001035B2">
        <w:rPr>
          <w:rFonts w:ascii="Times New Roman" w:hAnsi="Times New Roman" w:cs="Times New Roman"/>
        </w:rPr>
        <w:t>Ajuru</w:t>
      </w:r>
      <w:proofErr w:type="spellEnd"/>
      <w:r w:rsidRPr="001035B2">
        <w:rPr>
          <w:rFonts w:ascii="Times New Roman" w:hAnsi="Times New Roman" w:cs="Times New Roman"/>
        </w:rPr>
        <w:t xml:space="preserve"> University of Education medical </w:t>
      </w:r>
      <w:proofErr w:type="spellStart"/>
      <w:r w:rsidRPr="001035B2">
        <w:rPr>
          <w:rFonts w:ascii="Times New Roman" w:hAnsi="Times New Roman" w:cs="Times New Roman"/>
        </w:rPr>
        <w:t>centre</w:t>
      </w:r>
      <w:proofErr w:type="spellEnd"/>
      <w:r w:rsidR="006B7887">
        <w:rPr>
          <w:rFonts w:ascii="Times New Roman" w:hAnsi="Times New Roman" w:cs="Times New Roman"/>
        </w:rPr>
        <w:t>,</w:t>
      </w:r>
      <w:r>
        <w:rPr>
          <w:rFonts w:ascii="Times New Roman" w:hAnsi="Times New Roman" w:cs="Times New Roman"/>
        </w:rPr>
        <w:t xml:space="preserve"> all in Port Harcourt, Rivers State.</w:t>
      </w:r>
      <w:r w:rsidR="009F7E0B">
        <w:rPr>
          <w:rFonts w:ascii="Times New Roman" w:hAnsi="Times New Roman" w:cs="Times New Roman"/>
        </w:rPr>
        <w:t xml:space="preserve"> </w:t>
      </w:r>
      <w:r w:rsidR="009F7E0B" w:rsidRPr="009F7E0B">
        <w:rPr>
          <w:rFonts w:ascii="Times New Roman" w:hAnsi="Times New Roman" w:cs="Times New Roman"/>
        </w:rPr>
        <w:t>The population of this study included adults aged 18–65 years receiving care at th</w:t>
      </w:r>
      <w:r w:rsidR="009F7E0B">
        <w:rPr>
          <w:rFonts w:ascii="Times New Roman" w:hAnsi="Times New Roman" w:cs="Times New Roman"/>
        </w:rPr>
        <w:t xml:space="preserve">e two </w:t>
      </w:r>
      <w:r w:rsidR="009F7E0B" w:rsidRPr="009F7E0B">
        <w:rPr>
          <w:rFonts w:ascii="Times New Roman" w:hAnsi="Times New Roman" w:cs="Times New Roman"/>
        </w:rPr>
        <w:t xml:space="preserve">medical </w:t>
      </w:r>
      <w:proofErr w:type="spellStart"/>
      <w:r w:rsidR="009F7E0B">
        <w:rPr>
          <w:rFonts w:ascii="Times New Roman" w:hAnsi="Times New Roman" w:cs="Times New Roman"/>
        </w:rPr>
        <w:t>c</w:t>
      </w:r>
      <w:r w:rsidR="009F7E0B" w:rsidRPr="009F7E0B">
        <w:rPr>
          <w:rFonts w:ascii="Times New Roman" w:hAnsi="Times New Roman" w:cs="Times New Roman"/>
        </w:rPr>
        <w:t>entre</w:t>
      </w:r>
      <w:r w:rsidR="009F7E0B">
        <w:rPr>
          <w:rFonts w:ascii="Times New Roman" w:hAnsi="Times New Roman" w:cs="Times New Roman"/>
        </w:rPr>
        <w:t>s</w:t>
      </w:r>
      <w:proofErr w:type="spellEnd"/>
      <w:r w:rsidR="009F7E0B" w:rsidRPr="009F7E0B">
        <w:rPr>
          <w:rFonts w:ascii="Times New Roman" w:hAnsi="Times New Roman" w:cs="Times New Roman"/>
        </w:rPr>
        <w:t xml:space="preserve"> and </w:t>
      </w:r>
      <w:r w:rsidR="006B7887">
        <w:rPr>
          <w:rFonts w:ascii="Times New Roman" w:hAnsi="Times New Roman" w:cs="Times New Roman"/>
        </w:rPr>
        <w:t xml:space="preserve">who </w:t>
      </w:r>
      <w:r w:rsidR="009F7E0B" w:rsidRPr="009F7E0B">
        <w:rPr>
          <w:rFonts w:ascii="Times New Roman" w:hAnsi="Times New Roman" w:cs="Times New Roman"/>
        </w:rPr>
        <w:t xml:space="preserve">are residents within Port Harcourt and </w:t>
      </w:r>
      <w:proofErr w:type="spellStart"/>
      <w:r w:rsidR="009F7E0B" w:rsidRPr="009F7E0B">
        <w:rPr>
          <w:rFonts w:ascii="Times New Roman" w:hAnsi="Times New Roman" w:cs="Times New Roman"/>
        </w:rPr>
        <w:t>Obio</w:t>
      </w:r>
      <w:proofErr w:type="spellEnd"/>
      <w:r w:rsidR="009F7E0B" w:rsidRPr="009F7E0B">
        <w:rPr>
          <w:rFonts w:ascii="Times New Roman" w:hAnsi="Times New Roman" w:cs="Times New Roman"/>
        </w:rPr>
        <w:t>/</w:t>
      </w:r>
      <w:proofErr w:type="spellStart"/>
      <w:r w:rsidR="009F7E0B" w:rsidRPr="009F7E0B">
        <w:rPr>
          <w:rFonts w:ascii="Times New Roman" w:hAnsi="Times New Roman" w:cs="Times New Roman"/>
        </w:rPr>
        <w:t>Akpor</w:t>
      </w:r>
      <w:proofErr w:type="spellEnd"/>
      <w:r w:rsidR="009F7E0B" w:rsidRPr="009F7E0B">
        <w:rPr>
          <w:rFonts w:ascii="Times New Roman" w:hAnsi="Times New Roman" w:cs="Times New Roman"/>
        </w:rPr>
        <w:t xml:space="preserve"> LGAs of Rivers State in the last year. Participants were excluded if they had acute/critical illness, lacked HbA1c-confirmed glycemic data within four weeks, could not provide required clinical information, or had gestational diabetes, ensuring focus on adult type 2 diabetes</w:t>
      </w:r>
      <w:r w:rsidR="009F7E0B">
        <w:rPr>
          <w:rFonts w:ascii="Times New Roman" w:hAnsi="Times New Roman" w:cs="Times New Roman"/>
        </w:rPr>
        <w:t>.</w:t>
      </w:r>
      <w:r w:rsidR="00B645A6">
        <w:rPr>
          <w:rFonts w:ascii="Times New Roman" w:hAnsi="Times New Roman" w:cs="Times New Roman"/>
        </w:rPr>
        <w:t xml:space="preserve"> </w:t>
      </w:r>
      <w:r w:rsidR="00B645A6" w:rsidRPr="00B645A6">
        <w:rPr>
          <w:rFonts w:ascii="Times New Roman" w:hAnsi="Times New Roman" w:cs="Times New Roman"/>
        </w:rPr>
        <w:t xml:space="preserve">A </w:t>
      </w:r>
      <w:r w:rsidR="00B645A6">
        <w:rPr>
          <w:rFonts w:ascii="Times New Roman" w:hAnsi="Times New Roman" w:cs="Times New Roman"/>
        </w:rPr>
        <w:t>sample size</w:t>
      </w:r>
      <w:r w:rsidR="00B645A6" w:rsidRPr="00B645A6">
        <w:rPr>
          <w:rFonts w:ascii="Times New Roman" w:hAnsi="Times New Roman" w:cs="Times New Roman"/>
        </w:rPr>
        <w:t xml:space="preserve"> of 5</w:t>
      </w:r>
      <w:r w:rsidR="0059235A">
        <w:rPr>
          <w:rFonts w:ascii="Times New Roman" w:hAnsi="Times New Roman" w:cs="Times New Roman"/>
        </w:rPr>
        <w:t>6</w:t>
      </w:r>
      <w:r w:rsidR="00B645A6" w:rsidRPr="00B645A6">
        <w:rPr>
          <w:rFonts w:ascii="Times New Roman" w:hAnsi="Times New Roman" w:cs="Times New Roman"/>
        </w:rPr>
        <w:t>0 participants was recruited in this study</w:t>
      </w:r>
      <w:r w:rsidR="00B645A6">
        <w:rPr>
          <w:rFonts w:ascii="Times New Roman" w:hAnsi="Times New Roman" w:cs="Times New Roman"/>
        </w:rPr>
        <w:t xml:space="preserve"> </w:t>
      </w:r>
      <w:r w:rsidR="00B645A6" w:rsidRPr="00B645A6">
        <w:rPr>
          <w:rFonts w:ascii="Times New Roman" w:hAnsi="Times New Roman" w:cs="Times New Roman"/>
        </w:rPr>
        <w:t>using the design for two proportions by Cochrane</w:t>
      </w:r>
      <w:r w:rsidR="00B645A6">
        <w:rPr>
          <w:rFonts w:ascii="Times New Roman" w:hAnsi="Times New Roman" w:cs="Times New Roman"/>
        </w:rPr>
        <w:t xml:space="preserve">.  </w:t>
      </w:r>
      <w:r w:rsidR="00B645A6" w:rsidRPr="00B645A6">
        <w:rPr>
          <w:rFonts w:ascii="Times New Roman" w:hAnsi="Times New Roman" w:cs="Times New Roman"/>
        </w:rPr>
        <w:t xml:space="preserve">The study collected primary and secondary data after physician consultations, with informed consent obtained. Sociodemographic, </w:t>
      </w:r>
      <w:proofErr w:type="spellStart"/>
      <w:r w:rsidR="00B645A6" w:rsidRPr="00B645A6">
        <w:rPr>
          <w:rFonts w:ascii="Times New Roman" w:hAnsi="Times New Roman" w:cs="Times New Roman"/>
        </w:rPr>
        <w:t>behavioural</w:t>
      </w:r>
      <w:proofErr w:type="spellEnd"/>
      <w:r w:rsidR="00B645A6" w:rsidRPr="00B645A6">
        <w:rPr>
          <w:rFonts w:ascii="Times New Roman" w:hAnsi="Times New Roman" w:cs="Times New Roman"/>
        </w:rPr>
        <w:t xml:space="preserve">, and clinical information </w:t>
      </w:r>
      <w:r w:rsidR="00760769">
        <w:rPr>
          <w:rFonts w:ascii="Times New Roman" w:hAnsi="Times New Roman" w:cs="Times New Roman"/>
        </w:rPr>
        <w:t>were</w:t>
      </w:r>
      <w:r w:rsidR="00760769" w:rsidRPr="00B645A6">
        <w:rPr>
          <w:rFonts w:ascii="Times New Roman" w:hAnsi="Times New Roman" w:cs="Times New Roman"/>
        </w:rPr>
        <w:t xml:space="preserve"> </w:t>
      </w:r>
      <w:r w:rsidR="00B645A6" w:rsidRPr="00B645A6">
        <w:rPr>
          <w:rFonts w:ascii="Times New Roman" w:hAnsi="Times New Roman" w:cs="Times New Roman"/>
        </w:rPr>
        <w:t xml:space="preserve">gathered via a pre-tested </w:t>
      </w:r>
      <w:r w:rsidR="00B645A6" w:rsidRPr="00B645A6">
        <w:rPr>
          <w:rFonts w:ascii="Times New Roman" w:hAnsi="Times New Roman" w:cs="Times New Roman"/>
        </w:rPr>
        <w:lastRenderedPageBreak/>
        <w:t>questionnaire and patient records, reviewed for factors affecting HbA1c. A trained team conducted interviews, while weight and height were measured under standard protocols. Laboratory tests included HbA1c (</w:t>
      </w:r>
      <w:proofErr w:type="spellStart"/>
      <w:r w:rsidR="00B645A6" w:rsidRPr="00B645A6">
        <w:rPr>
          <w:rFonts w:ascii="Times New Roman" w:hAnsi="Times New Roman" w:cs="Times New Roman"/>
        </w:rPr>
        <w:t>Wondfo</w:t>
      </w:r>
      <w:proofErr w:type="spellEnd"/>
      <w:r w:rsidR="00B645A6" w:rsidRPr="00B645A6">
        <w:rPr>
          <w:rFonts w:ascii="Times New Roman" w:hAnsi="Times New Roman" w:cs="Times New Roman"/>
        </w:rPr>
        <w:t xml:space="preserve"> Rapid Quantitative Test), fasting blood sugar, renal function, and lipid profiles using calibrated analyzers with strict SOPs and quality control. Standardized forms captured demographics, medical history, and medication use. To ensure validity, questionnaires were adapted </w:t>
      </w:r>
      <w:r w:rsidR="0095380C">
        <w:rPr>
          <w:rFonts w:ascii="Times New Roman" w:hAnsi="Times New Roman" w:cs="Times New Roman"/>
        </w:rPr>
        <w:t>and</w:t>
      </w:r>
      <w:r w:rsidR="00B645A6" w:rsidRPr="00B645A6">
        <w:rPr>
          <w:rFonts w:ascii="Times New Roman" w:hAnsi="Times New Roman" w:cs="Times New Roman"/>
        </w:rPr>
        <w:t xml:space="preserve"> partly translated into pidgin English, and </w:t>
      </w:r>
      <w:r w:rsidR="00B645A6">
        <w:rPr>
          <w:rFonts w:ascii="Times New Roman" w:hAnsi="Times New Roman" w:cs="Times New Roman"/>
        </w:rPr>
        <w:t>research assistants</w:t>
      </w:r>
      <w:r w:rsidR="00B645A6" w:rsidRPr="00B645A6">
        <w:rPr>
          <w:rFonts w:ascii="Times New Roman" w:hAnsi="Times New Roman" w:cs="Times New Roman"/>
        </w:rPr>
        <w:t xml:space="preserve"> underwent training for consistency.</w:t>
      </w:r>
      <w:r w:rsidR="0095380C">
        <w:rPr>
          <w:rFonts w:ascii="Times New Roman" w:hAnsi="Times New Roman" w:cs="Times New Roman"/>
        </w:rPr>
        <w:t xml:space="preserve"> </w:t>
      </w:r>
      <w:r w:rsidR="0095380C" w:rsidRPr="0095380C">
        <w:rPr>
          <w:rFonts w:ascii="Times New Roman" w:hAnsi="Times New Roman" w:cs="Times New Roman"/>
        </w:rPr>
        <w:t xml:space="preserve">A pre-test on 5% of non-sample T2DM patients at UPTH ensured instrument reliability, with adjustments made from feedback. Principal investigators supervised data collection with daily integrity checks. Laboratory analyses followed strict quality control, including daily tests and reagent controls. Fasting blood samples were collected in labelled tubes, verified, processed the same day, and </w:t>
      </w:r>
      <w:r w:rsidR="00760769">
        <w:rPr>
          <w:rFonts w:ascii="Times New Roman" w:hAnsi="Times New Roman" w:cs="Times New Roman"/>
        </w:rPr>
        <w:t xml:space="preserve">the </w:t>
      </w:r>
      <w:r w:rsidR="0095380C" w:rsidRPr="0095380C">
        <w:rPr>
          <w:rFonts w:ascii="Times New Roman" w:hAnsi="Times New Roman" w:cs="Times New Roman"/>
        </w:rPr>
        <w:t>results were coded and documented for accuracy, traceability, and reliability.</w:t>
      </w:r>
    </w:p>
    <w:p w14:paraId="5DBA764D" w14:textId="4FB39157" w:rsidR="0095380C" w:rsidRPr="001035B2" w:rsidRDefault="0095380C" w:rsidP="002A490C">
      <w:pPr>
        <w:spacing w:line="480" w:lineRule="auto"/>
        <w:rPr>
          <w:rFonts w:ascii="Times New Roman" w:hAnsi="Times New Roman" w:cs="Times New Roman"/>
        </w:rPr>
      </w:pPr>
      <w:r w:rsidRPr="0095380C">
        <w:rPr>
          <w:rFonts w:ascii="Times New Roman" w:hAnsi="Times New Roman" w:cs="Times New Roman"/>
        </w:rPr>
        <w:t xml:space="preserve">Data collection proceeded in phases, beginning with ethical approval and recruitment of a multidisciplinary team (physician, pharmacy specialist/case manager, dietician, diabetic and health educators, social worker). The team met twice weekly to review patient eligibility and care plans, with enrolment via physician referral. Inclusion required HbA1c testing and ≥3 months of follow-up; incomplete records led to exclusion. Clinical outcomes (HbA1c, FBS, BP, lipid profile, weight) were measured at baseline, 3, and 6 months. Care followed ADA (2023) guidelines but was </w:t>
      </w:r>
      <w:proofErr w:type="spellStart"/>
      <w:r w:rsidR="00760769" w:rsidRPr="005A2BDE">
        <w:rPr>
          <w:rFonts w:ascii="Times New Roman" w:hAnsi="Times New Roman" w:cs="Times New Roman"/>
          <w:highlight w:val="yellow"/>
        </w:rPr>
        <w:t>individualised</w:t>
      </w:r>
      <w:proofErr w:type="spellEnd"/>
      <w:r w:rsidRPr="005A2BDE">
        <w:rPr>
          <w:rFonts w:ascii="Times New Roman" w:hAnsi="Times New Roman" w:cs="Times New Roman"/>
          <w:highlight w:val="yellow"/>
        </w:rPr>
        <w:t>,</w:t>
      </w:r>
      <w:r w:rsidRPr="0095380C">
        <w:rPr>
          <w:rFonts w:ascii="Times New Roman" w:hAnsi="Times New Roman" w:cs="Times New Roman"/>
        </w:rPr>
        <w:t xml:space="preserve"> with the case manager coordinating appointments, monitoring compliance, and adverse effects. Patients saw all team members at least once, except the social worker (as needed). Strategies included increased visits, outcome monitoring, education, self-management support, dose adjustments, insulin titration, adherence promotion, social support, reminders, and calls. Data were collected over three months and </w:t>
      </w:r>
      <w:proofErr w:type="spellStart"/>
      <w:r w:rsidR="00760769" w:rsidRPr="005A2BDE">
        <w:rPr>
          <w:rFonts w:ascii="Times New Roman" w:hAnsi="Times New Roman" w:cs="Times New Roman"/>
          <w:highlight w:val="yellow"/>
        </w:rPr>
        <w:t>analysed</w:t>
      </w:r>
      <w:proofErr w:type="spellEnd"/>
      <w:r w:rsidR="00760769" w:rsidRPr="0095380C">
        <w:rPr>
          <w:rFonts w:ascii="Times New Roman" w:hAnsi="Times New Roman" w:cs="Times New Roman"/>
        </w:rPr>
        <w:t xml:space="preserve"> </w:t>
      </w:r>
      <w:r w:rsidRPr="0095380C">
        <w:rPr>
          <w:rFonts w:ascii="Times New Roman" w:hAnsi="Times New Roman" w:cs="Times New Roman"/>
        </w:rPr>
        <w:t>with SPSS v25</w:t>
      </w:r>
      <w:r>
        <w:rPr>
          <w:rFonts w:ascii="Times New Roman" w:hAnsi="Times New Roman" w:cs="Times New Roman"/>
        </w:rPr>
        <w:t>.</w:t>
      </w:r>
    </w:p>
    <w:p w14:paraId="3D66DB78" w14:textId="1EE8469B" w:rsidR="00746A16" w:rsidRDefault="00746A16" w:rsidP="002A490C">
      <w:pPr>
        <w:spacing w:line="480" w:lineRule="auto"/>
        <w:rPr>
          <w:rFonts w:ascii="Times New Roman" w:hAnsi="Times New Roman" w:cs="Times New Roman"/>
          <w:b/>
          <w:bCs/>
        </w:rPr>
      </w:pPr>
      <w:r>
        <w:rPr>
          <w:rFonts w:ascii="Times New Roman" w:hAnsi="Times New Roman" w:cs="Times New Roman"/>
          <w:b/>
          <w:bCs/>
        </w:rPr>
        <w:lastRenderedPageBreak/>
        <w:t xml:space="preserve">Results </w:t>
      </w:r>
    </w:p>
    <w:p w14:paraId="0670ABC9" w14:textId="77777777" w:rsidR="0095380C" w:rsidRPr="0095380C" w:rsidRDefault="0095380C" w:rsidP="0095380C">
      <w:pPr>
        <w:autoSpaceDE w:val="0"/>
        <w:autoSpaceDN w:val="0"/>
        <w:adjustRightInd w:val="0"/>
        <w:spacing w:line="360" w:lineRule="auto"/>
        <w:rPr>
          <w:rFonts w:ascii="Times New Roman" w:hAnsi="Times New Roman" w:cs="Times New Roman"/>
          <w:b/>
          <w:bCs/>
          <w:kern w:val="0"/>
          <w:lang w:val="en-GB"/>
          <w14:ligatures w14:val="none"/>
        </w:rPr>
      </w:pPr>
      <w:r w:rsidRPr="0095380C">
        <w:rPr>
          <w:rFonts w:ascii="Times New Roman" w:hAnsi="Times New Roman" w:cs="Times New Roman"/>
          <w:b/>
          <w:bCs/>
          <w:kern w:val="0"/>
          <w:lang w:val="en-GB"/>
          <w14:ligatures w14:val="none"/>
        </w:rPr>
        <w:t xml:space="preserve">Research Question One: </w:t>
      </w:r>
      <w:r w:rsidRPr="0095380C">
        <w:rPr>
          <w:rFonts w:ascii="Times New Roman" w:eastAsia="Calibri" w:hAnsi="Times New Roman" w:cs="Times New Roman"/>
          <w:bCs/>
          <w:kern w:val="0"/>
          <w:lang w:val="en-GB"/>
          <w14:ligatures w14:val="none"/>
        </w:rPr>
        <w:t xml:space="preserve">What is the difference in knowledge of T2DM between patients receiving treatment at Rivers State University Medical Centre and those at Ignatius </w:t>
      </w:r>
      <w:proofErr w:type="spellStart"/>
      <w:r w:rsidRPr="0095380C">
        <w:rPr>
          <w:rFonts w:ascii="Times New Roman" w:eastAsia="Calibri" w:hAnsi="Times New Roman" w:cs="Times New Roman"/>
          <w:bCs/>
          <w:kern w:val="0"/>
          <w:lang w:val="en-GB"/>
          <w14:ligatures w14:val="none"/>
        </w:rPr>
        <w:t>Ajuru</w:t>
      </w:r>
      <w:proofErr w:type="spellEnd"/>
      <w:r w:rsidRPr="0095380C">
        <w:rPr>
          <w:rFonts w:ascii="Times New Roman" w:eastAsia="Calibri" w:hAnsi="Times New Roman" w:cs="Times New Roman"/>
          <w:bCs/>
          <w:kern w:val="0"/>
          <w:lang w:val="en-GB"/>
          <w14:ligatures w14:val="none"/>
        </w:rPr>
        <w:t xml:space="preserve"> University of Education Medical Centre?</w:t>
      </w:r>
    </w:p>
    <w:p w14:paraId="2B7AFA1D" w14:textId="4C17D14B" w:rsidR="0095380C" w:rsidRPr="0095380C" w:rsidRDefault="0095380C" w:rsidP="0095380C">
      <w:pPr>
        <w:spacing w:line="240" w:lineRule="auto"/>
        <w:ind w:right="-1039"/>
        <w:rPr>
          <w:rFonts w:ascii="Times New Roman" w:eastAsia="Times New Roman" w:hAnsi="Times New Roman" w:cs="Times New Roman"/>
          <w:b/>
          <w:bCs/>
          <w:kern w:val="0"/>
          <w:lang w:val="en-GB" w:eastAsia="en-GB"/>
          <w14:ligatures w14:val="none"/>
        </w:rPr>
      </w:pPr>
      <w:r w:rsidRPr="0095380C">
        <w:rPr>
          <w:rFonts w:ascii="Times New Roman" w:eastAsia="Times New Roman" w:hAnsi="Times New Roman" w:cs="Times New Roman"/>
          <w:b/>
          <w:bCs/>
          <w:kern w:val="0"/>
          <w:lang w:val="en-GB" w:eastAsia="en-GB"/>
          <w14:ligatures w14:val="none"/>
        </w:rPr>
        <w:t xml:space="preserve">Table </w:t>
      </w:r>
      <w:r>
        <w:rPr>
          <w:rFonts w:ascii="Times New Roman" w:eastAsia="Times New Roman" w:hAnsi="Times New Roman" w:cs="Times New Roman"/>
          <w:b/>
          <w:bCs/>
          <w:kern w:val="0"/>
          <w:lang w:val="en-GB" w:eastAsia="en-GB"/>
          <w14:ligatures w14:val="none"/>
        </w:rPr>
        <w:t>1</w:t>
      </w:r>
      <w:r w:rsidRPr="0095380C">
        <w:rPr>
          <w:rFonts w:ascii="Times New Roman" w:eastAsia="Times New Roman" w:hAnsi="Times New Roman" w:cs="Times New Roman"/>
          <w:b/>
          <w:bCs/>
          <w:kern w:val="0"/>
          <w:lang w:val="en-GB" w:eastAsia="en-GB"/>
          <w14:ligatures w14:val="none"/>
        </w:rPr>
        <w:t xml:space="preserve">: </w:t>
      </w:r>
      <w:bookmarkStart w:id="1" w:name="_Hlk214399132"/>
      <w:r w:rsidRPr="0095380C">
        <w:rPr>
          <w:rFonts w:ascii="Times New Roman" w:eastAsia="Times New Roman" w:hAnsi="Times New Roman" w:cs="Times New Roman"/>
          <w:b/>
          <w:bCs/>
          <w:kern w:val="0"/>
          <w:lang w:val="en-GB" w:eastAsia="en-GB"/>
          <w14:ligatures w14:val="none"/>
        </w:rPr>
        <w:t xml:space="preserve">Mean score and standard deviation of </w:t>
      </w:r>
      <w:r w:rsidRPr="0095380C">
        <w:rPr>
          <w:rFonts w:ascii="Times New Roman" w:eastAsia="Calibri" w:hAnsi="Times New Roman" w:cs="Times New Roman"/>
          <w:b/>
          <w:bCs/>
          <w:kern w:val="0"/>
          <w:lang w:val="en-GB"/>
          <w14:ligatures w14:val="none"/>
        </w:rPr>
        <w:t xml:space="preserve">the difference in knowledge of T2DM between patients receiving treatment at Rivers State University Medical Centre (RSUMC) and those at Ignatius </w:t>
      </w:r>
      <w:proofErr w:type="spellStart"/>
      <w:r w:rsidRPr="0095380C">
        <w:rPr>
          <w:rFonts w:ascii="Times New Roman" w:eastAsia="Calibri" w:hAnsi="Times New Roman" w:cs="Times New Roman"/>
          <w:b/>
          <w:bCs/>
          <w:kern w:val="0"/>
          <w:lang w:val="en-GB"/>
          <w14:ligatures w14:val="none"/>
        </w:rPr>
        <w:t>Ajuru</w:t>
      </w:r>
      <w:proofErr w:type="spellEnd"/>
      <w:r w:rsidRPr="0095380C">
        <w:rPr>
          <w:rFonts w:ascii="Times New Roman" w:eastAsia="Calibri" w:hAnsi="Times New Roman" w:cs="Times New Roman"/>
          <w:b/>
          <w:bCs/>
          <w:kern w:val="0"/>
          <w:lang w:val="en-GB"/>
          <w14:ligatures w14:val="none"/>
        </w:rPr>
        <w:t xml:space="preserve"> University of Education Medical Centre (IAUEMC)</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402"/>
        <w:gridCol w:w="851"/>
        <w:gridCol w:w="992"/>
        <w:gridCol w:w="1134"/>
        <w:gridCol w:w="851"/>
        <w:gridCol w:w="850"/>
        <w:gridCol w:w="1134"/>
      </w:tblGrid>
      <w:tr w:rsidR="0095380C" w:rsidRPr="0095380C" w14:paraId="50CBB9B1" w14:textId="77777777" w:rsidTr="005E6100">
        <w:trPr>
          <w:trHeight w:val="322"/>
        </w:trPr>
        <w:tc>
          <w:tcPr>
            <w:tcW w:w="675" w:type="dxa"/>
            <w:vMerge w:val="restart"/>
            <w:tcBorders>
              <w:top w:val="single" w:sz="4" w:space="0" w:color="auto"/>
              <w:bottom w:val="nil"/>
            </w:tcBorders>
          </w:tcPr>
          <w:bookmarkEnd w:id="1"/>
          <w:p w14:paraId="27D9F7F0" w14:textId="77777777" w:rsidR="0095380C" w:rsidRPr="0095380C" w:rsidRDefault="0095380C" w:rsidP="0095380C">
            <w:pPr>
              <w:bidi/>
              <w:jc w:val="right"/>
              <w:rPr>
                <w:rFonts w:ascii="Times New Roman" w:hAnsi="Times New Roman" w:cs="Times New Roman"/>
                <w:b/>
                <w:bCs/>
              </w:rPr>
            </w:pPr>
            <w:r w:rsidRPr="0095380C">
              <w:rPr>
                <w:rFonts w:ascii="Times New Roman" w:hAnsi="Times New Roman" w:cs="Times New Roman"/>
                <w:b/>
                <w:bCs/>
              </w:rPr>
              <w:t>S/N</w:t>
            </w:r>
          </w:p>
        </w:tc>
        <w:tc>
          <w:tcPr>
            <w:tcW w:w="3402" w:type="dxa"/>
            <w:vMerge w:val="restart"/>
            <w:tcBorders>
              <w:top w:val="single" w:sz="4" w:space="0" w:color="auto"/>
              <w:bottom w:val="nil"/>
            </w:tcBorders>
          </w:tcPr>
          <w:p w14:paraId="70097E03"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Items</w:t>
            </w:r>
          </w:p>
        </w:tc>
        <w:tc>
          <w:tcPr>
            <w:tcW w:w="2977" w:type="dxa"/>
            <w:gridSpan w:val="3"/>
            <w:tcBorders>
              <w:top w:val="single" w:sz="4" w:space="0" w:color="auto"/>
              <w:bottom w:val="nil"/>
            </w:tcBorders>
          </w:tcPr>
          <w:p w14:paraId="3734326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RSUMC (n=280)</w:t>
            </w:r>
          </w:p>
        </w:tc>
        <w:tc>
          <w:tcPr>
            <w:tcW w:w="2835" w:type="dxa"/>
            <w:gridSpan w:val="3"/>
            <w:tcBorders>
              <w:top w:val="single" w:sz="4" w:space="0" w:color="auto"/>
              <w:bottom w:val="nil"/>
            </w:tcBorders>
          </w:tcPr>
          <w:p w14:paraId="687E4FE4"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IAUEMC (n=280)</w:t>
            </w:r>
          </w:p>
        </w:tc>
      </w:tr>
      <w:tr w:rsidR="0095380C" w:rsidRPr="0095380C" w14:paraId="166C1C29" w14:textId="77777777" w:rsidTr="005E6100">
        <w:trPr>
          <w:trHeight w:val="215"/>
        </w:trPr>
        <w:tc>
          <w:tcPr>
            <w:tcW w:w="675" w:type="dxa"/>
            <w:vMerge/>
            <w:tcBorders>
              <w:top w:val="nil"/>
              <w:bottom w:val="single" w:sz="4" w:space="0" w:color="auto"/>
            </w:tcBorders>
          </w:tcPr>
          <w:p w14:paraId="329F894D" w14:textId="77777777" w:rsidR="0095380C" w:rsidRPr="0095380C" w:rsidRDefault="0095380C" w:rsidP="0095380C">
            <w:pPr>
              <w:rPr>
                <w:rFonts w:ascii="Times New Roman" w:hAnsi="Times New Roman" w:cs="Times New Roman"/>
                <w:b/>
                <w:bCs/>
              </w:rPr>
            </w:pPr>
          </w:p>
        </w:tc>
        <w:tc>
          <w:tcPr>
            <w:tcW w:w="3402" w:type="dxa"/>
            <w:vMerge/>
            <w:tcBorders>
              <w:top w:val="nil"/>
              <w:bottom w:val="single" w:sz="4" w:space="0" w:color="auto"/>
            </w:tcBorders>
          </w:tcPr>
          <w:p w14:paraId="2D632C2F" w14:textId="77777777" w:rsidR="0095380C" w:rsidRPr="0095380C" w:rsidRDefault="0095380C" w:rsidP="0095380C">
            <w:pPr>
              <w:jc w:val="center"/>
              <w:rPr>
                <w:rFonts w:ascii="Times New Roman" w:hAnsi="Times New Roman" w:cs="Times New Roman"/>
                <w:b/>
                <w:bCs/>
              </w:rPr>
            </w:pPr>
          </w:p>
        </w:tc>
        <w:tc>
          <w:tcPr>
            <w:tcW w:w="851" w:type="dxa"/>
            <w:tcBorders>
              <w:top w:val="nil"/>
              <w:bottom w:val="single" w:sz="4" w:space="0" w:color="auto"/>
            </w:tcBorders>
          </w:tcPr>
          <w:p w14:paraId="50A2DF6A"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992" w:type="dxa"/>
            <w:tcBorders>
              <w:top w:val="nil"/>
              <w:bottom w:val="single" w:sz="4" w:space="0" w:color="auto"/>
            </w:tcBorders>
          </w:tcPr>
          <w:p w14:paraId="1361C545"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134" w:type="dxa"/>
            <w:tcBorders>
              <w:top w:val="nil"/>
              <w:bottom w:val="single" w:sz="4" w:space="0" w:color="auto"/>
            </w:tcBorders>
          </w:tcPr>
          <w:p w14:paraId="28D9A0CA"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c>
          <w:tcPr>
            <w:tcW w:w="851" w:type="dxa"/>
            <w:tcBorders>
              <w:top w:val="nil"/>
              <w:bottom w:val="single" w:sz="4" w:space="0" w:color="auto"/>
            </w:tcBorders>
          </w:tcPr>
          <w:p w14:paraId="3FFA2C1E"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7B7B405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134" w:type="dxa"/>
            <w:tcBorders>
              <w:top w:val="nil"/>
              <w:bottom w:val="single" w:sz="4" w:space="0" w:color="auto"/>
            </w:tcBorders>
          </w:tcPr>
          <w:p w14:paraId="4260CB82"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r>
      <w:tr w:rsidR="0095380C" w:rsidRPr="0095380C" w14:paraId="0331277A" w14:textId="77777777" w:rsidTr="005E6100">
        <w:tc>
          <w:tcPr>
            <w:tcW w:w="675" w:type="dxa"/>
            <w:tcBorders>
              <w:top w:val="single" w:sz="4" w:space="0" w:color="auto"/>
            </w:tcBorders>
          </w:tcPr>
          <w:p w14:paraId="4C8113E1"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Borders>
              <w:top w:val="single" w:sz="4" w:space="0" w:color="auto"/>
            </w:tcBorders>
          </w:tcPr>
          <w:p w14:paraId="0EE4876B"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Type 2 Diabetes occurs when the body does not use insulin properly (insulin resistance).</w:t>
            </w:r>
          </w:p>
        </w:tc>
        <w:tc>
          <w:tcPr>
            <w:tcW w:w="851" w:type="dxa"/>
            <w:tcBorders>
              <w:top w:val="single" w:sz="4" w:space="0" w:color="auto"/>
            </w:tcBorders>
            <w:vAlign w:val="center"/>
          </w:tcPr>
          <w:p w14:paraId="702BBDD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3.13</w:t>
            </w:r>
          </w:p>
        </w:tc>
        <w:tc>
          <w:tcPr>
            <w:tcW w:w="992" w:type="dxa"/>
            <w:tcBorders>
              <w:top w:val="single" w:sz="4" w:space="0" w:color="auto"/>
            </w:tcBorders>
            <w:vAlign w:val="center"/>
          </w:tcPr>
          <w:p w14:paraId="591E636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134" w:type="dxa"/>
            <w:tcBorders>
              <w:top w:val="single" w:sz="4" w:space="0" w:color="auto"/>
            </w:tcBorders>
            <w:vAlign w:val="center"/>
          </w:tcPr>
          <w:p w14:paraId="7DD93EB6"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tcBorders>
              <w:top w:val="single" w:sz="4" w:space="0" w:color="auto"/>
            </w:tcBorders>
            <w:vAlign w:val="center"/>
          </w:tcPr>
          <w:p w14:paraId="1247BE7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3.13</w:t>
            </w:r>
          </w:p>
        </w:tc>
        <w:tc>
          <w:tcPr>
            <w:tcW w:w="850" w:type="dxa"/>
            <w:tcBorders>
              <w:top w:val="single" w:sz="4" w:space="0" w:color="auto"/>
            </w:tcBorders>
            <w:vAlign w:val="center"/>
          </w:tcPr>
          <w:p w14:paraId="65626F8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134" w:type="dxa"/>
            <w:tcBorders>
              <w:top w:val="single" w:sz="4" w:space="0" w:color="auto"/>
            </w:tcBorders>
            <w:vAlign w:val="center"/>
          </w:tcPr>
          <w:p w14:paraId="0C5DBD3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07C20DB" w14:textId="77777777" w:rsidTr="005E6100">
        <w:tc>
          <w:tcPr>
            <w:tcW w:w="675" w:type="dxa"/>
          </w:tcPr>
          <w:p w14:paraId="0FC418CA"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70F7A9F7"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Being overweight or obese increases the risk of developing Type 2 Diabetes</w:t>
            </w:r>
          </w:p>
        </w:tc>
        <w:tc>
          <w:tcPr>
            <w:tcW w:w="851" w:type="dxa"/>
            <w:vAlign w:val="center"/>
          </w:tcPr>
          <w:p w14:paraId="68405C7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2.93</w:t>
            </w:r>
          </w:p>
        </w:tc>
        <w:tc>
          <w:tcPr>
            <w:tcW w:w="992" w:type="dxa"/>
            <w:vAlign w:val="center"/>
          </w:tcPr>
          <w:p w14:paraId="0829400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0.79</w:t>
            </w:r>
          </w:p>
        </w:tc>
        <w:tc>
          <w:tcPr>
            <w:tcW w:w="1134" w:type="dxa"/>
            <w:vAlign w:val="center"/>
          </w:tcPr>
          <w:p w14:paraId="318A998C"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D31688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2.98</w:t>
            </w:r>
          </w:p>
        </w:tc>
        <w:tc>
          <w:tcPr>
            <w:tcW w:w="850" w:type="dxa"/>
            <w:vAlign w:val="center"/>
          </w:tcPr>
          <w:p w14:paraId="5B82CBC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0.76</w:t>
            </w:r>
          </w:p>
        </w:tc>
        <w:tc>
          <w:tcPr>
            <w:tcW w:w="1134" w:type="dxa"/>
            <w:vAlign w:val="center"/>
          </w:tcPr>
          <w:p w14:paraId="43D0132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413285B" w14:textId="77777777" w:rsidTr="005E6100">
        <w:tc>
          <w:tcPr>
            <w:tcW w:w="675" w:type="dxa"/>
          </w:tcPr>
          <w:p w14:paraId="550528EE"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42001537"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Frequent urination and excessive thirst are common symptoms of uncontrolled diabetes</w:t>
            </w:r>
          </w:p>
        </w:tc>
        <w:tc>
          <w:tcPr>
            <w:tcW w:w="851" w:type="dxa"/>
            <w:vAlign w:val="center"/>
          </w:tcPr>
          <w:p w14:paraId="183AC84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3.00</w:t>
            </w:r>
          </w:p>
        </w:tc>
        <w:tc>
          <w:tcPr>
            <w:tcW w:w="992" w:type="dxa"/>
            <w:vAlign w:val="center"/>
          </w:tcPr>
          <w:p w14:paraId="2221475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0.77</w:t>
            </w:r>
          </w:p>
        </w:tc>
        <w:tc>
          <w:tcPr>
            <w:tcW w:w="1134" w:type="dxa"/>
            <w:vAlign w:val="center"/>
          </w:tcPr>
          <w:p w14:paraId="71B9E93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435717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2.98</w:t>
            </w:r>
          </w:p>
        </w:tc>
        <w:tc>
          <w:tcPr>
            <w:tcW w:w="850" w:type="dxa"/>
            <w:vAlign w:val="center"/>
          </w:tcPr>
          <w:p w14:paraId="114EFE4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0.81</w:t>
            </w:r>
          </w:p>
        </w:tc>
        <w:tc>
          <w:tcPr>
            <w:tcW w:w="1134" w:type="dxa"/>
            <w:vAlign w:val="center"/>
          </w:tcPr>
          <w:p w14:paraId="1E7EDDE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4C5A472" w14:textId="77777777" w:rsidTr="005E6100">
        <w:tc>
          <w:tcPr>
            <w:tcW w:w="675" w:type="dxa"/>
          </w:tcPr>
          <w:p w14:paraId="6DFFEB32"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0DEEC997"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A fasting blood sugar level of 126 mg/dL or higher means a person has diabetes.</w:t>
            </w:r>
          </w:p>
        </w:tc>
        <w:tc>
          <w:tcPr>
            <w:tcW w:w="851" w:type="dxa"/>
            <w:vAlign w:val="center"/>
          </w:tcPr>
          <w:p w14:paraId="1CB8530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3.39</w:t>
            </w:r>
          </w:p>
        </w:tc>
        <w:tc>
          <w:tcPr>
            <w:tcW w:w="992" w:type="dxa"/>
            <w:vAlign w:val="center"/>
          </w:tcPr>
          <w:p w14:paraId="66566E6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0.71</w:t>
            </w:r>
          </w:p>
        </w:tc>
        <w:tc>
          <w:tcPr>
            <w:tcW w:w="1134" w:type="dxa"/>
            <w:vAlign w:val="center"/>
          </w:tcPr>
          <w:p w14:paraId="1CD6B2C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7396113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3.42</w:t>
            </w:r>
          </w:p>
        </w:tc>
        <w:tc>
          <w:tcPr>
            <w:tcW w:w="850" w:type="dxa"/>
            <w:vAlign w:val="center"/>
          </w:tcPr>
          <w:p w14:paraId="5F1FC51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0.73</w:t>
            </w:r>
          </w:p>
        </w:tc>
        <w:tc>
          <w:tcPr>
            <w:tcW w:w="1134" w:type="dxa"/>
            <w:vAlign w:val="center"/>
          </w:tcPr>
          <w:p w14:paraId="60D920A1"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53C16405" w14:textId="77777777" w:rsidTr="005E6100">
        <w:tc>
          <w:tcPr>
            <w:tcW w:w="675" w:type="dxa"/>
          </w:tcPr>
          <w:p w14:paraId="2D4268BB"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67B89410"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Poorly controlled diabetes can lead to nerve damage (neuropathy) and kidney disease.</w:t>
            </w:r>
          </w:p>
        </w:tc>
        <w:tc>
          <w:tcPr>
            <w:tcW w:w="851" w:type="dxa"/>
            <w:vAlign w:val="center"/>
          </w:tcPr>
          <w:p w14:paraId="2F152A9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3.32</w:t>
            </w:r>
          </w:p>
        </w:tc>
        <w:tc>
          <w:tcPr>
            <w:tcW w:w="992" w:type="dxa"/>
            <w:vAlign w:val="center"/>
          </w:tcPr>
          <w:p w14:paraId="5A10AC1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0.60</w:t>
            </w:r>
          </w:p>
        </w:tc>
        <w:tc>
          <w:tcPr>
            <w:tcW w:w="1134" w:type="dxa"/>
            <w:vAlign w:val="center"/>
          </w:tcPr>
          <w:p w14:paraId="4CA6CD2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3618AF4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3.36</w:t>
            </w:r>
          </w:p>
        </w:tc>
        <w:tc>
          <w:tcPr>
            <w:tcW w:w="850" w:type="dxa"/>
            <w:vAlign w:val="center"/>
          </w:tcPr>
          <w:p w14:paraId="6C09F2E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0.60</w:t>
            </w:r>
          </w:p>
        </w:tc>
        <w:tc>
          <w:tcPr>
            <w:tcW w:w="1134" w:type="dxa"/>
            <w:vAlign w:val="center"/>
          </w:tcPr>
          <w:p w14:paraId="54B8E1F5"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22603DE" w14:textId="77777777" w:rsidTr="005E6100">
        <w:tc>
          <w:tcPr>
            <w:tcW w:w="675" w:type="dxa"/>
          </w:tcPr>
          <w:p w14:paraId="3D2702DC"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1CA5931B"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Eating foods high in sugar and refined carbohydrates can worsen blood sugar control</w:t>
            </w:r>
          </w:p>
        </w:tc>
        <w:tc>
          <w:tcPr>
            <w:tcW w:w="851" w:type="dxa"/>
            <w:vAlign w:val="center"/>
          </w:tcPr>
          <w:p w14:paraId="17093CD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2.85</w:t>
            </w:r>
          </w:p>
        </w:tc>
        <w:tc>
          <w:tcPr>
            <w:tcW w:w="992" w:type="dxa"/>
            <w:vAlign w:val="center"/>
          </w:tcPr>
          <w:p w14:paraId="586FC94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0.87</w:t>
            </w:r>
          </w:p>
        </w:tc>
        <w:tc>
          <w:tcPr>
            <w:tcW w:w="1134" w:type="dxa"/>
            <w:vAlign w:val="center"/>
          </w:tcPr>
          <w:p w14:paraId="53890247"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4A29500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2.54</w:t>
            </w:r>
          </w:p>
        </w:tc>
        <w:tc>
          <w:tcPr>
            <w:tcW w:w="850" w:type="dxa"/>
            <w:vAlign w:val="center"/>
          </w:tcPr>
          <w:p w14:paraId="2DF1295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1.07</w:t>
            </w:r>
          </w:p>
        </w:tc>
        <w:tc>
          <w:tcPr>
            <w:tcW w:w="1134" w:type="dxa"/>
            <w:vAlign w:val="center"/>
          </w:tcPr>
          <w:p w14:paraId="17CCAD6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359EC68B" w14:textId="77777777" w:rsidTr="005E6100">
        <w:tc>
          <w:tcPr>
            <w:tcW w:w="675" w:type="dxa"/>
          </w:tcPr>
          <w:p w14:paraId="276F2A40"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6EB4A17A"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Regular physical activity helps improve blood sugar levels in Type 2 Diabetes.</w:t>
            </w:r>
          </w:p>
        </w:tc>
        <w:tc>
          <w:tcPr>
            <w:tcW w:w="851" w:type="dxa"/>
            <w:vAlign w:val="center"/>
          </w:tcPr>
          <w:p w14:paraId="22A3C96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992" w:type="dxa"/>
            <w:vAlign w:val="center"/>
          </w:tcPr>
          <w:p w14:paraId="0072F0B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0.57</w:t>
            </w:r>
          </w:p>
        </w:tc>
        <w:tc>
          <w:tcPr>
            <w:tcW w:w="1134" w:type="dxa"/>
            <w:vAlign w:val="center"/>
          </w:tcPr>
          <w:p w14:paraId="5488F345"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4E97BA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3.16</w:t>
            </w:r>
          </w:p>
        </w:tc>
        <w:tc>
          <w:tcPr>
            <w:tcW w:w="850" w:type="dxa"/>
            <w:vAlign w:val="center"/>
          </w:tcPr>
          <w:p w14:paraId="2C3995F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0.54</w:t>
            </w:r>
          </w:p>
        </w:tc>
        <w:tc>
          <w:tcPr>
            <w:tcW w:w="1134" w:type="dxa"/>
            <w:vAlign w:val="center"/>
          </w:tcPr>
          <w:p w14:paraId="383A74C7"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5DEEBFCB" w14:textId="77777777" w:rsidTr="005E6100">
        <w:tc>
          <w:tcPr>
            <w:tcW w:w="675" w:type="dxa"/>
          </w:tcPr>
          <w:p w14:paraId="27338A94"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7F581F90"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People with Type 2 Diabetes should take their prescribed medication even if they feel fine.</w:t>
            </w:r>
          </w:p>
        </w:tc>
        <w:tc>
          <w:tcPr>
            <w:tcW w:w="851" w:type="dxa"/>
            <w:vAlign w:val="center"/>
          </w:tcPr>
          <w:p w14:paraId="72BFC24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3.00</w:t>
            </w:r>
          </w:p>
        </w:tc>
        <w:tc>
          <w:tcPr>
            <w:tcW w:w="992" w:type="dxa"/>
            <w:vAlign w:val="center"/>
          </w:tcPr>
          <w:p w14:paraId="418E393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0.68</w:t>
            </w:r>
          </w:p>
        </w:tc>
        <w:tc>
          <w:tcPr>
            <w:tcW w:w="1134" w:type="dxa"/>
            <w:vAlign w:val="center"/>
          </w:tcPr>
          <w:p w14:paraId="08362889"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0BDC7A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2.96</w:t>
            </w:r>
          </w:p>
        </w:tc>
        <w:tc>
          <w:tcPr>
            <w:tcW w:w="850" w:type="dxa"/>
            <w:vAlign w:val="center"/>
          </w:tcPr>
          <w:p w14:paraId="2BA1B1E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0.76</w:t>
            </w:r>
          </w:p>
        </w:tc>
        <w:tc>
          <w:tcPr>
            <w:tcW w:w="1134" w:type="dxa"/>
            <w:vAlign w:val="center"/>
          </w:tcPr>
          <w:p w14:paraId="7533C3E3"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6DC4FE64" w14:textId="77777777" w:rsidTr="005E6100">
        <w:tc>
          <w:tcPr>
            <w:tcW w:w="675" w:type="dxa"/>
          </w:tcPr>
          <w:p w14:paraId="2B40B0FB"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6BD245AD"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Checking blood sugar levels regularly is important for managing diabetes effectively.</w:t>
            </w:r>
          </w:p>
        </w:tc>
        <w:tc>
          <w:tcPr>
            <w:tcW w:w="851" w:type="dxa"/>
            <w:vAlign w:val="center"/>
          </w:tcPr>
          <w:p w14:paraId="7CC7FC6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3.04</w:t>
            </w:r>
          </w:p>
        </w:tc>
        <w:tc>
          <w:tcPr>
            <w:tcW w:w="992" w:type="dxa"/>
            <w:vAlign w:val="center"/>
          </w:tcPr>
          <w:p w14:paraId="1F2ACD5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0.73</w:t>
            </w:r>
          </w:p>
        </w:tc>
        <w:tc>
          <w:tcPr>
            <w:tcW w:w="1134" w:type="dxa"/>
            <w:vAlign w:val="center"/>
          </w:tcPr>
          <w:p w14:paraId="4813646F"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B00BF2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2.99</w:t>
            </w:r>
          </w:p>
        </w:tc>
        <w:tc>
          <w:tcPr>
            <w:tcW w:w="850" w:type="dxa"/>
            <w:vAlign w:val="center"/>
          </w:tcPr>
          <w:p w14:paraId="56B22A4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0.82</w:t>
            </w:r>
          </w:p>
        </w:tc>
        <w:tc>
          <w:tcPr>
            <w:tcW w:w="1134" w:type="dxa"/>
            <w:vAlign w:val="center"/>
          </w:tcPr>
          <w:p w14:paraId="0C0D1AAC"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F2C46FD" w14:textId="77777777" w:rsidTr="005E6100">
        <w:tc>
          <w:tcPr>
            <w:tcW w:w="675" w:type="dxa"/>
          </w:tcPr>
          <w:p w14:paraId="39602E3A"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39DA3020"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With proper diet, exercise, and medication, Type 2 Diabetes can be well-controlled.</w:t>
            </w:r>
          </w:p>
        </w:tc>
        <w:tc>
          <w:tcPr>
            <w:tcW w:w="851" w:type="dxa"/>
            <w:vAlign w:val="center"/>
          </w:tcPr>
          <w:p w14:paraId="0275194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3.36</w:t>
            </w:r>
          </w:p>
        </w:tc>
        <w:tc>
          <w:tcPr>
            <w:tcW w:w="992" w:type="dxa"/>
            <w:vAlign w:val="center"/>
          </w:tcPr>
          <w:p w14:paraId="6157E14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0.69</w:t>
            </w:r>
          </w:p>
        </w:tc>
        <w:tc>
          <w:tcPr>
            <w:tcW w:w="1134" w:type="dxa"/>
            <w:vAlign w:val="center"/>
          </w:tcPr>
          <w:p w14:paraId="036B5AB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4884B04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3.40</w:t>
            </w:r>
          </w:p>
        </w:tc>
        <w:tc>
          <w:tcPr>
            <w:tcW w:w="850" w:type="dxa"/>
            <w:vAlign w:val="center"/>
          </w:tcPr>
          <w:p w14:paraId="256B15F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0.72</w:t>
            </w:r>
          </w:p>
        </w:tc>
        <w:tc>
          <w:tcPr>
            <w:tcW w:w="1134" w:type="dxa"/>
            <w:vAlign w:val="center"/>
          </w:tcPr>
          <w:p w14:paraId="183688D6"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2810FD5" w14:textId="77777777" w:rsidTr="005E6100">
        <w:trPr>
          <w:trHeight w:val="248"/>
        </w:trPr>
        <w:tc>
          <w:tcPr>
            <w:tcW w:w="675" w:type="dxa"/>
          </w:tcPr>
          <w:p w14:paraId="60AC6287" w14:textId="77777777" w:rsidR="0095380C" w:rsidRPr="0095380C" w:rsidRDefault="0095380C" w:rsidP="0095380C">
            <w:pPr>
              <w:rPr>
                <w:rFonts w:ascii="Times New Roman" w:hAnsi="Times New Roman" w:cs="Times New Roman"/>
              </w:rPr>
            </w:pPr>
          </w:p>
        </w:tc>
        <w:tc>
          <w:tcPr>
            <w:tcW w:w="3402" w:type="dxa"/>
          </w:tcPr>
          <w:p w14:paraId="504CB061" w14:textId="77777777" w:rsidR="0095380C" w:rsidRPr="0095380C" w:rsidRDefault="0095380C" w:rsidP="0095380C">
            <w:pPr>
              <w:autoSpaceDE w:val="0"/>
              <w:autoSpaceDN w:val="0"/>
              <w:adjustRightInd w:val="0"/>
              <w:jc w:val="center"/>
              <w:rPr>
                <w:rFonts w:ascii="Times New Roman" w:hAnsi="Times New Roman" w:cs="Times New Roman"/>
                <w:b/>
                <w:bCs/>
                <w:noProof/>
              </w:rPr>
            </w:pPr>
            <w:r w:rsidRPr="0095380C">
              <w:rPr>
                <w:rFonts w:ascii="Times New Roman" w:hAnsi="Times New Roman" w:cs="Times New Roman"/>
                <w:b/>
                <w:bCs/>
                <w:noProof/>
              </w:rPr>
              <w:t>Grand Mean</w:t>
            </w:r>
          </w:p>
        </w:tc>
        <w:tc>
          <w:tcPr>
            <w:tcW w:w="851" w:type="dxa"/>
            <w:vAlign w:val="center"/>
          </w:tcPr>
          <w:p w14:paraId="29176330"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3.12</w:t>
            </w:r>
          </w:p>
        </w:tc>
        <w:tc>
          <w:tcPr>
            <w:tcW w:w="992" w:type="dxa"/>
            <w:vAlign w:val="center"/>
          </w:tcPr>
          <w:p w14:paraId="0144FC23"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1134" w:type="dxa"/>
            <w:vAlign w:val="center"/>
          </w:tcPr>
          <w:p w14:paraId="4E897A12"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851" w:type="dxa"/>
            <w:vAlign w:val="center"/>
          </w:tcPr>
          <w:p w14:paraId="0B1CD697"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3.09</w:t>
            </w:r>
          </w:p>
        </w:tc>
        <w:tc>
          <w:tcPr>
            <w:tcW w:w="850" w:type="dxa"/>
            <w:vAlign w:val="center"/>
          </w:tcPr>
          <w:p w14:paraId="6C6119D2"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c>
          <w:tcPr>
            <w:tcW w:w="1134" w:type="dxa"/>
            <w:vAlign w:val="center"/>
          </w:tcPr>
          <w:p w14:paraId="64288B9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r>
    </w:tbl>
    <w:p w14:paraId="2C491348" w14:textId="77777777" w:rsidR="0095380C" w:rsidRPr="0095380C" w:rsidRDefault="0095380C" w:rsidP="0095380C">
      <w:pPr>
        <w:spacing w:line="480" w:lineRule="auto"/>
        <w:rPr>
          <w:rFonts w:ascii="Times New Roman" w:eastAsia="Times New Roman" w:hAnsi="Times New Roman" w:cs="Times New Roman"/>
          <w:kern w:val="0"/>
          <w:lang w:val="en-GB" w:eastAsia="en-GB"/>
          <w14:ligatures w14:val="none"/>
        </w:rPr>
      </w:pPr>
      <w:r w:rsidRPr="0095380C">
        <w:rPr>
          <w:rFonts w:ascii="Times New Roman" w:eastAsia="Times New Roman" w:hAnsi="Times New Roman" w:cs="Times New Roman"/>
          <w:kern w:val="0"/>
          <w:lang w:val="en-GB" w:eastAsia="en-GB"/>
          <w14:ligatures w14:val="none"/>
        </w:rPr>
        <w:t>Criterion Mean = 2.5, Mean: 1.0-2.49 = Disagree, 2.5-4.00= Agree.</w:t>
      </w:r>
    </w:p>
    <w:p w14:paraId="49C954F0" w14:textId="43CF86E2" w:rsidR="0095380C" w:rsidRPr="0095380C" w:rsidRDefault="0095380C" w:rsidP="0095380C">
      <w:pPr>
        <w:spacing w:after="100" w:afterAutospacing="1" w:line="480" w:lineRule="auto"/>
        <w:rPr>
          <w:rFonts w:ascii="Times New Roman" w:eastAsia="Calibri" w:hAnsi="Times New Roman" w:cs="Times New Roman"/>
          <w:bCs/>
          <w:kern w:val="0"/>
          <w:lang w:val="en-GB" w:eastAsia="en-GB"/>
          <w14:ligatures w14:val="none"/>
        </w:rPr>
      </w:pPr>
      <w:r w:rsidRPr="0095380C">
        <w:rPr>
          <w:rFonts w:ascii="Times New Roman" w:eastAsia="Times New Roman" w:hAnsi="Times New Roman" w:cs="Times New Roman"/>
          <w:kern w:val="0"/>
          <w:lang w:val="en-GB" w:eastAsia="en-GB"/>
          <w14:ligatures w14:val="none"/>
        </w:rPr>
        <w:t xml:space="preserve">Table </w:t>
      </w:r>
      <w:r>
        <w:rPr>
          <w:rFonts w:ascii="Times New Roman" w:eastAsia="Times New Roman" w:hAnsi="Times New Roman" w:cs="Times New Roman"/>
          <w:kern w:val="0"/>
          <w:lang w:val="en-GB" w:eastAsia="en-GB"/>
          <w14:ligatures w14:val="none"/>
        </w:rPr>
        <w:t>1</w:t>
      </w:r>
      <w:r w:rsidRPr="0095380C">
        <w:rPr>
          <w:rFonts w:ascii="Times New Roman" w:eastAsia="Times New Roman" w:hAnsi="Times New Roman" w:cs="Times New Roman"/>
          <w:kern w:val="0"/>
          <w:lang w:val="en-GB" w:eastAsia="en-GB"/>
          <w14:ligatures w14:val="none"/>
        </w:rPr>
        <w:t xml:space="preserve"> shows </w:t>
      </w:r>
      <w:r w:rsidRPr="0095380C">
        <w:rPr>
          <w:rFonts w:ascii="Times New Roman" w:eastAsia="Calibri" w:hAnsi="Times New Roman" w:cs="Times New Roman"/>
          <w:bCs/>
          <w:kern w:val="0"/>
          <w:lang w:val="en-GB" w:eastAsia="en-GB"/>
          <w14:ligatures w14:val="none"/>
        </w:rPr>
        <w:t>the difference in knowledge of T2DM between patients receiving treatment at RSUMC and those at IAUEMC</w:t>
      </w:r>
      <w:r w:rsidRPr="0095380C">
        <w:rPr>
          <w:rFonts w:ascii="Times New Roman" w:eastAsia="Times New Roman" w:hAnsi="Times New Roman" w:cs="Times New Roman"/>
          <w:kern w:val="0"/>
          <w:lang w:val="en-GB" w:eastAsia="en-GB"/>
          <w14:ligatures w14:val="none"/>
        </w:rPr>
        <w:t xml:space="preserve">. The result showed that the majority of the respondents from </w:t>
      </w:r>
      <w:r w:rsidRPr="0095380C">
        <w:rPr>
          <w:rFonts w:ascii="Times New Roman" w:eastAsia="Times New Roman" w:hAnsi="Times New Roman" w:cs="Times New Roman"/>
          <w:kern w:val="0"/>
          <w:lang w:val="en-GB" w:eastAsia="en-GB"/>
          <w14:ligatures w14:val="none"/>
        </w:rPr>
        <w:lastRenderedPageBreak/>
        <w:t xml:space="preserve">Rivers State University Medical Centre agreed to 1-10, with their mean scores greater than or equal to the criterion mean (2.50). The grand mean of 3.12 indicates that the majority of the </w:t>
      </w:r>
      <w:r w:rsidRPr="0095380C">
        <w:rPr>
          <w:rFonts w:ascii="Times New Roman" w:eastAsia="Calibri" w:hAnsi="Times New Roman" w:cs="Times New Roman"/>
          <w:bCs/>
          <w:kern w:val="0"/>
          <w:lang w:val="en-GB" w:eastAsia="en-GB"/>
          <w14:ligatures w14:val="none"/>
        </w:rPr>
        <w:t>patients receiving treatment at RSUMC</w:t>
      </w:r>
      <w:r w:rsidRPr="0095380C">
        <w:rPr>
          <w:rFonts w:ascii="Times New Roman" w:eastAsia="Times New Roman" w:hAnsi="Times New Roman" w:cs="Times New Roman"/>
          <w:kern w:val="0"/>
          <w:lang w:val="en-GB" w:eastAsia="en-GB"/>
          <w14:ligatures w14:val="none"/>
        </w:rPr>
        <w:t xml:space="preserve"> confirm that they have substantial </w:t>
      </w:r>
      <w:r w:rsidRPr="0095380C">
        <w:rPr>
          <w:rFonts w:ascii="Times New Roman" w:eastAsia="Calibri" w:hAnsi="Times New Roman" w:cs="Times New Roman"/>
          <w:bCs/>
          <w:kern w:val="0"/>
          <w:lang w:val="en-GB" w:eastAsia="en-GB"/>
          <w14:ligatures w14:val="none"/>
        </w:rPr>
        <w:t xml:space="preserve">knowledge of T2DM. Furthermore, </w:t>
      </w:r>
      <w:r w:rsidRPr="0095380C">
        <w:rPr>
          <w:rFonts w:ascii="Times New Roman" w:eastAsia="Times New Roman" w:hAnsi="Times New Roman" w:cs="Times New Roman"/>
          <w:kern w:val="0"/>
          <w:lang w:val="en-GB" w:eastAsia="en-GB"/>
          <w14:ligatures w14:val="none"/>
        </w:rPr>
        <w:t xml:space="preserve">the result showed that the majority of the respondents from </w:t>
      </w:r>
      <w:r w:rsidRPr="0095380C">
        <w:rPr>
          <w:rFonts w:ascii="Times New Roman" w:eastAsia="Calibri" w:hAnsi="Times New Roman" w:cs="Times New Roman"/>
          <w:bCs/>
          <w:kern w:val="0"/>
          <w:lang w:val="en-GB" w:eastAsia="en-GB"/>
          <w14:ligatures w14:val="none"/>
        </w:rPr>
        <w:t>IAUEMC</w:t>
      </w:r>
      <w:r w:rsidRPr="0095380C">
        <w:rPr>
          <w:rFonts w:ascii="Times New Roman" w:eastAsia="Times New Roman" w:hAnsi="Times New Roman" w:cs="Times New Roman"/>
          <w:kern w:val="0"/>
          <w:lang w:val="en-GB" w:eastAsia="en-GB"/>
          <w14:ligatures w14:val="none"/>
        </w:rPr>
        <w:t xml:space="preserve"> agreed to 1-10, with their mean scores greater than or equal to the criterion mean (2.50). The grand mean of 3.09 indicates that the majority of the </w:t>
      </w:r>
      <w:r w:rsidRPr="0095380C">
        <w:rPr>
          <w:rFonts w:ascii="Times New Roman" w:eastAsia="Calibri" w:hAnsi="Times New Roman" w:cs="Times New Roman"/>
          <w:bCs/>
          <w:kern w:val="0"/>
          <w:lang w:val="en-GB" w:eastAsia="en-GB"/>
          <w14:ligatures w14:val="none"/>
        </w:rPr>
        <w:t>patients receiving treatment at IAUEMC</w:t>
      </w:r>
      <w:r w:rsidRPr="0095380C">
        <w:rPr>
          <w:rFonts w:ascii="Times New Roman" w:eastAsia="Times New Roman" w:hAnsi="Times New Roman" w:cs="Times New Roman"/>
          <w:kern w:val="0"/>
          <w:lang w:val="en-GB" w:eastAsia="en-GB"/>
          <w14:ligatures w14:val="none"/>
        </w:rPr>
        <w:t xml:space="preserve"> confirm that they have substantial </w:t>
      </w:r>
      <w:r w:rsidRPr="0095380C">
        <w:rPr>
          <w:rFonts w:ascii="Times New Roman" w:eastAsia="Calibri" w:hAnsi="Times New Roman" w:cs="Times New Roman"/>
          <w:bCs/>
          <w:kern w:val="0"/>
          <w:lang w:val="en-GB" w:eastAsia="en-GB"/>
          <w14:ligatures w14:val="none"/>
        </w:rPr>
        <w:t>knowledge of T2DM.</w:t>
      </w:r>
      <w:r>
        <w:rPr>
          <w:rFonts w:ascii="Times New Roman" w:eastAsia="Calibri" w:hAnsi="Times New Roman" w:cs="Times New Roman"/>
          <w:bCs/>
          <w:kern w:val="0"/>
          <w:lang w:val="en-GB" w:eastAsia="en-GB"/>
          <w14:ligatures w14:val="none"/>
        </w:rPr>
        <w:t xml:space="preserve"> </w:t>
      </w:r>
      <w:r w:rsidRPr="0095380C">
        <w:rPr>
          <w:rFonts w:ascii="Times New Roman" w:eastAsia="Times New Roman" w:hAnsi="Times New Roman" w:cs="Times New Roman"/>
          <w:kern w:val="0"/>
          <w:lang w:val="en-GB" w:eastAsia="en-GB"/>
          <w14:ligatures w14:val="none"/>
        </w:rPr>
        <w:t xml:space="preserve">Comparatively, with the grand means of 3.12 and 3.09 for RSUMC and IAUEMC, respectively, it can be inferred that patients from both centres demonstrated a high level of knowledge of T2DM. However, the slightly higher grand mean recorded at RSUMC suggests that patients in this facility exhibited a marginally greater awareness and understanding of T2DM than those at IAUEMC. This difference, though minimal, may be attributed to variations in patient education programs, exposure to diabetes awareness campaigns, or the frequency and quality of health counselling provided in each medical centre. </w:t>
      </w:r>
    </w:p>
    <w:p w14:paraId="5EEC7FF9" w14:textId="77777777" w:rsidR="0095380C" w:rsidRPr="0095380C" w:rsidRDefault="0095380C" w:rsidP="0095380C">
      <w:pPr>
        <w:spacing w:line="480" w:lineRule="auto"/>
        <w:ind w:right="-1039"/>
        <w:rPr>
          <w:rFonts w:ascii="Times New Roman" w:eastAsia="Times New Roman" w:hAnsi="Times New Roman" w:cs="Times New Roman"/>
          <w:b/>
          <w:bCs/>
          <w:kern w:val="0"/>
          <w:lang w:val="en-GB" w:eastAsia="en-GB"/>
          <w14:ligatures w14:val="none"/>
        </w:rPr>
      </w:pPr>
      <w:r w:rsidRPr="0095380C">
        <w:rPr>
          <w:rFonts w:ascii="Times New Roman" w:eastAsia="Times New Roman" w:hAnsi="Times New Roman" w:cs="Times New Roman"/>
          <w:b/>
          <w:bCs/>
          <w:kern w:val="0"/>
          <w:lang w:val="en-GB" w:eastAsia="en-GB"/>
          <w14:ligatures w14:val="none"/>
        </w:rPr>
        <w:t xml:space="preserve">Research Question Two: </w:t>
      </w:r>
      <w:r w:rsidRPr="0095380C">
        <w:rPr>
          <w:rFonts w:ascii="Times New Roman" w:eastAsia="Calibri" w:hAnsi="Times New Roman" w:cs="Times New Roman"/>
          <w:bCs/>
          <w:kern w:val="0"/>
          <w:lang w:val="en-GB"/>
          <w14:ligatures w14:val="none"/>
        </w:rPr>
        <w:t xml:space="preserve">To what extent does the level of adherence to treatment among T2DM patients compare between Rivers State University Medical Centre and Ignatius </w:t>
      </w:r>
      <w:proofErr w:type="spellStart"/>
      <w:r w:rsidRPr="0095380C">
        <w:rPr>
          <w:rFonts w:ascii="Times New Roman" w:eastAsia="Calibri" w:hAnsi="Times New Roman" w:cs="Times New Roman"/>
          <w:bCs/>
          <w:kern w:val="0"/>
          <w:lang w:val="en-GB"/>
          <w14:ligatures w14:val="none"/>
        </w:rPr>
        <w:t>Ajuru</w:t>
      </w:r>
      <w:proofErr w:type="spellEnd"/>
      <w:r w:rsidRPr="0095380C">
        <w:rPr>
          <w:rFonts w:ascii="Times New Roman" w:eastAsia="Calibri" w:hAnsi="Times New Roman" w:cs="Times New Roman"/>
          <w:bCs/>
          <w:kern w:val="0"/>
          <w:lang w:val="en-GB"/>
          <w14:ligatures w14:val="none"/>
        </w:rPr>
        <w:t xml:space="preserve"> University of Education Medical Centre?</w:t>
      </w:r>
    </w:p>
    <w:p w14:paraId="31F654A4" w14:textId="7C91E96B" w:rsidR="0095380C" w:rsidRPr="0095380C" w:rsidRDefault="0095380C" w:rsidP="0095380C">
      <w:pPr>
        <w:spacing w:line="240" w:lineRule="auto"/>
        <w:ind w:right="-1039"/>
        <w:rPr>
          <w:rFonts w:ascii="Times New Roman" w:hAnsi="Times New Roman" w:cs="Times New Roman"/>
          <w:b/>
          <w:kern w:val="0"/>
          <w:lang w:val="en-GB"/>
          <w14:ligatures w14:val="none"/>
        </w:rPr>
      </w:pPr>
      <w:r w:rsidRPr="0095380C">
        <w:rPr>
          <w:rFonts w:ascii="Times New Roman" w:eastAsia="Times New Roman" w:hAnsi="Times New Roman" w:cs="Times New Roman"/>
          <w:b/>
          <w:bCs/>
          <w:kern w:val="0"/>
          <w:lang w:val="en-GB" w:eastAsia="en-GB"/>
          <w14:ligatures w14:val="none"/>
        </w:rPr>
        <w:t xml:space="preserve">Table </w:t>
      </w:r>
      <w:r>
        <w:rPr>
          <w:rFonts w:ascii="Times New Roman" w:eastAsia="Times New Roman" w:hAnsi="Times New Roman" w:cs="Times New Roman"/>
          <w:b/>
          <w:bCs/>
          <w:kern w:val="0"/>
          <w:lang w:val="en-GB" w:eastAsia="en-GB"/>
          <w14:ligatures w14:val="none"/>
        </w:rPr>
        <w:t>2</w:t>
      </w:r>
      <w:r w:rsidRPr="0095380C">
        <w:rPr>
          <w:rFonts w:ascii="Times New Roman" w:eastAsia="Times New Roman" w:hAnsi="Times New Roman" w:cs="Times New Roman"/>
          <w:b/>
          <w:bCs/>
          <w:kern w:val="0"/>
          <w:lang w:val="en-GB" w:eastAsia="en-GB"/>
          <w14:ligatures w14:val="none"/>
        </w:rPr>
        <w:t xml:space="preserve">: </w:t>
      </w:r>
      <w:bookmarkStart w:id="2" w:name="_Hlk214399261"/>
      <w:r w:rsidRPr="0095380C">
        <w:rPr>
          <w:rFonts w:ascii="Times New Roman" w:eastAsia="Times New Roman" w:hAnsi="Times New Roman" w:cs="Times New Roman"/>
          <w:b/>
          <w:bCs/>
          <w:kern w:val="0"/>
          <w:lang w:val="en-GB" w:eastAsia="en-GB"/>
          <w14:ligatures w14:val="none"/>
        </w:rPr>
        <w:t xml:space="preserve">Mean score and standard deviation of </w:t>
      </w:r>
      <w:proofErr w:type="spellStart"/>
      <w:r w:rsidRPr="0095380C">
        <w:rPr>
          <w:rFonts w:ascii="Times New Roman" w:eastAsia="Calibri" w:hAnsi="Times New Roman" w:cs="Times New Roman"/>
          <w:b/>
          <w:bCs/>
          <w:kern w:val="0"/>
          <w:lang w:val="en-GB"/>
          <w14:ligatures w14:val="none"/>
        </w:rPr>
        <w:t>thelevel</w:t>
      </w:r>
      <w:proofErr w:type="spellEnd"/>
      <w:r w:rsidRPr="0095380C">
        <w:rPr>
          <w:rFonts w:ascii="Times New Roman" w:eastAsia="Calibri" w:hAnsi="Times New Roman" w:cs="Times New Roman"/>
          <w:b/>
          <w:bCs/>
          <w:kern w:val="0"/>
          <w:lang w:val="en-GB"/>
          <w14:ligatures w14:val="none"/>
        </w:rPr>
        <w:t xml:space="preserve"> of adherence to treatment among T2DM patients compared between RSUMC and IAUEMC</w:t>
      </w:r>
      <w:bookmarkEnd w:id="2"/>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402"/>
        <w:gridCol w:w="851"/>
        <w:gridCol w:w="850"/>
        <w:gridCol w:w="1276"/>
        <w:gridCol w:w="851"/>
        <w:gridCol w:w="850"/>
        <w:gridCol w:w="1134"/>
      </w:tblGrid>
      <w:tr w:rsidR="0095380C" w:rsidRPr="0095380C" w14:paraId="0494781F" w14:textId="77777777" w:rsidTr="005E6100">
        <w:trPr>
          <w:trHeight w:val="322"/>
        </w:trPr>
        <w:tc>
          <w:tcPr>
            <w:tcW w:w="675" w:type="dxa"/>
            <w:vMerge w:val="restart"/>
            <w:tcBorders>
              <w:top w:val="single" w:sz="4" w:space="0" w:color="auto"/>
              <w:bottom w:val="nil"/>
            </w:tcBorders>
          </w:tcPr>
          <w:p w14:paraId="5219EFFE" w14:textId="77777777" w:rsidR="0095380C" w:rsidRPr="0095380C" w:rsidRDefault="0095380C" w:rsidP="0095380C">
            <w:pPr>
              <w:bidi/>
              <w:jc w:val="right"/>
              <w:rPr>
                <w:rFonts w:ascii="Times New Roman" w:hAnsi="Times New Roman" w:cs="Times New Roman"/>
                <w:b/>
                <w:bCs/>
              </w:rPr>
            </w:pPr>
            <w:r w:rsidRPr="0095380C">
              <w:rPr>
                <w:rFonts w:ascii="Times New Roman" w:hAnsi="Times New Roman" w:cs="Times New Roman"/>
                <w:b/>
                <w:bCs/>
              </w:rPr>
              <w:t>S/N</w:t>
            </w:r>
          </w:p>
        </w:tc>
        <w:tc>
          <w:tcPr>
            <w:tcW w:w="3402" w:type="dxa"/>
            <w:vMerge w:val="restart"/>
            <w:tcBorders>
              <w:top w:val="single" w:sz="4" w:space="0" w:color="auto"/>
              <w:bottom w:val="nil"/>
            </w:tcBorders>
          </w:tcPr>
          <w:p w14:paraId="4818CA00"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Items</w:t>
            </w:r>
          </w:p>
        </w:tc>
        <w:tc>
          <w:tcPr>
            <w:tcW w:w="2977" w:type="dxa"/>
            <w:gridSpan w:val="3"/>
            <w:tcBorders>
              <w:top w:val="single" w:sz="4" w:space="0" w:color="auto"/>
              <w:bottom w:val="nil"/>
            </w:tcBorders>
          </w:tcPr>
          <w:p w14:paraId="7A0A3CF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RSUMC (n=280)</w:t>
            </w:r>
          </w:p>
        </w:tc>
        <w:tc>
          <w:tcPr>
            <w:tcW w:w="2835" w:type="dxa"/>
            <w:gridSpan w:val="3"/>
            <w:tcBorders>
              <w:top w:val="single" w:sz="4" w:space="0" w:color="auto"/>
              <w:bottom w:val="nil"/>
            </w:tcBorders>
          </w:tcPr>
          <w:p w14:paraId="75D196D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IAUEMC (n=280)</w:t>
            </w:r>
          </w:p>
        </w:tc>
      </w:tr>
      <w:tr w:rsidR="0095380C" w:rsidRPr="0095380C" w14:paraId="345B3475" w14:textId="77777777" w:rsidTr="005E6100">
        <w:trPr>
          <w:trHeight w:val="215"/>
        </w:trPr>
        <w:tc>
          <w:tcPr>
            <w:tcW w:w="675" w:type="dxa"/>
            <w:vMerge/>
            <w:tcBorders>
              <w:top w:val="nil"/>
              <w:bottom w:val="single" w:sz="4" w:space="0" w:color="auto"/>
            </w:tcBorders>
          </w:tcPr>
          <w:p w14:paraId="4ED0F1C9" w14:textId="77777777" w:rsidR="0095380C" w:rsidRPr="0095380C" w:rsidRDefault="0095380C" w:rsidP="0095380C">
            <w:pPr>
              <w:rPr>
                <w:rFonts w:ascii="Times New Roman" w:hAnsi="Times New Roman" w:cs="Times New Roman"/>
                <w:b/>
                <w:bCs/>
              </w:rPr>
            </w:pPr>
          </w:p>
        </w:tc>
        <w:tc>
          <w:tcPr>
            <w:tcW w:w="3402" w:type="dxa"/>
            <w:vMerge/>
            <w:tcBorders>
              <w:top w:val="nil"/>
              <w:bottom w:val="single" w:sz="4" w:space="0" w:color="auto"/>
            </w:tcBorders>
          </w:tcPr>
          <w:p w14:paraId="40D89286" w14:textId="77777777" w:rsidR="0095380C" w:rsidRPr="0095380C" w:rsidRDefault="0095380C" w:rsidP="0095380C">
            <w:pPr>
              <w:jc w:val="center"/>
              <w:rPr>
                <w:rFonts w:ascii="Times New Roman" w:hAnsi="Times New Roman" w:cs="Times New Roman"/>
                <w:b/>
                <w:bCs/>
              </w:rPr>
            </w:pPr>
          </w:p>
        </w:tc>
        <w:tc>
          <w:tcPr>
            <w:tcW w:w="851" w:type="dxa"/>
            <w:tcBorders>
              <w:top w:val="nil"/>
              <w:bottom w:val="single" w:sz="4" w:space="0" w:color="auto"/>
            </w:tcBorders>
          </w:tcPr>
          <w:p w14:paraId="4F79E4BD"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1248FA22"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276" w:type="dxa"/>
            <w:tcBorders>
              <w:top w:val="nil"/>
              <w:bottom w:val="single" w:sz="4" w:space="0" w:color="auto"/>
            </w:tcBorders>
          </w:tcPr>
          <w:p w14:paraId="14B0AB2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c>
          <w:tcPr>
            <w:tcW w:w="851" w:type="dxa"/>
            <w:tcBorders>
              <w:top w:val="nil"/>
              <w:bottom w:val="single" w:sz="4" w:space="0" w:color="auto"/>
            </w:tcBorders>
          </w:tcPr>
          <w:p w14:paraId="58A348AB"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0B279CDE"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134" w:type="dxa"/>
            <w:tcBorders>
              <w:top w:val="nil"/>
              <w:bottom w:val="single" w:sz="4" w:space="0" w:color="auto"/>
            </w:tcBorders>
          </w:tcPr>
          <w:p w14:paraId="09B9B4D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r>
      <w:tr w:rsidR="0095380C" w:rsidRPr="0095380C" w14:paraId="77930539" w14:textId="77777777" w:rsidTr="005E6100">
        <w:tc>
          <w:tcPr>
            <w:tcW w:w="675" w:type="dxa"/>
            <w:tcBorders>
              <w:top w:val="single" w:sz="4" w:space="0" w:color="auto"/>
            </w:tcBorders>
          </w:tcPr>
          <w:p w14:paraId="29F8479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Borders>
              <w:top w:val="single" w:sz="4" w:space="0" w:color="auto"/>
            </w:tcBorders>
          </w:tcPr>
          <w:p w14:paraId="34E04D71"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take my diabetes medications exactly as prescribed by my doctor.</w:t>
            </w:r>
          </w:p>
        </w:tc>
        <w:tc>
          <w:tcPr>
            <w:tcW w:w="851" w:type="dxa"/>
            <w:tcBorders>
              <w:top w:val="single" w:sz="4" w:space="0" w:color="auto"/>
            </w:tcBorders>
            <w:vAlign w:val="center"/>
          </w:tcPr>
          <w:p w14:paraId="1C07C81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850" w:type="dxa"/>
            <w:tcBorders>
              <w:top w:val="single" w:sz="4" w:space="0" w:color="auto"/>
            </w:tcBorders>
            <w:vAlign w:val="center"/>
          </w:tcPr>
          <w:p w14:paraId="7194AEC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0.55</w:t>
            </w:r>
          </w:p>
        </w:tc>
        <w:tc>
          <w:tcPr>
            <w:tcW w:w="1276" w:type="dxa"/>
            <w:tcBorders>
              <w:top w:val="single" w:sz="4" w:space="0" w:color="auto"/>
            </w:tcBorders>
            <w:vAlign w:val="center"/>
          </w:tcPr>
          <w:p w14:paraId="700171D0"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tcBorders>
              <w:top w:val="single" w:sz="4" w:space="0" w:color="auto"/>
            </w:tcBorders>
            <w:vAlign w:val="center"/>
          </w:tcPr>
          <w:p w14:paraId="027825E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850" w:type="dxa"/>
            <w:tcBorders>
              <w:top w:val="single" w:sz="4" w:space="0" w:color="auto"/>
            </w:tcBorders>
            <w:vAlign w:val="center"/>
          </w:tcPr>
          <w:p w14:paraId="5652298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0.61</w:t>
            </w:r>
          </w:p>
        </w:tc>
        <w:tc>
          <w:tcPr>
            <w:tcW w:w="1134" w:type="dxa"/>
            <w:tcBorders>
              <w:top w:val="single" w:sz="4" w:space="0" w:color="auto"/>
            </w:tcBorders>
            <w:vAlign w:val="center"/>
          </w:tcPr>
          <w:p w14:paraId="29107631"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1FF9FE99" w14:textId="77777777" w:rsidTr="005E6100">
        <w:tc>
          <w:tcPr>
            <w:tcW w:w="675" w:type="dxa"/>
          </w:tcPr>
          <w:p w14:paraId="5E3C4A3A"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49F869E9"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avoid skipping doses of my diabetes medications, even when I feel fine.</w:t>
            </w:r>
          </w:p>
        </w:tc>
        <w:tc>
          <w:tcPr>
            <w:tcW w:w="851" w:type="dxa"/>
            <w:vAlign w:val="center"/>
          </w:tcPr>
          <w:p w14:paraId="5A03FD7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2.90</w:t>
            </w:r>
          </w:p>
        </w:tc>
        <w:tc>
          <w:tcPr>
            <w:tcW w:w="850" w:type="dxa"/>
            <w:vAlign w:val="center"/>
          </w:tcPr>
          <w:p w14:paraId="6620893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0.74</w:t>
            </w:r>
          </w:p>
        </w:tc>
        <w:tc>
          <w:tcPr>
            <w:tcW w:w="1276" w:type="dxa"/>
            <w:vAlign w:val="center"/>
          </w:tcPr>
          <w:p w14:paraId="093BDC0B"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875512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2.87</w:t>
            </w:r>
          </w:p>
        </w:tc>
        <w:tc>
          <w:tcPr>
            <w:tcW w:w="850" w:type="dxa"/>
            <w:vAlign w:val="center"/>
          </w:tcPr>
          <w:p w14:paraId="27B7707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0.86</w:t>
            </w:r>
          </w:p>
        </w:tc>
        <w:tc>
          <w:tcPr>
            <w:tcW w:w="1134" w:type="dxa"/>
            <w:vAlign w:val="center"/>
          </w:tcPr>
          <w:p w14:paraId="4361F4D2"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56E59F6A" w14:textId="77777777" w:rsidTr="005E6100">
        <w:tc>
          <w:tcPr>
            <w:tcW w:w="675" w:type="dxa"/>
          </w:tcPr>
          <w:p w14:paraId="54A8F30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080E76D"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follow a healthy eating plan to manage my diabetes.</w:t>
            </w:r>
          </w:p>
        </w:tc>
        <w:tc>
          <w:tcPr>
            <w:tcW w:w="851" w:type="dxa"/>
            <w:vAlign w:val="center"/>
          </w:tcPr>
          <w:p w14:paraId="1C3B392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2.91</w:t>
            </w:r>
          </w:p>
        </w:tc>
        <w:tc>
          <w:tcPr>
            <w:tcW w:w="850" w:type="dxa"/>
            <w:vAlign w:val="center"/>
          </w:tcPr>
          <w:p w14:paraId="270C976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0.79</w:t>
            </w:r>
          </w:p>
        </w:tc>
        <w:tc>
          <w:tcPr>
            <w:tcW w:w="1276" w:type="dxa"/>
            <w:vAlign w:val="center"/>
          </w:tcPr>
          <w:p w14:paraId="291975DB"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0CB1CD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2.87</w:t>
            </w:r>
          </w:p>
        </w:tc>
        <w:tc>
          <w:tcPr>
            <w:tcW w:w="850" w:type="dxa"/>
            <w:vAlign w:val="center"/>
          </w:tcPr>
          <w:p w14:paraId="1B1D31A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0.92</w:t>
            </w:r>
          </w:p>
        </w:tc>
        <w:tc>
          <w:tcPr>
            <w:tcW w:w="1134" w:type="dxa"/>
            <w:vAlign w:val="center"/>
          </w:tcPr>
          <w:p w14:paraId="4A05ADB4"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3C7DE031" w14:textId="77777777" w:rsidTr="005E6100">
        <w:tc>
          <w:tcPr>
            <w:tcW w:w="675" w:type="dxa"/>
          </w:tcPr>
          <w:p w14:paraId="42219B38"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1E4C9AE6"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limit my intake of sugary foods and drinks as recommended</w:t>
            </w:r>
          </w:p>
        </w:tc>
        <w:tc>
          <w:tcPr>
            <w:tcW w:w="851" w:type="dxa"/>
            <w:vAlign w:val="center"/>
          </w:tcPr>
          <w:p w14:paraId="7BDF1E1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3.33</w:t>
            </w:r>
          </w:p>
        </w:tc>
        <w:tc>
          <w:tcPr>
            <w:tcW w:w="850" w:type="dxa"/>
            <w:vAlign w:val="center"/>
          </w:tcPr>
          <w:p w14:paraId="3991CBC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0.61</w:t>
            </w:r>
          </w:p>
        </w:tc>
        <w:tc>
          <w:tcPr>
            <w:tcW w:w="1276" w:type="dxa"/>
            <w:vAlign w:val="center"/>
          </w:tcPr>
          <w:p w14:paraId="29430AA0"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BFB6F9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3.39</w:t>
            </w:r>
          </w:p>
        </w:tc>
        <w:tc>
          <w:tcPr>
            <w:tcW w:w="850" w:type="dxa"/>
            <w:vAlign w:val="center"/>
          </w:tcPr>
          <w:p w14:paraId="47F5016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0.71</w:t>
            </w:r>
          </w:p>
        </w:tc>
        <w:tc>
          <w:tcPr>
            <w:tcW w:w="1134" w:type="dxa"/>
            <w:vAlign w:val="center"/>
          </w:tcPr>
          <w:p w14:paraId="1D435E1A"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1849AC0" w14:textId="77777777" w:rsidTr="005E6100">
        <w:tc>
          <w:tcPr>
            <w:tcW w:w="675" w:type="dxa"/>
          </w:tcPr>
          <w:p w14:paraId="440E7BF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AB7579F"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engage in regular physical activity as advised for diabetes control</w:t>
            </w:r>
          </w:p>
        </w:tc>
        <w:tc>
          <w:tcPr>
            <w:tcW w:w="851" w:type="dxa"/>
            <w:vAlign w:val="center"/>
          </w:tcPr>
          <w:p w14:paraId="66A9703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2.45</w:t>
            </w:r>
          </w:p>
        </w:tc>
        <w:tc>
          <w:tcPr>
            <w:tcW w:w="850" w:type="dxa"/>
            <w:vAlign w:val="center"/>
          </w:tcPr>
          <w:p w14:paraId="0D43A93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0.98</w:t>
            </w:r>
          </w:p>
        </w:tc>
        <w:tc>
          <w:tcPr>
            <w:tcW w:w="1276" w:type="dxa"/>
            <w:vAlign w:val="center"/>
          </w:tcPr>
          <w:p w14:paraId="77BF0FF2"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77D3B1D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2.68</w:t>
            </w:r>
          </w:p>
        </w:tc>
        <w:tc>
          <w:tcPr>
            <w:tcW w:w="850" w:type="dxa"/>
            <w:vAlign w:val="center"/>
          </w:tcPr>
          <w:p w14:paraId="0F5B94B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0.84</w:t>
            </w:r>
          </w:p>
        </w:tc>
        <w:tc>
          <w:tcPr>
            <w:tcW w:w="1134" w:type="dxa"/>
            <w:vAlign w:val="center"/>
          </w:tcPr>
          <w:p w14:paraId="47646507"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4B270DEB" w14:textId="77777777" w:rsidTr="005E6100">
        <w:tc>
          <w:tcPr>
            <w:tcW w:w="675" w:type="dxa"/>
          </w:tcPr>
          <w:p w14:paraId="0731B675"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19315FFA"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check my blood sugar levels as frequently as recommended by my healthcare provider</w:t>
            </w:r>
          </w:p>
        </w:tc>
        <w:tc>
          <w:tcPr>
            <w:tcW w:w="851" w:type="dxa"/>
            <w:vAlign w:val="center"/>
          </w:tcPr>
          <w:p w14:paraId="163BB98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2.46</w:t>
            </w:r>
          </w:p>
        </w:tc>
        <w:tc>
          <w:tcPr>
            <w:tcW w:w="850" w:type="dxa"/>
            <w:vAlign w:val="center"/>
          </w:tcPr>
          <w:p w14:paraId="0C48993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0.96</w:t>
            </w:r>
          </w:p>
        </w:tc>
        <w:tc>
          <w:tcPr>
            <w:tcW w:w="1276" w:type="dxa"/>
            <w:vAlign w:val="center"/>
          </w:tcPr>
          <w:p w14:paraId="582A25B9"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63F60F2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2.83</w:t>
            </w:r>
          </w:p>
        </w:tc>
        <w:tc>
          <w:tcPr>
            <w:tcW w:w="850" w:type="dxa"/>
            <w:vAlign w:val="center"/>
          </w:tcPr>
          <w:p w14:paraId="71AF7EE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0.80</w:t>
            </w:r>
          </w:p>
        </w:tc>
        <w:tc>
          <w:tcPr>
            <w:tcW w:w="1134" w:type="dxa"/>
            <w:vAlign w:val="center"/>
          </w:tcPr>
          <w:p w14:paraId="74A3CE1C"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72F4C67" w14:textId="77777777" w:rsidTr="005E6100">
        <w:tc>
          <w:tcPr>
            <w:tcW w:w="675" w:type="dxa"/>
          </w:tcPr>
          <w:p w14:paraId="344DD30D"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8A67C08"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attend all scheduled medical appointments for my diabetes management</w:t>
            </w:r>
          </w:p>
        </w:tc>
        <w:tc>
          <w:tcPr>
            <w:tcW w:w="851" w:type="dxa"/>
            <w:vAlign w:val="center"/>
          </w:tcPr>
          <w:p w14:paraId="15F0FE6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2.31</w:t>
            </w:r>
          </w:p>
        </w:tc>
        <w:tc>
          <w:tcPr>
            <w:tcW w:w="850" w:type="dxa"/>
            <w:vAlign w:val="center"/>
          </w:tcPr>
          <w:p w14:paraId="595B569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0.98</w:t>
            </w:r>
          </w:p>
        </w:tc>
        <w:tc>
          <w:tcPr>
            <w:tcW w:w="1276" w:type="dxa"/>
            <w:vAlign w:val="center"/>
          </w:tcPr>
          <w:p w14:paraId="20156454"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6FB6A7F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2.94</w:t>
            </w:r>
          </w:p>
        </w:tc>
        <w:tc>
          <w:tcPr>
            <w:tcW w:w="850" w:type="dxa"/>
            <w:vAlign w:val="center"/>
          </w:tcPr>
          <w:p w14:paraId="4D5639B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0.66</w:t>
            </w:r>
          </w:p>
        </w:tc>
        <w:tc>
          <w:tcPr>
            <w:tcW w:w="1134" w:type="dxa"/>
            <w:vAlign w:val="center"/>
          </w:tcPr>
          <w:p w14:paraId="7FF222D5"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B892129" w14:textId="77777777" w:rsidTr="005E6100">
        <w:tc>
          <w:tcPr>
            <w:tcW w:w="675" w:type="dxa"/>
          </w:tcPr>
          <w:p w14:paraId="3C92CB2F"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668993A7" w14:textId="77777777" w:rsidR="0095380C" w:rsidRPr="0095380C" w:rsidRDefault="0095380C" w:rsidP="0095380C">
            <w:pPr>
              <w:spacing w:line="360" w:lineRule="auto"/>
              <w:rPr>
                <w:rFonts w:ascii="Times New Roman" w:eastAsia="Times New Roman" w:hAnsi="Times New Roman" w:cs="Times New Roman"/>
              </w:rPr>
            </w:pPr>
            <w:r w:rsidRPr="0095380C">
              <w:rPr>
                <w:rFonts w:ascii="Times New Roman" w:eastAsia="Times New Roman" w:hAnsi="Times New Roman" w:cs="Times New Roman"/>
              </w:rPr>
              <w:t>I consult my doctor before making changes to my treatment plan</w:t>
            </w:r>
          </w:p>
        </w:tc>
        <w:tc>
          <w:tcPr>
            <w:tcW w:w="851" w:type="dxa"/>
            <w:vAlign w:val="center"/>
          </w:tcPr>
          <w:p w14:paraId="46F255B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3.00</w:t>
            </w:r>
          </w:p>
        </w:tc>
        <w:tc>
          <w:tcPr>
            <w:tcW w:w="850" w:type="dxa"/>
            <w:vAlign w:val="center"/>
          </w:tcPr>
          <w:p w14:paraId="59D03F5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0.41</w:t>
            </w:r>
          </w:p>
        </w:tc>
        <w:tc>
          <w:tcPr>
            <w:tcW w:w="1276" w:type="dxa"/>
            <w:vAlign w:val="center"/>
          </w:tcPr>
          <w:p w14:paraId="251A432C"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7B8FB7A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2.99</w:t>
            </w:r>
          </w:p>
        </w:tc>
        <w:tc>
          <w:tcPr>
            <w:tcW w:w="850" w:type="dxa"/>
            <w:vAlign w:val="center"/>
          </w:tcPr>
          <w:p w14:paraId="5385D5F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0.56</w:t>
            </w:r>
          </w:p>
        </w:tc>
        <w:tc>
          <w:tcPr>
            <w:tcW w:w="1134" w:type="dxa"/>
            <w:vAlign w:val="center"/>
          </w:tcPr>
          <w:p w14:paraId="506D48A7"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716ECDB" w14:textId="77777777" w:rsidTr="005E6100">
        <w:tc>
          <w:tcPr>
            <w:tcW w:w="675" w:type="dxa"/>
          </w:tcPr>
          <w:p w14:paraId="26C9EA5A"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B304AF9" w14:textId="77777777" w:rsidR="0095380C" w:rsidRPr="0095380C" w:rsidRDefault="0095380C" w:rsidP="0095380C">
            <w:pPr>
              <w:spacing w:line="360" w:lineRule="auto"/>
              <w:rPr>
                <w:rFonts w:ascii="Times New Roman" w:eastAsia="Times New Roman" w:hAnsi="Times New Roman" w:cs="Times New Roman"/>
              </w:rPr>
            </w:pPr>
            <w:r w:rsidRPr="0095380C">
              <w:rPr>
                <w:rFonts w:ascii="Times New Roman" w:eastAsia="Times New Roman" w:hAnsi="Times New Roman" w:cs="Times New Roman"/>
              </w:rPr>
              <w:t xml:space="preserve">I avoid habits that worsen diabetes </w:t>
            </w:r>
          </w:p>
        </w:tc>
        <w:tc>
          <w:tcPr>
            <w:tcW w:w="851" w:type="dxa"/>
            <w:vAlign w:val="center"/>
          </w:tcPr>
          <w:p w14:paraId="76B908D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3.46</w:t>
            </w:r>
          </w:p>
        </w:tc>
        <w:tc>
          <w:tcPr>
            <w:tcW w:w="850" w:type="dxa"/>
            <w:vAlign w:val="center"/>
          </w:tcPr>
          <w:p w14:paraId="3395573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0.67</w:t>
            </w:r>
          </w:p>
        </w:tc>
        <w:tc>
          <w:tcPr>
            <w:tcW w:w="1276" w:type="dxa"/>
            <w:vAlign w:val="center"/>
          </w:tcPr>
          <w:p w14:paraId="03404994"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4536FC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2.80</w:t>
            </w:r>
          </w:p>
        </w:tc>
        <w:tc>
          <w:tcPr>
            <w:tcW w:w="850" w:type="dxa"/>
            <w:vAlign w:val="center"/>
          </w:tcPr>
          <w:p w14:paraId="1FF339C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1.07</w:t>
            </w:r>
          </w:p>
        </w:tc>
        <w:tc>
          <w:tcPr>
            <w:tcW w:w="1134" w:type="dxa"/>
            <w:vAlign w:val="center"/>
          </w:tcPr>
          <w:p w14:paraId="50FC38AC"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394A5564" w14:textId="77777777" w:rsidTr="005E6100">
        <w:tc>
          <w:tcPr>
            <w:tcW w:w="675" w:type="dxa"/>
          </w:tcPr>
          <w:p w14:paraId="45898D9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490A83D8" w14:textId="77777777" w:rsidR="0095380C" w:rsidRPr="0095380C" w:rsidRDefault="0095380C" w:rsidP="0095380C">
            <w:pPr>
              <w:spacing w:line="360" w:lineRule="auto"/>
              <w:rPr>
                <w:rFonts w:ascii="Times New Roman" w:eastAsia="Times New Roman" w:hAnsi="Times New Roman" w:cs="Times New Roman"/>
              </w:rPr>
            </w:pPr>
            <w:r w:rsidRPr="0095380C">
              <w:rPr>
                <w:rFonts w:ascii="Times New Roman" w:eastAsia="Times New Roman" w:hAnsi="Times New Roman" w:cs="Times New Roman"/>
              </w:rPr>
              <w:t>I take steps to manage stress, as it can affect my blood sugar levels.</w:t>
            </w:r>
          </w:p>
        </w:tc>
        <w:tc>
          <w:tcPr>
            <w:tcW w:w="851" w:type="dxa"/>
            <w:vAlign w:val="center"/>
          </w:tcPr>
          <w:p w14:paraId="3370DE1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3.35</w:t>
            </w:r>
          </w:p>
        </w:tc>
        <w:tc>
          <w:tcPr>
            <w:tcW w:w="850" w:type="dxa"/>
            <w:vAlign w:val="center"/>
          </w:tcPr>
          <w:p w14:paraId="0C0421E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0.54</w:t>
            </w:r>
          </w:p>
        </w:tc>
        <w:tc>
          <w:tcPr>
            <w:tcW w:w="1276" w:type="dxa"/>
            <w:vAlign w:val="center"/>
          </w:tcPr>
          <w:p w14:paraId="1595215D"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152DB81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3.29</w:t>
            </w:r>
          </w:p>
        </w:tc>
        <w:tc>
          <w:tcPr>
            <w:tcW w:w="850" w:type="dxa"/>
            <w:vAlign w:val="center"/>
          </w:tcPr>
          <w:p w14:paraId="15FC12E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0.60</w:t>
            </w:r>
          </w:p>
        </w:tc>
        <w:tc>
          <w:tcPr>
            <w:tcW w:w="1134" w:type="dxa"/>
            <w:vAlign w:val="center"/>
          </w:tcPr>
          <w:p w14:paraId="026D61B7"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6B0FA3FC" w14:textId="77777777" w:rsidTr="005E6100">
        <w:trPr>
          <w:trHeight w:val="248"/>
        </w:trPr>
        <w:tc>
          <w:tcPr>
            <w:tcW w:w="675" w:type="dxa"/>
          </w:tcPr>
          <w:p w14:paraId="73BAA1BD" w14:textId="77777777" w:rsidR="0095380C" w:rsidRPr="0095380C" w:rsidRDefault="0095380C" w:rsidP="0095380C">
            <w:pPr>
              <w:rPr>
                <w:rFonts w:ascii="Times New Roman" w:hAnsi="Times New Roman" w:cs="Times New Roman"/>
              </w:rPr>
            </w:pPr>
          </w:p>
        </w:tc>
        <w:tc>
          <w:tcPr>
            <w:tcW w:w="3402" w:type="dxa"/>
          </w:tcPr>
          <w:p w14:paraId="59DBBA48" w14:textId="77777777" w:rsidR="0095380C" w:rsidRPr="0095380C" w:rsidRDefault="0095380C" w:rsidP="0095380C">
            <w:pPr>
              <w:autoSpaceDE w:val="0"/>
              <w:autoSpaceDN w:val="0"/>
              <w:adjustRightInd w:val="0"/>
              <w:jc w:val="center"/>
              <w:rPr>
                <w:rFonts w:ascii="Times New Roman" w:hAnsi="Times New Roman" w:cs="Times New Roman"/>
                <w:b/>
                <w:bCs/>
                <w:noProof/>
              </w:rPr>
            </w:pPr>
            <w:r w:rsidRPr="0095380C">
              <w:rPr>
                <w:rFonts w:ascii="Times New Roman" w:hAnsi="Times New Roman" w:cs="Times New Roman"/>
                <w:b/>
                <w:bCs/>
                <w:noProof/>
              </w:rPr>
              <w:t>Grand Mean</w:t>
            </w:r>
          </w:p>
        </w:tc>
        <w:tc>
          <w:tcPr>
            <w:tcW w:w="851" w:type="dxa"/>
            <w:vAlign w:val="center"/>
          </w:tcPr>
          <w:p w14:paraId="5D864847" w14:textId="77777777" w:rsidR="0095380C" w:rsidRPr="0095380C" w:rsidRDefault="0095380C" w:rsidP="0095380C">
            <w:pPr>
              <w:autoSpaceDE w:val="0"/>
              <w:autoSpaceDN w:val="0"/>
              <w:adjustRightInd w:val="0"/>
              <w:ind w:left="60" w:right="60"/>
              <w:rPr>
                <w:rFonts w:ascii="Times New Roman" w:hAnsi="Times New Roman" w:cs="Times New Roman"/>
                <w:b/>
                <w:bCs/>
                <w:color w:val="000000"/>
              </w:rPr>
            </w:pPr>
            <w:r w:rsidRPr="0095380C">
              <w:rPr>
                <w:rFonts w:ascii="Times New Roman" w:hAnsi="Times New Roman" w:cs="Times New Roman"/>
                <w:b/>
                <w:bCs/>
                <w:color w:val="000000"/>
              </w:rPr>
              <w:t>2.93</w:t>
            </w:r>
          </w:p>
        </w:tc>
        <w:tc>
          <w:tcPr>
            <w:tcW w:w="850" w:type="dxa"/>
            <w:vAlign w:val="center"/>
          </w:tcPr>
          <w:p w14:paraId="038FA9C2" w14:textId="77777777" w:rsidR="0095380C" w:rsidRPr="0095380C" w:rsidRDefault="0095380C" w:rsidP="0095380C">
            <w:pPr>
              <w:autoSpaceDE w:val="0"/>
              <w:autoSpaceDN w:val="0"/>
              <w:adjustRightInd w:val="0"/>
              <w:ind w:left="60" w:right="60"/>
              <w:jc w:val="right"/>
              <w:rPr>
                <w:rFonts w:ascii="Times New Roman" w:hAnsi="Times New Roman" w:cs="Times New Roman"/>
                <w:b/>
                <w:bCs/>
                <w:color w:val="000000"/>
              </w:rPr>
            </w:pPr>
          </w:p>
        </w:tc>
        <w:tc>
          <w:tcPr>
            <w:tcW w:w="1276" w:type="dxa"/>
            <w:vAlign w:val="center"/>
          </w:tcPr>
          <w:p w14:paraId="39702269" w14:textId="77777777" w:rsidR="0095380C" w:rsidRPr="0095380C" w:rsidRDefault="0095380C" w:rsidP="0095380C">
            <w:pPr>
              <w:autoSpaceDE w:val="0"/>
              <w:autoSpaceDN w:val="0"/>
              <w:adjustRightInd w:val="0"/>
              <w:ind w:left="60" w:right="60"/>
              <w:jc w:val="right"/>
              <w:rPr>
                <w:rFonts w:ascii="Times New Roman" w:hAnsi="Times New Roman" w:cs="Times New Roman"/>
                <w:b/>
                <w:bCs/>
                <w:color w:val="000000"/>
              </w:rPr>
            </w:pPr>
          </w:p>
        </w:tc>
        <w:tc>
          <w:tcPr>
            <w:tcW w:w="851" w:type="dxa"/>
            <w:vAlign w:val="center"/>
          </w:tcPr>
          <w:p w14:paraId="1DE4F30F" w14:textId="77777777" w:rsidR="0095380C" w:rsidRPr="0095380C" w:rsidRDefault="0095380C" w:rsidP="0095380C">
            <w:pPr>
              <w:autoSpaceDE w:val="0"/>
              <w:autoSpaceDN w:val="0"/>
              <w:adjustRightInd w:val="0"/>
              <w:ind w:left="60" w:right="60"/>
              <w:jc w:val="right"/>
              <w:rPr>
                <w:rFonts w:ascii="Times New Roman" w:hAnsi="Times New Roman" w:cs="Times New Roman"/>
                <w:b/>
                <w:bCs/>
                <w:color w:val="000000"/>
              </w:rPr>
            </w:pPr>
            <w:r w:rsidRPr="0095380C">
              <w:rPr>
                <w:rFonts w:ascii="Times New Roman" w:hAnsi="Times New Roman" w:cs="Times New Roman"/>
                <w:b/>
                <w:bCs/>
                <w:color w:val="000000"/>
              </w:rPr>
              <w:t>2.98</w:t>
            </w:r>
          </w:p>
        </w:tc>
        <w:tc>
          <w:tcPr>
            <w:tcW w:w="850" w:type="dxa"/>
            <w:vAlign w:val="center"/>
          </w:tcPr>
          <w:p w14:paraId="734D42EA"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p>
        </w:tc>
        <w:tc>
          <w:tcPr>
            <w:tcW w:w="1134" w:type="dxa"/>
            <w:vAlign w:val="center"/>
          </w:tcPr>
          <w:p w14:paraId="760CFB3F"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p>
        </w:tc>
      </w:tr>
    </w:tbl>
    <w:p w14:paraId="5212DD60" w14:textId="77777777" w:rsidR="0095380C" w:rsidRPr="0095380C" w:rsidRDefault="0095380C" w:rsidP="0095380C">
      <w:pPr>
        <w:spacing w:after="100" w:afterAutospacing="1" w:line="480" w:lineRule="auto"/>
        <w:rPr>
          <w:rFonts w:ascii="Times New Roman" w:eastAsia="Times New Roman" w:hAnsi="Times New Roman" w:cs="Times New Roman"/>
          <w:kern w:val="0"/>
          <w:lang w:val="en-GB" w:eastAsia="en-GB"/>
          <w14:ligatures w14:val="none"/>
        </w:rPr>
      </w:pPr>
      <w:r w:rsidRPr="0095380C">
        <w:rPr>
          <w:rFonts w:ascii="Times New Roman" w:eastAsia="Times New Roman" w:hAnsi="Times New Roman" w:cs="Times New Roman"/>
          <w:kern w:val="0"/>
          <w:lang w:val="en-GB" w:eastAsia="en-GB"/>
          <w14:ligatures w14:val="none"/>
        </w:rPr>
        <w:t>Criterion Mean = 2.5, Mean: 1.0-2.49 = Disagree, 2.5-4.00= Agree.</w:t>
      </w:r>
    </w:p>
    <w:p w14:paraId="38C39C31" w14:textId="278A1AC0" w:rsidR="0095380C" w:rsidRPr="0095380C" w:rsidRDefault="0095380C" w:rsidP="0095380C">
      <w:pPr>
        <w:autoSpaceDE w:val="0"/>
        <w:autoSpaceDN w:val="0"/>
        <w:adjustRightInd w:val="0"/>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Table </w:t>
      </w:r>
      <w:r>
        <w:rPr>
          <w:rFonts w:ascii="Times New Roman" w:hAnsi="Times New Roman" w:cs="Times New Roman"/>
          <w:bCs/>
          <w:kern w:val="0"/>
          <w:lang w:val="en-GB"/>
          <w14:ligatures w14:val="none"/>
        </w:rPr>
        <w:t>2</w:t>
      </w:r>
      <w:r w:rsidRPr="0095380C">
        <w:rPr>
          <w:rFonts w:ascii="Times New Roman" w:hAnsi="Times New Roman" w:cs="Times New Roman"/>
          <w:bCs/>
          <w:kern w:val="0"/>
          <w:lang w:val="en-GB"/>
          <w14:ligatures w14:val="none"/>
        </w:rPr>
        <w:t xml:space="preserve"> shows the difference in the level of adherence to treatment among T2DM patients receiving treatment at RSUMC and IAUEMC. The result showed that the majority of respondents from RSUMC agreed with items 11–20, with their mean scores greater than or equal to the criterion mean (2.50), except for items 15, 16, and 17, which recorded mean scores below 2.50, indicating disagreement. The grand mean of 2.93 indicates that the majority of patients receiving treatment at RSUMC generally adhere to their treatment regimen to a considerable extent. However, areas such as regular physical activity, blood sugar monitoring, and attending scheduled medical appointments showed lower adherence levels.</w:t>
      </w:r>
    </w:p>
    <w:p w14:paraId="434BE85B" w14:textId="77777777" w:rsidR="0095380C" w:rsidRPr="0095380C" w:rsidRDefault="0095380C" w:rsidP="0095380C">
      <w:pPr>
        <w:autoSpaceDE w:val="0"/>
        <w:autoSpaceDN w:val="0"/>
        <w:adjustRightInd w:val="0"/>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Furthermore, the result revealed that the majority of respondents from IAUEMC agreed to all items 11–20, with their mean scores greater than or equal to the criterion mean (2.50). The grand mean of 2.98 indicates that most patients at IAUEMC exhibit a high level of adherence to their diabetes treatment regimen, maintaining consistency in medication use, diet control, stress management, and regular consultations with healthcare providers.</w:t>
      </w:r>
    </w:p>
    <w:p w14:paraId="219D7CCD" w14:textId="7830FF61" w:rsidR="0095380C" w:rsidRPr="0095380C" w:rsidRDefault="0095380C" w:rsidP="0095380C">
      <w:pPr>
        <w:autoSpaceDE w:val="0"/>
        <w:autoSpaceDN w:val="0"/>
        <w:adjustRightInd w:val="0"/>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lastRenderedPageBreak/>
        <w:t xml:space="preserve">Comparatively, with grand means of 2.93 and 2.98 for RSUMC and IAUEMC, respectively, it can be inferred that patients from both centres demonstrate a good level of adherence to diabetes treatment recommendations. However, the slightly higher grand mean at IAUEMC suggests that patients in this facility adhere marginally better to treatment guidelines than those at RSUMC. This difference may be linked to better follow-up systems, counselling practices, or patient support mechanisms at IAUEMC. </w:t>
      </w:r>
    </w:p>
    <w:p w14:paraId="31C98B5B" w14:textId="77777777" w:rsidR="0095380C" w:rsidRPr="0095380C" w:rsidRDefault="0095380C" w:rsidP="0095380C">
      <w:pPr>
        <w:autoSpaceDE w:val="0"/>
        <w:autoSpaceDN w:val="0"/>
        <w:adjustRightInd w:val="0"/>
        <w:spacing w:line="480" w:lineRule="auto"/>
        <w:rPr>
          <w:rFonts w:ascii="Times New Roman" w:eastAsia="Calibri" w:hAnsi="Times New Roman" w:cs="Times New Roman"/>
          <w:bCs/>
          <w:kern w:val="0"/>
          <w:lang w:val="en-GB"/>
          <w14:ligatures w14:val="none"/>
        </w:rPr>
      </w:pPr>
      <w:r w:rsidRPr="0095380C">
        <w:rPr>
          <w:rFonts w:ascii="Times New Roman" w:hAnsi="Times New Roman" w:cs="Times New Roman"/>
          <w:b/>
          <w:bCs/>
          <w:kern w:val="0"/>
          <w:lang w:val="en-GB"/>
          <w14:ligatures w14:val="none"/>
        </w:rPr>
        <w:t xml:space="preserve">Research Question Three: </w:t>
      </w:r>
      <w:r w:rsidRPr="0095380C">
        <w:rPr>
          <w:rFonts w:ascii="Times New Roman" w:eastAsia="Calibri" w:hAnsi="Times New Roman" w:cs="Times New Roman"/>
          <w:bCs/>
          <w:kern w:val="0"/>
          <w:lang w:val="en-GB"/>
          <w14:ligatures w14:val="none"/>
        </w:rPr>
        <w:t xml:space="preserve">Which socio-demographic factors predict adherence to treatment among T2DM patients in Rivers State University Medical Centre compared to those in Ignatius </w:t>
      </w:r>
      <w:proofErr w:type="spellStart"/>
      <w:r w:rsidRPr="0095380C">
        <w:rPr>
          <w:rFonts w:ascii="Times New Roman" w:eastAsia="Calibri" w:hAnsi="Times New Roman" w:cs="Times New Roman"/>
          <w:bCs/>
          <w:kern w:val="0"/>
          <w:lang w:val="en-GB"/>
          <w14:ligatures w14:val="none"/>
        </w:rPr>
        <w:t>Ajuru</w:t>
      </w:r>
      <w:proofErr w:type="spellEnd"/>
      <w:r w:rsidRPr="0095380C">
        <w:rPr>
          <w:rFonts w:ascii="Times New Roman" w:eastAsia="Calibri" w:hAnsi="Times New Roman" w:cs="Times New Roman"/>
          <w:bCs/>
          <w:kern w:val="0"/>
          <w:lang w:val="en-GB"/>
          <w14:ligatures w14:val="none"/>
        </w:rPr>
        <w:t xml:space="preserve"> University of Education Medical Centre?</w:t>
      </w:r>
    </w:p>
    <w:p w14:paraId="1BF3F575" w14:textId="48716733" w:rsidR="0095380C" w:rsidRPr="0095380C" w:rsidRDefault="0095380C" w:rsidP="0095380C">
      <w:pPr>
        <w:autoSpaceDE w:val="0"/>
        <w:autoSpaceDN w:val="0"/>
        <w:adjustRightInd w:val="0"/>
        <w:spacing w:line="240" w:lineRule="auto"/>
        <w:rPr>
          <w:rFonts w:ascii="Times New Roman" w:hAnsi="Times New Roman" w:cs="Times New Roman"/>
          <w:b/>
          <w:bCs/>
          <w:kern w:val="0"/>
          <w:lang w:val="en-GB"/>
          <w14:ligatures w14:val="none"/>
        </w:rPr>
      </w:pPr>
      <w:r w:rsidRPr="0095380C">
        <w:rPr>
          <w:rFonts w:ascii="Times New Roman" w:eastAsia="Times New Roman" w:hAnsi="Times New Roman" w:cs="Times New Roman"/>
          <w:b/>
          <w:bCs/>
          <w:kern w:val="0"/>
          <w:lang w:val="en-GB" w:eastAsia="en-GB"/>
          <w14:ligatures w14:val="none"/>
        </w:rPr>
        <w:t xml:space="preserve">Table </w:t>
      </w:r>
      <w:r>
        <w:rPr>
          <w:rFonts w:ascii="Times New Roman" w:eastAsia="Times New Roman" w:hAnsi="Times New Roman" w:cs="Times New Roman"/>
          <w:b/>
          <w:bCs/>
          <w:kern w:val="0"/>
          <w:lang w:val="en-GB" w:eastAsia="en-GB"/>
          <w14:ligatures w14:val="none"/>
        </w:rPr>
        <w:t>3</w:t>
      </w:r>
      <w:r w:rsidRPr="0095380C">
        <w:rPr>
          <w:rFonts w:ascii="Times New Roman" w:eastAsia="Times New Roman" w:hAnsi="Times New Roman" w:cs="Times New Roman"/>
          <w:b/>
          <w:bCs/>
          <w:kern w:val="0"/>
          <w:lang w:val="en-GB" w:eastAsia="en-GB"/>
          <w14:ligatures w14:val="none"/>
        </w:rPr>
        <w:t xml:space="preserve">: </w:t>
      </w:r>
      <w:bookmarkStart w:id="3" w:name="_Hlk214399554"/>
      <w:r w:rsidRPr="0095380C">
        <w:rPr>
          <w:rFonts w:ascii="Times New Roman" w:eastAsia="Times New Roman" w:hAnsi="Times New Roman" w:cs="Times New Roman"/>
          <w:b/>
          <w:bCs/>
          <w:kern w:val="0"/>
          <w:lang w:val="en-GB" w:eastAsia="en-GB"/>
          <w14:ligatures w14:val="none"/>
        </w:rPr>
        <w:t xml:space="preserve">Mean score and standard deviation of </w:t>
      </w:r>
      <w:r w:rsidRPr="0095380C">
        <w:rPr>
          <w:rFonts w:ascii="Times New Roman" w:eastAsia="Calibri" w:hAnsi="Times New Roman" w:cs="Times New Roman"/>
          <w:b/>
          <w:bCs/>
          <w:kern w:val="0"/>
          <w:lang w:val="en-GB"/>
          <w14:ligatures w14:val="none"/>
        </w:rPr>
        <w:t>the socio-demographic factors predict adherence to treatment among T2DM patients in RSUMC compared to those in IAUEMC</w:t>
      </w:r>
      <w:bookmarkEnd w:id="3"/>
    </w:p>
    <w:tbl>
      <w:tblPr>
        <w:tblStyle w:val="TableGrid"/>
        <w:tblW w:w="100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402"/>
        <w:gridCol w:w="851"/>
        <w:gridCol w:w="850"/>
        <w:gridCol w:w="1276"/>
        <w:gridCol w:w="851"/>
        <w:gridCol w:w="850"/>
        <w:gridCol w:w="1276"/>
      </w:tblGrid>
      <w:tr w:rsidR="0095380C" w:rsidRPr="0095380C" w14:paraId="237900E0" w14:textId="77777777" w:rsidTr="005E6100">
        <w:trPr>
          <w:trHeight w:val="322"/>
        </w:trPr>
        <w:tc>
          <w:tcPr>
            <w:tcW w:w="675" w:type="dxa"/>
            <w:vMerge w:val="restart"/>
            <w:tcBorders>
              <w:top w:val="single" w:sz="4" w:space="0" w:color="auto"/>
              <w:bottom w:val="nil"/>
            </w:tcBorders>
          </w:tcPr>
          <w:p w14:paraId="791C4358" w14:textId="77777777" w:rsidR="0095380C" w:rsidRPr="0095380C" w:rsidRDefault="0095380C" w:rsidP="0095380C">
            <w:pPr>
              <w:bidi/>
              <w:jc w:val="right"/>
              <w:rPr>
                <w:rFonts w:ascii="Times New Roman" w:hAnsi="Times New Roman" w:cs="Times New Roman"/>
                <w:b/>
                <w:bCs/>
              </w:rPr>
            </w:pPr>
            <w:r w:rsidRPr="0095380C">
              <w:rPr>
                <w:rFonts w:ascii="Times New Roman" w:hAnsi="Times New Roman" w:cs="Times New Roman"/>
                <w:b/>
                <w:bCs/>
              </w:rPr>
              <w:t>S/N</w:t>
            </w:r>
          </w:p>
        </w:tc>
        <w:tc>
          <w:tcPr>
            <w:tcW w:w="3402" w:type="dxa"/>
            <w:vMerge w:val="restart"/>
            <w:tcBorders>
              <w:top w:val="single" w:sz="4" w:space="0" w:color="auto"/>
              <w:bottom w:val="nil"/>
            </w:tcBorders>
          </w:tcPr>
          <w:p w14:paraId="4C508FDD"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Items</w:t>
            </w:r>
          </w:p>
        </w:tc>
        <w:tc>
          <w:tcPr>
            <w:tcW w:w="2977" w:type="dxa"/>
            <w:gridSpan w:val="3"/>
            <w:tcBorders>
              <w:top w:val="single" w:sz="4" w:space="0" w:color="auto"/>
              <w:bottom w:val="nil"/>
            </w:tcBorders>
          </w:tcPr>
          <w:p w14:paraId="49ABE5B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RSUMC (n=280)</w:t>
            </w:r>
          </w:p>
        </w:tc>
        <w:tc>
          <w:tcPr>
            <w:tcW w:w="2977" w:type="dxa"/>
            <w:gridSpan w:val="3"/>
            <w:tcBorders>
              <w:top w:val="single" w:sz="4" w:space="0" w:color="auto"/>
              <w:bottom w:val="nil"/>
            </w:tcBorders>
          </w:tcPr>
          <w:p w14:paraId="6299059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IAUEMC (n=280)</w:t>
            </w:r>
          </w:p>
        </w:tc>
      </w:tr>
      <w:tr w:rsidR="0095380C" w:rsidRPr="0095380C" w14:paraId="42191049" w14:textId="77777777" w:rsidTr="005E6100">
        <w:trPr>
          <w:trHeight w:val="215"/>
        </w:trPr>
        <w:tc>
          <w:tcPr>
            <w:tcW w:w="675" w:type="dxa"/>
            <w:vMerge/>
            <w:tcBorders>
              <w:top w:val="nil"/>
              <w:bottom w:val="single" w:sz="4" w:space="0" w:color="auto"/>
            </w:tcBorders>
          </w:tcPr>
          <w:p w14:paraId="742344A0" w14:textId="77777777" w:rsidR="0095380C" w:rsidRPr="0095380C" w:rsidRDefault="0095380C" w:rsidP="0095380C">
            <w:pPr>
              <w:rPr>
                <w:rFonts w:ascii="Times New Roman" w:hAnsi="Times New Roman" w:cs="Times New Roman"/>
                <w:b/>
                <w:bCs/>
              </w:rPr>
            </w:pPr>
          </w:p>
        </w:tc>
        <w:tc>
          <w:tcPr>
            <w:tcW w:w="3402" w:type="dxa"/>
            <w:vMerge/>
            <w:tcBorders>
              <w:top w:val="nil"/>
              <w:bottom w:val="single" w:sz="4" w:space="0" w:color="auto"/>
            </w:tcBorders>
          </w:tcPr>
          <w:p w14:paraId="080C9142" w14:textId="77777777" w:rsidR="0095380C" w:rsidRPr="0095380C" w:rsidRDefault="0095380C" w:rsidP="0095380C">
            <w:pPr>
              <w:jc w:val="center"/>
              <w:rPr>
                <w:rFonts w:ascii="Times New Roman" w:hAnsi="Times New Roman" w:cs="Times New Roman"/>
                <w:b/>
                <w:bCs/>
              </w:rPr>
            </w:pPr>
          </w:p>
        </w:tc>
        <w:tc>
          <w:tcPr>
            <w:tcW w:w="851" w:type="dxa"/>
            <w:tcBorders>
              <w:top w:val="nil"/>
              <w:bottom w:val="single" w:sz="4" w:space="0" w:color="auto"/>
            </w:tcBorders>
          </w:tcPr>
          <w:p w14:paraId="652D5070"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1673D320"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276" w:type="dxa"/>
            <w:tcBorders>
              <w:top w:val="nil"/>
              <w:bottom w:val="single" w:sz="4" w:space="0" w:color="auto"/>
            </w:tcBorders>
          </w:tcPr>
          <w:p w14:paraId="74771E75"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c>
          <w:tcPr>
            <w:tcW w:w="851" w:type="dxa"/>
            <w:tcBorders>
              <w:top w:val="nil"/>
              <w:bottom w:val="single" w:sz="4" w:space="0" w:color="auto"/>
            </w:tcBorders>
          </w:tcPr>
          <w:p w14:paraId="18D85250"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3DDA7871"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276" w:type="dxa"/>
            <w:tcBorders>
              <w:top w:val="nil"/>
              <w:bottom w:val="single" w:sz="4" w:space="0" w:color="auto"/>
            </w:tcBorders>
          </w:tcPr>
          <w:p w14:paraId="014B556E"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r>
      <w:tr w:rsidR="0095380C" w:rsidRPr="0095380C" w14:paraId="4D631E2B" w14:textId="77777777" w:rsidTr="005E6100">
        <w:tc>
          <w:tcPr>
            <w:tcW w:w="675" w:type="dxa"/>
            <w:tcBorders>
              <w:top w:val="single" w:sz="4" w:space="0" w:color="auto"/>
            </w:tcBorders>
          </w:tcPr>
          <w:p w14:paraId="5692AA9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Borders>
              <w:top w:val="single" w:sz="4" w:space="0" w:color="auto"/>
            </w:tcBorders>
          </w:tcPr>
          <w:p w14:paraId="53A85C7E"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household income makes it easy to afford diabetes medications and supplies</w:t>
            </w:r>
          </w:p>
        </w:tc>
        <w:tc>
          <w:tcPr>
            <w:tcW w:w="851" w:type="dxa"/>
            <w:tcBorders>
              <w:top w:val="single" w:sz="4" w:space="0" w:color="auto"/>
            </w:tcBorders>
            <w:vAlign w:val="center"/>
          </w:tcPr>
          <w:p w14:paraId="7CF1399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1.85</w:t>
            </w:r>
          </w:p>
        </w:tc>
        <w:tc>
          <w:tcPr>
            <w:tcW w:w="850" w:type="dxa"/>
            <w:tcBorders>
              <w:top w:val="single" w:sz="4" w:space="0" w:color="auto"/>
            </w:tcBorders>
            <w:vAlign w:val="center"/>
          </w:tcPr>
          <w:p w14:paraId="4D3B64A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0.92</w:t>
            </w:r>
          </w:p>
        </w:tc>
        <w:tc>
          <w:tcPr>
            <w:tcW w:w="1276" w:type="dxa"/>
            <w:tcBorders>
              <w:top w:val="single" w:sz="4" w:space="0" w:color="auto"/>
            </w:tcBorders>
            <w:vAlign w:val="center"/>
          </w:tcPr>
          <w:p w14:paraId="7A91D60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c>
          <w:tcPr>
            <w:tcW w:w="851" w:type="dxa"/>
            <w:tcBorders>
              <w:top w:val="single" w:sz="4" w:space="0" w:color="auto"/>
            </w:tcBorders>
            <w:vAlign w:val="center"/>
          </w:tcPr>
          <w:p w14:paraId="47CD9A1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2.21</w:t>
            </w:r>
          </w:p>
        </w:tc>
        <w:tc>
          <w:tcPr>
            <w:tcW w:w="850" w:type="dxa"/>
            <w:tcBorders>
              <w:top w:val="single" w:sz="4" w:space="0" w:color="auto"/>
            </w:tcBorders>
            <w:vAlign w:val="center"/>
          </w:tcPr>
          <w:p w14:paraId="359C8D5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0.98</w:t>
            </w:r>
          </w:p>
        </w:tc>
        <w:tc>
          <w:tcPr>
            <w:tcW w:w="1276" w:type="dxa"/>
            <w:tcBorders>
              <w:top w:val="single" w:sz="4" w:space="0" w:color="auto"/>
            </w:tcBorders>
            <w:vAlign w:val="center"/>
          </w:tcPr>
          <w:p w14:paraId="51E8070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r>
      <w:tr w:rsidR="0095380C" w:rsidRPr="0095380C" w14:paraId="16B8B03B" w14:textId="77777777" w:rsidTr="005E6100">
        <w:tc>
          <w:tcPr>
            <w:tcW w:w="675" w:type="dxa"/>
          </w:tcPr>
          <w:p w14:paraId="6E89240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1E38C4B1"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clearly understand my doctor’s instructions about managing my diabetes</w:t>
            </w:r>
          </w:p>
        </w:tc>
        <w:tc>
          <w:tcPr>
            <w:tcW w:w="851" w:type="dxa"/>
            <w:vAlign w:val="center"/>
          </w:tcPr>
          <w:p w14:paraId="02DE762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2.98</w:t>
            </w:r>
          </w:p>
        </w:tc>
        <w:tc>
          <w:tcPr>
            <w:tcW w:w="850" w:type="dxa"/>
            <w:vAlign w:val="center"/>
          </w:tcPr>
          <w:p w14:paraId="2B682E7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0.61</w:t>
            </w:r>
          </w:p>
        </w:tc>
        <w:tc>
          <w:tcPr>
            <w:tcW w:w="1276" w:type="dxa"/>
            <w:vAlign w:val="center"/>
          </w:tcPr>
          <w:p w14:paraId="56CBFCE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6AB1063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2.96</w:t>
            </w:r>
          </w:p>
        </w:tc>
        <w:tc>
          <w:tcPr>
            <w:tcW w:w="850" w:type="dxa"/>
            <w:vAlign w:val="center"/>
          </w:tcPr>
          <w:p w14:paraId="2447B0C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0.64</w:t>
            </w:r>
          </w:p>
        </w:tc>
        <w:tc>
          <w:tcPr>
            <w:tcW w:w="1276" w:type="dxa"/>
            <w:vAlign w:val="center"/>
          </w:tcPr>
          <w:p w14:paraId="6D55FC3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5D52870" w14:textId="77777777" w:rsidTr="005E6100">
        <w:tc>
          <w:tcPr>
            <w:tcW w:w="675" w:type="dxa"/>
          </w:tcPr>
          <w:p w14:paraId="464D8566"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7037C36"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work schedule allows me to attend medical appointments and take medications on time.</w:t>
            </w:r>
          </w:p>
        </w:tc>
        <w:tc>
          <w:tcPr>
            <w:tcW w:w="851" w:type="dxa"/>
            <w:vAlign w:val="center"/>
          </w:tcPr>
          <w:p w14:paraId="4BC0FB8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2.89</w:t>
            </w:r>
          </w:p>
        </w:tc>
        <w:tc>
          <w:tcPr>
            <w:tcW w:w="850" w:type="dxa"/>
            <w:vAlign w:val="center"/>
          </w:tcPr>
          <w:p w14:paraId="457D868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0.73</w:t>
            </w:r>
          </w:p>
        </w:tc>
        <w:tc>
          <w:tcPr>
            <w:tcW w:w="1276" w:type="dxa"/>
            <w:vAlign w:val="center"/>
          </w:tcPr>
          <w:p w14:paraId="7B9F2D9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4A4719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2.86</w:t>
            </w:r>
          </w:p>
        </w:tc>
        <w:tc>
          <w:tcPr>
            <w:tcW w:w="850" w:type="dxa"/>
            <w:vAlign w:val="center"/>
          </w:tcPr>
          <w:p w14:paraId="53A76EC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0.71</w:t>
            </w:r>
          </w:p>
        </w:tc>
        <w:tc>
          <w:tcPr>
            <w:tcW w:w="1276" w:type="dxa"/>
            <w:vAlign w:val="center"/>
          </w:tcPr>
          <w:p w14:paraId="59517A7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82EE4B1" w14:textId="77777777" w:rsidTr="005E6100">
        <w:tc>
          <w:tcPr>
            <w:tcW w:w="675" w:type="dxa"/>
          </w:tcPr>
          <w:p w14:paraId="7D7D2368"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44C43B00"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have family or friends who remind me to take my diabetes medication</w:t>
            </w:r>
          </w:p>
        </w:tc>
        <w:tc>
          <w:tcPr>
            <w:tcW w:w="851" w:type="dxa"/>
            <w:vAlign w:val="center"/>
          </w:tcPr>
          <w:p w14:paraId="3718505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3.42</w:t>
            </w:r>
          </w:p>
        </w:tc>
        <w:tc>
          <w:tcPr>
            <w:tcW w:w="850" w:type="dxa"/>
            <w:vAlign w:val="center"/>
          </w:tcPr>
          <w:p w14:paraId="3ACEA4D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0.64</w:t>
            </w:r>
          </w:p>
        </w:tc>
        <w:tc>
          <w:tcPr>
            <w:tcW w:w="1276" w:type="dxa"/>
            <w:vAlign w:val="center"/>
          </w:tcPr>
          <w:p w14:paraId="2496D5C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4992F41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3.38</w:t>
            </w:r>
          </w:p>
        </w:tc>
        <w:tc>
          <w:tcPr>
            <w:tcW w:w="850" w:type="dxa"/>
            <w:vAlign w:val="center"/>
          </w:tcPr>
          <w:p w14:paraId="25AA682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0.68</w:t>
            </w:r>
          </w:p>
        </w:tc>
        <w:tc>
          <w:tcPr>
            <w:tcW w:w="1276" w:type="dxa"/>
            <w:vAlign w:val="center"/>
          </w:tcPr>
          <w:p w14:paraId="15696AB2"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DD1CE3B" w14:textId="77777777" w:rsidTr="005E6100">
        <w:tc>
          <w:tcPr>
            <w:tcW w:w="675" w:type="dxa"/>
          </w:tcPr>
          <w:p w14:paraId="0A080C5B"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1CEBF6B"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health insurance covers most of my diabetes treatment costs</w:t>
            </w:r>
          </w:p>
        </w:tc>
        <w:tc>
          <w:tcPr>
            <w:tcW w:w="851" w:type="dxa"/>
            <w:vAlign w:val="center"/>
          </w:tcPr>
          <w:p w14:paraId="23926D3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1.88</w:t>
            </w:r>
          </w:p>
        </w:tc>
        <w:tc>
          <w:tcPr>
            <w:tcW w:w="850" w:type="dxa"/>
            <w:vAlign w:val="center"/>
          </w:tcPr>
          <w:p w14:paraId="437404C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0.97</w:t>
            </w:r>
          </w:p>
        </w:tc>
        <w:tc>
          <w:tcPr>
            <w:tcW w:w="1276" w:type="dxa"/>
            <w:vAlign w:val="center"/>
          </w:tcPr>
          <w:p w14:paraId="54E862E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7226B6C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1.76</w:t>
            </w:r>
          </w:p>
        </w:tc>
        <w:tc>
          <w:tcPr>
            <w:tcW w:w="850" w:type="dxa"/>
            <w:vAlign w:val="center"/>
          </w:tcPr>
          <w:p w14:paraId="523F6E2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0.89</w:t>
            </w:r>
          </w:p>
        </w:tc>
        <w:tc>
          <w:tcPr>
            <w:tcW w:w="1276" w:type="dxa"/>
            <w:vAlign w:val="center"/>
          </w:tcPr>
          <w:p w14:paraId="667190E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r>
      <w:tr w:rsidR="0095380C" w:rsidRPr="0095380C" w14:paraId="492403C4" w14:textId="77777777" w:rsidTr="005E6100">
        <w:tc>
          <w:tcPr>
            <w:tcW w:w="675" w:type="dxa"/>
          </w:tcPr>
          <w:p w14:paraId="64E18A1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3B7C9530"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cultural or religious beliefs support following medical advice for diabetes</w:t>
            </w:r>
          </w:p>
        </w:tc>
        <w:tc>
          <w:tcPr>
            <w:tcW w:w="851" w:type="dxa"/>
            <w:vAlign w:val="center"/>
          </w:tcPr>
          <w:p w14:paraId="357428A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850" w:type="dxa"/>
            <w:vAlign w:val="center"/>
          </w:tcPr>
          <w:p w14:paraId="444977A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276" w:type="dxa"/>
            <w:vAlign w:val="center"/>
          </w:tcPr>
          <w:p w14:paraId="5180E0D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83F874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3.13</w:t>
            </w:r>
          </w:p>
        </w:tc>
        <w:tc>
          <w:tcPr>
            <w:tcW w:w="850" w:type="dxa"/>
            <w:vAlign w:val="center"/>
          </w:tcPr>
          <w:p w14:paraId="1834A3F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276" w:type="dxa"/>
            <w:vAlign w:val="center"/>
          </w:tcPr>
          <w:p w14:paraId="36828B3A"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26261A5" w14:textId="77777777" w:rsidTr="005E6100">
        <w:tc>
          <w:tcPr>
            <w:tcW w:w="675" w:type="dxa"/>
          </w:tcPr>
          <w:p w14:paraId="05B14BED"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DBA6EC7"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The university medical centre is conveniently located for my regular check-ups</w:t>
            </w:r>
          </w:p>
        </w:tc>
        <w:tc>
          <w:tcPr>
            <w:tcW w:w="851" w:type="dxa"/>
            <w:vAlign w:val="center"/>
          </w:tcPr>
          <w:p w14:paraId="7438C48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2.87</w:t>
            </w:r>
          </w:p>
        </w:tc>
        <w:tc>
          <w:tcPr>
            <w:tcW w:w="850" w:type="dxa"/>
            <w:vAlign w:val="center"/>
          </w:tcPr>
          <w:p w14:paraId="40D828D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0.85</w:t>
            </w:r>
          </w:p>
        </w:tc>
        <w:tc>
          <w:tcPr>
            <w:tcW w:w="1276" w:type="dxa"/>
            <w:vAlign w:val="center"/>
          </w:tcPr>
          <w:p w14:paraId="3FA28F33"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A5C76F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2.85</w:t>
            </w:r>
          </w:p>
        </w:tc>
        <w:tc>
          <w:tcPr>
            <w:tcW w:w="850" w:type="dxa"/>
            <w:vAlign w:val="center"/>
          </w:tcPr>
          <w:p w14:paraId="284D8B1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0.90</w:t>
            </w:r>
          </w:p>
        </w:tc>
        <w:tc>
          <w:tcPr>
            <w:tcW w:w="1276" w:type="dxa"/>
            <w:vAlign w:val="center"/>
          </w:tcPr>
          <w:p w14:paraId="41DEFB7A"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C57DDA8" w14:textId="77777777" w:rsidTr="005E6100">
        <w:tc>
          <w:tcPr>
            <w:tcW w:w="675" w:type="dxa"/>
          </w:tcPr>
          <w:p w14:paraId="3348C71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0A0B8B04"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As I get older, I pay more attention to following my diabetes treatment plan.</w:t>
            </w:r>
          </w:p>
        </w:tc>
        <w:tc>
          <w:tcPr>
            <w:tcW w:w="851" w:type="dxa"/>
            <w:vAlign w:val="center"/>
          </w:tcPr>
          <w:p w14:paraId="77E0C60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2.88</w:t>
            </w:r>
          </w:p>
        </w:tc>
        <w:tc>
          <w:tcPr>
            <w:tcW w:w="850" w:type="dxa"/>
            <w:vAlign w:val="center"/>
          </w:tcPr>
          <w:p w14:paraId="0519255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0.91</w:t>
            </w:r>
          </w:p>
        </w:tc>
        <w:tc>
          <w:tcPr>
            <w:tcW w:w="1276" w:type="dxa"/>
            <w:vAlign w:val="center"/>
          </w:tcPr>
          <w:p w14:paraId="30BAB37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583471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2.84</w:t>
            </w:r>
          </w:p>
        </w:tc>
        <w:tc>
          <w:tcPr>
            <w:tcW w:w="850" w:type="dxa"/>
            <w:vAlign w:val="center"/>
          </w:tcPr>
          <w:p w14:paraId="184B81B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0.96</w:t>
            </w:r>
          </w:p>
        </w:tc>
        <w:tc>
          <w:tcPr>
            <w:tcW w:w="1276" w:type="dxa"/>
            <w:vAlign w:val="center"/>
          </w:tcPr>
          <w:p w14:paraId="23BD32F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471C0BBC" w14:textId="77777777" w:rsidTr="005E6100">
        <w:tc>
          <w:tcPr>
            <w:tcW w:w="675" w:type="dxa"/>
          </w:tcPr>
          <w:p w14:paraId="41DF3FE9"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CA3AB3B"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Being married/partnered helps me stay consistent with my diabetes management</w:t>
            </w:r>
          </w:p>
        </w:tc>
        <w:tc>
          <w:tcPr>
            <w:tcW w:w="851" w:type="dxa"/>
            <w:vAlign w:val="center"/>
          </w:tcPr>
          <w:p w14:paraId="1DECCB4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3.39</w:t>
            </w:r>
          </w:p>
        </w:tc>
        <w:tc>
          <w:tcPr>
            <w:tcW w:w="850" w:type="dxa"/>
            <w:vAlign w:val="center"/>
          </w:tcPr>
          <w:p w14:paraId="203E47C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0.69</w:t>
            </w:r>
          </w:p>
        </w:tc>
        <w:tc>
          <w:tcPr>
            <w:tcW w:w="1276" w:type="dxa"/>
            <w:vAlign w:val="center"/>
          </w:tcPr>
          <w:p w14:paraId="10540B2A"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33CFF6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3.40</w:t>
            </w:r>
          </w:p>
        </w:tc>
        <w:tc>
          <w:tcPr>
            <w:tcW w:w="850" w:type="dxa"/>
            <w:vAlign w:val="center"/>
          </w:tcPr>
          <w:p w14:paraId="561E241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0.72</w:t>
            </w:r>
          </w:p>
        </w:tc>
        <w:tc>
          <w:tcPr>
            <w:tcW w:w="1276" w:type="dxa"/>
            <w:vAlign w:val="center"/>
          </w:tcPr>
          <w:p w14:paraId="5D5CAB1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572C66A" w14:textId="77777777" w:rsidTr="005E6100">
        <w:tc>
          <w:tcPr>
            <w:tcW w:w="675" w:type="dxa"/>
          </w:tcPr>
          <w:p w14:paraId="19FB139A"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502BA86D"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use technology (e.g., phone reminders, apps) to track my medications and appointments</w:t>
            </w:r>
          </w:p>
        </w:tc>
        <w:tc>
          <w:tcPr>
            <w:tcW w:w="851" w:type="dxa"/>
            <w:vAlign w:val="center"/>
          </w:tcPr>
          <w:p w14:paraId="35E9414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3.55</w:t>
            </w:r>
          </w:p>
        </w:tc>
        <w:tc>
          <w:tcPr>
            <w:tcW w:w="850" w:type="dxa"/>
            <w:vAlign w:val="center"/>
          </w:tcPr>
          <w:p w14:paraId="5079246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0.70</w:t>
            </w:r>
          </w:p>
        </w:tc>
        <w:tc>
          <w:tcPr>
            <w:tcW w:w="1276" w:type="dxa"/>
            <w:vAlign w:val="center"/>
          </w:tcPr>
          <w:p w14:paraId="5276F37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3867DB5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3.52</w:t>
            </w:r>
          </w:p>
        </w:tc>
        <w:tc>
          <w:tcPr>
            <w:tcW w:w="850" w:type="dxa"/>
            <w:vAlign w:val="center"/>
          </w:tcPr>
          <w:p w14:paraId="0356D67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0.76</w:t>
            </w:r>
          </w:p>
        </w:tc>
        <w:tc>
          <w:tcPr>
            <w:tcW w:w="1276" w:type="dxa"/>
            <w:vAlign w:val="center"/>
          </w:tcPr>
          <w:p w14:paraId="356EC47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10152F4F" w14:textId="77777777" w:rsidTr="005E6100">
        <w:trPr>
          <w:trHeight w:val="248"/>
        </w:trPr>
        <w:tc>
          <w:tcPr>
            <w:tcW w:w="675" w:type="dxa"/>
          </w:tcPr>
          <w:p w14:paraId="4F32C685" w14:textId="77777777" w:rsidR="0095380C" w:rsidRPr="0095380C" w:rsidRDefault="0095380C" w:rsidP="0095380C">
            <w:pPr>
              <w:rPr>
                <w:rFonts w:ascii="Times New Roman" w:hAnsi="Times New Roman" w:cs="Times New Roman"/>
              </w:rPr>
            </w:pPr>
          </w:p>
        </w:tc>
        <w:tc>
          <w:tcPr>
            <w:tcW w:w="3402" w:type="dxa"/>
          </w:tcPr>
          <w:p w14:paraId="69F6B973" w14:textId="77777777" w:rsidR="0095380C" w:rsidRPr="0095380C" w:rsidRDefault="0095380C" w:rsidP="0095380C">
            <w:pPr>
              <w:autoSpaceDE w:val="0"/>
              <w:autoSpaceDN w:val="0"/>
              <w:adjustRightInd w:val="0"/>
              <w:jc w:val="center"/>
              <w:rPr>
                <w:rFonts w:ascii="Times New Roman" w:hAnsi="Times New Roman" w:cs="Times New Roman"/>
                <w:b/>
                <w:bCs/>
                <w:noProof/>
              </w:rPr>
            </w:pPr>
            <w:r w:rsidRPr="0095380C">
              <w:rPr>
                <w:rFonts w:ascii="Times New Roman" w:hAnsi="Times New Roman" w:cs="Times New Roman"/>
                <w:b/>
                <w:bCs/>
                <w:noProof/>
              </w:rPr>
              <w:t>Grand Mean</w:t>
            </w:r>
          </w:p>
        </w:tc>
        <w:tc>
          <w:tcPr>
            <w:tcW w:w="851" w:type="dxa"/>
            <w:vAlign w:val="center"/>
          </w:tcPr>
          <w:p w14:paraId="39356883"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2.89</w:t>
            </w:r>
          </w:p>
        </w:tc>
        <w:tc>
          <w:tcPr>
            <w:tcW w:w="850" w:type="dxa"/>
            <w:vAlign w:val="center"/>
          </w:tcPr>
          <w:p w14:paraId="50F74D78"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1276" w:type="dxa"/>
            <w:vAlign w:val="center"/>
          </w:tcPr>
          <w:p w14:paraId="3A63D34E"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851" w:type="dxa"/>
            <w:vAlign w:val="center"/>
          </w:tcPr>
          <w:p w14:paraId="22AE2198"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2.89</w:t>
            </w:r>
          </w:p>
        </w:tc>
        <w:tc>
          <w:tcPr>
            <w:tcW w:w="850" w:type="dxa"/>
            <w:vAlign w:val="center"/>
          </w:tcPr>
          <w:p w14:paraId="0D4B77EC"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c>
          <w:tcPr>
            <w:tcW w:w="1276" w:type="dxa"/>
            <w:vAlign w:val="center"/>
          </w:tcPr>
          <w:p w14:paraId="234458F3"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r>
    </w:tbl>
    <w:p w14:paraId="6B3C2B1F" w14:textId="5A52E00B" w:rsidR="0095380C" w:rsidRPr="0095380C" w:rsidRDefault="0095380C" w:rsidP="0095380C">
      <w:pPr>
        <w:spacing w:after="100" w:afterAutospacing="1" w:line="480" w:lineRule="auto"/>
        <w:rPr>
          <w:rFonts w:ascii="Times New Roman" w:eastAsia="Times New Roman" w:hAnsi="Times New Roman" w:cs="Times New Roman"/>
          <w:kern w:val="0"/>
          <w:lang w:val="en-GB" w:eastAsia="en-GB"/>
          <w14:ligatures w14:val="none"/>
        </w:rPr>
      </w:pPr>
      <w:r w:rsidRPr="0095380C">
        <w:rPr>
          <w:rFonts w:ascii="Times New Roman" w:eastAsia="Times New Roman" w:hAnsi="Times New Roman" w:cs="Times New Roman"/>
          <w:kern w:val="0"/>
          <w:lang w:val="en-GB" w:eastAsia="en-GB"/>
          <w14:ligatures w14:val="none"/>
        </w:rPr>
        <w:t>Criterion Mean = 2.5, Mean: 1.0-2.49 = Disagree, 2.5-4.00= Agree.</w:t>
      </w:r>
    </w:p>
    <w:p w14:paraId="7E4F4582" w14:textId="30702BF3" w:rsidR="0095380C" w:rsidRPr="0095380C" w:rsidRDefault="0095380C" w:rsidP="0095380C">
      <w:pPr>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Table </w:t>
      </w:r>
      <w:r>
        <w:rPr>
          <w:rFonts w:ascii="Times New Roman" w:hAnsi="Times New Roman" w:cs="Times New Roman"/>
          <w:bCs/>
          <w:kern w:val="0"/>
          <w:lang w:val="en-GB"/>
          <w14:ligatures w14:val="none"/>
        </w:rPr>
        <w:t>3</w:t>
      </w:r>
      <w:r w:rsidRPr="0095380C">
        <w:rPr>
          <w:rFonts w:ascii="Times New Roman" w:hAnsi="Times New Roman" w:cs="Times New Roman"/>
          <w:bCs/>
          <w:kern w:val="0"/>
          <w:lang w:val="en-GB"/>
          <w14:ligatures w14:val="none"/>
        </w:rPr>
        <w:t xml:space="preserve"> presents the mean scores and standard deviations showing the socio-demographic factors that predict adherence to treatment among T2DM patients in RSUMC compared to those in IAUEMC. The results indicate that the majority of respondents from RSUMC agreed with items 22–24 and 26–30, with their mean scores greater than or equal to the criterion mean (2.50), while they disagreed with items 21 and 25, which recorded mean scores below 2.50. The grand mean of 2.89 reveals that socio-demographic factors such as understanding medical instructions, family or social support, cultural or religious beliefs, marital status, accessibility to the medical centre, and the use of technology positively influence adherence to diabetes treatment among patients at RSUMC. However, limited household income and lack of comprehensive health insurance coverage were identified as major constraints to adherence.</w:t>
      </w:r>
    </w:p>
    <w:p w14:paraId="422A992B" w14:textId="77777777" w:rsidR="0095380C" w:rsidRPr="0095380C" w:rsidRDefault="0095380C" w:rsidP="0095380C">
      <w:pPr>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Similarly, the findings from IAUEMC show that most respondents agreed with items 22–24 and 26–30, with mean scores equal to or greater than the criterion mean (2.50), while they disagreed with items 21 and 25. The grand mean of 2.89 suggests that socio-demographic variables such as effective communication with healthcare providers, family encouragement, convenient access to the medical centre, and the use of digital tools play important roles in promoting adherence to treatment among T2DM patients at IAUEMC.</w:t>
      </w:r>
    </w:p>
    <w:p w14:paraId="27D59960" w14:textId="1457653A" w:rsidR="0095380C" w:rsidRPr="00A77FEA" w:rsidRDefault="0095380C" w:rsidP="002A490C">
      <w:pPr>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Comparatively, with both centres recording an equal grand mean of 2.89, it can be inferred that the socio-demographic factors influencing adherence to diabetes treatment are largely similar between RSUMC and IAUEMC. This indicates that patients in both institutions experience </w:t>
      </w:r>
      <w:r w:rsidRPr="0095380C">
        <w:rPr>
          <w:rFonts w:ascii="Times New Roman" w:hAnsi="Times New Roman" w:cs="Times New Roman"/>
          <w:bCs/>
          <w:kern w:val="0"/>
          <w:lang w:val="en-GB"/>
          <w14:ligatures w14:val="none"/>
        </w:rPr>
        <w:lastRenderedPageBreak/>
        <w:t xml:space="preserve">comparable levels of social support, awareness, and accessibility that enhance adherence behaviours. </w:t>
      </w:r>
    </w:p>
    <w:p w14:paraId="128E9364" w14:textId="4FE97D80" w:rsidR="00746A16" w:rsidRDefault="00746A16" w:rsidP="002A490C">
      <w:pPr>
        <w:spacing w:line="480" w:lineRule="auto"/>
        <w:rPr>
          <w:rFonts w:ascii="Times New Roman" w:hAnsi="Times New Roman" w:cs="Times New Roman"/>
          <w:b/>
          <w:bCs/>
        </w:rPr>
      </w:pPr>
      <w:r>
        <w:rPr>
          <w:rFonts w:ascii="Times New Roman" w:hAnsi="Times New Roman" w:cs="Times New Roman"/>
          <w:b/>
          <w:bCs/>
        </w:rPr>
        <w:t xml:space="preserve">Discussion </w:t>
      </w:r>
    </w:p>
    <w:p w14:paraId="34FB0C79" w14:textId="511A5D82" w:rsidR="00A77FEA" w:rsidRPr="00A77FEA" w:rsidRDefault="00A77FEA" w:rsidP="00A77FEA">
      <w:pPr>
        <w:spacing w:after="100" w:afterAutospacing="1" w:line="480" w:lineRule="auto"/>
        <w:rPr>
          <w:rFonts w:ascii="Times New Roman" w:eastAsia="Times New Roman" w:hAnsi="Times New Roman" w:cs="Times New Roman"/>
          <w:kern w:val="0"/>
          <w:lang w:val="en-GB" w:eastAsia="en-GB"/>
          <w14:ligatures w14:val="none"/>
        </w:rPr>
      </w:pPr>
      <w:r w:rsidRPr="00A77FEA">
        <w:rPr>
          <w:rFonts w:ascii="Times New Roman" w:eastAsia="Times New Roman" w:hAnsi="Times New Roman" w:cs="Times New Roman"/>
          <w:b/>
          <w:kern w:val="0"/>
          <w:lang w:val="en-GB" w:eastAsia="en-GB"/>
          <w14:ligatures w14:val="none"/>
        </w:rPr>
        <w:t>Knowledge of T2DM between patients receiving treatment at RSUMC and those at IAUEMC</w:t>
      </w:r>
      <w:r w:rsidRPr="00A77FEA">
        <w:rPr>
          <w:rFonts w:ascii="Times New Roman" w:eastAsia="Times New Roman" w:hAnsi="Times New Roman" w:cs="Times New Roman"/>
          <w:kern w:val="0"/>
          <w:lang w:val="en-GB" w:eastAsia="en-GB"/>
          <w14:ligatures w14:val="none"/>
        </w:rPr>
        <w:br/>
        <w:t>The result showed that the majority of respondents at both RSUMC and IAUEMC agreed with items 1–10</w:t>
      </w:r>
      <w:r w:rsidR="00F20451">
        <w:rPr>
          <w:rFonts w:ascii="Times New Roman" w:eastAsia="Times New Roman" w:hAnsi="Times New Roman" w:cs="Times New Roman"/>
          <w:kern w:val="0"/>
          <w:lang w:val="en-GB" w:eastAsia="en-GB"/>
          <w14:ligatures w14:val="none"/>
        </w:rPr>
        <w:t>,</w:t>
      </w:r>
      <w:r w:rsidRPr="00A77FEA">
        <w:rPr>
          <w:rFonts w:ascii="Times New Roman" w:eastAsia="Times New Roman" w:hAnsi="Times New Roman" w:cs="Times New Roman"/>
          <w:kern w:val="0"/>
          <w:lang w:val="en-GB" w:eastAsia="en-GB"/>
          <w14:ligatures w14:val="none"/>
        </w:rPr>
        <w:t xml:space="preserve"> with mean scores ≥ 2.50; the grand means (3.12 for RSUMC and 3.09 for IAUEMC) indicate substantial knowledge of T2DM among patients in both centres. Overall, the findings imply that both institutions are performing commendably in fostering patient knowledge on T2DM, which is a critical factor in effective diabetes management and control.  Furthermore, the result of hypothesis one revealed that there is no significant difference in knowledge of Type 2 Diabetes Mellitus between patients receiving treatment at Rivers State University Medical Centre and those at Ignatius </w:t>
      </w:r>
      <w:proofErr w:type="spellStart"/>
      <w:r w:rsidRPr="00A77FEA">
        <w:rPr>
          <w:rFonts w:ascii="Times New Roman" w:eastAsia="Times New Roman" w:hAnsi="Times New Roman" w:cs="Times New Roman"/>
          <w:kern w:val="0"/>
          <w:lang w:val="en-GB" w:eastAsia="en-GB"/>
          <w14:ligatures w14:val="none"/>
        </w:rPr>
        <w:t>Ajuru</w:t>
      </w:r>
      <w:proofErr w:type="spellEnd"/>
      <w:r w:rsidRPr="00A77FEA">
        <w:rPr>
          <w:rFonts w:ascii="Times New Roman" w:eastAsia="Times New Roman" w:hAnsi="Times New Roman" w:cs="Times New Roman"/>
          <w:kern w:val="0"/>
          <w:lang w:val="en-GB" w:eastAsia="en-GB"/>
          <w14:ligatures w14:val="none"/>
        </w:rPr>
        <w:t xml:space="preserve"> University of Education Medical Centre.</w:t>
      </w:r>
      <w:r>
        <w:rPr>
          <w:rFonts w:ascii="Times New Roman" w:eastAsia="Times New Roman" w:hAnsi="Times New Roman" w:cs="Times New Roman"/>
          <w:kern w:val="0"/>
          <w:lang w:val="en-GB" w:eastAsia="en-GB"/>
          <w14:ligatures w14:val="none"/>
        </w:rPr>
        <w:t xml:space="preserve"> </w:t>
      </w:r>
      <w:r w:rsidRPr="00A77FEA">
        <w:rPr>
          <w:rFonts w:ascii="Times New Roman" w:eastAsia="Times New Roman" w:hAnsi="Times New Roman" w:cs="Times New Roman"/>
          <w:kern w:val="0"/>
          <w:lang w:val="en-GB"/>
          <w14:ligatures w14:val="none"/>
        </w:rPr>
        <w:t xml:space="preserve">These findings are consistent with studies that link facility-based education and routine contact with health services to improved diabetes knowledge. For example, </w:t>
      </w:r>
      <w:proofErr w:type="spellStart"/>
      <w:r w:rsidRPr="00A77FEA">
        <w:rPr>
          <w:rFonts w:ascii="Times New Roman" w:eastAsia="Times New Roman" w:hAnsi="Times New Roman" w:cs="Times New Roman"/>
          <w:kern w:val="0"/>
          <w:lang w:val="en-GB"/>
          <w14:ligatures w14:val="none"/>
        </w:rPr>
        <w:t>Luambano</w:t>
      </w:r>
      <w:proofErr w:type="spellEnd"/>
      <w:r w:rsidRPr="00A77FEA">
        <w:rPr>
          <w:rFonts w:ascii="Times New Roman" w:eastAsia="Times New Roman" w:hAnsi="Times New Roman" w:cs="Times New Roman"/>
          <w:kern w:val="0"/>
          <w:lang w:val="en-GB"/>
          <w14:ligatures w14:val="none"/>
        </w:rPr>
        <w:t xml:space="preserve"> et al. (2023) found that outpatient education at a tertiary hospital was associated with adequate patient knowledge, and </w:t>
      </w:r>
      <w:proofErr w:type="spellStart"/>
      <w:r w:rsidRPr="00A77FEA">
        <w:rPr>
          <w:rFonts w:ascii="Times New Roman" w:eastAsia="Times New Roman" w:hAnsi="Times New Roman" w:cs="Times New Roman"/>
          <w:kern w:val="0"/>
          <w:lang w:val="en-GB"/>
          <w14:ligatures w14:val="none"/>
        </w:rPr>
        <w:t>Alaofè</w:t>
      </w:r>
      <w:proofErr w:type="spellEnd"/>
      <w:r w:rsidRPr="00A77FEA">
        <w:rPr>
          <w:rFonts w:ascii="Times New Roman" w:eastAsia="Times New Roman" w:hAnsi="Times New Roman" w:cs="Times New Roman"/>
          <w:kern w:val="0"/>
          <w:lang w:val="en-GB"/>
          <w14:ligatures w14:val="none"/>
        </w:rPr>
        <w:t xml:space="preserve"> et al. (2021) reported that higher education and longer duration of disease predicted better knowledge and practices among diabetic patients. These studies support the interpretation that regular contact with health facilities and structured education likely contributed to the relatively high knowledge levels observed in both centres. </w:t>
      </w:r>
    </w:p>
    <w:p w14:paraId="42481028" w14:textId="77777777" w:rsidR="00A77FEA" w:rsidRDefault="00A77FEA" w:rsidP="00A77FEA">
      <w:pPr>
        <w:spacing w:before="100" w:beforeAutospacing="1" w:after="100" w:afterAutospacing="1" w:line="480" w:lineRule="auto"/>
        <w:rPr>
          <w:rFonts w:ascii="Times New Roman" w:eastAsia="Times New Roman" w:hAnsi="Times New Roman" w:cs="Times New Roman"/>
          <w:kern w:val="0"/>
          <w:lang w:val="en-GB"/>
          <w14:ligatures w14:val="none"/>
        </w:rPr>
      </w:pPr>
      <w:r w:rsidRPr="00A77FEA">
        <w:rPr>
          <w:rFonts w:ascii="Times New Roman" w:eastAsia="Times New Roman" w:hAnsi="Times New Roman" w:cs="Times New Roman"/>
          <w:b/>
          <w:kern w:val="0"/>
          <w:lang w:val="en-GB"/>
          <w14:ligatures w14:val="none"/>
        </w:rPr>
        <w:t>Level of adherence to treatment among T2DM patients (RSUMC vs IAUEMC)</w:t>
      </w:r>
      <w:r w:rsidRPr="00A77FEA">
        <w:rPr>
          <w:rFonts w:ascii="Times New Roman" w:eastAsia="Times New Roman" w:hAnsi="Times New Roman" w:cs="Times New Roman"/>
          <w:kern w:val="0"/>
          <w:lang w:val="en-GB"/>
          <w14:ligatures w14:val="none"/>
        </w:rPr>
        <w:br/>
        <w:t xml:space="preserve">The grand means (RSUMC = 2.93; IAUEMC = 2.98) indicate generally good adherence at both centres, although RSUMC showed lower means on items related to physical activity, glucose </w:t>
      </w:r>
      <w:r w:rsidRPr="00A77FEA">
        <w:rPr>
          <w:rFonts w:ascii="Times New Roman" w:eastAsia="Times New Roman" w:hAnsi="Times New Roman" w:cs="Times New Roman"/>
          <w:kern w:val="0"/>
          <w:lang w:val="en-GB"/>
          <w14:ligatures w14:val="none"/>
        </w:rPr>
        <w:lastRenderedPageBreak/>
        <w:t xml:space="preserve">monitoring and appointment attendance. </w:t>
      </w:r>
      <w:r w:rsidRPr="00A77FEA">
        <w:rPr>
          <w:rFonts w:ascii="Times New Roman" w:hAnsi="Times New Roman" w:cs="Times New Roman"/>
          <w:bCs/>
          <w:kern w:val="0"/>
          <w:lang w:val="en-GB"/>
          <w14:ligatures w14:val="none"/>
        </w:rPr>
        <w:t xml:space="preserve">Overall, the findings indicate that adherence to treatment among T2DM patients in both institutions is commendable, which is essential for effective diabetes control and improved health outcomes. </w:t>
      </w:r>
      <w:r w:rsidRPr="00A77FEA">
        <w:rPr>
          <w:rFonts w:ascii="Times New Roman" w:eastAsia="Times New Roman" w:hAnsi="Times New Roman" w:cs="Times New Roman"/>
          <w:kern w:val="0"/>
          <w:lang w:val="en-GB"/>
          <w14:ligatures w14:val="none"/>
        </w:rPr>
        <w:t xml:space="preserve">Furthermore, the result of hypothesis two revealed that there is no significant difference in the level of adherence to treatment among T2DM patients between Rivers State University Medical Centre and Ignatius </w:t>
      </w:r>
      <w:proofErr w:type="spellStart"/>
      <w:r w:rsidRPr="00A77FEA">
        <w:rPr>
          <w:rFonts w:ascii="Times New Roman" w:eastAsia="Times New Roman" w:hAnsi="Times New Roman" w:cs="Times New Roman"/>
          <w:kern w:val="0"/>
          <w:lang w:val="en-GB"/>
          <w14:ligatures w14:val="none"/>
        </w:rPr>
        <w:t>Ajuru</w:t>
      </w:r>
      <w:proofErr w:type="spellEnd"/>
      <w:r w:rsidRPr="00A77FEA">
        <w:rPr>
          <w:rFonts w:ascii="Times New Roman" w:eastAsia="Times New Roman" w:hAnsi="Times New Roman" w:cs="Times New Roman"/>
          <w:kern w:val="0"/>
          <w:lang w:val="en-GB"/>
          <w14:ligatures w14:val="none"/>
        </w:rPr>
        <w:t xml:space="preserve"> University of Education Medical Centre.</w:t>
      </w:r>
      <w:r>
        <w:rPr>
          <w:rFonts w:ascii="Times New Roman" w:eastAsia="Times New Roman" w:hAnsi="Times New Roman" w:cs="Times New Roman"/>
          <w:kern w:val="0"/>
          <w:lang w:val="en-GB"/>
          <w14:ligatures w14:val="none"/>
        </w:rPr>
        <w:t xml:space="preserve"> </w:t>
      </w:r>
      <w:r w:rsidRPr="00A77FEA">
        <w:rPr>
          <w:rFonts w:ascii="Times New Roman" w:eastAsia="Times New Roman" w:hAnsi="Times New Roman" w:cs="Times New Roman"/>
          <w:kern w:val="0"/>
          <w:lang w:val="en-GB"/>
          <w14:ligatures w14:val="none"/>
        </w:rPr>
        <w:t xml:space="preserve">This pattern aligns with Nigerian and regional studies that report generally satisfactory medication adherence but poorer adherence to self-care behaviours (SMBG, exercise, meal planning). </w:t>
      </w:r>
      <w:proofErr w:type="spellStart"/>
      <w:r w:rsidRPr="00A77FEA">
        <w:rPr>
          <w:rFonts w:ascii="Times New Roman" w:eastAsia="Times New Roman" w:hAnsi="Times New Roman" w:cs="Times New Roman"/>
          <w:kern w:val="0"/>
          <w:lang w:val="en-GB"/>
          <w14:ligatures w14:val="none"/>
        </w:rPr>
        <w:t>Agofure</w:t>
      </w:r>
      <w:proofErr w:type="spellEnd"/>
      <w:r w:rsidRPr="00A77FEA">
        <w:rPr>
          <w:rFonts w:ascii="Times New Roman" w:eastAsia="Times New Roman" w:hAnsi="Times New Roman" w:cs="Times New Roman"/>
          <w:kern w:val="0"/>
          <w:lang w:val="en-GB"/>
          <w14:ligatures w14:val="none"/>
        </w:rPr>
        <w:t xml:space="preserve"> et al. (2020) documented suboptimal overall adherence and identified sociodemographic predictors of adherence, while </w:t>
      </w:r>
      <w:proofErr w:type="spellStart"/>
      <w:r w:rsidRPr="00A77FEA">
        <w:rPr>
          <w:rFonts w:ascii="Times New Roman" w:eastAsia="Times New Roman" w:hAnsi="Times New Roman" w:cs="Times New Roman"/>
          <w:kern w:val="0"/>
          <w:lang w:val="en-GB"/>
          <w14:ligatures w14:val="none"/>
        </w:rPr>
        <w:t>Enikuomehin</w:t>
      </w:r>
      <w:proofErr w:type="spellEnd"/>
      <w:r w:rsidRPr="00A77FEA">
        <w:rPr>
          <w:rFonts w:ascii="Times New Roman" w:eastAsia="Times New Roman" w:hAnsi="Times New Roman" w:cs="Times New Roman"/>
          <w:kern w:val="0"/>
          <w:lang w:val="en-GB"/>
          <w14:ligatures w14:val="none"/>
        </w:rPr>
        <w:t xml:space="preserve"> et al. (2021) found high adherence to medication but low adherence to SMBG and physical activity. Together, these studies corroborate our finding that medication adherence tends to be stronger than lifestyle and monitoring practices, highlighting targets for intervention (education, follow-up, support). </w:t>
      </w:r>
    </w:p>
    <w:p w14:paraId="2671905E" w14:textId="77777777" w:rsidR="00740AA7" w:rsidRDefault="00A77FEA" w:rsidP="00740AA7">
      <w:pPr>
        <w:spacing w:before="100" w:beforeAutospacing="1" w:after="100" w:afterAutospacing="1" w:line="480" w:lineRule="auto"/>
        <w:rPr>
          <w:rFonts w:ascii="Times New Roman" w:eastAsia="Times New Roman" w:hAnsi="Times New Roman" w:cs="Times New Roman"/>
          <w:kern w:val="0"/>
          <w:lang w:val="en-GB"/>
          <w14:ligatures w14:val="none"/>
        </w:rPr>
      </w:pPr>
      <w:r w:rsidRPr="00A77FEA">
        <w:rPr>
          <w:rFonts w:ascii="Times New Roman" w:eastAsia="Times New Roman" w:hAnsi="Times New Roman" w:cs="Times New Roman"/>
          <w:b/>
          <w:kern w:val="0"/>
          <w:lang w:val="en-GB"/>
          <w14:ligatures w14:val="none"/>
        </w:rPr>
        <w:t>Socio-demographic predictors of adherence (RSUMC vs IAUEMC)</w:t>
      </w:r>
      <w:r w:rsidRPr="00A77FEA">
        <w:rPr>
          <w:rFonts w:ascii="Times New Roman" w:eastAsia="Times New Roman" w:hAnsi="Times New Roman" w:cs="Times New Roman"/>
          <w:kern w:val="0"/>
          <w:lang w:val="en-GB"/>
          <w14:ligatures w14:val="none"/>
        </w:rPr>
        <w:br/>
        <w:t xml:space="preserve">With equal grand means (2.89) for both centres, socio-demographic factors such as understanding of doctors’ instructions, family support, marital status, age, convenience of the centre, and technology use positively predicted adherence, whereas low household income and poor insurance coverage were constraints. </w:t>
      </w:r>
      <w:r w:rsidRPr="00A77FEA">
        <w:rPr>
          <w:rFonts w:ascii="Times New Roman" w:hAnsi="Times New Roman" w:cs="Times New Roman"/>
          <w:bCs/>
          <w:kern w:val="0"/>
          <w:lang w:val="en-GB"/>
          <w14:ligatures w14:val="none"/>
        </w:rPr>
        <w:t xml:space="preserve">Nonetheless, the consistent disagreement on items related to income and health insurance underscores the need for financial interventions and policy reforms to improve affordability and coverage of diabetes care services across both medical centres. </w:t>
      </w:r>
      <w:r w:rsidRPr="00A77FEA">
        <w:rPr>
          <w:rFonts w:ascii="Times New Roman" w:eastAsia="Times New Roman" w:hAnsi="Times New Roman" w:cs="Times New Roman"/>
          <w:kern w:val="0"/>
          <w:lang w:val="en-GB"/>
          <w14:ligatures w14:val="none"/>
        </w:rPr>
        <w:t xml:space="preserve">Furthermore, the result of hypothesis three revealed that socio-demographic factors do not significantly predict adherence to treatment among T2DM patients in Rivers State University Medical Centre compared to those in Ignatius </w:t>
      </w:r>
      <w:proofErr w:type="spellStart"/>
      <w:r w:rsidRPr="00A77FEA">
        <w:rPr>
          <w:rFonts w:ascii="Times New Roman" w:eastAsia="Times New Roman" w:hAnsi="Times New Roman" w:cs="Times New Roman"/>
          <w:kern w:val="0"/>
          <w:lang w:val="en-GB"/>
          <w14:ligatures w14:val="none"/>
        </w:rPr>
        <w:t>Ajuru</w:t>
      </w:r>
      <w:proofErr w:type="spellEnd"/>
      <w:r w:rsidRPr="00A77FEA">
        <w:rPr>
          <w:rFonts w:ascii="Times New Roman" w:eastAsia="Times New Roman" w:hAnsi="Times New Roman" w:cs="Times New Roman"/>
          <w:kern w:val="0"/>
          <w:lang w:val="en-GB"/>
          <w14:ligatures w14:val="none"/>
        </w:rPr>
        <w:t xml:space="preserve"> University of Education Medical Centre.</w:t>
      </w:r>
      <w:r>
        <w:rPr>
          <w:rFonts w:ascii="Times New Roman" w:eastAsia="Times New Roman" w:hAnsi="Times New Roman" w:cs="Times New Roman"/>
          <w:kern w:val="0"/>
          <w:lang w:val="en-GB"/>
          <w14:ligatures w14:val="none"/>
        </w:rPr>
        <w:t xml:space="preserve"> </w:t>
      </w:r>
      <w:r w:rsidRPr="00A77FEA">
        <w:rPr>
          <w:rFonts w:ascii="Times New Roman" w:eastAsia="Times New Roman" w:hAnsi="Times New Roman" w:cs="Times New Roman"/>
          <w:kern w:val="0"/>
          <w:lang w:val="en-GB"/>
          <w14:ligatures w14:val="none"/>
        </w:rPr>
        <w:t xml:space="preserve">This echoes </w:t>
      </w:r>
      <w:proofErr w:type="spellStart"/>
      <w:r w:rsidRPr="00A77FEA">
        <w:rPr>
          <w:rFonts w:ascii="Times New Roman" w:eastAsia="Times New Roman" w:hAnsi="Times New Roman" w:cs="Times New Roman"/>
          <w:kern w:val="0"/>
          <w:lang w:val="en-GB"/>
          <w14:ligatures w14:val="none"/>
        </w:rPr>
        <w:t>Egwim</w:t>
      </w:r>
      <w:proofErr w:type="spellEnd"/>
      <w:r w:rsidRPr="00A77FEA">
        <w:rPr>
          <w:rFonts w:ascii="Times New Roman" w:eastAsia="Times New Roman" w:hAnsi="Times New Roman" w:cs="Times New Roman"/>
          <w:kern w:val="0"/>
          <w:lang w:val="en-GB"/>
          <w14:ligatures w14:val="none"/>
        </w:rPr>
        <w:t xml:space="preserve"> (2022), who identified health insurance and socioeconomic factors as predictors of </w:t>
      </w:r>
      <w:r w:rsidRPr="00A77FEA">
        <w:rPr>
          <w:rFonts w:ascii="Times New Roman" w:eastAsia="Times New Roman" w:hAnsi="Times New Roman" w:cs="Times New Roman"/>
          <w:kern w:val="0"/>
          <w:lang w:val="en-GB"/>
          <w14:ligatures w14:val="none"/>
        </w:rPr>
        <w:lastRenderedPageBreak/>
        <w:t xml:space="preserve">glycaemic control, and </w:t>
      </w:r>
      <w:proofErr w:type="spellStart"/>
      <w:r w:rsidRPr="00A77FEA">
        <w:rPr>
          <w:rFonts w:ascii="Times New Roman" w:eastAsia="Times New Roman" w:hAnsi="Times New Roman" w:cs="Times New Roman"/>
          <w:kern w:val="0"/>
          <w:lang w:val="en-GB"/>
          <w14:ligatures w14:val="none"/>
        </w:rPr>
        <w:t>Agofure</w:t>
      </w:r>
      <w:proofErr w:type="spellEnd"/>
      <w:r w:rsidRPr="00A77FEA">
        <w:rPr>
          <w:rFonts w:ascii="Times New Roman" w:eastAsia="Times New Roman" w:hAnsi="Times New Roman" w:cs="Times New Roman"/>
          <w:kern w:val="0"/>
          <w:lang w:val="en-GB"/>
          <w14:ligatures w14:val="none"/>
        </w:rPr>
        <w:t xml:space="preserve"> et al. (2020), who found marital status, age, and sex predicted adherence. These studies reinforce that financial barriers and social support are key determinants of adherence in Nigerian settings and suggest policy and programmatic responses (insurance expansion, social support mechanisms). </w:t>
      </w:r>
    </w:p>
    <w:p w14:paraId="43E3FA2F" w14:textId="5C258524" w:rsidR="00746A16" w:rsidRDefault="00746A16" w:rsidP="00740AA7">
      <w:pPr>
        <w:spacing w:before="100" w:beforeAutospacing="1" w:after="100" w:afterAutospacing="1" w:line="480" w:lineRule="auto"/>
        <w:rPr>
          <w:rFonts w:ascii="Times New Roman" w:hAnsi="Times New Roman" w:cs="Times New Roman"/>
          <w:b/>
          <w:bCs/>
        </w:rPr>
      </w:pPr>
      <w:r>
        <w:rPr>
          <w:rFonts w:ascii="Times New Roman" w:hAnsi="Times New Roman" w:cs="Times New Roman"/>
          <w:b/>
          <w:bCs/>
        </w:rPr>
        <w:t>Conclusion</w:t>
      </w:r>
    </w:p>
    <w:p w14:paraId="693A86BA" w14:textId="6F55F071" w:rsidR="00740AA7" w:rsidRDefault="00740AA7" w:rsidP="00740AA7">
      <w:pPr>
        <w:spacing w:before="100" w:beforeAutospacing="1" w:after="100" w:afterAutospacing="1" w:line="480" w:lineRule="auto"/>
        <w:rPr>
          <w:rFonts w:ascii="Times New Roman" w:eastAsia="Times New Roman" w:hAnsi="Times New Roman" w:cs="Times New Roman"/>
          <w:kern w:val="0"/>
          <w:lang w:val="en-GB"/>
          <w14:ligatures w14:val="none"/>
        </w:rPr>
      </w:pPr>
      <w:r w:rsidRPr="00740AA7">
        <w:rPr>
          <w:rFonts w:ascii="Times New Roman" w:eastAsia="Times New Roman" w:hAnsi="Times New Roman" w:cs="Times New Roman"/>
          <w:kern w:val="0"/>
          <w:lang w:val="en-GB"/>
          <w14:ligatures w14:val="none"/>
        </w:rPr>
        <w:t>The findings of this study revealed that multidisciplinary diabetes management programs and standard care produced comparable yet commendable outcomes across several dimensions of diabetes care among T2DM patients attending RSUMC and IAUEMC. Patients from both centres demonstrated substantial knowledge of T2DM, good adherence to treatment</w:t>
      </w:r>
      <w:r>
        <w:rPr>
          <w:rFonts w:ascii="Times New Roman" w:eastAsia="Times New Roman" w:hAnsi="Times New Roman" w:cs="Times New Roman"/>
          <w:kern w:val="0"/>
          <w:lang w:val="en-GB"/>
          <w14:ligatures w14:val="none"/>
        </w:rPr>
        <w:t xml:space="preserve"> </w:t>
      </w:r>
      <w:r w:rsidRPr="00740AA7">
        <w:rPr>
          <w:rFonts w:ascii="Times New Roman" w:eastAsia="Times New Roman" w:hAnsi="Times New Roman" w:cs="Times New Roman"/>
          <w:kern w:val="0"/>
          <w:lang w:val="en-GB"/>
          <w14:ligatures w14:val="none"/>
        </w:rPr>
        <w:t>and equivalent socio-demographic influences across sites, with no significant inter-centre differences. Medication adherence exceeded self-care practices, while low income and insurance gaps constrained outcomes.</w:t>
      </w:r>
      <w:r>
        <w:rPr>
          <w:rFonts w:ascii="Times New Roman" w:eastAsia="Times New Roman" w:hAnsi="Times New Roman" w:cs="Times New Roman"/>
          <w:kern w:val="0"/>
          <w:lang w:val="en-GB"/>
          <w14:ligatures w14:val="none"/>
        </w:rPr>
        <w:t xml:space="preserve"> </w:t>
      </w:r>
      <w:r w:rsidRPr="00740AA7">
        <w:rPr>
          <w:rFonts w:ascii="Times New Roman" w:eastAsia="Times New Roman" w:hAnsi="Times New Roman" w:cs="Times New Roman"/>
          <w:kern w:val="0"/>
          <w:lang w:val="en-GB"/>
          <w14:ligatures w14:val="none"/>
        </w:rPr>
        <w:t>Findings affirm facility-based education's role in knowledge acquisition and highlight self-care and financial barriers in Nigeria.</w:t>
      </w:r>
      <w:r>
        <w:rPr>
          <w:rFonts w:ascii="Times New Roman" w:eastAsia="Times New Roman" w:hAnsi="Times New Roman" w:cs="Times New Roman"/>
          <w:kern w:val="0"/>
          <w:lang w:val="en-GB"/>
          <w14:ligatures w14:val="none"/>
        </w:rPr>
        <w:t xml:space="preserve"> </w:t>
      </w:r>
      <w:r w:rsidRPr="00740AA7">
        <w:rPr>
          <w:rFonts w:ascii="Times New Roman" w:eastAsia="Times New Roman" w:hAnsi="Times New Roman" w:cs="Times New Roman"/>
          <w:kern w:val="0"/>
          <w:lang w:val="en-GB"/>
          <w14:ligatures w14:val="none"/>
        </w:rPr>
        <w:t>In conclusion, both centres exhibit robust T2DM management, yet targeted interventions—self-care enhancement, insurance expansion, and support mechanisms—are imperative to optimise glycaemic control and align with global standards for equitable care.</w:t>
      </w:r>
    </w:p>
    <w:p w14:paraId="5E74AB60" w14:textId="77777777" w:rsidR="00AB25AD" w:rsidRPr="00AB25AD" w:rsidRDefault="00AB25AD" w:rsidP="00AB25AD">
      <w:pPr>
        <w:spacing w:after="200" w:line="276" w:lineRule="auto"/>
        <w:jc w:val="left"/>
        <w:rPr>
          <w:rFonts w:ascii="Calibri" w:eastAsia="Calibri" w:hAnsi="Calibri" w:cs="Times New Roman"/>
          <w:b/>
          <w:kern w:val="0"/>
          <w:sz w:val="28"/>
          <w:szCs w:val="22"/>
          <w14:ligatures w14:val="none"/>
        </w:rPr>
      </w:pPr>
      <w:r w:rsidRPr="00AB25AD">
        <w:rPr>
          <w:rFonts w:ascii="Calibri" w:eastAsia="Calibri" w:hAnsi="Calibri" w:cs="Times New Roman"/>
          <w:b/>
          <w:kern w:val="0"/>
          <w:sz w:val="28"/>
          <w:szCs w:val="22"/>
          <w:highlight w:val="yellow"/>
          <w14:ligatures w14:val="none"/>
        </w:rPr>
        <w:t>Consent</w:t>
      </w:r>
      <w:r w:rsidRPr="00AB25AD">
        <w:rPr>
          <w:rFonts w:ascii="Calibri" w:eastAsia="Calibri" w:hAnsi="Calibri" w:cs="Times New Roman"/>
          <w:b/>
          <w:kern w:val="0"/>
          <w:sz w:val="28"/>
          <w:szCs w:val="22"/>
          <w14:ligatures w14:val="none"/>
        </w:rPr>
        <w:t xml:space="preserve"> </w:t>
      </w:r>
      <w:bookmarkStart w:id="4" w:name="_GoBack"/>
      <w:bookmarkEnd w:id="4"/>
    </w:p>
    <w:p w14:paraId="3CDF6D06" w14:textId="77777777" w:rsidR="00AB25AD" w:rsidRPr="00AB25AD" w:rsidRDefault="00AB25AD" w:rsidP="00AB25AD">
      <w:pPr>
        <w:spacing w:after="200" w:line="276" w:lineRule="auto"/>
        <w:jc w:val="left"/>
        <w:rPr>
          <w:rFonts w:ascii="Calibri" w:eastAsia="Calibri" w:hAnsi="Calibri" w:cs="Times New Roman"/>
          <w:kern w:val="0"/>
          <w:sz w:val="22"/>
          <w:szCs w:val="22"/>
          <w14:ligatures w14:val="none"/>
        </w:rPr>
      </w:pPr>
      <w:r w:rsidRPr="00AB25AD">
        <w:rPr>
          <w:rFonts w:ascii="Calibri" w:eastAsia="Calibri" w:hAnsi="Calibri" w:cs="Times New Roman"/>
          <w:kern w:val="0"/>
          <w:sz w:val="22"/>
          <w:szCs w:val="22"/>
          <w14:ligatures w14:val="none"/>
        </w:rPr>
        <w:t>As per international standards or university standards, patient(s) written consent has been collected and preserved by the author</w:t>
      </w:r>
      <w:r w:rsidRPr="00AB25AD">
        <w:rPr>
          <w:rFonts w:ascii="Calibri" w:eastAsia="Calibri" w:hAnsi="Calibri" w:cs="Times New Roman"/>
          <w:kern w:val="0"/>
          <w:sz w:val="22"/>
          <w:szCs w:val="22"/>
          <w:highlight w:val="yellow"/>
          <w14:ligatures w14:val="none"/>
        </w:rPr>
        <w:t>(s).</w:t>
      </w:r>
    </w:p>
    <w:p w14:paraId="06E3103B" w14:textId="77777777" w:rsidR="006103F8" w:rsidRDefault="006103F8" w:rsidP="00740AA7">
      <w:pPr>
        <w:spacing w:before="100" w:beforeAutospacing="1" w:after="100" w:afterAutospacing="1" w:line="480" w:lineRule="auto"/>
        <w:rPr>
          <w:rFonts w:ascii="Times New Roman" w:eastAsia="Times New Roman" w:hAnsi="Times New Roman" w:cs="Times New Roman"/>
          <w:kern w:val="0"/>
          <w:lang w:val="en-GB"/>
          <w14:ligatures w14:val="none"/>
        </w:rPr>
      </w:pPr>
    </w:p>
    <w:p w14:paraId="25C943D2" w14:textId="77777777" w:rsidR="006103F8" w:rsidRPr="000864E7" w:rsidRDefault="006103F8" w:rsidP="006103F8">
      <w:pPr>
        <w:rPr>
          <w:b/>
          <w:sz w:val="28"/>
          <w:highlight w:val="yellow"/>
        </w:rPr>
      </w:pPr>
      <w:r w:rsidRPr="000864E7">
        <w:rPr>
          <w:b/>
          <w:sz w:val="28"/>
          <w:highlight w:val="yellow"/>
        </w:rPr>
        <w:t>Ethical Approval:</w:t>
      </w:r>
    </w:p>
    <w:p w14:paraId="353BA109" w14:textId="77777777" w:rsidR="006103F8" w:rsidRPr="000864E7" w:rsidRDefault="006103F8" w:rsidP="006103F8">
      <w:pPr>
        <w:rPr>
          <w:highlight w:val="yellow"/>
        </w:rPr>
      </w:pPr>
    </w:p>
    <w:p w14:paraId="4B9DB6A0" w14:textId="77777777" w:rsidR="006103F8" w:rsidRPr="008E7B85" w:rsidRDefault="006103F8" w:rsidP="006103F8">
      <w:r w:rsidRPr="000864E7">
        <w:rPr>
          <w:highlight w:val="yellow"/>
        </w:rPr>
        <w:lastRenderedPageBreak/>
        <w:t>As per international standards or university standards written ethical approval has been collected and preserved by the author(s).</w:t>
      </w:r>
    </w:p>
    <w:p w14:paraId="1FC74C1F" w14:textId="77777777" w:rsidR="006103F8" w:rsidRPr="006103F8" w:rsidRDefault="006103F8" w:rsidP="00740AA7">
      <w:pPr>
        <w:spacing w:before="100" w:beforeAutospacing="1" w:after="100" w:afterAutospacing="1" w:line="480" w:lineRule="auto"/>
        <w:rPr>
          <w:rFonts w:ascii="Times New Roman" w:eastAsia="Times New Roman" w:hAnsi="Times New Roman" w:cs="Times New Roman"/>
          <w:kern w:val="0"/>
          <w14:ligatures w14:val="none"/>
        </w:rPr>
      </w:pPr>
    </w:p>
    <w:p w14:paraId="756110AD" w14:textId="77777777" w:rsidR="008F32D4" w:rsidRPr="00005ED1" w:rsidRDefault="008F32D4" w:rsidP="008F32D4">
      <w:pPr>
        <w:pStyle w:val="NoSpacing"/>
        <w:rPr>
          <w:rFonts w:ascii="Arial" w:hAnsi="Arial" w:cs="Arial"/>
          <w:highlight w:val="yellow"/>
        </w:rPr>
      </w:pPr>
      <w:bookmarkStart w:id="5" w:name="_Hlk219284361"/>
      <w:bookmarkStart w:id="6" w:name="_Hlk198031404"/>
      <w:bookmarkStart w:id="7" w:name="_Hlk219128673"/>
      <w:r w:rsidRPr="00005ED1">
        <w:rPr>
          <w:rFonts w:ascii="Arial" w:hAnsi="Arial" w:cs="Arial"/>
          <w:highlight w:val="yellow"/>
        </w:rPr>
        <w:t>Disclaimer (Artificial intelligence)</w:t>
      </w:r>
    </w:p>
    <w:p w14:paraId="27C9BAA7" w14:textId="77777777" w:rsidR="008F32D4" w:rsidRPr="00005ED1" w:rsidRDefault="008F32D4" w:rsidP="008F32D4">
      <w:pPr>
        <w:pStyle w:val="NoSpacing"/>
        <w:rPr>
          <w:rFonts w:ascii="Arial" w:hAnsi="Arial" w:cs="Arial"/>
          <w:highlight w:val="yellow"/>
        </w:rPr>
      </w:pPr>
    </w:p>
    <w:p w14:paraId="010A719D" w14:textId="77777777" w:rsidR="008F32D4" w:rsidRPr="00005ED1" w:rsidRDefault="008F32D4" w:rsidP="008F32D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5"/>
      <w:r w:rsidRPr="00005ED1">
        <w:rPr>
          <w:rFonts w:ascii="Arial" w:hAnsi="Arial" w:cs="Arial"/>
          <w:highlight w:val="yellow"/>
        </w:rPr>
        <w:t xml:space="preserve">. </w:t>
      </w:r>
    </w:p>
    <w:bookmarkEnd w:id="6"/>
    <w:bookmarkEnd w:id="7"/>
    <w:p w14:paraId="1B4DBF0A" w14:textId="77777777" w:rsidR="007E48EC" w:rsidRPr="00740AA7" w:rsidRDefault="007E48EC" w:rsidP="00740AA7">
      <w:pPr>
        <w:spacing w:before="100" w:beforeAutospacing="1" w:after="100" w:afterAutospacing="1" w:line="480" w:lineRule="auto"/>
        <w:rPr>
          <w:rFonts w:ascii="Times New Roman" w:eastAsia="Times New Roman" w:hAnsi="Times New Roman" w:cs="Times New Roman"/>
          <w:kern w:val="0"/>
          <w:lang w:val="en-GB"/>
          <w14:ligatures w14:val="none"/>
        </w:rPr>
      </w:pPr>
    </w:p>
    <w:p w14:paraId="23D19F4A" w14:textId="77777777" w:rsidR="00372386" w:rsidRDefault="00372386" w:rsidP="00740AA7">
      <w:pPr>
        <w:spacing w:line="480" w:lineRule="auto"/>
        <w:rPr>
          <w:rFonts w:ascii="Times New Roman" w:hAnsi="Times New Roman" w:cs="Times New Roman"/>
          <w:b/>
          <w:bCs/>
        </w:rPr>
      </w:pPr>
    </w:p>
    <w:p w14:paraId="49C5562C" w14:textId="02697C49" w:rsidR="001C575C" w:rsidRPr="001C575C" w:rsidRDefault="001C575C" w:rsidP="00740AA7">
      <w:pPr>
        <w:spacing w:line="480" w:lineRule="auto"/>
        <w:rPr>
          <w:rFonts w:ascii="Times New Roman" w:hAnsi="Times New Roman" w:cs="Times New Roman"/>
          <w:b/>
          <w:bCs/>
        </w:rPr>
      </w:pPr>
      <w:r w:rsidRPr="001C575C">
        <w:rPr>
          <w:rFonts w:ascii="Times New Roman" w:hAnsi="Times New Roman" w:cs="Times New Roman"/>
          <w:b/>
          <w:bCs/>
        </w:rPr>
        <w:t>References</w:t>
      </w:r>
    </w:p>
    <w:p w14:paraId="61F2DDDD" w14:textId="77777777" w:rsidR="001C575C" w:rsidRDefault="001C575C" w:rsidP="001C575C">
      <w:pPr>
        <w:pStyle w:val="NormalWeb"/>
        <w:ind w:left="810" w:hanging="810"/>
        <w:jc w:val="both"/>
      </w:pPr>
      <w:proofErr w:type="spellStart"/>
      <w:r>
        <w:t>Agofure</w:t>
      </w:r>
      <w:proofErr w:type="spellEnd"/>
      <w:r>
        <w:t xml:space="preserve">, O., </w:t>
      </w:r>
      <w:proofErr w:type="spellStart"/>
      <w:r>
        <w:t>Okandeji</w:t>
      </w:r>
      <w:proofErr w:type="spellEnd"/>
      <w:r>
        <w:t xml:space="preserve">-Barry </w:t>
      </w:r>
      <w:proofErr w:type="spellStart"/>
      <w:r>
        <w:t>Oghenenioborue</w:t>
      </w:r>
      <w:proofErr w:type="spellEnd"/>
      <w:r>
        <w:t xml:space="preserve">, R., </w:t>
      </w:r>
      <w:proofErr w:type="spellStart"/>
      <w:r>
        <w:t>Odjimogho</w:t>
      </w:r>
      <w:proofErr w:type="spellEnd"/>
      <w:r>
        <w:t xml:space="preserve">, S., &amp; </w:t>
      </w:r>
      <w:proofErr w:type="spellStart"/>
      <w:r>
        <w:t>Efegbere</w:t>
      </w:r>
      <w:proofErr w:type="spellEnd"/>
      <w:r>
        <w:t xml:space="preserve">, H. (2020). Knowledge of diabetes mellitus in the school: A systematic review of African studies. </w:t>
      </w:r>
      <w:r>
        <w:rPr>
          <w:rStyle w:val="Emphasis"/>
          <w:rFonts w:eastAsiaTheme="majorEastAsia"/>
        </w:rPr>
        <w:t>African Journal of Diabetes Medicine, 28</w:t>
      </w:r>
      <w:r>
        <w:t>.</w:t>
      </w:r>
    </w:p>
    <w:p w14:paraId="3D36556E" w14:textId="77777777" w:rsidR="001C575C" w:rsidRDefault="001C575C" w:rsidP="001C575C">
      <w:pPr>
        <w:pStyle w:val="NormalWeb"/>
        <w:ind w:left="810" w:hanging="810"/>
        <w:jc w:val="both"/>
      </w:pPr>
      <w:proofErr w:type="spellStart"/>
      <w:r>
        <w:t>Akinkugbe</w:t>
      </w:r>
      <w:proofErr w:type="spellEnd"/>
      <w:r>
        <w:t xml:space="preserve">, O. O., &amp; </w:t>
      </w:r>
      <w:proofErr w:type="spellStart"/>
      <w:r>
        <w:t>Akinyanju</w:t>
      </w:r>
      <w:proofErr w:type="spellEnd"/>
      <w:r>
        <w:t xml:space="preserve">, O. O. (1997). </w:t>
      </w:r>
      <w:r>
        <w:rPr>
          <w:rStyle w:val="Emphasis"/>
          <w:rFonts w:eastAsiaTheme="majorEastAsia"/>
        </w:rPr>
        <w:t>Non-communicable diseases in Nigeria: Final report of a national survey</w:t>
      </w:r>
      <w:r>
        <w:t xml:space="preserve"> (pp. 64–90). Lagos: Federal Ministry of Health and Social Services.</w:t>
      </w:r>
    </w:p>
    <w:p w14:paraId="6878373F" w14:textId="77777777" w:rsidR="001C575C" w:rsidRDefault="001C575C" w:rsidP="001C575C">
      <w:pPr>
        <w:pStyle w:val="NormalWeb"/>
        <w:ind w:left="810" w:hanging="810"/>
        <w:jc w:val="both"/>
      </w:pPr>
      <w:proofErr w:type="spellStart"/>
      <w:r>
        <w:t>Alaofè</w:t>
      </w:r>
      <w:proofErr w:type="spellEnd"/>
      <w:r>
        <w:t xml:space="preserve">, H., </w:t>
      </w:r>
      <w:proofErr w:type="spellStart"/>
      <w:r>
        <w:t>Hounkpatin</w:t>
      </w:r>
      <w:proofErr w:type="spellEnd"/>
      <w:r>
        <w:t xml:space="preserve">, W. A., </w:t>
      </w:r>
      <w:proofErr w:type="spellStart"/>
      <w:r>
        <w:t>Djrolo</w:t>
      </w:r>
      <w:proofErr w:type="spellEnd"/>
      <w:r>
        <w:t xml:space="preserve">, F., </w:t>
      </w:r>
      <w:proofErr w:type="spellStart"/>
      <w:r>
        <w:t>Ehiri</w:t>
      </w:r>
      <w:proofErr w:type="spellEnd"/>
      <w:r>
        <w:t xml:space="preserve">, J., &amp; Rosales, C. (2021). Knowledge, attitude, practice and associated factors among patients with type 2 diabetes in Cotonou, Southern Benin. </w:t>
      </w:r>
      <w:r>
        <w:rPr>
          <w:rStyle w:val="Emphasis"/>
          <w:rFonts w:eastAsiaTheme="majorEastAsia"/>
        </w:rPr>
        <w:t>BMC Public Health, 21</w:t>
      </w:r>
      <w:r>
        <w:t>(1), 339.</w:t>
      </w:r>
    </w:p>
    <w:p w14:paraId="66EC675E" w14:textId="77777777" w:rsidR="001C575C" w:rsidRDefault="001C575C" w:rsidP="001C575C">
      <w:pPr>
        <w:pStyle w:val="NormalWeb"/>
        <w:ind w:left="810" w:hanging="810"/>
        <w:jc w:val="both"/>
      </w:pPr>
      <w:r>
        <w:t xml:space="preserve">Ali, K., </w:t>
      </w:r>
      <w:proofErr w:type="spellStart"/>
      <w:r>
        <w:t>Azher</w:t>
      </w:r>
      <w:proofErr w:type="spellEnd"/>
      <w:r>
        <w:t xml:space="preserve">, T., </w:t>
      </w:r>
      <w:proofErr w:type="spellStart"/>
      <w:r>
        <w:t>Baqi</w:t>
      </w:r>
      <w:proofErr w:type="spellEnd"/>
      <w:r>
        <w:t xml:space="preserve">, M., Binnie, A., Borgia, S., Carrier, F. M., ... &amp; </w:t>
      </w:r>
      <w:proofErr w:type="spellStart"/>
      <w:r>
        <w:t>Zarychanski</w:t>
      </w:r>
      <w:proofErr w:type="spellEnd"/>
      <w:r>
        <w:t xml:space="preserve">, R. (2022). </w:t>
      </w:r>
      <w:proofErr w:type="spellStart"/>
      <w:r>
        <w:t>Remdesivir</w:t>
      </w:r>
      <w:proofErr w:type="spellEnd"/>
      <w:r>
        <w:t xml:space="preserve"> for the treatment of patients in hospital with COVID-19 in Canada: A randomized controlled trial. </w:t>
      </w:r>
      <w:r>
        <w:rPr>
          <w:rStyle w:val="Emphasis"/>
          <w:rFonts w:eastAsiaTheme="majorEastAsia"/>
        </w:rPr>
        <w:t>CMAJ, 194</w:t>
      </w:r>
      <w:r>
        <w:t>(7), E242–E251.</w:t>
      </w:r>
    </w:p>
    <w:p w14:paraId="1646682D" w14:textId="77777777" w:rsidR="001C575C" w:rsidRDefault="001C575C" w:rsidP="001C575C">
      <w:pPr>
        <w:pStyle w:val="NormalWeb"/>
        <w:ind w:left="810" w:hanging="810"/>
        <w:jc w:val="both"/>
      </w:pPr>
      <w:r>
        <w:t xml:space="preserve">American Diabetes Association. (2023). Glycemic targets: Standards of medical care in diabetes—2018. </w:t>
      </w:r>
      <w:r>
        <w:rPr>
          <w:rStyle w:val="Emphasis"/>
          <w:rFonts w:eastAsiaTheme="majorEastAsia"/>
        </w:rPr>
        <w:t>Diabetes Care, 41</w:t>
      </w:r>
      <w:r>
        <w:t>(Suppl. 1), S55–S64. https://doi.org/10.2337/dc18-S006</w:t>
      </w:r>
    </w:p>
    <w:p w14:paraId="261756D3" w14:textId="77777777" w:rsidR="001C575C" w:rsidRDefault="001C575C" w:rsidP="001C575C">
      <w:pPr>
        <w:pStyle w:val="NormalWeb"/>
        <w:ind w:left="810" w:hanging="810"/>
        <w:jc w:val="both"/>
      </w:pPr>
      <w:r>
        <w:t xml:space="preserve">Brown, J. R., </w:t>
      </w:r>
      <w:proofErr w:type="spellStart"/>
      <w:r>
        <w:t>Eichhorst</w:t>
      </w:r>
      <w:proofErr w:type="spellEnd"/>
      <w:r>
        <w:t xml:space="preserve">, B., Hillmen, P., </w:t>
      </w:r>
      <w:proofErr w:type="spellStart"/>
      <w:r>
        <w:t>Jurczak</w:t>
      </w:r>
      <w:proofErr w:type="spellEnd"/>
      <w:r>
        <w:t xml:space="preserve">, W., </w:t>
      </w:r>
      <w:proofErr w:type="spellStart"/>
      <w:r>
        <w:t>Kaźmierczak</w:t>
      </w:r>
      <w:proofErr w:type="spellEnd"/>
      <w:r>
        <w:t xml:space="preserve">, M., </w:t>
      </w:r>
      <w:proofErr w:type="spellStart"/>
      <w:r>
        <w:t>Lamanna</w:t>
      </w:r>
      <w:proofErr w:type="spellEnd"/>
      <w:r>
        <w:t xml:space="preserve">, N., ... &amp; </w:t>
      </w:r>
      <w:proofErr w:type="spellStart"/>
      <w:r>
        <w:t>Shadman</w:t>
      </w:r>
      <w:proofErr w:type="spellEnd"/>
      <w:r>
        <w:t xml:space="preserve">, M. (2023). </w:t>
      </w:r>
      <w:proofErr w:type="spellStart"/>
      <w:r>
        <w:t>Zanubrutinib</w:t>
      </w:r>
      <w:proofErr w:type="spellEnd"/>
      <w:r>
        <w:t xml:space="preserve"> or ibrutinib in relapsed or refractory chronic lymphocytic leukemia. </w:t>
      </w:r>
      <w:r>
        <w:rPr>
          <w:rStyle w:val="Emphasis"/>
          <w:rFonts w:eastAsiaTheme="majorEastAsia"/>
        </w:rPr>
        <w:t>New England Journal of Medicine, 388</w:t>
      </w:r>
      <w:r>
        <w:t>(4), 319–332.</w:t>
      </w:r>
    </w:p>
    <w:p w14:paraId="686A9346" w14:textId="77777777" w:rsidR="001C575C" w:rsidRDefault="001C575C" w:rsidP="001C575C">
      <w:pPr>
        <w:pStyle w:val="NormalWeb"/>
        <w:ind w:left="810" w:hanging="810"/>
        <w:jc w:val="both"/>
      </w:pPr>
      <w:proofErr w:type="spellStart"/>
      <w:r>
        <w:t>Cookey</w:t>
      </w:r>
      <w:proofErr w:type="spellEnd"/>
      <w:r>
        <w:t xml:space="preserve">, I. T., </w:t>
      </w:r>
      <w:proofErr w:type="spellStart"/>
      <w:r>
        <w:t>Odenigbo</w:t>
      </w:r>
      <w:proofErr w:type="spellEnd"/>
      <w:r>
        <w:t xml:space="preserve">, K. C., </w:t>
      </w:r>
      <w:proofErr w:type="spellStart"/>
      <w:r>
        <w:t>Okonko</w:t>
      </w:r>
      <w:proofErr w:type="spellEnd"/>
      <w:r>
        <w:t xml:space="preserve">, B. J., &amp; </w:t>
      </w:r>
      <w:proofErr w:type="spellStart"/>
      <w:r>
        <w:t>Okonko</w:t>
      </w:r>
      <w:proofErr w:type="spellEnd"/>
      <w:r>
        <w:t xml:space="preserve">, I. O. (2022). Prevalence of HBsAg among patients attending a tertiary hospital in Port Harcourt, Nigeria. </w:t>
      </w:r>
      <w:r>
        <w:rPr>
          <w:rStyle w:val="Emphasis"/>
          <w:rFonts w:eastAsiaTheme="majorEastAsia"/>
        </w:rPr>
        <w:t>International Journal of Life Science Research Archive, 3</w:t>
      </w:r>
      <w:r>
        <w:t>(20), 125–134.</w:t>
      </w:r>
    </w:p>
    <w:p w14:paraId="5BA0CE3A" w14:textId="77777777" w:rsidR="001C575C" w:rsidRDefault="001C575C" w:rsidP="001C575C">
      <w:pPr>
        <w:pStyle w:val="NormalWeb"/>
        <w:ind w:left="810" w:hanging="810"/>
        <w:jc w:val="both"/>
      </w:pPr>
      <w:proofErr w:type="spellStart"/>
      <w:r>
        <w:lastRenderedPageBreak/>
        <w:t>Dahiru</w:t>
      </w:r>
      <w:proofErr w:type="spellEnd"/>
      <w:r>
        <w:t xml:space="preserve">, T., Aliyu, A. A., &amp; Shehu, A. U. (2016). A review of population-based studies on diabetes mellitus in Nigeria. </w:t>
      </w:r>
      <w:r>
        <w:rPr>
          <w:rStyle w:val="Emphasis"/>
          <w:rFonts w:eastAsiaTheme="majorEastAsia"/>
        </w:rPr>
        <w:t>Sub-Saharan African Journal of Medicine, 3</w:t>
      </w:r>
      <w:r>
        <w:t>(2), 59–64.</w:t>
      </w:r>
    </w:p>
    <w:p w14:paraId="43147331" w14:textId="77777777" w:rsidR="001C575C" w:rsidRDefault="001C575C" w:rsidP="001C575C">
      <w:pPr>
        <w:pStyle w:val="NormalWeb"/>
        <w:ind w:left="810" w:hanging="810"/>
        <w:jc w:val="both"/>
      </w:pPr>
      <w:proofErr w:type="spellStart"/>
      <w:r>
        <w:t>Echouffo-Tcheugui</w:t>
      </w:r>
      <w:proofErr w:type="spellEnd"/>
      <w:r>
        <w:t xml:space="preserve">, J. B., &amp; Selvin, E. (2021). Prediabetes and what it </w:t>
      </w:r>
      <w:proofErr w:type="gramStart"/>
      <w:r>
        <w:t>means</w:t>
      </w:r>
      <w:proofErr w:type="gramEnd"/>
      <w:r>
        <w:t xml:space="preserve">: The epidemiological evidence. </w:t>
      </w:r>
      <w:r>
        <w:rPr>
          <w:rStyle w:val="Emphasis"/>
          <w:rFonts w:eastAsiaTheme="majorEastAsia"/>
        </w:rPr>
        <w:t>Annual Review of Public Health, 42</w:t>
      </w:r>
      <w:r>
        <w:t>(1), 59–77.</w:t>
      </w:r>
    </w:p>
    <w:p w14:paraId="0293FCC4" w14:textId="77777777" w:rsidR="001C575C" w:rsidRDefault="001C575C" w:rsidP="001C575C">
      <w:pPr>
        <w:pStyle w:val="NormalWeb"/>
        <w:ind w:left="810" w:hanging="810"/>
        <w:jc w:val="both"/>
      </w:pPr>
      <w:proofErr w:type="spellStart"/>
      <w:r>
        <w:t>Egwim</w:t>
      </w:r>
      <w:proofErr w:type="spellEnd"/>
      <w:r>
        <w:t xml:space="preserve">, J. (2022). </w:t>
      </w:r>
      <w:r>
        <w:rPr>
          <w:rStyle w:val="Emphasis"/>
          <w:rFonts w:eastAsiaTheme="majorEastAsia"/>
        </w:rPr>
        <w:t>Predictors of glycemic control among type 2 diabetes mellitus patients in Owerri, Nigeria</w:t>
      </w:r>
      <w:r>
        <w:t xml:space="preserve"> (Doctoral dissertation, Walden University).</w:t>
      </w:r>
    </w:p>
    <w:p w14:paraId="02549624" w14:textId="77777777" w:rsidR="001C575C" w:rsidRDefault="001C575C" w:rsidP="001C575C">
      <w:pPr>
        <w:pStyle w:val="NormalWeb"/>
        <w:ind w:left="810" w:hanging="810"/>
        <w:jc w:val="both"/>
      </w:pPr>
      <w:proofErr w:type="spellStart"/>
      <w:r w:rsidRPr="00CE2A7D">
        <w:rPr>
          <w:lang w:val="es-US"/>
        </w:rPr>
        <w:t>Enikuomehin</w:t>
      </w:r>
      <w:proofErr w:type="spellEnd"/>
      <w:r w:rsidRPr="00CE2A7D">
        <w:rPr>
          <w:lang w:val="es-US"/>
        </w:rPr>
        <w:t xml:space="preserve">, A. C., </w:t>
      </w:r>
      <w:proofErr w:type="spellStart"/>
      <w:r w:rsidRPr="00CE2A7D">
        <w:rPr>
          <w:lang w:val="es-US"/>
        </w:rPr>
        <w:t>Olamoyegun</w:t>
      </w:r>
      <w:proofErr w:type="spellEnd"/>
      <w:r w:rsidRPr="00CE2A7D">
        <w:rPr>
          <w:lang w:val="es-US"/>
        </w:rPr>
        <w:t xml:space="preserve">, M. A., Ojo, O. A., </w:t>
      </w:r>
      <w:proofErr w:type="spellStart"/>
      <w:r w:rsidRPr="00CE2A7D">
        <w:rPr>
          <w:lang w:val="es-US"/>
        </w:rPr>
        <w:t>Ajani</w:t>
      </w:r>
      <w:proofErr w:type="spellEnd"/>
      <w:r w:rsidRPr="00CE2A7D">
        <w:rPr>
          <w:lang w:val="es-US"/>
        </w:rPr>
        <w:t xml:space="preserve">, G. D., </w:t>
      </w:r>
      <w:proofErr w:type="spellStart"/>
      <w:r w:rsidRPr="00CE2A7D">
        <w:rPr>
          <w:lang w:val="es-US"/>
        </w:rPr>
        <w:t>Akinlade</w:t>
      </w:r>
      <w:proofErr w:type="spellEnd"/>
      <w:r w:rsidRPr="00CE2A7D">
        <w:rPr>
          <w:lang w:val="es-US"/>
        </w:rPr>
        <w:t xml:space="preserve">, T. A., &amp; Ala, O. A. (2021). </w:t>
      </w:r>
      <w:r>
        <w:t xml:space="preserve">Pattern of self-care practices among type 2 diabetes patients in Southwest, Nigeria. </w:t>
      </w:r>
      <w:r>
        <w:rPr>
          <w:rStyle w:val="Emphasis"/>
          <w:rFonts w:eastAsiaTheme="majorEastAsia"/>
        </w:rPr>
        <w:t>Nigerian Journal of Clinical Practice, 24</w:t>
      </w:r>
      <w:r>
        <w:t>(7), 978–985.</w:t>
      </w:r>
    </w:p>
    <w:p w14:paraId="021099A2" w14:textId="77777777" w:rsidR="001C575C" w:rsidRDefault="001C575C" w:rsidP="001C575C">
      <w:pPr>
        <w:pStyle w:val="NormalWeb"/>
        <w:ind w:left="810" w:hanging="810"/>
        <w:jc w:val="both"/>
      </w:pPr>
      <w:proofErr w:type="spellStart"/>
      <w:r>
        <w:t>Ezechukwu</w:t>
      </w:r>
      <w:proofErr w:type="spellEnd"/>
      <w:r>
        <w:t xml:space="preserve">, C. C. (2023). PANCONF 2023 Annual General Conference: 54th Annual General and Scientific Conference of the </w:t>
      </w:r>
      <w:proofErr w:type="spellStart"/>
      <w:r>
        <w:t>Paediatrics</w:t>
      </w:r>
      <w:proofErr w:type="spellEnd"/>
      <w:r>
        <w:t xml:space="preserve"> Association of Nigeria (PANCONF), 17th–21st January, 2023. </w:t>
      </w:r>
      <w:r>
        <w:rPr>
          <w:rStyle w:val="Emphasis"/>
          <w:rFonts w:eastAsiaTheme="majorEastAsia"/>
        </w:rPr>
        <w:t xml:space="preserve">Nigerian Journal of </w:t>
      </w:r>
      <w:proofErr w:type="spellStart"/>
      <w:r>
        <w:rPr>
          <w:rStyle w:val="Emphasis"/>
          <w:rFonts w:eastAsiaTheme="majorEastAsia"/>
        </w:rPr>
        <w:t>Paediatrics</w:t>
      </w:r>
      <w:proofErr w:type="spellEnd"/>
      <w:r>
        <w:rPr>
          <w:rStyle w:val="Emphasis"/>
          <w:rFonts w:eastAsiaTheme="majorEastAsia"/>
        </w:rPr>
        <w:t>, 50</w:t>
      </w:r>
      <w:r>
        <w:t>(1), 13–92.</w:t>
      </w:r>
    </w:p>
    <w:p w14:paraId="51E288F4" w14:textId="77777777" w:rsidR="001C575C" w:rsidRDefault="001C575C" w:rsidP="001C575C">
      <w:pPr>
        <w:pStyle w:val="NormalWeb"/>
        <w:ind w:left="810" w:hanging="810"/>
        <w:jc w:val="both"/>
      </w:pPr>
      <w:proofErr w:type="spellStart"/>
      <w:r>
        <w:t>Fasanmade</w:t>
      </w:r>
      <w:proofErr w:type="spellEnd"/>
      <w:r>
        <w:t xml:space="preserve">, O. A., &amp; </w:t>
      </w:r>
      <w:proofErr w:type="spellStart"/>
      <w:r>
        <w:t>Dagogo</w:t>
      </w:r>
      <w:proofErr w:type="spellEnd"/>
      <w:r>
        <w:t xml:space="preserve">-Jack, S. (2015). Diabetes care in Nigeria. </w:t>
      </w:r>
      <w:r>
        <w:rPr>
          <w:rStyle w:val="Emphasis"/>
          <w:rFonts w:eastAsiaTheme="majorEastAsia"/>
        </w:rPr>
        <w:t>Annals of Global Health, 81</w:t>
      </w:r>
      <w:r>
        <w:t>(6), 821–829.</w:t>
      </w:r>
    </w:p>
    <w:p w14:paraId="7AACD830" w14:textId="77777777" w:rsidR="001C575C" w:rsidRDefault="001C575C" w:rsidP="001C575C">
      <w:pPr>
        <w:pStyle w:val="NormalWeb"/>
        <w:ind w:left="810" w:hanging="810"/>
        <w:jc w:val="both"/>
      </w:pPr>
      <w:r>
        <w:t xml:space="preserve">Johnson, S., Lavergne, V., Skinner, A. M., Gonzales-Luna, A. J., </w:t>
      </w:r>
      <w:proofErr w:type="spellStart"/>
      <w:r>
        <w:t>Garey</w:t>
      </w:r>
      <w:proofErr w:type="spellEnd"/>
      <w:r>
        <w:t xml:space="preserve">, K. W., Kelly, C. P., &amp; Wilcox, M. H. (2021). Clinical practice guideline by the Infectious Diseases Society of America (IDSA) and Society for Healthcare Epidemiology of America (SHEA): 2021 focused update guidelines on management of </w:t>
      </w:r>
      <w:proofErr w:type="spellStart"/>
      <w:r>
        <w:rPr>
          <w:rStyle w:val="Emphasis"/>
          <w:rFonts w:eastAsiaTheme="majorEastAsia"/>
        </w:rPr>
        <w:t>Clostridioides</w:t>
      </w:r>
      <w:proofErr w:type="spellEnd"/>
      <w:r>
        <w:rPr>
          <w:rStyle w:val="Emphasis"/>
          <w:rFonts w:eastAsiaTheme="majorEastAsia"/>
        </w:rPr>
        <w:t xml:space="preserve"> difficile</w:t>
      </w:r>
      <w:r>
        <w:t xml:space="preserve"> infection in adults. </w:t>
      </w:r>
      <w:r>
        <w:rPr>
          <w:rStyle w:val="Emphasis"/>
          <w:rFonts w:eastAsiaTheme="majorEastAsia"/>
        </w:rPr>
        <w:t>Clinical Infectious Diseases, 73</w:t>
      </w:r>
      <w:r>
        <w:t>(5), e1029–e1044.</w:t>
      </w:r>
    </w:p>
    <w:p w14:paraId="53EEA179" w14:textId="77777777" w:rsidR="001C575C" w:rsidRDefault="001C575C" w:rsidP="001C575C">
      <w:pPr>
        <w:pStyle w:val="NormalWeb"/>
        <w:ind w:left="810" w:hanging="810"/>
        <w:jc w:val="both"/>
      </w:pPr>
      <w:proofErr w:type="spellStart"/>
      <w:r>
        <w:t>Luambano</w:t>
      </w:r>
      <w:proofErr w:type="spellEnd"/>
      <w:r>
        <w:t xml:space="preserve">, C., </w:t>
      </w:r>
      <w:proofErr w:type="spellStart"/>
      <w:r>
        <w:t>Mwinuka</w:t>
      </w:r>
      <w:proofErr w:type="spellEnd"/>
      <w:r>
        <w:t xml:space="preserve">, B., Ibrahim, R. P., &amp; </w:t>
      </w:r>
      <w:proofErr w:type="spellStart"/>
      <w:r>
        <w:t>Kacholi</w:t>
      </w:r>
      <w:proofErr w:type="spellEnd"/>
      <w:r>
        <w:t xml:space="preserve">, G. (2023). Knowledge about diabetes mellitus and its associated factors among diabetic outpatients at </w:t>
      </w:r>
      <w:proofErr w:type="spellStart"/>
      <w:r>
        <w:t>Muhimbili</w:t>
      </w:r>
      <w:proofErr w:type="spellEnd"/>
      <w:r>
        <w:t xml:space="preserve"> National Hospital in Tanzania. </w:t>
      </w:r>
      <w:r>
        <w:rPr>
          <w:rStyle w:val="Emphasis"/>
          <w:rFonts w:eastAsiaTheme="majorEastAsia"/>
        </w:rPr>
        <w:t>Pan African Medical Journal, 45</w:t>
      </w:r>
      <w:r>
        <w:t>(1).</w:t>
      </w:r>
    </w:p>
    <w:p w14:paraId="04B57880" w14:textId="77777777" w:rsidR="001C575C" w:rsidRDefault="001C575C" w:rsidP="001C575C">
      <w:pPr>
        <w:pStyle w:val="NormalWeb"/>
        <w:ind w:left="810" w:hanging="810"/>
        <w:jc w:val="both"/>
      </w:pPr>
      <w:proofErr w:type="spellStart"/>
      <w:r>
        <w:t>Maina</w:t>
      </w:r>
      <w:proofErr w:type="spellEnd"/>
      <w:r>
        <w:t xml:space="preserve">, C. M. (2025). </w:t>
      </w:r>
      <w:r>
        <w:rPr>
          <w:rStyle w:val="Emphasis"/>
          <w:rFonts w:eastAsiaTheme="majorEastAsia"/>
        </w:rPr>
        <w:t>Factors associated with long term glycemic control among diabetic patients in a national referral hospital in Kenya</w:t>
      </w:r>
      <w:r>
        <w:t xml:space="preserve"> (Doctoral dissertation, COHES-JKUAT).</w:t>
      </w:r>
    </w:p>
    <w:p w14:paraId="40DC7C4C" w14:textId="77777777" w:rsidR="001C575C" w:rsidRDefault="001C575C" w:rsidP="001C575C">
      <w:pPr>
        <w:pStyle w:val="NormalWeb"/>
        <w:ind w:left="810" w:hanging="810"/>
        <w:jc w:val="both"/>
      </w:pPr>
      <w:r>
        <w:t xml:space="preserve">Marx, N., Husain, M., </w:t>
      </w:r>
      <w:proofErr w:type="spellStart"/>
      <w:r>
        <w:t>Lehrke</w:t>
      </w:r>
      <w:proofErr w:type="spellEnd"/>
      <w:r>
        <w:t xml:space="preserve">, M., Verma, S., &amp; Sattar, N. (2022). GLP-1 receptor agonists for the reduction of atherosclerotic cardiovascular risk in patients with type 2 diabetes. </w:t>
      </w:r>
      <w:r>
        <w:rPr>
          <w:rStyle w:val="Emphasis"/>
          <w:rFonts w:eastAsiaTheme="majorEastAsia"/>
        </w:rPr>
        <w:t>Circulation, 146</w:t>
      </w:r>
      <w:r>
        <w:t>(24), 1882–1894.</w:t>
      </w:r>
    </w:p>
    <w:p w14:paraId="6599597B" w14:textId="77777777" w:rsidR="001C575C" w:rsidRDefault="001C575C" w:rsidP="001C575C">
      <w:pPr>
        <w:pStyle w:val="NormalWeb"/>
        <w:ind w:left="810" w:hanging="810"/>
        <w:jc w:val="both"/>
      </w:pPr>
      <w:proofErr w:type="spellStart"/>
      <w:r>
        <w:t>Oguntibeju</w:t>
      </w:r>
      <w:proofErr w:type="spellEnd"/>
      <w:r>
        <w:t xml:space="preserve">, O. O., </w:t>
      </w:r>
      <w:proofErr w:type="spellStart"/>
      <w:r>
        <w:t>Aboua</w:t>
      </w:r>
      <w:proofErr w:type="spellEnd"/>
      <w:r>
        <w:t xml:space="preserve">, G. Y., &amp; </w:t>
      </w:r>
      <w:proofErr w:type="spellStart"/>
      <w:r>
        <w:t>Omodanisi</w:t>
      </w:r>
      <w:proofErr w:type="spellEnd"/>
      <w:r>
        <w:t xml:space="preserve">, E. I. (2020). Effects of </w:t>
      </w:r>
      <w:r>
        <w:rPr>
          <w:rStyle w:val="Emphasis"/>
          <w:rFonts w:eastAsiaTheme="majorEastAsia"/>
        </w:rPr>
        <w:t>Moringa oleifera</w:t>
      </w:r>
      <w:r>
        <w:t xml:space="preserve"> on oxidative stress, apoptotic and inflammatory biomarkers in streptozotocin-induced diabetic animal model. </w:t>
      </w:r>
      <w:r>
        <w:rPr>
          <w:rStyle w:val="Emphasis"/>
          <w:rFonts w:eastAsiaTheme="majorEastAsia"/>
        </w:rPr>
        <w:t>South African Journal of Botany, 129</w:t>
      </w:r>
      <w:r>
        <w:t>, 354–365.</w:t>
      </w:r>
    </w:p>
    <w:p w14:paraId="470AB6C6" w14:textId="77777777" w:rsidR="001C575C" w:rsidRDefault="001C575C" w:rsidP="001C575C">
      <w:pPr>
        <w:pStyle w:val="NormalWeb"/>
        <w:ind w:left="810" w:hanging="810"/>
        <w:jc w:val="both"/>
      </w:pPr>
      <w:r>
        <w:t xml:space="preserve">Opoku, B. (2021). </w:t>
      </w:r>
      <w:r>
        <w:rPr>
          <w:rStyle w:val="Emphasis"/>
          <w:rFonts w:eastAsiaTheme="majorEastAsia"/>
        </w:rPr>
        <w:t>Effects of aerobic exercises on fasting blood glucose and blood pressure in patients with type 2 diabetes living with hypertension in Ghana</w:t>
      </w:r>
      <w:r>
        <w:t xml:space="preserve"> (Master’s thesis, University of Pretoria, South Africa).</w:t>
      </w:r>
    </w:p>
    <w:p w14:paraId="0112A3C6" w14:textId="77777777" w:rsidR="001C575C" w:rsidRDefault="001C575C" w:rsidP="001C575C">
      <w:pPr>
        <w:pStyle w:val="NormalWeb"/>
        <w:ind w:left="810" w:hanging="810"/>
        <w:jc w:val="both"/>
      </w:pPr>
      <w:r>
        <w:lastRenderedPageBreak/>
        <w:t xml:space="preserve">RSSDI. (2025). RSSDI 2025 nutrition guidelines for individuals with type 2 diabetes (Supported by ICMR – National Institute of Nutrition). </w:t>
      </w:r>
      <w:r>
        <w:rPr>
          <w:rStyle w:val="Emphasis"/>
          <w:rFonts w:eastAsiaTheme="majorEastAsia"/>
        </w:rPr>
        <w:t>International Journal of Diabetes in Developing Countries, 45</w:t>
      </w:r>
      <w:r>
        <w:t>, 1119–1324. https://doi.org/10.1007/s13410-025-01502-0</w:t>
      </w:r>
    </w:p>
    <w:p w14:paraId="43218E3D" w14:textId="77777777" w:rsidR="001C575C" w:rsidRDefault="001C575C" w:rsidP="001C575C">
      <w:pPr>
        <w:pStyle w:val="NormalWeb"/>
        <w:ind w:left="810" w:hanging="810"/>
        <w:jc w:val="both"/>
      </w:pPr>
      <w:r>
        <w:t xml:space="preserve">Sayegh, C., </w:t>
      </w:r>
      <w:proofErr w:type="spellStart"/>
      <w:r>
        <w:t>Im</w:t>
      </w:r>
      <w:proofErr w:type="spellEnd"/>
      <w:r>
        <w:t xml:space="preserve">, D., Moss, I. K., </w:t>
      </w:r>
      <w:proofErr w:type="spellStart"/>
      <w:r>
        <w:t>Urquiza</w:t>
      </w:r>
      <w:proofErr w:type="spellEnd"/>
      <w:r>
        <w:t xml:space="preserve">, R., Patel, S., &amp; Thomas, D. W. (2022). Randomized pilot trial of praise text messages to improve medication adherence among adolescents and young adults with liver transplants. </w:t>
      </w:r>
      <w:r>
        <w:rPr>
          <w:rStyle w:val="Emphasis"/>
          <w:rFonts w:eastAsiaTheme="majorEastAsia"/>
        </w:rPr>
        <w:t>Pediatric Transplantation, 26</w:t>
      </w:r>
      <w:r>
        <w:t>(7), e14361. https://doi.org/10.1111/petr.14361</w:t>
      </w:r>
    </w:p>
    <w:p w14:paraId="795A938C" w14:textId="77777777" w:rsidR="001C575C" w:rsidRPr="00CE2A7D" w:rsidRDefault="001C575C" w:rsidP="001C575C">
      <w:pPr>
        <w:pStyle w:val="NormalWeb"/>
        <w:ind w:left="810" w:hanging="810"/>
        <w:jc w:val="both"/>
        <w:rPr>
          <w:lang w:val="es-US"/>
        </w:rPr>
      </w:pPr>
      <w:r>
        <w:t xml:space="preserve">Smith, H. A., </w:t>
      </w:r>
      <w:proofErr w:type="spellStart"/>
      <w:r>
        <w:t>Besunder</w:t>
      </w:r>
      <w:proofErr w:type="spellEnd"/>
      <w:r>
        <w:t xml:space="preserve">, J. B., Betters, K. A., Johnson, P. N., Srinivasan, V., </w:t>
      </w:r>
      <w:proofErr w:type="spellStart"/>
      <w:r>
        <w:t>Stormorken</w:t>
      </w:r>
      <w:proofErr w:type="spellEnd"/>
      <w:r>
        <w:t xml:space="preserve">, A., ... &amp; </w:t>
      </w:r>
      <w:proofErr w:type="spellStart"/>
      <w:r>
        <w:t>Berkenbosch</w:t>
      </w:r>
      <w:proofErr w:type="spellEnd"/>
      <w:r>
        <w:t xml:space="preserve">, J. W. (2022). 2022 Society of Critical Care Medicine clinical practice guidelines on prevention and management of pain, agitation, neuromuscular blockade, and delirium in critically ill pediatric patients with consideration of the ICU environment and early mobility. </w:t>
      </w:r>
      <w:proofErr w:type="spellStart"/>
      <w:r w:rsidRPr="00CE2A7D">
        <w:rPr>
          <w:rStyle w:val="Emphasis"/>
          <w:rFonts w:eastAsiaTheme="majorEastAsia"/>
          <w:lang w:val="es-US"/>
        </w:rPr>
        <w:t>Pediatric</w:t>
      </w:r>
      <w:proofErr w:type="spellEnd"/>
      <w:r w:rsidRPr="00CE2A7D">
        <w:rPr>
          <w:rStyle w:val="Emphasis"/>
          <w:rFonts w:eastAsiaTheme="majorEastAsia"/>
          <w:lang w:val="es-US"/>
        </w:rPr>
        <w:t xml:space="preserve"> </w:t>
      </w:r>
      <w:proofErr w:type="spellStart"/>
      <w:r w:rsidRPr="00CE2A7D">
        <w:rPr>
          <w:rStyle w:val="Emphasis"/>
          <w:rFonts w:eastAsiaTheme="majorEastAsia"/>
          <w:lang w:val="es-US"/>
        </w:rPr>
        <w:t>Critical</w:t>
      </w:r>
      <w:proofErr w:type="spellEnd"/>
      <w:r w:rsidRPr="00CE2A7D">
        <w:rPr>
          <w:rStyle w:val="Emphasis"/>
          <w:rFonts w:eastAsiaTheme="majorEastAsia"/>
          <w:lang w:val="es-US"/>
        </w:rPr>
        <w:t xml:space="preserve"> </w:t>
      </w:r>
      <w:proofErr w:type="spellStart"/>
      <w:r w:rsidRPr="00CE2A7D">
        <w:rPr>
          <w:rStyle w:val="Emphasis"/>
          <w:rFonts w:eastAsiaTheme="majorEastAsia"/>
          <w:lang w:val="es-US"/>
        </w:rPr>
        <w:t>Care</w:t>
      </w:r>
      <w:proofErr w:type="spellEnd"/>
      <w:r w:rsidRPr="00CE2A7D">
        <w:rPr>
          <w:rStyle w:val="Emphasis"/>
          <w:rFonts w:eastAsiaTheme="majorEastAsia"/>
          <w:lang w:val="es-US"/>
        </w:rPr>
        <w:t xml:space="preserve"> Medicine, 23</w:t>
      </w:r>
      <w:r w:rsidRPr="00CE2A7D">
        <w:rPr>
          <w:lang w:val="es-US"/>
        </w:rPr>
        <w:t>(2), e74–e110.</w:t>
      </w:r>
    </w:p>
    <w:p w14:paraId="22DB61EA" w14:textId="77777777" w:rsidR="001C575C" w:rsidRDefault="001C575C" w:rsidP="001C575C">
      <w:pPr>
        <w:pStyle w:val="NormalWeb"/>
        <w:ind w:left="810" w:hanging="810"/>
        <w:jc w:val="both"/>
      </w:pPr>
      <w:proofErr w:type="spellStart"/>
      <w:r w:rsidRPr="00CE2A7D">
        <w:rPr>
          <w:lang w:val="es-US"/>
        </w:rPr>
        <w:t>Uloko</w:t>
      </w:r>
      <w:proofErr w:type="spellEnd"/>
      <w:r w:rsidRPr="00CE2A7D">
        <w:rPr>
          <w:lang w:val="es-US"/>
        </w:rPr>
        <w:t xml:space="preserve">, A. E., Musa, B. M., </w:t>
      </w:r>
      <w:proofErr w:type="spellStart"/>
      <w:r w:rsidRPr="00CE2A7D">
        <w:rPr>
          <w:lang w:val="es-US"/>
        </w:rPr>
        <w:t>Ramalan</w:t>
      </w:r>
      <w:proofErr w:type="spellEnd"/>
      <w:r w:rsidRPr="00CE2A7D">
        <w:rPr>
          <w:lang w:val="es-US"/>
        </w:rPr>
        <w:t xml:space="preserve">, M. A., </w:t>
      </w:r>
      <w:proofErr w:type="spellStart"/>
      <w:r w:rsidRPr="00CE2A7D">
        <w:rPr>
          <w:lang w:val="es-US"/>
        </w:rPr>
        <w:t>Gezawa</w:t>
      </w:r>
      <w:proofErr w:type="spellEnd"/>
      <w:r w:rsidRPr="00CE2A7D">
        <w:rPr>
          <w:lang w:val="es-US"/>
        </w:rPr>
        <w:t xml:space="preserve">, I. D., </w:t>
      </w:r>
      <w:proofErr w:type="spellStart"/>
      <w:r w:rsidRPr="00CE2A7D">
        <w:rPr>
          <w:lang w:val="es-US"/>
        </w:rPr>
        <w:t>Puepet</w:t>
      </w:r>
      <w:proofErr w:type="spellEnd"/>
      <w:r w:rsidRPr="00CE2A7D">
        <w:rPr>
          <w:lang w:val="es-US"/>
        </w:rPr>
        <w:t xml:space="preserve">, F. H., </w:t>
      </w:r>
      <w:proofErr w:type="spellStart"/>
      <w:r w:rsidRPr="00CE2A7D">
        <w:rPr>
          <w:lang w:val="es-US"/>
        </w:rPr>
        <w:t>Uloko</w:t>
      </w:r>
      <w:proofErr w:type="spellEnd"/>
      <w:r w:rsidRPr="00CE2A7D">
        <w:rPr>
          <w:lang w:val="es-US"/>
        </w:rPr>
        <w:t xml:space="preserve">, A. T., ... </w:t>
      </w:r>
      <w:r>
        <w:t xml:space="preserve">&amp; </w:t>
      </w:r>
      <w:proofErr w:type="spellStart"/>
      <w:r>
        <w:t>Sada</w:t>
      </w:r>
      <w:proofErr w:type="spellEnd"/>
      <w:r>
        <w:t xml:space="preserve">, K. B. (2018). Prevalence and risk factors for diabetes mellitus in Nigeria: A systematic review and meta-analysis. </w:t>
      </w:r>
      <w:r>
        <w:rPr>
          <w:rStyle w:val="Emphasis"/>
          <w:rFonts w:eastAsiaTheme="majorEastAsia"/>
        </w:rPr>
        <w:t>Diabetes Therapy, 9</w:t>
      </w:r>
      <w:r>
        <w:t>(3), 1307–1316.</w:t>
      </w:r>
    </w:p>
    <w:p w14:paraId="554811D1" w14:textId="77777777" w:rsidR="001C575C" w:rsidRDefault="001C575C" w:rsidP="001C575C">
      <w:pPr>
        <w:pStyle w:val="NormalWeb"/>
        <w:ind w:left="810" w:hanging="810"/>
        <w:jc w:val="both"/>
      </w:pPr>
      <w:r>
        <w:t xml:space="preserve">Zheng, B., Zhang, Q., </w:t>
      </w:r>
      <w:proofErr w:type="spellStart"/>
      <w:r>
        <w:t>Geng</w:t>
      </w:r>
      <w:proofErr w:type="spellEnd"/>
      <w:r>
        <w:t xml:space="preserve">, G., Chen, C., Shi, Q., Cui, M., ... &amp; He, K. (2021). Changes in China’s anthropogenic emissions and air quality during the COVID-19 pandemic in 2020. </w:t>
      </w:r>
      <w:r>
        <w:rPr>
          <w:rStyle w:val="Emphasis"/>
          <w:rFonts w:eastAsiaTheme="majorEastAsia"/>
        </w:rPr>
        <w:t>Earth System Science Data, 13</w:t>
      </w:r>
      <w:r>
        <w:t>(6), 2895–2907.</w:t>
      </w:r>
    </w:p>
    <w:p w14:paraId="7B548569" w14:textId="77777777" w:rsidR="00D05B30" w:rsidRDefault="001C575C" w:rsidP="001C575C">
      <w:pPr>
        <w:pStyle w:val="NormalWeb"/>
        <w:ind w:left="810" w:hanging="810"/>
        <w:jc w:val="both"/>
      </w:pPr>
      <w:r>
        <w:t xml:space="preserve">Zheng, C., Shao, W., Chen, X., Zhang, B., Wang, G., &amp; Zhang, W. (2022). Real-world effectiveness of COVID-19 vaccines: A literature review and meta-analysis. </w:t>
      </w:r>
      <w:r>
        <w:rPr>
          <w:rStyle w:val="Emphasis"/>
          <w:rFonts w:eastAsiaTheme="majorEastAsia"/>
        </w:rPr>
        <w:t>International Journal of Infectious Diseases, 114</w:t>
      </w:r>
      <w:r>
        <w:t>, 252–260.</w:t>
      </w:r>
      <w:r w:rsidR="00D05B30">
        <w:t xml:space="preserve"> </w:t>
      </w:r>
    </w:p>
    <w:p w14:paraId="697160C8" w14:textId="77777777" w:rsidR="00746E0A" w:rsidRPr="005A2BDE" w:rsidRDefault="00D05B30" w:rsidP="001C575C">
      <w:pPr>
        <w:pStyle w:val="NormalWeb"/>
        <w:ind w:left="810" w:hanging="810"/>
        <w:jc w:val="both"/>
        <w:rPr>
          <w:highlight w:val="yellow"/>
        </w:rPr>
      </w:pPr>
      <w:r>
        <w:t xml:space="preserve"> </w:t>
      </w:r>
      <w:r w:rsidRPr="005A2BDE">
        <w:rPr>
          <w:highlight w:val="yellow"/>
        </w:rPr>
        <w:t xml:space="preserve">Lu, X., </w:t>
      </w:r>
      <w:proofErr w:type="spellStart"/>
      <w:r w:rsidRPr="005A2BDE">
        <w:rPr>
          <w:highlight w:val="yellow"/>
        </w:rPr>
        <w:t>Xie</w:t>
      </w:r>
      <w:proofErr w:type="spellEnd"/>
      <w:r w:rsidRPr="005A2BDE">
        <w:rPr>
          <w:highlight w:val="yellow"/>
        </w:rPr>
        <w:t>, Q., Pan, X., Zhang, R., Zhang, X., Peng, G., ... &amp; Tong, N. (2024). Type 2 diabetes mellitus in adults: pathogenesis, prevention and therapy. </w:t>
      </w:r>
      <w:r w:rsidRPr="005A2BDE">
        <w:rPr>
          <w:i/>
          <w:iCs/>
          <w:highlight w:val="yellow"/>
        </w:rPr>
        <w:t>Signal transduction and targeted therapy</w:t>
      </w:r>
      <w:r w:rsidRPr="005A2BDE">
        <w:rPr>
          <w:highlight w:val="yellow"/>
        </w:rPr>
        <w:t>, </w:t>
      </w:r>
      <w:r w:rsidRPr="005A2BDE">
        <w:rPr>
          <w:i/>
          <w:iCs/>
          <w:highlight w:val="yellow"/>
        </w:rPr>
        <w:t>9</w:t>
      </w:r>
      <w:r w:rsidRPr="005A2BDE">
        <w:rPr>
          <w:highlight w:val="yellow"/>
        </w:rPr>
        <w:t>(1), 262.</w:t>
      </w:r>
      <w:r w:rsidR="00CF16A3" w:rsidRPr="005A2BDE">
        <w:rPr>
          <w:highlight w:val="yellow"/>
        </w:rPr>
        <w:t xml:space="preserve"> </w:t>
      </w:r>
      <w:hyperlink r:id="rId7" w:history="1">
        <w:r w:rsidR="00CF16A3" w:rsidRPr="005A2BDE">
          <w:rPr>
            <w:rStyle w:val="Hyperlink"/>
            <w:highlight w:val="yellow"/>
          </w:rPr>
          <w:t>https://doi.org/10.1038/s41392-024-01951-9</w:t>
        </w:r>
      </w:hyperlink>
      <w:r w:rsidR="00CF16A3" w:rsidRPr="005A2BDE">
        <w:rPr>
          <w:highlight w:val="yellow"/>
        </w:rPr>
        <w:t xml:space="preserve"> </w:t>
      </w:r>
    </w:p>
    <w:p w14:paraId="249798C8" w14:textId="77777777" w:rsidR="00746E0A" w:rsidRPr="005A2BDE" w:rsidRDefault="00746E0A" w:rsidP="001C575C">
      <w:pPr>
        <w:pStyle w:val="NormalWeb"/>
        <w:ind w:left="810" w:hanging="810"/>
        <w:jc w:val="both"/>
        <w:rPr>
          <w:highlight w:val="yellow"/>
        </w:rPr>
      </w:pPr>
      <w:proofErr w:type="spellStart"/>
      <w:r w:rsidRPr="005A2BDE">
        <w:rPr>
          <w:highlight w:val="yellow"/>
        </w:rPr>
        <w:t>Rakhis</w:t>
      </w:r>
      <w:proofErr w:type="spellEnd"/>
      <w:r w:rsidRPr="005A2BDE">
        <w:rPr>
          <w:highlight w:val="yellow"/>
        </w:rPr>
        <w:t xml:space="preserve"> Sr, S. A. B., </w:t>
      </w:r>
      <w:proofErr w:type="spellStart"/>
      <w:r w:rsidRPr="005A2BDE">
        <w:rPr>
          <w:highlight w:val="yellow"/>
        </w:rPr>
        <w:t>AlDuwayhis</w:t>
      </w:r>
      <w:proofErr w:type="spellEnd"/>
      <w:r w:rsidRPr="005A2BDE">
        <w:rPr>
          <w:highlight w:val="yellow"/>
        </w:rPr>
        <w:t xml:space="preserve">, N. M., </w:t>
      </w:r>
      <w:proofErr w:type="spellStart"/>
      <w:r w:rsidRPr="005A2BDE">
        <w:rPr>
          <w:highlight w:val="yellow"/>
        </w:rPr>
        <w:t>Aleid</w:t>
      </w:r>
      <w:proofErr w:type="spellEnd"/>
      <w:r w:rsidRPr="005A2BDE">
        <w:rPr>
          <w:highlight w:val="yellow"/>
        </w:rPr>
        <w:t xml:space="preserve">, N., </w:t>
      </w:r>
      <w:proofErr w:type="spellStart"/>
      <w:r w:rsidRPr="005A2BDE">
        <w:rPr>
          <w:highlight w:val="yellow"/>
        </w:rPr>
        <w:t>AlBarrak</w:t>
      </w:r>
      <w:proofErr w:type="spellEnd"/>
      <w:r w:rsidRPr="005A2BDE">
        <w:rPr>
          <w:highlight w:val="yellow"/>
        </w:rPr>
        <w:t xml:space="preserve">, A. N., &amp; </w:t>
      </w:r>
      <w:proofErr w:type="spellStart"/>
      <w:r w:rsidRPr="005A2BDE">
        <w:rPr>
          <w:highlight w:val="yellow"/>
        </w:rPr>
        <w:t>Aloraini</w:t>
      </w:r>
      <w:proofErr w:type="spellEnd"/>
      <w:r w:rsidRPr="005A2BDE">
        <w:rPr>
          <w:highlight w:val="yellow"/>
        </w:rPr>
        <w:t>, A. A. (2022). Glycemic control for type 2 diabetes mellitus patients: a systematic review. </w:t>
      </w:r>
      <w:proofErr w:type="spellStart"/>
      <w:r w:rsidRPr="005A2BDE">
        <w:rPr>
          <w:i/>
          <w:iCs/>
          <w:highlight w:val="yellow"/>
        </w:rPr>
        <w:t>Cureus</w:t>
      </w:r>
      <w:proofErr w:type="spellEnd"/>
      <w:r w:rsidRPr="005A2BDE">
        <w:rPr>
          <w:highlight w:val="yellow"/>
        </w:rPr>
        <w:t>, </w:t>
      </w:r>
      <w:r w:rsidRPr="005A2BDE">
        <w:rPr>
          <w:i/>
          <w:iCs/>
          <w:highlight w:val="yellow"/>
        </w:rPr>
        <w:t>14</w:t>
      </w:r>
      <w:r w:rsidRPr="005A2BDE">
        <w:rPr>
          <w:highlight w:val="yellow"/>
        </w:rPr>
        <w:t xml:space="preserve">(6). DOI: 10.7759/cureus.26180  </w:t>
      </w:r>
    </w:p>
    <w:p w14:paraId="48E06787" w14:textId="07A6C9C7" w:rsidR="001C575C" w:rsidRDefault="00746E0A" w:rsidP="001C575C">
      <w:pPr>
        <w:pStyle w:val="NormalWeb"/>
        <w:ind w:left="810" w:hanging="810"/>
        <w:jc w:val="both"/>
      </w:pPr>
      <w:proofErr w:type="spellStart"/>
      <w:r w:rsidRPr="005A2BDE">
        <w:rPr>
          <w:highlight w:val="yellow"/>
        </w:rPr>
        <w:t>Młynarska</w:t>
      </w:r>
      <w:proofErr w:type="spellEnd"/>
      <w:r w:rsidRPr="005A2BDE">
        <w:rPr>
          <w:highlight w:val="yellow"/>
        </w:rPr>
        <w:t xml:space="preserve">, E., </w:t>
      </w:r>
      <w:proofErr w:type="spellStart"/>
      <w:r w:rsidRPr="005A2BDE">
        <w:rPr>
          <w:highlight w:val="yellow"/>
        </w:rPr>
        <w:t>Czarnik</w:t>
      </w:r>
      <w:proofErr w:type="spellEnd"/>
      <w:r w:rsidRPr="005A2BDE">
        <w:rPr>
          <w:highlight w:val="yellow"/>
        </w:rPr>
        <w:t xml:space="preserve">, W., </w:t>
      </w:r>
      <w:proofErr w:type="spellStart"/>
      <w:r w:rsidRPr="005A2BDE">
        <w:rPr>
          <w:highlight w:val="yellow"/>
        </w:rPr>
        <w:t>Dzieża</w:t>
      </w:r>
      <w:proofErr w:type="spellEnd"/>
      <w:r w:rsidRPr="005A2BDE">
        <w:rPr>
          <w:highlight w:val="yellow"/>
        </w:rPr>
        <w:t xml:space="preserve">, N., </w:t>
      </w:r>
      <w:proofErr w:type="spellStart"/>
      <w:r w:rsidRPr="005A2BDE">
        <w:rPr>
          <w:highlight w:val="yellow"/>
        </w:rPr>
        <w:t>Jędraszak</w:t>
      </w:r>
      <w:proofErr w:type="spellEnd"/>
      <w:r w:rsidRPr="005A2BDE">
        <w:rPr>
          <w:highlight w:val="yellow"/>
        </w:rPr>
        <w:t xml:space="preserve">, W., </w:t>
      </w:r>
      <w:proofErr w:type="spellStart"/>
      <w:r w:rsidRPr="005A2BDE">
        <w:rPr>
          <w:highlight w:val="yellow"/>
        </w:rPr>
        <w:t>Majchrowicz</w:t>
      </w:r>
      <w:proofErr w:type="spellEnd"/>
      <w:r w:rsidRPr="005A2BDE">
        <w:rPr>
          <w:highlight w:val="yellow"/>
        </w:rPr>
        <w:t xml:space="preserve">, G., </w:t>
      </w:r>
      <w:proofErr w:type="spellStart"/>
      <w:r w:rsidRPr="005A2BDE">
        <w:rPr>
          <w:highlight w:val="yellow"/>
        </w:rPr>
        <w:t>Prusinowski</w:t>
      </w:r>
      <w:proofErr w:type="spellEnd"/>
      <w:r w:rsidRPr="005A2BDE">
        <w:rPr>
          <w:highlight w:val="yellow"/>
        </w:rPr>
        <w:t xml:space="preserve">, F., ... &amp; </w:t>
      </w:r>
      <w:proofErr w:type="spellStart"/>
      <w:r w:rsidRPr="005A2BDE">
        <w:rPr>
          <w:highlight w:val="yellow"/>
        </w:rPr>
        <w:t>Franczyk</w:t>
      </w:r>
      <w:proofErr w:type="spellEnd"/>
      <w:r w:rsidRPr="005A2BDE">
        <w:rPr>
          <w:highlight w:val="yellow"/>
        </w:rPr>
        <w:t>, B. (2025). Type 2 diabetes mellitus: new pathogenetic mechanisms, treatment and the most important complications. </w:t>
      </w:r>
      <w:r w:rsidRPr="005A2BDE">
        <w:rPr>
          <w:i/>
          <w:iCs/>
          <w:highlight w:val="yellow"/>
        </w:rPr>
        <w:t>International journal of molecular sciences</w:t>
      </w:r>
      <w:r w:rsidRPr="005A2BDE">
        <w:rPr>
          <w:highlight w:val="yellow"/>
        </w:rPr>
        <w:t>, </w:t>
      </w:r>
      <w:r w:rsidRPr="005A2BDE">
        <w:rPr>
          <w:i/>
          <w:iCs/>
          <w:highlight w:val="yellow"/>
        </w:rPr>
        <w:t>26</w:t>
      </w:r>
      <w:r w:rsidRPr="005A2BDE">
        <w:rPr>
          <w:highlight w:val="yellow"/>
        </w:rPr>
        <w:t>(3), 1094.</w:t>
      </w:r>
    </w:p>
    <w:p w14:paraId="17882249" w14:textId="77777777" w:rsidR="001C575C" w:rsidRPr="00740AA7" w:rsidRDefault="001C575C" w:rsidP="00740AA7">
      <w:pPr>
        <w:spacing w:line="480" w:lineRule="auto"/>
        <w:rPr>
          <w:rFonts w:ascii="Times New Roman" w:hAnsi="Times New Roman" w:cs="Times New Roman"/>
        </w:rPr>
      </w:pPr>
    </w:p>
    <w:sectPr w:rsidR="001C575C" w:rsidRPr="00740A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5A16" w14:textId="77777777" w:rsidR="002521F3" w:rsidRDefault="002521F3" w:rsidP="005D0E5E">
      <w:pPr>
        <w:spacing w:line="240" w:lineRule="auto"/>
      </w:pPr>
      <w:r>
        <w:separator/>
      </w:r>
    </w:p>
  </w:endnote>
  <w:endnote w:type="continuationSeparator" w:id="0">
    <w:p w14:paraId="0B2E25E0" w14:textId="77777777" w:rsidR="002521F3" w:rsidRDefault="002521F3" w:rsidP="005D0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7EAB" w14:textId="77777777" w:rsidR="005D0E5E" w:rsidRDefault="005D0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7B47" w14:textId="77777777" w:rsidR="005D0E5E" w:rsidRDefault="005D0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D348" w14:textId="77777777" w:rsidR="005D0E5E" w:rsidRDefault="005D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535A8" w14:textId="77777777" w:rsidR="002521F3" w:rsidRDefault="002521F3" w:rsidP="005D0E5E">
      <w:pPr>
        <w:spacing w:line="240" w:lineRule="auto"/>
      </w:pPr>
      <w:r>
        <w:separator/>
      </w:r>
    </w:p>
  </w:footnote>
  <w:footnote w:type="continuationSeparator" w:id="0">
    <w:p w14:paraId="5A1546DA" w14:textId="77777777" w:rsidR="002521F3" w:rsidRDefault="002521F3" w:rsidP="005D0E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7D37" w14:textId="72524BEB" w:rsidR="005D0E5E" w:rsidRDefault="002521F3">
    <w:pPr>
      <w:pStyle w:val="Header"/>
    </w:pPr>
    <w:r>
      <w:rPr>
        <w:noProof/>
      </w:rPr>
      <w:pict w14:anchorId="6BF35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0626"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54D3" w14:textId="139C99AC" w:rsidR="005D0E5E" w:rsidRDefault="002521F3">
    <w:pPr>
      <w:pStyle w:val="Header"/>
    </w:pPr>
    <w:r>
      <w:rPr>
        <w:noProof/>
      </w:rPr>
      <w:pict w14:anchorId="3D26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062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CF18" w14:textId="56FD9345" w:rsidR="005D0E5E" w:rsidRDefault="002521F3">
    <w:pPr>
      <w:pStyle w:val="Header"/>
    </w:pPr>
    <w:r>
      <w:rPr>
        <w:noProof/>
      </w:rPr>
      <w:pict w14:anchorId="4C6EF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0625"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F4320"/>
    <w:multiLevelType w:val="hybridMultilevel"/>
    <w:tmpl w:val="70980DD2"/>
    <w:lvl w:ilvl="0" w:tplc="0809000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B20B6A"/>
    <w:multiLevelType w:val="hybridMultilevel"/>
    <w:tmpl w:val="70980DD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EYiMTIwsjYxMzQyUdpeDU4uLM/DyQAuNaAPp+d4UsAAAA"/>
  </w:docVars>
  <w:rsids>
    <w:rsidRoot w:val="00746A16"/>
    <w:rsid w:val="00005D0C"/>
    <w:rsid w:val="0002397D"/>
    <w:rsid w:val="00036027"/>
    <w:rsid w:val="00080016"/>
    <w:rsid w:val="000864E7"/>
    <w:rsid w:val="000A54A8"/>
    <w:rsid w:val="000B7CBA"/>
    <w:rsid w:val="00102AEB"/>
    <w:rsid w:val="001035B2"/>
    <w:rsid w:val="00103FB5"/>
    <w:rsid w:val="00115734"/>
    <w:rsid w:val="001C575C"/>
    <w:rsid w:val="001D52BC"/>
    <w:rsid w:val="00220918"/>
    <w:rsid w:val="00247CF9"/>
    <w:rsid w:val="002521F3"/>
    <w:rsid w:val="0026798B"/>
    <w:rsid w:val="002777B9"/>
    <w:rsid w:val="0029109B"/>
    <w:rsid w:val="002A490C"/>
    <w:rsid w:val="002C3DD7"/>
    <w:rsid w:val="00372386"/>
    <w:rsid w:val="003A4127"/>
    <w:rsid w:val="003B5FC9"/>
    <w:rsid w:val="003D5C8E"/>
    <w:rsid w:val="003E0D9F"/>
    <w:rsid w:val="004A3D74"/>
    <w:rsid w:val="00505DA9"/>
    <w:rsid w:val="0058351F"/>
    <w:rsid w:val="0059235A"/>
    <w:rsid w:val="005A2BDE"/>
    <w:rsid w:val="005B5E07"/>
    <w:rsid w:val="005C5F17"/>
    <w:rsid w:val="005D0E5E"/>
    <w:rsid w:val="006103F8"/>
    <w:rsid w:val="00633B80"/>
    <w:rsid w:val="006B7887"/>
    <w:rsid w:val="006C1A66"/>
    <w:rsid w:val="007013F1"/>
    <w:rsid w:val="00740AA7"/>
    <w:rsid w:val="00746A16"/>
    <w:rsid w:val="00746E0A"/>
    <w:rsid w:val="00760769"/>
    <w:rsid w:val="007716E1"/>
    <w:rsid w:val="007A7FBA"/>
    <w:rsid w:val="007C6995"/>
    <w:rsid w:val="007E48EC"/>
    <w:rsid w:val="0080082E"/>
    <w:rsid w:val="00804780"/>
    <w:rsid w:val="008301FA"/>
    <w:rsid w:val="008548CE"/>
    <w:rsid w:val="00861AB5"/>
    <w:rsid w:val="00862128"/>
    <w:rsid w:val="008F32D4"/>
    <w:rsid w:val="0095380C"/>
    <w:rsid w:val="00963B3F"/>
    <w:rsid w:val="009F7E0B"/>
    <w:rsid w:val="00A615FE"/>
    <w:rsid w:val="00A77FEA"/>
    <w:rsid w:val="00A83EB7"/>
    <w:rsid w:val="00A91EA1"/>
    <w:rsid w:val="00AB25AD"/>
    <w:rsid w:val="00AE6785"/>
    <w:rsid w:val="00AF4496"/>
    <w:rsid w:val="00B407F8"/>
    <w:rsid w:val="00B529CC"/>
    <w:rsid w:val="00B645A6"/>
    <w:rsid w:val="00B76E90"/>
    <w:rsid w:val="00B96B77"/>
    <w:rsid w:val="00BE6AE6"/>
    <w:rsid w:val="00C12772"/>
    <w:rsid w:val="00C1795D"/>
    <w:rsid w:val="00C24D1C"/>
    <w:rsid w:val="00C51FB5"/>
    <w:rsid w:val="00CC0815"/>
    <w:rsid w:val="00CC144C"/>
    <w:rsid w:val="00CE2A7D"/>
    <w:rsid w:val="00CE642C"/>
    <w:rsid w:val="00CF16A3"/>
    <w:rsid w:val="00D05B30"/>
    <w:rsid w:val="00D30CBD"/>
    <w:rsid w:val="00D4771D"/>
    <w:rsid w:val="00D72F3D"/>
    <w:rsid w:val="00DB00F8"/>
    <w:rsid w:val="00DD4897"/>
    <w:rsid w:val="00DF3C6A"/>
    <w:rsid w:val="00E0130E"/>
    <w:rsid w:val="00EE325A"/>
    <w:rsid w:val="00F20451"/>
    <w:rsid w:val="00F464F2"/>
    <w:rsid w:val="00F80214"/>
    <w:rsid w:val="00FA5FB0"/>
    <w:rsid w:val="00FD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CB304"/>
  <w15:chartTrackingRefBased/>
  <w15:docId w15:val="{0BE56471-3ED0-483B-8F0A-6BC49428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74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A16"/>
    <w:rPr>
      <w:rFonts w:eastAsiaTheme="majorEastAsia" w:cstheme="majorBidi"/>
      <w:color w:val="272727" w:themeColor="text1" w:themeTint="D8"/>
    </w:rPr>
  </w:style>
  <w:style w:type="paragraph" w:styleId="Title">
    <w:name w:val="Title"/>
    <w:basedOn w:val="Normal"/>
    <w:next w:val="Normal"/>
    <w:link w:val="TitleChar"/>
    <w:uiPriority w:val="10"/>
    <w:qFormat/>
    <w:rsid w:val="0074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A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A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A16"/>
    <w:rPr>
      <w:i/>
      <w:iCs/>
      <w:color w:val="404040" w:themeColor="text1" w:themeTint="BF"/>
    </w:rPr>
  </w:style>
  <w:style w:type="paragraph" w:styleId="ListParagraph">
    <w:name w:val="List Paragraph"/>
    <w:basedOn w:val="Normal"/>
    <w:uiPriority w:val="34"/>
    <w:qFormat/>
    <w:rsid w:val="00746A16"/>
    <w:pPr>
      <w:ind w:left="720"/>
      <w:contextualSpacing/>
    </w:pPr>
  </w:style>
  <w:style w:type="character" w:styleId="IntenseEmphasis">
    <w:name w:val="Intense Emphasis"/>
    <w:basedOn w:val="DefaultParagraphFont"/>
    <w:uiPriority w:val="21"/>
    <w:qFormat/>
    <w:rsid w:val="00746A16"/>
    <w:rPr>
      <w:i/>
      <w:iCs/>
      <w:color w:val="2F5496" w:themeColor="accent1" w:themeShade="BF"/>
    </w:rPr>
  </w:style>
  <w:style w:type="paragraph" w:styleId="IntenseQuote">
    <w:name w:val="Intense Quote"/>
    <w:basedOn w:val="Normal"/>
    <w:next w:val="Normal"/>
    <w:link w:val="IntenseQuoteChar"/>
    <w:uiPriority w:val="30"/>
    <w:qFormat/>
    <w:rsid w:val="0074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A16"/>
    <w:rPr>
      <w:i/>
      <w:iCs/>
      <w:color w:val="2F5496" w:themeColor="accent1" w:themeShade="BF"/>
    </w:rPr>
  </w:style>
  <w:style w:type="character" w:styleId="IntenseReference">
    <w:name w:val="Intense Reference"/>
    <w:basedOn w:val="DefaultParagraphFont"/>
    <w:uiPriority w:val="32"/>
    <w:qFormat/>
    <w:rsid w:val="00746A16"/>
    <w:rPr>
      <w:b/>
      <w:bCs/>
      <w:smallCaps/>
      <w:color w:val="2F5496" w:themeColor="accent1" w:themeShade="BF"/>
      <w:spacing w:val="5"/>
    </w:rPr>
  </w:style>
  <w:style w:type="table" w:styleId="TableGrid">
    <w:name w:val="Table Grid"/>
    <w:basedOn w:val="TableNormal"/>
    <w:uiPriority w:val="59"/>
    <w:qFormat/>
    <w:rsid w:val="0095380C"/>
    <w:pPr>
      <w:spacing w:line="240" w:lineRule="auto"/>
      <w:jc w:val="left"/>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575C"/>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C575C"/>
    <w:rPr>
      <w:i/>
      <w:iCs/>
    </w:rPr>
  </w:style>
  <w:style w:type="character" w:styleId="Hyperlink">
    <w:name w:val="Hyperlink"/>
    <w:basedOn w:val="DefaultParagraphFont"/>
    <w:uiPriority w:val="99"/>
    <w:unhideWhenUsed/>
    <w:rsid w:val="00F464F2"/>
    <w:rPr>
      <w:color w:val="0563C1" w:themeColor="hyperlink"/>
      <w:u w:val="single"/>
    </w:rPr>
  </w:style>
  <w:style w:type="character" w:styleId="UnresolvedMention">
    <w:name w:val="Unresolved Mention"/>
    <w:basedOn w:val="DefaultParagraphFont"/>
    <w:uiPriority w:val="99"/>
    <w:semiHidden/>
    <w:unhideWhenUsed/>
    <w:rsid w:val="00633B80"/>
    <w:rPr>
      <w:color w:val="605E5C"/>
      <w:shd w:val="clear" w:color="auto" w:fill="E1DFDD"/>
    </w:rPr>
  </w:style>
  <w:style w:type="paragraph" w:styleId="Header">
    <w:name w:val="header"/>
    <w:basedOn w:val="Normal"/>
    <w:link w:val="HeaderChar"/>
    <w:uiPriority w:val="99"/>
    <w:unhideWhenUsed/>
    <w:rsid w:val="005D0E5E"/>
    <w:pPr>
      <w:tabs>
        <w:tab w:val="center" w:pos="4680"/>
        <w:tab w:val="right" w:pos="9360"/>
      </w:tabs>
      <w:spacing w:line="240" w:lineRule="auto"/>
    </w:pPr>
  </w:style>
  <w:style w:type="character" w:customStyle="1" w:styleId="HeaderChar">
    <w:name w:val="Header Char"/>
    <w:basedOn w:val="DefaultParagraphFont"/>
    <w:link w:val="Header"/>
    <w:uiPriority w:val="99"/>
    <w:rsid w:val="005D0E5E"/>
  </w:style>
  <w:style w:type="paragraph" w:styleId="Footer">
    <w:name w:val="footer"/>
    <w:basedOn w:val="Normal"/>
    <w:link w:val="FooterChar"/>
    <w:uiPriority w:val="99"/>
    <w:unhideWhenUsed/>
    <w:rsid w:val="005D0E5E"/>
    <w:pPr>
      <w:tabs>
        <w:tab w:val="center" w:pos="4680"/>
        <w:tab w:val="right" w:pos="9360"/>
      </w:tabs>
      <w:spacing w:line="240" w:lineRule="auto"/>
    </w:pPr>
  </w:style>
  <w:style w:type="character" w:customStyle="1" w:styleId="FooterChar">
    <w:name w:val="Footer Char"/>
    <w:basedOn w:val="DefaultParagraphFont"/>
    <w:link w:val="Footer"/>
    <w:uiPriority w:val="99"/>
    <w:rsid w:val="005D0E5E"/>
  </w:style>
  <w:style w:type="paragraph" w:styleId="NoSpacing">
    <w:name w:val="No Spacing"/>
    <w:uiPriority w:val="1"/>
    <w:qFormat/>
    <w:rsid w:val="007E48EC"/>
    <w:pPr>
      <w:spacing w:line="240" w:lineRule="auto"/>
      <w:jc w:val="left"/>
    </w:pPr>
    <w:rPr>
      <w:kern w:val="0"/>
      <w:sz w:val="22"/>
      <w:szCs w:val="22"/>
      <w:lang w:val="en-GB"/>
      <w14:ligatures w14:val="none"/>
    </w:rPr>
  </w:style>
  <w:style w:type="paragraph" w:styleId="Revision">
    <w:name w:val="Revision"/>
    <w:hidden/>
    <w:uiPriority w:val="99"/>
    <w:semiHidden/>
    <w:rsid w:val="00CE2A7D"/>
    <w:pPr>
      <w:spacing w:line="240" w:lineRule="auto"/>
      <w:jc w:val="left"/>
    </w:pPr>
  </w:style>
  <w:style w:type="character" w:styleId="Strong">
    <w:name w:val="Strong"/>
    <w:basedOn w:val="DefaultParagraphFont"/>
    <w:uiPriority w:val="22"/>
    <w:qFormat/>
    <w:rsid w:val="00861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s41392-024-0195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TotalTime>
  <Pages>16</Pages>
  <Words>4840</Words>
  <Characters>27593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1158</cp:lastModifiedBy>
  <cp:revision>72</cp:revision>
  <dcterms:created xsi:type="dcterms:W3CDTF">2025-12-21T21:04:00Z</dcterms:created>
  <dcterms:modified xsi:type="dcterms:W3CDTF">2026-02-24T08:32:00Z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679d8998-f131-4efd-831d-b47c35a71cf8</vt:lpwstr>
  </property>
</Properties>
</file>