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BA1C" w14:textId="7EC038B3" w:rsidR="00AF4A2A" w:rsidRPr="002E4226" w:rsidRDefault="00AF4A2A" w:rsidP="00AF4A2A">
      <w:pPr>
        <w:tabs>
          <w:tab w:val="left" w:pos="90"/>
        </w:tabs>
        <w:spacing w:after="240"/>
        <w:jc w:val="right"/>
        <w:rPr>
          <w:rFonts w:ascii="Times New Roman" w:hAnsi="Times New Roman"/>
          <w:b/>
          <w:bCs/>
          <w:color w:val="000000"/>
          <w:szCs w:val="36"/>
        </w:rPr>
      </w:pPr>
      <w:bookmarkStart w:id="0" w:name="_Hlk224925189"/>
      <w:bookmarkStart w:id="1" w:name="_Hlk224925295"/>
    </w:p>
    <w:p w14:paraId="6821A5BA" w14:textId="77777777" w:rsidR="00AF4A2A" w:rsidRPr="002E4226" w:rsidRDefault="00AF4A2A" w:rsidP="00AF4A2A">
      <w:pPr>
        <w:tabs>
          <w:tab w:val="left" w:pos="90"/>
        </w:tabs>
        <w:spacing w:after="240"/>
        <w:jc w:val="right"/>
        <w:rPr>
          <w:rFonts w:ascii="Times New Roman" w:hAnsi="Times New Roman"/>
          <w:b/>
          <w:bCs/>
          <w:color w:val="000000"/>
          <w:szCs w:val="36"/>
        </w:rPr>
      </w:pPr>
    </w:p>
    <w:p w14:paraId="6DDFBD70" w14:textId="77777777" w:rsidR="00AF4A2A" w:rsidRPr="002E4226" w:rsidRDefault="00AF4A2A" w:rsidP="00AF4A2A">
      <w:pPr>
        <w:tabs>
          <w:tab w:val="left" w:pos="90"/>
        </w:tabs>
        <w:spacing w:after="240"/>
        <w:jc w:val="right"/>
        <w:rPr>
          <w:rFonts w:ascii="Times New Roman" w:hAnsi="Times New Roman"/>
          <w:b/>
          <w:bCs/>
          <w:color w:val="000000"/>
          <w:szCs w:val="36"/>
        </w:rPr>
      </w:pPr>
    </w:p>
    <w:p w14:paraId="3B736EF8" w14:textId="77777777" w:rsidR="00AF4A2A" w:rsidRPr="002E4226" w:rsidRDefault="00AF4A2A" w:rsidP="00AF4A2A">
      <w:pPr>
        <w:tabs>
          <w:tab w:val="left" w:pos="90"/>
        </w:tabs>
        <w:spacing w:after="240"/>
        <w:rPr>
          <w:rFonts w:ascii="Times New Roman" w:hAnsi="Times New Roman"/>
          <w:b/>
          <w:bCs/>
          <w:color w:val="000000"/>
          <w:szCs w:val="36"/>
        </w:rPr>
      </w:pPr>
    </w:p>
    <w:p w14:paraId="0E267A20" w14:textId="77777777" w:rsidR="007255A0" w:rsidRPr="007255A0" w:rsidRDefault="007255A0" w:rsidP="007255A0">
      <w:pPr>
        <w:keepNext/>
        <w:keepLines/>
        <w:spacing w:after="240"/>
        <w:jc w:val="right"/>
        <w:outlineLvl w:val="0"/>
        <w:rPr>
          <w:rFonts w:ascii="Times New Roman" w:hAnsi="Times New Roman"/>
          <w:b/>
          <w:bCs/>
          <w:kern w:val="28"/>
          <w:sz w:val="48"/>
          <w:szCs w:val="48"/>
        </w:rPr>
      </w:pPr>
      <w:r w:rsidRPr="007255A0">
        <w:rPr>
          <w:rFonts w:ascii="Times New Roman" w:hAnsi="Times New Roman"/>
          <w:b/>
          <w:bCs/>
          <w:kern w:val="28"/>
          <w:sz w:val="48"/>
          <w:szCs w:val="48"/>
        </w:rPr>
        <w:t>Healthcare Waste Management Practices and Perceived Environmental and Health Risks among Healthcare Workers in Jalingo, Nigeria</w:t>
      </w:r>
    </w:p>
    <w:p w14:paraId="61ED217C" w14:textId="77777777" w:rsidR="00AF4A2A" w:rsidRPr="002E4226" w:rsidRDefault="00AF4A2A" w:rsidP="00AF4A2A">
      <w:pPr>
        <w:spacing w:after="240"/>
        <w:jc w:val="right"/>
        <w:rPr>
          <w:rFonts w:ascii="Times New Roman" w:eastAsiaTheme="minorEastAsia" w:hAnsi="Times New Roman"/>
          <w:i/>
          <w:iCs/>
        </w:rPr>
      </w:pPr>
    </w:p>
    <w:p w14:paraId="7D3E7E84" w14:textId="77777777" w:rsidR="00AF4A2A" w:rsidRPr="002E4226" w:rsidRDefault="00AF4A2A" w:rsidP="00AF4A2A">
      <w:pPr>
        <w:spacing w:after="240"/>
        <w:jc w:val="right"/>
        <w:rPr>
          <w:rFonts w:ascii="Times New Roman" w:eastAsiaTheme="minorEastAsia" w:hAnsi="Times New Roman"/>
          <w:i/>
          <w:iCs/>
        </w:rPr>
      </w:pPr>
    </w:p>
    <w:p w14:paraId="618880AB" w14:textId="5B48BB78" w:rsidR="00AF4A2A" w:rsidRPr="002E4226" w:rsidRDefault="00AF4A2A" w:rsidP="00AF4A2A">
      <w:pPr>
        <w:spacing w:after="240"/>
        <w:jc w:val="right"/>
        <w:rPr>
          <w:rFonts w:ascii="Times New Roman" w:hAnsi="Times New Roman"/>
          <w:b/>
          <w:sz w:val="24"/>
        </w:rPr>
      </w:pPr>
      <w:r w:rsidRPr="002E4226">
        <w:rPr>
          <w:rFonts w:ascii="Times New Roman" w:hAnsi="Times New Roman"/>
          <w:b/>
          <w:noProof/>
          <w:sz w:val="24"/>
        </w:rPr>
        <mc:AlternateContent>
          <mc:Choice Requires="wps">
            <w:drawing>
              <wp:inline distT="0" distB="0" distL="0" distR="0" wp14:anchorId="613E4284" wp14:editId="255C26C9">
                <wp:extent cx="5723890" cy="635"/>
                <wp:effectExtent l="17145" t="12700" r="12065" b="15875"/>
                <wp:docPr id="14215862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6B1729" id="_x0000_t32" coordsize="21600,21600" o:spt="32" o:oned="t" path="m,l21600,21600e" filled="f">
                <v:path arrowok="t" fillok="f" o:connecttype="none"/>
                <o:lock v:ext="edit" shapetype="t"/>
              </v:shapetype>
              <v:shape id="Straight Arrow Connector 1"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" strokeweight="1.5pt">
                <w10:anchorlock/>
              </v:shape>
            </w:pict>
          </mc:Fallback>
        </mc:AlternateContent>
      </w:r>
    </w:p>
    <w:p w14:paraId="4CBCFD8E" w14:textId="77777777" w:rsidR="00AF4A2A" w:rsidRPr="002E4226" w:rsidRDefault="00AF4A2A" w:rsidP="00AF4A2A">
      <w:pPr>
        <w:keepNext/>
        <w:spacing w:after="240"/>
        <w:rPr>
          <w:rFonts w:ascii="Times New Roman" w:hAnsi="Times New Roman"/>
          <w:b/>
          <w:caps/>
        </w:rPr>
      </w:pPr>
    </w:p>
    <w:p w14:paraId="09581DD6" w14:textId="77777777" w:rsidR="00AF4A2A" w:rsidRPr="002E4226" w:rsidRDefault="00AF4A2A" w:rsidP="00AF4A2A">
      <w:pPr>
        <w:keepNext/>
        <w:keepLines/>
        <w:spacing w:after="240"/>
        <w:jc w:val="both"/>
        <w:outlineLvl w:val="1"/>
        <w:rPr>
          <w:rFonts w:ascii="Times New Roman" w:hAnsi="Times New Roman"/>
          <w:b/>
          <w:bCs/>
          <w:sz w:val="22"/>
          <w:szCs w:val="26"/>
        </w:rPr>
      </w:pPr>
      <w:r w:rsidRPr="002E4226">
        <w:rPr>
          <w:rFonts w:ascii="Times New Roman" w:hAnsi="Times New Roman"/>
          <w:b/>
          <w:bCs/>
          <w:sz w:val="22"/>
          <w:szCs w:val="26"/>
        </w:rPr>
        <w:t>Abstract</w:t>
      </w:r>
    </w:p>
    <w:tbl>
      <w:tblPr>
        <w:tblStyle w:val="TableGrid1"/>
        <w:tblW w:w="4900" w:type="pct"/>
        <w:jc w:val="center"/>
        <w:tblLayout w:type="fixed"/>
        <w:tblLook w:val="04A0" w:firstRow="1" w:lastRow="0" w:firstColumn="1" w:lastColumn="0" w:noHBand="0" w:noVBand="1"/>
      </w:tblPr>
      <w:tblGrid>
        <w:gridCol w:w="8034"/>
      </w:tblGrid>
      <w:tr w:rsidR="00AF4A2A" w:rsidRPr="002E4226" w14:paraId="5716BC3F" w14:textId="77777777" w:rsidTr="00207648">
        <w:trPr>
          <w:trHeight w:val="20"/>
          <w:jc w:val="center"/>
        </w:trPr>
        <w:tc>
          <w:tcPr>
            <w:tcW w:w="9108" w:type="dxa"/>
          </w:tcPr>
          <w:p w14:paraId="147D47C7" w14:textId="22EDD39F" w:rsidR="00AF4A2A" w:rsidRPr="002E4226" w:rsidRDefault="00AF4A2A" w:rsidP="00207648">
            <w:pPr>
              <w:spacing w:after="240"/>
              <w:jc w:val="both"/>
              <w:rPr>
                <w:rFonts w:ascii="Times New Roman" w:eastAsia="Calibri" w:hAnsi="Times New Roman"/>
              </w:rPr>
            </w:pPr>
            <w:r w:rsidRPr="002E4226">
              <w:rPr>
                <w:rFonts w:ascii="Times New Roman" w:eastAsia="Calibri" w:hAnsi="Times New Roman"/>
              </w:rPr>
              <w:t xml:space="preserve">Medical waste mismanagement remains a significant global public health concern, particularly within resource-limited healthcare systems where inadequate infrastructure and weak policy enforcement persist. This study examined healthcare workers’ demographic characteristics, familiarity with medical waste, types of waste generated, and perceptions of training adequacy, policy effectiveness, environmental initiatives, and associated health risks. A total of 251 healthcare workers participated in a cross-sectional survey. Results indicated that the largest age cohort was 36–40 years (26.3%), the majority were female (57.8%), and most had a tertiary education (62.1%). Nearly half of the respondents reported being familiar with medical waste, and all facilities surveyed generated infectious waste, sharps, and general waste. Although 53.8% perceived staff training as adequate, a considerable proportion expressed concerns about the effectiveness of existing policies and current waste management practices. Notably, 57.1% perceived the health risks linked to medical waste as high or very high. Overall, the findings </w:t>
            </w:r>
            <w:proofErr w:type="gramStart"/>
            <w:r w:rsidR="007255A0">
              <w:rPr>
                <w:rFonts w:ascii="Times New Roman" w:eastAsia="Calibri" w:hAnsi="Times New Roman"/>
              </w:rPr>
              <w:t>emphasizes</w:t>
            </w:r>
            <w:proofErr w:type="gramEnd"/>
            <w:r w:rsidRPr="002E4226">
              <w:rPr>
                <w:rFonts w:ascii="Times New Roman" w:eastAsia="Calibri" w:hAnsi="Times New Roman"/>
              </w:rPr>
              <w:t xml:space="preserve"> persistent gaps in training, policy implementation, and environmental oversight, emphasizing the need for strengthened capacity-building programs, enhanced regulatory compliance, and the integration of sustainable, facility-level waste management initiatives to reduce adverse health and environmental outcomes.</w:t>
            </w:r>
          </w:p>
          <w:p w14:paraId="25375724" w14:textId="77777777" w:rsidR="00AF4A2A" w:rsidRPr="002E4226" w:rsidRDefault="00AF4A2A" w:rsidP="00207648">
            <w:pPr>
              <w:spacing w:after="240"/>
              <w:rPr>
                <w:rFonts w:ascii="Times New Roman" w:hAnsi="Times New Roman"/>
                <w:bCs/>
              </w:rPr>
            </w:pPr>
          </w:p>
        </w:tc>
      </w:tr>
    </w:tbl>
    <w:p w14:paraId="1E409142" w14:textId="77777777" w:rsidR="00AF4A2A" w:rsidRPr="002E4226" w:rsidRDefault="00AF4A2A" w:rsidP="00AF4A2A">
      <w:pPr>
        <w:spacing w:after="240"/>
        <w:ind w:left="990" w:hanging="990"/>
        <w:jc w:val="both"/>
        <w:textAlignment w:val="top"/>
        <w:rPr>
          <w:rFonts w:ascii="Times New Roman" w:hAnsi="Times New Roman"/>
          <w:i/>
          <w:sz w:val="22"/>
        </w:rPr>
      </w:pPr>
    </w:p>
    <w:p w14:paraId="2E1158AF" w14:textId="77777777" w:rsidR="00AF4A2A" w:rsidRPr="002E4226" w:rsidRDefault="00AF4A2A" w:rsidP="00AF4A2A">
      <w:pPr>
        <w:spacing w:before="100" w:beforeAutospacing="1" w:after="240"/>
        <w:jc w:val="both"/>
        <w:rPr>
          <w:rFonts w:ascii="Times New Roman" w:hAnsi="Times New Roman"/>
          <w:sz w:val="24"/>
          <w:szCs w:val="24"/>
        </w:rPr>
      </w:pPr>
      <w:r w:rsidRPr="002E4226">
        <w:rPr>
          <w:rFonts w:ascii="Times New Roman" w:hAnsi="Times New Roman"/>
          <w:i/>
        </w:rPr>
        <w:t xml:space="preserve">Keywords: </w:t>
      </w:r>
      <w:r w:rsidRPr="002E4226">
        <w:rPr>
          <w:rFonts w:ascii="Times New Roman" w:hAnsi="Times New Roman"/>
          <w:i/>
          <w:iCs/>
        </w:rPr>
        <w:t>medical waste, healthcare workers, environmental health, waste management systems, policy implementation, training adequacy</w:t>
      </w:r>
      <w:r w:rsidRPr="002E4226">
        <w:rPr>
          <w:rFonts w:ascii="Times New Roman" w:hAnsi="Times New Roman"/>
          <w:sz w:val="24"/>
          <w:szCs w:val="24"/>
        </w:rPr>
        <w:t>.</w:t>
      </w:r>
    </w:p>
    <w:p w14:paraId="6A8404E4" w14:textId="77777777" w:rsidR="00AF4A2A" w:rsidRPr="002E4226" w:rsidRDefault="00AF4A2A" w:rsidP="00AF4A2A">
      <w:pPr>
        <w:keepNext/>
        <w:spacing w:after="240"/>
        <w:jc w:val="both"/>
        <w:rPr>
          <w:rFonts w:ascii="Times New Roman" w:hAnsi="Times New Roman"/>
          <w:b/>
          <w:caps/>
          <w:color w:val="0D0D0D" w:themeColor="text1" w:themeTint="F2"/>
          <w:sz w:val="22"/>
        </w:rPr>
      </w:pPr>
      <w:r w:rsidRPr="002E4226">
        <w:rPr>
          <w:rFonts w:ascii="Times New Roman" w:hAnsi="Times New Roman"/>
          <w:b/>
          <w:caps/>
          <w:color w:val="0D0D0D" w:themeColor="text1" w:themeTint="F2"/>
          <w:sz w:val="22"/>
        </w:rPr>
        <w:lastRenderedPageBreak/>
        <w:t xml:space="preserve">1. </w:t>
      </w:r>
      <w:r w:rsidRPr="002E4226">
        <w:rPr>
          <w:rFonts w:ascii="Times New Roman" w:hAnsi="Times New Roman"/>
          <w:b/>
          <w:color w:val="0D0D0D" w:themeColor="text1" w:themeTint="F2"/>
          <w:sz w:val="22"/>
        </w:rPr>
        <w:t xml:space="preserve">Introduction </w:t>
      </w:r>
    </w:p>
    <w:p w14:paraId="1016C89E" w14:textId="00EE1B7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Medical waste encompasses all materials discarded during the diagnosis, treatment, or immunization of human beings or animals and includes a wide spectrum of potentially hazardous substances such as infectious materials, sharps, chemicals, and pathological waste (World Health Organization, 2018). When improperly handled, these wastes represent a major source of environmental and public health threats. Numerous studies have linked inadequate medical waste management to increased risks of hospital-acquired infections, occupational injuries, community-level disease transmission, groundwater contamination, and long-term ecological degradation (Harhay et al., 2009). These risks are exacerbated in healthcare systems that are rapidly expanding but lack the corresponding infrastructure, technology, and human resources required to manage the escalating waste burden safely.</w:t>
      </w:r>
      <w:r w:rsidR="00951BB9">
        <w:rPr>
          <w:rFonts w:ascii="Times New Roman" w:hAnsi="Times New Roman"/>
          <w:color w:val="0D0D0D" w:themeColor="text1" w:themeTint="F2"/>
        </w:rPr>
        <w:t xml:space="preserve"> </w:t>
      </w:r>
      <w:r w:rsidRPr="002E4226">
        <w:rPr>
          <w:rFonts w:ascii="Times New Roman" w:hAnsi="Times New Roman"/>
          <w:color w:val="0D0D0D" w:themeColor="text1" w:themeTint="F2"/>
        </w:rPr>
        <w:t>In many low- and middle-income regions, the rapid growth of healthcare facilities, changing disease epidemiology, and increased use of disposable medical products have contributed to unprecedented increases in both the volume and complexity of medical waste. However, improvements in waste segregation, storage, transportation, treatment, and disposal have not kept pace with these demands. This mismatch has resulted in significant operational and environmental vulnerabilities, placing both healthcare workers and surrounding communities at heightened risk</w:t>
      </w:r>
      <w:r w:rsidR="00951BB9">
        <w:rPr>
          <w:rFonts w:ascii="Times New Roman" w:hAnsi="Times New Roman"/>
          <w:color w:val="0D0D0D" w:themeColor="text1" w:themeTint="F2"/>
        </w:rPr>
        <w:t xml:space="preserve"> (WHO, 2018)</w:t>
      </w:r>
      <w:r w:rsidRPr="002E4226">
        <w:rPr>
          <w:rFonts w:ascii="Times New Roman" w:hAnsi="Times New Roman"/>
          <w:color w:val="0D0D0D" w:themeColor="text1" w:themeTint="F2"/>
        </w:rPr>
        <w:t>.</w:t>
      </w:r>
    </w:p>
    <w:p w14:paraId="08501523" w14:textId="08CC53E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Healthcare workers occupy a central position in the medical waste management chain. Their level of knowledge, perceptions, attitudes, and adherence to standard operating procedures critically determine the efficiency and safety of waste handling practices. Research has demonstrated that consistent training, awareness of health risks, and positive safety culture significantly enhance compliance with institutional policies and global best practices (</w:t>
      </w:r>
      <w:proofErr w:type="spellStart"/>
      <w:r w:rsidR="00951BB9" w:rsidRPr="00AF2457">
        <w:rPr>
          <w:rFonts w:ascii="Times New Roman" w:hAnsi="Times New Roman"/>
          <w:color w:val="0D0D0D" w:themeColor="text1" w:themeTint="F2"/>
        </w:rPr>
        <w:t>Awodele</w:t>
      </w:r>
      <w:proofErr w:type="spellEnd"/>
      <w:r w:rsidRPr="002E4226">
        <w:rPr>
          <w:rFonts w:ascii="Times New Roman" w:hAnsi="Times New Roman"/>
          <w:color w:val="0D0D0D" w:themeColor="text1" w:themeTint="F2"/>
        </w:rPr>
        <w:t xml:space="preserve"> et al., 201</w:t>
      </w:r>
      <w:r w:rsidR="00951BB9">
        <w:rPr>
          <w:rFonts w:ascii="Times New Roman" w:hAnsi="Times New Roman"/>
          <w:color w:val="0D0D0D" w:themeColor="text1" w:themeTint="F2"/>
        </w:rPr>
        <w:t>6</w:t>
      </w:r>
      <w:r w:rsidRPr="002E4226">
        <w:rPr>
          <w:rFonts w:ascii="Times New Roman" w:hAnsi="Times New Roman"/>
          <w:color w:val="0D0D0D" w:themeColor="text1" w:themeTint="F2"/>
        </w:rPr>
        <w:t>). Conversely, deficiencies in knowledge and training, coupled with inadequate supply of protective equipment and weak institutional support, often translate into unsafe practices such as poor segregation, improper disposal, and inconsistent use of protective gear.</w:t>
      </w:r>
      <w:r w:rsidR="00951BB9">
        <w:rPr>
          <w:rFonts w:ascii="Times New Roman" w:hAnsi="Times New Roman"/>
          <w:color w:val="0D0D0D" w:themeColor="text1" w:themeTint="F2"/>
        </w:rPr>
        <w:t xml:space="preserve"> </w:t>
      </w:r>
      <w:r w:rsidRPr="002E4226">
        <w:rPr>
          <w:rFonts w:ascii="Times New Roman" w:hAnsi="Times New Roman"/>
          <w:color w:val="0D0D0D" w:themeColor="text1" w:themeTint="F2"/>
        </w:rPr>
        <w:t>Although numerous policies and regulatory frameworks have been developed to guide safe medical waste handling, persistent gaps remain in their implementation and monitoring. Weak enforcement mechanisms, inadequate funding, fragmented oversight, and limited environmental initiatives have been reported widely across healthcare systems, especially in resource-constrained settings. As a result, the presence of policies does not always equate to effective practice on the ground</w:t>
      </w:r>
      <w:r w:rsidR="00951BB9">
        <w:rPr>
          <w:rFonts w:ascii="Times New Roman" w:hAnsi="Times New Roman"/>
          <w:color w:val="0D0D0D" w:themeColor="text1" w:themeTint="F2"/>
        </w:rPr>
        <w:t xml:space="preserve"> (</w:t>
      </w:r>
      <w:proofErr w:type="spellStart"/>
      <w:r w:rsidR="00951BB9" w:rsidRPr="00AF2457">
        <w:rPr>
          <w:rFonts w:ascii="Times New Roman" w:hAnsi="Times New Roman"/>
          <w:color w:val="0D0D0D" w:themeColor="text1" w:themeTint="F2"/>
        </w:rPr>
        <w:t>Minoglou</w:t>
      </w:r>
      <w:proofErr w:type="spellEnd"/>
      <w:r w:rsidR="00951BB9">
        <w:rPr>
          <w:rFonts w:ascii="Times New Roman" w:hAnsi="Times New Roman"/>
          <w:color w:val="0D0D0D" w:themeColor="text1" w:themeTint="F2"/>
        </w:rPr>
        <w:t xml:space="preserve"> et al., 2017)</w:t>
      </w:r>
      <w:r w:rsidRPr="002E4226">
        <w:rPr>
          <w:rFonts w:ascii="Times New Roman" w:hAnsi="Times New Roman"/>
          <w:color w:val="0D0D0D" w:themeColor="text1" w:themeTint="F2"/>
        </w:rPr>
        <w:t>.</w:t>
      </w:r>
    </w:p>
    <w:p w14:paraId="0347A148"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Against this backdrop, understanding healthcare workers’ familiarity with medical waste, the types of waste generated, and their perceptions regarding training adequacy, policy effectiveness, environmental initiatives, and health risks becomes crucial for identifying systemic weaknesses. This study provides timely and contextually relevant evidence that can inform policy adjustments, strengthen capacity-building programs, and support the design of sustainable institutional practices. By assessing both awareness and perceptions, the study aims to bridge the gap between existing guidelines and real-world practices, contributing to improved public health protection and enhanced environmental stewardship.</w:t>
      </w:r>
    </w:p>
    <w:p w14:paraId="6E02F828" w14:textId="77777777" w:rsidR="00AF4A2A" w:rsidRPr="002E4226" w:rsidRDefault="00AF4A2A" w:rsidP="00AF4A2A">
      <w:pPr>
        <w:spacing w:after="240"/>
        <w:jc w:val="both"/>
        <w:rPr>
          <w:rFonts w:ascii="Times New Roman" w:hAnsi="Times New Roman"/>
          <w:color w:val="0D0D0D" w:themeColor="text1" w:themeTint="F2"/>
        </w:rPr>
      </w:pPr>
    </w:p>
    <w:p w14:paraId="02F70ECC" w14:textId="77777777" w:rsidR="00AF4A2A" w:rsidRPr="002E4226" w:rsidRDefault="00AF4A2A" w:rsidP="00AF4A2A">
      <w:pPr>
        <w:keepNext/>
        <w:spacing w:after="240"/>
        <w:jc w:val="both"/>
        <w:rPr>
          <w:rFonts w:ascii="Times New Roman" w:hAnsi="Times New Roman"/>
          <w:b/>
          <w:caps/>
          <w:color w:val="0D0D0D" w:themeColor="text1" w:themeTint="F2"/>
          <w:sz w:val="22"/>
        </w:rPr>
      </w:pPr>
      <w:r w:rsidRPr="002E4226">
        <w:rPr>
          <w:rFonts w:ascii="Times New Roman" w:hAnsi="Times New Roman"/>
          <w:b/>
          <w:caps/>
          <w:color w:val="0D0D0D" w:themeColor="text1" w:themeTint="F2"/>
          <w:sz w:val="22"/>
        </w:rPr>
        <w:t xml:space="preserve">2. </w:t>
      </w:r>
      <w:r w:rsidRPr="002E4226">
        <w:rPr>
          <w:rFonts w:ascii="Times New Roman" w:hAnsi="Times New Roman"/>
          <w:b/>
          <w:color w:val="0D0D0D" w:themeColor="text1" w:themeTint="F2"/>
          <w:sz w:val="22"/>
        </w:rPr>
        <w:t xml:space="preserve">Material and Methods </w:t>
      </w:r>
    </w:p>
    <w:p w14:paraId="5AFF60AE" w14:textId="77777777" w:rsidR="00AF4A2A" w:rsidRPr="002E4226" w:rsidRDefault="00AF4A2A" w:rsidP="00AF4A2A">
      <w:pPr>
        <w:spacing w:after="240"/>
        <w:jc w:val="both"/>
        <w:rPr>
          <w:rFonts w:ascii="Times New Roman" w:hAnsi="Times New Roman"/>
          <w:b/>
          <w:bCs/>
          <w:color w:val="0D0D0D" w:themeColor="text1" w:themeTint="F2"/>
          <w:sz w:val="22"/>
        </w:rPr>
      </w:pPr>
      <w:r w:rsidRPr="002E4226">
        <w:rPr>
          <w:rFonts w:ascii="Times New Roman" w:hAnsi="Times New Roman"/>
          <w:b/>
          <w:bCs/>
          <w:color w:val="0D0D0D" w:themeColor="text1" w:themeTint="F2"/>
          <w:sz w:val="22"/>
        </w:rPr>
        <w:t>2.1 Study Area</w:t>
      </w:r>
    </w:p>
    <w:p w14:paraId="122CD260"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Jalingo is the </w:t>
      </w:r>
      <w:r w:rsidRPr="002E4226">
        <w:rPr>
          <w:rFonts w:ascii="Times New Roman" w:eastAsiaTheme="majorEastAsia" w:hAnsi="Times New Roman"/>
          <w:color w:val="0D0D0D" w:themeColor="text1" w:themeTint="F2"/>
        </w:rPr>
        <w:t>capital city of Taraba State, Nigeria</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situated in the north-eastern region of the country at approximately </w:t>
      </w:r>
      <w:r w:rsidRPr="002E4226">
        <w:rPr>
          <w:rFonts w:ascii="Times New Roman" w:eastAsiaTheme="majorEastAsia" w:hAnsi="Times New Roman"/>
          <w:color w:val="0D0D0D" w:themeColor="text1" w:themeTint="F2"/>
        </w:rPr>
        <w:t>latitude 8.9°N and longitude 11.4°E</w:t>
      </w:r>
      <w:r w:rsidRPr="002E4226">
        <w:rPr>
          <w:rFonts w:ascii="Times New Roman" w:hAnsi="Times New Roman"/>
          <w:color w:val="0D0D0D" w:themeColor="text1" w:themeTint="F2"/>
        </w:rPr>
        <w:t>. The city encompasses a mix of urban and peri-urban settlements and serves as a central administrative, commercial, and cultural hub for the state. It hosts various government institutions, educational establishments, and healthcare facilities, making it a focal point for social and economic activities.</w:t>
      </w:r>
    </w:p>
    <w:p w14:paraId="5C8F6B3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 xml:space="preserve">The climate in Jalingo is tropical, with distinct wet and dry seasons and an average annual temperature ranging from </w:t>
      </w:r>
      <w:r w:rsidRPr="002E4226">
        <w:rPr>
          <w:rFonts w:ascii="Times New Roman" w:eastAsiaTheme="majorEastAsia" w:hAnsi="Times New Roman"/>
          <w:color w:val="0D0D0D" w:themeColor="text1" w:themeTint="F2"/>
        </w:rPr>
        <w:t>23°C to 33°C</w:t>
      </w:r>
      <w:r w:rsidRPr="002E4226">
        <w:rPr>
          <w:rFonts w:ascii="Times New Roman" w:hAnsi="Times New Roman"/>
          <w:color w:val="0D0D0D" w:themeColor="text1" w:themeTint="F2"/>
        </w:rPr>
        <w:t xml:space="preserve">. The population is ethnically diverse, including groups such as the Fulani, </w:t>
      </w:r>
      <w:proofErr w:type="spellStart"/>
      <w:r w:rsidRPr="002E4226">
        <w:rPr>
          <w:rFonts w:ascii="Times New Roman" w:hAnsi="Times New Roman"/>
          <w:color w:val="0D0D0D" w:themeColor="text1" w:themeTint="F2"/>
        </w:rPr>
        <w:t>Mumuye</w:t>
      </w:r>
      <w:proofErr w:type="spellEnd"/>
      <w:r w:rsidRPr="002E4226">
        <w:rPr>
          <w:rFonts w:ascii="Times New Roman" w:hAnsi="Times New Roman"/>
          <w:color w:val="0D0D0D" w:themeColor="text1" w:themeTint="F2"/>
        </w:rPr>
        <w:t xml:space="preserve">, and </w:t>
      </w:r>
      <w:proofErr w:type="spellStart"/>
      <w:r w:rsidRPr="002E4226">
        <w:rPr>
          <w:rFonts w:ascii="Times New Roman" w:hAnsi="Times New Roman"/>
          <w:color w:val="0D0D0D" w:themeColor="text1" w:themeTint="F2"/>
        </w:rPr>
        <w:t>Jukun</w:t>
      </w:r>
      <w:proofErr w:type="spellEnd"/>
      <w:r w:rsidRPr="002E4226">
        <w:rPr>
          <w:rFonts w:ascii="Times New Roman" w:hAnsi="Times New Roman"/>
          <w:color w:val="0D0D0D" w:themeColor="text1" w:themeTint="F2"/>
        </w:rPr>
        <w:t>, reflecting a rich cultural heritage. Economically, residents are engaged in commerce, agriculture, small-scale industries, and public services.</w:t>
      </w:r>
    </w:p>
    <w:p w14:paraId="0510FB9E" w14:textId="77777777" w:rsidR="00AF4A2A" w:rsidRPr="002E4226" w:rsidRDefault="00AF4A2A" w:rsidP="00AF4A2A">
      <w:pPr>
        <w:spacing w:after="240"/>
        <w:jc w:val="both"/>
        <w:rPr>
          <w:rFonts w:ascii="Times New Roman" w:hAnsi="Times New Roman"/>
          <w:color w:val="0D0D0D" w:themeColor="text1" w:themeTint="F2"/>
        </w:rPr>
      </w:pPr>
      <w:proofErr w:type="spellStart"/>
      <w:r w:rsidRPr="002E4226">
        <w:rPr>
          <w:rFonts w:ascii="Times New Roman" w:hAnsi="Times New Roman"/>
          <w:color w:val="0D0D0D" w:themeColor="text1" w:themeTint="F2"/>
        </w:rPr>
        <w:t>Jalingo’s</w:t>
      </w:r>
      <w:proofErr w:type="spellEnd"/>
      <w:r w:rsidRPr="002E4226">
        <w:rPr>
          <w:rFonts w:ascii="Times New Roman" w:hAnsi="Times New Roman"/>
          <w:color w:val="0D0D0D" w:themeColor="text1" w:themeTint="F2"/>
        </w:rPr>
        <w:t xml:space="preserve"> </w:t>
      </w:r>
      <w:r w:rsidRPr="002E4226">
        <w:rPr>
          <w:rFonts w:ascii="Times New Roman" w:eastAsiaTheme="majorEastAsia" w:hAnsi="Times New Roman"/>
          <w:color w:val="0D0D0D" w:themeColor="text1" w:themeTint="F2"/>
        </w:rPr>
        <w:t>healthcare infrastructure</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includes primary health centers, general hospitals, and a teaching hospital, which collectively generate a variety of medical wastes, including infectious, chemical, sharps, and pathological waste. The city’s combination of </w:t>
      </w:r>
      <w:r w:rsidRPr="002E4226">
        <w:rPr>
          <w:rFonts w:ascii="Times New Roman" w:eastAsiaTheme="majorEastAsia" w:hAnsi="Times New Roman"/>
          <w:color w:val="0D0D0D" w:themeColor="text1" w:themeTint="F2"/>
        </w:rPr>
        <w:t>high population density, active healthcare services, and limited waste management resources</w:t>
      </w:r>
      <w:r w:rsidRPr="002E4226">
        <w:rPr>
          <w:rFonts w:ascii="Times New Roman" w:hAnsi="Times New Roman"/>
          <w:color w:val="0D0D0D" w:themeColor="text1" w:themeTint="F2"/>
        </w:rPr>
        <w:t xml:space="preserve"> makes it an appropriate site for studying healthcare waste management practices. Examining medical waste generation and disposal in Jalingo provides valuable insights into occupational exposure risks, environmental challenges, and the effectiveness of policy implementation in similar urban centers across northeastern Nigeria.</w:t>
      </w:r>
    </w:p>
    <w:p w14:paraId="77919FA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noProof/>
          <w:color w:val="0D0D0D" w:themeColor="text1" w:themeTint="F2"/>
        </w:rPr>
        <w:drawing>
          <wp:inline distT="0" distB="0" distL="0" distR="0" wp14:anchorId="7ACFB079" wp14:editId="0CB208F2">
            <wp:extent cx="4787293" cy="5870878"/>
            <wp:effectExtent l="0" t="0" r="0" b="0"/>
            <wp:docPr id="74197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317" cy="5875812"/>
                    </a:xfrm>
                    <a:prstGeom prst="rect">
                      <a:avLst/>
                    </a:prstGeom>
                    <a:noFill/>
                    <a:ln>
                      <a:noFill/>
                    </a:ln>
                  </pic:spPr>
                </pic:pic>
              </a:graphicData>
            </a:graphic>
          </wp:inline>
        </w:drawing>
      </w:r>
    </w:p>
    <w:p w14:paraId="28A7DAC3" w14:textId="3AE88E81"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lastRenderedPageBreak/>
        <w:t>Figure 1 Map of the Study Area</w:t>
      </w:r>
    </w:p>
    <w:p w14:paraId="4A802AC1"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2.2 Study Population and Sampling</w:t>
      </w:r>
    </w:p>
    <w:p w14:paraId="31F505A1"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The study population comprised healthcare workers across all cadres (doctors, nurses, laboratory technicians, waste handlers, and support staff) in selected healthcare facilities in Jalingo. A purposive sampling technique was employed to select facilities with varying levels of healthcare services (primary, secondary, and tertiary) to ensure representativeness. Within each facility, stratified random sampling was used to recruit participants proportionally from different professional categories, resulting in a total sample size of 251 respondents. This approach ensured the inclusion of all key stakeholders involved in medical waste handling and management.</w:t>
      </w:r>
    </w:p>
    <w:p w14:paraId="1FE5D153"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2.3 Data Collection</w:t>
      </w:r>
    </w:p>
    <w:p w14:paraId="4E9C1CD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By integrating pilot testing, reliability assessment, standardization, and ethical oversight, the study ensured that the collected data were high-quality, credible, and generalizable, forming a robust foundation for subsequent analysis and interpretation. A descriptive cross-sectional research design was adopted for this study, as this approach is well-suited for assessing the prevalence of knowledge, attitudes, and practices within a defined population at a single point in time. The design enabled the systematic collection of data reflecting healthcare workers’ familiarity with medical waste, perceptions of training adequacy, policy effectiveness, and associated health risks, while allowing for efficient comparison across different demographic subgroups. Cross-sectional surveys are widely recognized for their utility in public health research, particularly in evaluating institutional performance and identifying operational gaps within healthcare systems. The study sample consisted of 251 healthcare workers, representing a diverse mix of professional categories, including clinical staff, nursing personnel, laboratory technicians, and support staff who routinely interact with medical waste in the course of their duties. A stratified sampling approach was employed to ensure adequate representation across key demographic characteristics such as age, sex, religious affiliation, and educational attainment. Stratification helped to minimize sampling bias and enhance the generalizability of findings by ensuring that the sample mirrored the heterogeneous nature of the healthcare workforce.</w:t>
      </w:r>
    </w:p>
    <w:p w14:paraId="560B4D1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2.4 Quality Assurance and Control</w:t>
      </w:r>
    </w:p>
    <w:p w14:paraId="0A98E477"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To ensure the validity, reliability, and credibility of the data, the following measures were applied: The questionnaire was adapted from validated studies and subjected to pilot testing to enhance content validity. Ambiguous items were revised based on participant feedback. Internal consistency was measured using Cronbach’s alpha, with a value ≥0.70 considered acceptable for all major constructs, ensuring reliable and reproducible measurements. Research assistants were trained in data collection procedures, ethical considerations, and participant engagement to reduce interviewer bias. Standard operating procedures (SOPs) ensured uniform administration of the questionnaire across facilities.</w:t>
      </w:r>
    </w:p>
    <w:p w14:paraId="07982FCF"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hAnsi="Times New Roman"/>
          <w:b/>
          <w:bCs/>
          <w:color w:val="0D0D0D" w:themeColor="text1" w:themeTint="F2"/>
          <w:sz w:val="22"/>
          <w:szCs w:val="22"/>
        </w:rPr>
        <w:t>2.6 Operational Standardization</w:t>
      </w:r>
    </w:p>
    <w:p w14:paraId="746ED12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Key variables such as waste types, levels of familiarity, and policy effectiveness were clearly defined and applied consistently across all sites, ensuring accurate measurement and enhancing both internal and external validity.</w:t>
      </w:r>
    </w:p>
    <w:p w14:paraId="5A5A541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2.7 Instrument to obtain reliable descriptive estimates</w:t>
      </w:r>
    </w:p>
    <w:p w14:paraId="565862CC"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Data were collected using a structured, self-administered questionnaire developed specifically for this study to obtain reliable descriptive estimates and ensure comprehensive coverage of all relevant dimensions of medical waste management. The instrument was designed to capture information across </w:t>
      </w:r>
      <w:r w:rsidRPr="002E4226">
        <w:rPr>
          <w:rFonts w:ascii="Times New Roman" w:hAnsi="Times New Roman"/>
          <w:color w:val="0D0D0D" w:themeColor="text1" w:themeTint="F2"/>
        </w:rPr>
        <w:lastRenderedPageBreak/>
        <w:t>several key domains, including respondents’ demographic characteristics, level of familiarity with medical waste, types of waste generated within their facilities, and perceptions of training adequacy, policy effectiveness, the existence of environmental initiatives, and perceived health risks associated with improper waste handling. The questionnaire consisted of both closed-ended and Likert-scale items to facilitate standardized responses and enable consistent measurement across participants. These structured formats allowed for efficient quantification of perceptions, attitudes, and practices while minimizing respondent burden. The instrument was reviewed by subject-matter experts in environmental health and healthcare management to ensure clarity, relevance, and content validity. Before full deployment, the questionnaire underwent a pilot test with a small subset of healthcare workers to refine wording, improve item flow, and ensure that questions were easily understood and contextually appropriate. The final version of the instrument demonstrated strong face validity and was deemed suitable for assessing the multi-dimensional factors influencing medical waste management practices in healthcare settings. Its structured design enabled the systematic collection of high-quality data necessary for generating accurate descriptive statistics and informing evidence-based recommendations.</w:t>
      </w:r>
    </w:p>
    <w:p w14:paraId="17D31CA8"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2.8 Data Analysis</w:t>
      </w:r>
    </w:p>
    <w:p w14:paraId="18FF05C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Data collected from the questionnaires were </w:t>
      </w:r>
      <w:r w:rsidRPr="002E4226">
        <w:rPr>
          <w:rFonts w:ascii="Times New Roman" w:eastAsiaTheme="majorEastAsia" w:hAnsi="Times New Roman"/>
          <w:color w:val="0D0D0D" w:themeColor="text1" w:themeTint="F2"/>
        </w:rPr>
        <w:t>checked for completeness, cleaned, and</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entered into IBM SPSS Statistics version 26</w:t>
      </w:r>
      <w:r w:rsidRPr="002E4226">
        <w:rPr>
          <w:rFonts w:ascii="Times New Roman" w:hAnsi="Times New Roman"/>
          <w:color w:val="0D0D0D" w:themeColor="text1" w:themeTint="F2"/>
        </w:rPr>
        <w:t xml:space="preserve"> for analysis. Both </w:t>
      </w:r>
      <w:r w:rsidRPr="002E4226">
        <w:rPr>
          <w:rFonts w:ascii="Times New Roman" w:eastAsiaTheme="majorEastAsia" w:hAnsi="Times New Roman"/>
          <w:color w:val="0D0D0D" w:themeColor="text1" w:themeTint="F2"/>
        </w:rPr>
        <w:t>descriptive and inferential statistical</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techniques</w:t>
      </w:r>
      <w:r w:rsidRPr="002E4226">
        <w:rPr>
          <w:rFonts w:ascii="Times New Roman" w:hAnsi="Times New Roman"/>
          <w:color w:val="0D0D0D" w:themeColor="text1" w:themeTint="F2"/>
        </w:rPr>
        <w:t xml:space="preserve"> were employed to summarize and interpret the findings. </w:t>
      </w:r>
      <w:r w:rsidRPr="002E4226">
        <w:rPr>
          <w:rFonts w:ascii="Times New Roman" w:eastAsiaTheme="majorEastAsia" w:hAnsi="Times New Roman"/>
          <w:color w:val="0D0D0D" w:themeColor="text1" w:themeTint="F2"/>
        </w:rPr>
        <w:t>Frequencies and percentages</w:t>
      </w:r>
      <w:r w:rsidRPr="002E4226">
        <w:rPr>
          <w:rFonts w:ascii="Times New Roman" w:hAnsi="Times New Roman"/>
          <w:color w:val="0D0D0D" w:themeColor="text1" w:themeTint="F2"/>
        </w:rPr>
        <w:t xml:space="preserve"> were calculated to describe respondents’ </w:t>
      </w:r>
      <w:r w:rsidRPr="002E4226">
        <w:rPr>
          <w:rFonts w:ascii="Times New Roman" w:eastAsiaTheme="majorEastAsia" w:hAnsi="Times New Roman"/>
          <w:color w:val="0D0D0D" w:themeColor="text1" w:themeTint="F2"/>
        </w:rPr>
        <w:t>demographic characteristics</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w:t>
      </w:r>
      <w:r w:rsidRPr="002E4226">
        <w:rPr>
          <w:rFonts w:ascii="Times New Roman" w:eastAsiaTheme="majorEastAsia" w:hAnsi="Times New Roman"/>
          <w:color w:val="0D0D0D" w:themeColor="text1" w:themeTint="F2"/>
        </w:rPr>
        <w:t>levels of education</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religion</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familiarity with medical waste</w:t>
      </w:r>
      <w:r w:rsidRPr="002E4226">
        <w:rPr>
          <w:rFonts w:ascii="Times New Roman" w:hAnsi="Times New Roman"/>
          <w:color w:val="0D0D0D" w:themeColor="text1" w:themeTint="F2"/>
        </w:rPr>
        <w:t xml:space="preserve">. </w:t>
      </w:r>
      <w:r w:rsidRPr="002E4226">
        <w:rPr>
          <w:rFonts w:ascii="Times New Roman" w:eastAsiaTheme="majorEastAsia" w:hAnsi="Times New Roman"/>
          <w:b/>
          <w:bCs/>
          <w:color w:val="0D0D0D" w:themeColor="text1" w:themeTint="F2"/>
        </w:rPr>
        <w:t>Cumulative percentages</w:t>
      </w:r>
      <w:r w:rsidRPr="002E4226">
        <w:rPr>
          <w:rFonts w:ascii="Times New Roman" w:hAnsi="Times New Roman"/>
          <w:color w:val="0D0D0D" w:themeColor="text1" w:themeTint="F2"/>
        </w:rPr>
        <w:t xml:space="preserve"> were used to illustrate the distribution and trends within each variable, providing insights into the general patterns of medical waste knowledge, perceptions of policy effectiveness, and health risk awareness. </w:t>
      </w:r>
    </w:p>
    <w:p w14:paraId="0A8CF48B"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Tables and charts</w:t>
      </w:r>
      <w:r w:rsidRPr="002E4226">
        <w:rPr>
          <w:rFonts w:ascii="Times New Roman" w:hAnsi="Times New Roman"/>
          <w:color w:val="0D0D0D" w:themeColor="text1" w:themeTint="F2"/>
        </w:rPr>
        <w:t xml:space="preserve"> were used to present data clearly, facilitating visual interpretation of key trends. </w:t>
      </w:r>
    </w:p>
    <w:p w14:paraId="5C8E1EC8"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2.9 Analysis of Waste Management Practices</w:t>
      </w:r>
    </w:p>
    <w:p w14:paraId="533FD7E4"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Respondents’ reports on the </w:t>
      </w:r>
      <w:r w:rsidRPr="002E4226">
        <w:rPr>
          <w:rFonts w:ascii="Times New Roman" w:eastAsiaTheme="majorEastAsia" w:hAnsi="Times New Roman"/>
          <w:color w:val="0D0D0D" w:themeColor="text1" w:themeTint="F2"/>
        </w:rPr>
        <w:t>types of medical waste generated</w:t>
      </w:r>
      <w:r w:rsidRPr="002E4226">
        <w:rPr>
          <w:rFonts w:ascii="Times New Roman" w:hAnsi="Times New Roman"/>
          <w:color w:val="0D0D0D" w:themeColor="text1" w:themeTint="F2"/>
        </w:rPr>
        <w:t xml:space="preserve"> were analyzed using frequency counts and percentages to identify the most commonly generated waste streams (e.g., infectious waste, sharps, chemical waste). Perceptions of </w:t>
      </w:r>
      <w:r w:rsidRPr="002E4226">
        <w:rPr>
          <w:rFonts w:ascii="Times New Roman" w:eastAsiaTheme="majorEastAsia" w:hAnsi="Times New Roman"/>
          <w:color w:val="0D0D0D" w:themeColor="text1" w:themeTint="F2"/>
        </w:rPr>
        <w:t>policy effectiveness</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current practice effectiveness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and </w:t>
      </w:r>
      <w:r w:rsidRPr="002E4226">
        <w:rPr>
          <w:rFonts w:ascii="Times New Roman" w:eastAsiaTheme="majorEastAsia" w:hAnsi="Times New Roman"/>
          <w:color w:val="0D0D0D" w:themeColor="text1" w:themeTint="F2"/>
        </w:rPr>
        <w:t>environmental</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initiatives</w:t>
      </w:r>
      <w:r w:rsidRPr="002E4226">
        <w:rPr>
          <w:rFonts w:ascii="Times New Roman" w:hAnsi="Times New Roman"/>
          <w:color w:val="0D0D0D" w:themeColor="text1" w:themeTint="F2"/>
        </w:rPr>
        <w:t xml:space="preserve"> were similarly summarized using descriptive statistics to assess attitudes and institutional practices. </w:t>
      </w:r>
    </w:p>
    <w:p w14:paraId="534A1B9F"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2.10 Comparative Analysis</w:t>
      </w:r>
    </w:p>
    <w:p w14:paraId="5D127BC6"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Where applicable, the study compared findings </w:t>
      </w:r>
      <w:r w:rsidRPr="002E4226">
        <w:rPr>
          <w:rFonts w:ascii="Times New Roman" w:eastAsiaTheme="majorEastAsia" w:hAnsi="Times New Roman"/>
          <w:color w:val="0D0D0D" w:themeColor="text1" w:themeTint="F2"/>
        </w:rPr>
        <w:t>across demographic groups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e.g., educational level, professional cadre) to identify potential differences in awareness, perceptions, or adherence to medical waste management practices.  Cross-tabulations and cumulative percentage calculations provided an understanding of how variables such as training, education, or professional role influenced familiarity with medical waste and adherence to guidelines. </w:t>
      </w:r>
    </w:p>
    <w:p w14:paraId="2923530B" w14:textId="77777777" w:rsidR="00AF4A2A" w:rsidRPr="002E4226" w:rsidRDefault="00AF4A2A" w:rsidP="00AF4A2A">
      <w:pPr>
        <w:spacing w:after="240"/>
        <w:jc w:val="both"/>
        <w:rPr>
          <w:rFonts w:ascii="Times New Roman" w:hAnsi="Times New Roman"/>
          <w:color w:val="0D0D0D" w:themeColor="text1" w:themeTint="F2"/>
          <w:sz w:val="22"/>
          <w:szCs w:val="22"/>
        </w:rPr>
      </w:pPr>
      <w:r w:rsidRPr="002E4226">
        <w:rPr>
          <w:rFonts w:ascii="Times New Roman" w:eastAsiaTheme="majorEastAsia" w:hAnsi="Times New Roman"/>
          <w:b/>
          <w:bCs/>
          <w:color w:val="0D0D0D" w:themeColor="text1" w:themeTint="F2"/>
          <w:sz w:val="22"/>
          <w:szCs w:val="22"/>
        </w:rPr>
        <w:t>2.11 Interpretation and Inference</w:t>
      </w:r>
    </w:p>
    <w:p w14:paraId="4B3586FE"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Descriptive results were interpreted in relation to </w:t>
      </w:r>
      <w:r w:rsidRPr="002E4226">
        <w:rPr>
          <w:rFonts w:ascii="Times New Roman" w:eastAsiaTheme="majorEastAsia" w:hAnsi="Times New Roman"/>
          <w:color w:val="0D0D0D" w:themeColor="text1" w:themeTint="F2"/>
        </w:rPr>
        <w:t>existing literature and national guidelines</w:t>
      </w:r>
      <w:r w:rsidRPr="002E4226">
        <w:rPr>
          <w:rFonts w:ascii="Times New Roman" w:hAnsi="Times New Roman"/>
          <w:color w:val="0D0D0D" w:themeColor="text1" w:themeTint="F2"/>
        </w:rPr>
        <w:t xml:space="preserve"> to assess the alignment between reported practices and recommended standards (Adewumi et al., 2019; WHO, 2018). Trends in</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health risk perception</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and </w:t>
      </w:r>
      <w:r w:rsidRPr="002E4226">
        <w:rPr>
          <w:rFonts w:ascii="Times New Roman" w:eastAsiaTheme="majorEastAsia" w:hAnsi="Times New Roman"/>
          <w:color w:val="0D0D0D" w:themeColor="text1" w:themeTint="F2"/>
        </w:rPr>
        <w:t>policy effectiveness</w:t>
      </w:r>
      <w:r w:rsidRPr="002E4226">
        <w:rPr>
          <w:rFonts w:ascii="Times New Roman" w:hAnsi="Times New Roman"/>
          <w:color w:val="0D0D0D" w:themeColor="text1" w:themeTint="F2"/>
        </w:rPr>
        <w:t xml:space="preserve"> were analyzed to identify gaps between knowledge, policy, and practice, guiding the formulation of actionable recommendations. All analyses were performed at a </w:t>
      </w:r>
      <w:r w:rsidRPr="002E4226">
        <w:rPr>
          <w:rFonts w:ascii="Times New Roman" w:eastAsiaTheme="majorEastAsia" w:hAnsi="Times New Roman"/>
          <w:color w:val="0D0D0D" w:themeColor="text1" w:themeTint="F2"/>
        </w:rPr>
        <w:t>95% confidence level</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and results were presented using </w:t>
      </w:r>
      <w:r w:rsidRPr="002E4226">
        <w:rPr>
          <w:rFonts w:ascii="Times New Roman" w:eastAsiaTheme="majorEastAsia" w:hAnsi="Times New Roman"/>
          <w:color w:val="0D0D0D" w:themeColor="text1" w:themeTint="F2"/>
        </w:rPr>
        <w:t>tables, charts, and narrative summaries</w:t>
      </w:r>
      <w:r w:rsidRPr="002E4226">
        <w:rPr>
          <w:rFonts w:ascii="Times New Roman" w:hAnsi="Times New Roman"/>
          <w:color w:val="0D0D0D" w:themeColor="text1" w:themeTint="F2"/>
        </w:rPr>
        <w:t xml:space="preserve"> to enhance clarity and facilitate discussion in the context of previous studies in Nigeria and globally.</w:t>
      </w:r>
    </w:p>
    <w:p w14:paraId="5F888860"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lastRenderedPageBreak/>
        <w:t>3. Results</w:t>
      </w:r>
    </w:p>
    <w:p w14:paraId="13E4BD5E" w14:textId="2F936FBF"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Table 1: Age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7"/>
        <w:gridCol w:w="971"/>
        <w:gridCol w:w="716"/>
        <w:gridCol w:w="1232"/>
        <w:gridCol w:w="1781"/>
      </w:tblGrid>
      <w:tr w:rsidR="00AF4A2A" w:rsidRPr="002E4226" w14:paraId="66030AC4" w14:textId="77777777" w:rsidTr="00207648">
        <w:trPr>
          <w:tblCellSpacing w:w="15" w:type="dxa"/>
        </w:trPr>
        <w:tc>
          <w:tcPr>
            <w:tcW w:w="0" w:type="auto"/>
            <w:tcBorders>
              <w:top w:val="single" w:sz="4" w:space="0" w:color="auto"/>
              <w:bottom w:val="single" w:sz="4" w:space="0" w:color="auto"/>
            </w:tcBorders>
            <w:vAlign w:val="center"/>
            <w:hideMark/>
          </w:tcPr>
          <w:p w14:paraId="4941879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Age (years)</w:t>
            </w:r>
          </w:p>
        </w:tc>
        <w:tc>
          <w:tcPr>
            <w:tcW w:w="0" w:type="auto"/>
            <w:tcBorders>
              <w:top w:val="single" w:sz="4" w:space="0" w:color="auto"/>
              <w:bottom w:val="single" w:sz="4" w:space="0" w:color="auto"/>
            </w:tcBorders>
            <w:vAlign w:val="center"/>
            <w:hideMark/>
          </w:tcPr>
          <w:p w14:paraId="71FC119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6E3B7DE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7B59319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7CFB297"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3E608830" w14:textId="77777777" w:rsidTr="00207648">
        <w:trPr>
          <w:tblCellSpacing w:w="15" w:type="dxa"/>
        </w:trPr>
        <w:tc>
          <w:tcPr>
            <w:tcW w:w="0" w:type="auto"/>
            <w:vAlign w:val="center"/>
            <w:hideMark/>
          </w:tcPr>
          <w:p w14:paraId="1DC0FF1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20–25</w:t>
            </w:r>
          </w:p>
        </w:tc>
        <w:tc>
          <w:tcPr>
            <w:tcW w:w="0" w:type="auto"/>
            <w:vAlign w:val="center"/>
            <w:hideMark/>
          </w:tcPr>
          <w:p w14:paraId="1006A87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w:t>
            </w:r>
          </w:p>
        </w:tc>
        <w:tc>
          <w:tcPr>
            <w:tcW w:w="0" w:type="auto"/>
            <w:vAlign w:val="center"/>
            <w:hideMark/>
          </w:tcPr>
          <w:p w14:paraId="6A799C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5685CC5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65FD382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r>
      <w:tr w:rsidR="00AF4A2A" w:rsidRPr="002E4226" w14:paraId="3ADFA68C" w14:textId="77777777" w:rsidTr="00207648">
        <w:trPr>
          <w:tblCellSpacing w:w="15" w:type="dxa"/>
        </w:trPr>
        <w:tc>
          <w:tcPr>
            <w:tcW w:w="0" w:type="auto"/>
            <w:vAlign w:val="center"/>
            <w:hideMark/>
          </w:tcPr>
          <w:p w14:paraId="1855669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26–30</w:t>
            </w:r>
          </w:p>
        </w:tc>
        <w:tc>
          <w:tcPr>
            <w:tcW w:w="0" w:type="auto"/>
            <w:vAlign w:val="center"/>
            <w:hideMark/>
          </w:tcPr>
          <w:p w14:paraId="1F4E725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w:t>
            </w:r>
          </w:p>
        </w:tc>
        <w:tc>
          <w:tcPr>
            <w:tcW w:w="0" w:type="auto"/>
            <w:vAlign w:val="center"/>
            <w:hideMark/>
          </w:tcPr>
          <w:p w14:paraId="1F84931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16.3</w:t>
            </w:r>
          </w:p>
        </w:tc>
        <w:tc>
          <w:tcPr>
            <w:tcW w:w="0" w:type="auto"/>
            <w:vAlign w:val="center"/>
            <w:hideMark/>
          </w:tcPr>
          <w:p w14:paraId="3C0C01B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16.3</w:t>
            </w:r>
          </w:p>
        </w:tc>
        <w:tc>
          <w:tcPr>
            <w:tcW w:w="0" w:type="auto"/>
            <w:vAlign w:val="center"/>
            <w:hideMark/>
          </w:tcPr>
          <w:p w14:paraId="33AACF4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r>
      <w:tr w:rsidR="00AF4A2A" w:rsidRPr="002E4226" w14:paraId="274A42DE" w14:textId="77777777" w:rsidTr="00207648">
        <w:trPr>
          <w:tblCellSpacing w:w="15" w:type="dxa"/>
        </w:trPr>
        <w:tc>
          <w:tcPr>
            <w:tcW w:w="0" w:type="auto"/>
            <w:vAlign w:val="center"/>
            <w:hideMark/>
          </w:tcPr>
          <w:p w14:paraId="3105201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31–35</w:t>
            </w:r>
          </w:p>
        </w:tc>
        <w:tc>
          <w:tcPr>
            <w:tcW w:w="0" w:type="auto"/>
            <w:vAlign w:val="center"/>
            <w:hideMark/>
          </w:tcPr>
          <w:p w14:paraId="2CAC633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w:t>
            </w:r>
          </w:p>
        </w:tc>
        <w:tc>
          <w:tcPr>
            <w:tcW w:w="0" w:type="auto"/>
            <w:vAlign w:val="center"/>
            <w:hideMark/>
          </w:tcPr>
          <w:p w14:paraId="6C6778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24.7</w:t>
            </w:r>
          </w:p>
        </w:tc>
        <w:tc>
          <w:tcPr>
            <w:tcW w:w="0" w:type="auto"/>
            <w:vAlign w:val="center"/>
            <w:hideMark/>
          </w:tcPr>
          <w:p w14:paraId="587CCA0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24.7</w:t>
            </w:r>
          </w:p>
        </w:tc>
        <w:tc>
          <w:tcPr>
            <w:tcW w:w="0" w:type="auto"/>
            <w:vAlign w:val="center"/>
            <w:hideMark/>
          </w:tcPr>
          <w:p w14:paraId="465E35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49.8</w:t>
            </w:r>
          </w:p>
        </w:tc>
      </w:tr>
      <w:tr w:rsidR="00AF4A2A" w:rsidRPr="002E4226" w14:paraId="2FDBBF0B" w14:textId="77777777" w:rsidTr="00207648">
        <w:trPr>
          <w:tblCellSpacing w:w="15" w:type="dxa"/>
        </w:trPr>
        <w:tc>
          <w:tcPr>
            <w:tcW w:w="0" w:type="auto"/>
            <w:vAlign w:val="center"/>
            <w:hideMark/>
          </w:tcPr>
          <w:p w14:paraId="66F4003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36–40</w:t>
            </w:r>
          </w:p>
        </w:tc>
        <w:tc>
          <w:tcPr>
            <w:tcW w:w="0" w:type="auto"/>
            <w:vAlign w:val="center"/>
            <w:hideMark/>
          </w:tcPr>
          <w:p w14:paraId="39B8EE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66</w:t>
            </w:r>
          </w:p>
        </w:tc>
        <w:tc>
          <w:tcPr>
            <w:tcW w:w="0" w:type="auto"/>
            <w:vAlign w:val="center"/>
            <w:hideMark/>
          </w:tcPr>
          <w:p w14:paraId="06B50B7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w:t>
            </w:r>
          </w:p>
        </w:tc>
        <w:tc>
          <w:tcPr>
            <w:tcW w:w="0" w:type="auto"/>
            <w:vAlign w:val="center"/>
            <w:hideMark/>
          </w:tcPr>
          <w:p w14:paraId="6A84DC5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26.3</w:t>
            </w:r>
          </w:p>
        </w:tc>
        <w:tc>
          <w:tcPr>
            <w:tcW w:w="0" w:type="auto"/>
            <w:vAlign w:val="center"/>
            <w:hideMark/>
          </w:tcPr>
          <w:p w14:paraId="0606043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76.1</w:t>
            </w:r>
          </w:p>
        </w:tc>
      </w:tr>
      <w:tr w:rsidR="00AF4A2A" w:rsidRPr="002E4226" w14:paraId="098FA95E" w14:textId="77777777" w:rsidTr="00207648">
        <w:trPr>
          <w:tblCellSpacing w:w="15" w:type="dxa"/>
        </w:trPr>
        <w:tc>
          <w:tcPr>
            <w:tcW w:w="0" w:type="auto"/>
            <w:vAlign w:val="center"/>
            <w:hideMark/>
          </w:tcPr>
          <w:p w14:paraId="1C3CCA6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41–45</w:t>
            </w:r>
          </w:p>
        </w:tc>
        <w:tc>
          <w:tcPr>
            <w:tcW w:w="0" w:type="auto"/>
            <w:vAlign w:val="center"/>
            <w:hideMark/>
          </w:tcPr>
          <w:p w14:paraId="632DE7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7319CC8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FC8B7A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123B57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89.2</w:t>
            </w:r>
          </w:p>
        </w:tc>
      </w:tr>
      <w:tr w:rsidR="00AF4A2A" w:rsidRPr="002E4226" w14:paraId="1BB46AB3" w14:textId="77777777" w:rsidTr="00207648">
        <w:trPr>
          <w:tblCellSpacing w:w="15" w:type="dxa"/>
        </w:trPr>
        <w:tc>
          <w:tcPr>
            <w:tcW w:w="0" w:type="auto"/>
            <w:vAlign w:val="center"/>
            <w:hideMark/>
          </w:tcPr>
          <w:p w14:paraId="6761309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Above 45</w:t>
            </w:r>
          </w:p>
        </w:tc>
        <w:tc>
          <w:tcPr>
            <w:tcW w:w="0" w:type="auto"/>
            <w:vAlign w:val="center"/>
            <w:hideMark/>
          </w:tcPr>
          <w:p w14:paraId="16913E7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27</w:t>
            </w:r>
          </w:p>
        </w:tc>
        <w:tc>
          <w:tcPr>
            <w:tcW w:w="0" w:type="auto"/>
            <w:vAlign w:val="center"/>
            <w:hideMark/>
          </w:tcPr>
          <w:p w14:paraId="5D1509A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10.8</w:t>
            </w:r>
          </w:p>
        </w:tc>
        <w:tc>
          <w:tcPr>
            <w:tcW w:w="0" w:type="auto"/>
            <w:vAlign w:val="center"/>
            <w:hideMark/>
          </w:tcPr>
          <w:p w14:paraId="0B204A0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10.8</w:t>
            </w:r>
          </w:p>
        </w:tc>
        <w:tc>
          <w:tcPr>
            <w:tcW w:w="0" w:type="auto"/>
            <w:vAlign w:val="center"/>
            <w:hideMark/>
          </w:tcPr>
          <w:p w14:paraId="70C39EE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346BDEA2" w14:textId="77777777" w:rsidTr="00207648">
        <w:trPr>
          <w:tblCellSpacing w:w="15" w:type="dxa"/>
        </w:trPr>
        <w:tc>
          <w:tcPr>
            <w:tcW w:w="0" w:type="auto"/>
            <w:tcBorders>
              <w:bottom w:val="single" w:sz="4" w:space="0" w:color="auto"/>
            </w:tcBorders>
            <w:vAlign w:val="center"/>
            <w:hideMark/>
          </w:tcPr>
          <w:p w14:paraId="736E19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61E3F08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08F6DF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9799CE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98528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2948BB87" w14:textId="782B348C"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1 shows the age distribution of the 251 respondents in the study. The largest age group is 36–40 years, comprising 26.3% of respondents. This is followed by 31–35 years (24.7%) and 26–30 years (16.3%). The younger group (20–25 years) comprises 8.8% of the sample. Respondents aged 41–45 years account for 13.1%, while those above 45 years represent 10.8%. </w:t>
      </w:r>
    </w:p>
    <w:p w14:paraId="664EF93D" w14:textId="3667115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2: Sex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
        <w:gridCol w:w="905"/>
        <w:gridCol w:w="660"/>
        <w:gridCol w:w="1155"/>
        <w:gridCol w:w="1658"/>
      </w:tblGrid>
      <w:tr w:rsidR="00AF4A2A" w:rsidRPr="002E4226" w14:paraId="36E5C396" w14:textId="77777777" w:rsidTr="00207648">
        <w:trPr>
          <w:tblCellSpacing w:w="15" w:type="dxa"/>
        </w:trPr>
        <w:tc>
          <w:tcPr>
            <w:tcW w:w="0" w:type="auto"/>
            <w:tcBorders>
              <w:top w:val="single" w:sz="4" w:space="0" w:color="auto"/>
            </w:tcBorders>
            <w:vAlign w:val="center"/>
            <w:hideMark/>
          </w:tcPr>
          <w:p w14:paraId="7EBC992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Sex</w:t>
            </w:r>
          </w:p>
        </w:tc>
        <w:tc>
          <w:tcPr>
            <w:tcW w:w="0" w:type="auto"/>
            <w:tcBorders>
              <w:top w:val="single" w:sz="4" w:space="0" w:color="auto"/>
            </w:tcBorders>
            <w:vAlign w:val="center"/>
            <w:hideMark/>
          </w:tcPr>
          <w:p w14:paraId="244BB6D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Frequency</w:t>
            </w:r>
          </w:p>
        </w:tc>
        <w:tc>
          <w:tcPr>
            <w:tcW w:w="0" w:type="auto"/>
            <w:tcBorders>
              <w:top w:val="single" w:sz="4" w:space="0" w:color="auto"/>
            </w:tcBorders>
            <w:vAlign w:val="center"/>
            <w:hideMark/>
          </w:tcPr>
          <w:p w14:paraId="07B2624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Percent</w:t>
            </w:r>
          </w:p>
        </w:tc>
        <w:tc>
          <w:tcPr>
            <w:tcW w:w="0" w:type="auto"/>
            <w:tcBorders>
              <w:top w:val="single" w:sz="4" w:space="0" w:color="auto"/>
            </w:tcBorders>
            <w:vAlign w:val="center"/>
            <w:hideMark/>
          </w:tcPr>
          <w:p w14:paraId="6171D1A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Valid Percent</w:t>
            </w:r>
          </w:p>
        </w:tc>
        <w:tc>
          <w:tcPr>
            <w:tcW w:w="0" w:type="auto"/>
            <w:tcBorders>
              <w:top w:val="single" w:sz="4" w:space="0" w:color="auto"/>
            </w:tcBorders>
            <w:vAlign w:val="center"/>
            <w:hideMark/>
          </w:tcPr>
          <w:p w14:paraId="6685D2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Cumulative Percent</w:t>
            </w:r>
          </w:p>
        </w:tc>
      </w:tr>
      <w:tr w:rsidR="00AF4A2A" w:rsidRPr="002E4226" w14:paraId="32BC9735" w14:textId="77777777" w:rsidTr="00207648">
        <w:trPr>
          <w:tblCellSpacing w:w="15" w:type="dxa"/>
        </w:trPr>
        <w:tc>
          <w:tcPr>
            <w:tcW w:w="0" w:type="auto"/>
            <w:tcBorders>
              <w:top w:val="single" w:sz="4" w:space="0" w:color="auto"/>
            </w:tcBorders>
            <w:vAlign w:val="center"/>
            <w:hideMark/>
          </w:tcPr>
          <w:p w14:paraId="278D293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Female</w:t>
            </w:r>
          </w:p>
        </w:tc>
        <w:tc>
          <w:tcPr>
            <w:tcW w:w="0" w:type="auto"/>
            <w:tcBorders>
              <w:top w:val="single" w:sz="4" w:space="0" w:color="auto"/>
            </w:tcBorders>
            <w:vAlign w:val="center"/>
            <w:hideMark/>
          </w:tcPr>
          <w:p w14:paraId="6D73B12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145</w:t>
            </w:r>
          </w:p>
        </w:tc>
        <w:tc>
          <w:tcPr>
            <w:tcW w:w="0" w:type="auto"/>
            <w:tcBorders>
              <w:top w:val="single" w:sz="4" w:space="0" w:color="auto"/>
            </w:tcBorders>
            <w:vAlign w:val="center"/>
            <w:hideMark/>
          </w:tcPr>
          <w:p w14:paraId="0A60BEA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c>
          <w:tcPr>
            <w:tcW w:w="0" w:type="auto"/>
            <w:tcBorders>
              <w:top w:val="single" w:sz="4" w:space="0" w:color="auto"/>
            </w:tcBorders>
            <w:vAlign w:val="center"/>
            <w:hideMark/>
          </w:tcPr>
          <w:p w14:paraId="3C7FB6A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c>
          <w:tcPr>
            <w:tcW w:w="0" w:type="auto"/>
            <w:tcBorders>
              <w:top w:val="single" w:sz="4" w:space="0" w:color="auto"/>
            </w:tcBorders>
            <w:vAlign w:val="center"/>
            <w:hideMark/>
          </w:tcPr>
          <w:p w14:paraId="0A8F33A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r>
      <w:tr w:rsidR="00AF4A2A" w:rsidRPr="002E4226" w14:paraId="4D9F168D" w14:textId="77777777" w:rsidTr="00207648">
        <w:trPr>
          <w:tblCellSpacing w:w="15" w:type="dxa"/>
        </w:trPr>
        <w:tc>
          <w:tcPr>
            <w:tcW w:w="0" w:type="auto"/>
            <w:vAlign w:val="center"/>
            <w:hideMark/>
          </w:tcPr>
          <w:p w14:paraId="08019F6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Male</w:t>
            </w:r>
          </w:p>
        </w:tc>
        <w:tc>
          <w:tcPr>
            <w:tcW w:w="0" w:type="auto"/>
            <w:vAlign w:val="center"/>
            <w:hideMark/>
          </w:tcPr>
          <w:p w14:paraId="414DE3E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106</w:t>
            </w:r>
          </w:p>
        </w:tc>
        <w:tc>
          <w:tcPr>
            <w:tcW w:w="0" w:type="auto"/>
            <w:vAlign w:val="center"/>
            <w:hideMark/>
          </w:tcPr>
          <w:p w14:paraId="642CDD7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42.2</w:t>
            </w:r>
          </w:p>
        </w:tc>
        <w:tc>
          <w:tcPr>
            <w:tcW w:w="0" w:type="auto"/>
            <w:vAlign w:val="center"/>
            <w:hideMark/>
          </w:tcPr>
          <w:p w14:paraId="283858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42.2</w:t>
            </w:r>
          </w:p>
        </w:tc>
        <w:tc>
          <w:tcPr>
            <w:tcW w:w="0" w:type="auto"/>
            <w:vAlign w:val="center"/>
            <w:hideMark/>
          </w:tcPr>
          <w:p w14:paraId="1495B07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739EE7C8" w14:textId="77777777" w:rsidTr="00207648">
        <w:trPr>
          <w:tblCellSpacing w:w="15" w:type="dxa"/>
        </w:trPr>
        <w:tc>
          <w:tcPr>
            <w:tcW w:w="0" w:type="auto"/>
            <w:tcBorders>
              <w:bottom w:val="single" w:sz="4" w:space="0" w:color="auto"/>
            </w:tcBorders>
            <w:vAlign w:val="center"/>
            <w:hideMark/>
          </w:tcPr>
          <w:p w14:paraId="6B30F2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4FE1173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944959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72B77F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9A5AB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322EE55C" w14:textId="4ECF5AD8"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2 presents the gender distribution of the 251 respondents.</w:t>
      </w:r>
    </w:p>
    <w:p w14:paraId="4C21BE15"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Females constitute the majority, with 145 respondents (57.8%). Males account for 106 respondents (42.2%).  The cumulative percent indicates that females make up 57.8% of the total, and adding males brings the total to 100%.</w:t>
      </w:r>
    </w:p>
    <w:p w14:paraId="4586064B" w14:textId="3DBB131C"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3: Level of Education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gridCol w:w="971"/>
        <w:gridCol w:w="716"/>
        <w:gridCol w:w="1232"/>
        <w:gridCol w:w="1781"/>
      </w:tblGrid>
      <w:tr w:rsidR="00AF4A2A" w:rsidRPr="002E4226" w14:paraId="1B9752AA" w14:textId="77777777" w:rsidTr="00207648">
        <w:trPr>
          <w:tblCellSpacing w:w="15" w:type="dxa"/>
        </w:trPr>
        <w:tc>
          <w:tcPr>
            <w:tcW w:w="0" w:type="auto"/>
            <w:tcBorders>
              <w:top w:val="single" w:sz="4" w:space="0" w:color="auto"/>
              <w:bottom w:val="single" w:sz="4" w:space="0" w:color="auto"/>
            </w:tcBorders>
            <w:vAlign w:val="center"/>
            <w:hideMark/>
          </w:tcPr>
          <w:p w14:paraId="41AC3CD8"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Education Level</w:t>
            </w:r>
          </w:p>
        </w:tc>
        <w:tc>
          <w:tcPr>
            <w:tcW w:w="0" w:type="auto"/>
            <w:tcBorders>
              <w:top w:val="single" w:sz="4" w:space="0" w:color="auto"/>
              <w:bottom w:val="single" w:sz="4" w:space="0" w:color="auto"/>
            </w:tcBorders>
            <w:vAlign w:val="center"/>
            <w:hideMark/>
          </w:tcPr>
          <w:p w14:paraId="07A6FCE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2C40892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42DB4EB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72680511"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6847A0A1" w14:textId="77777777" w:rsidTr="00207648">
        <w:trPr>
          <w:tblCellSpacing w:w="15" w:type="dxa"/>
        </w:trPr>
        <w:tc>
          <w:tcPr>
            <w:tcW w:w="0" w:type="auto"/>
            <w:vAlign w:val="center"/>
            <w:hideMark/>
          </w:tcPr>
          <w:p w14:paraId="174B16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Higher Institution</w:t>
            </w:r>
          </w:p>
        </w:tc>
        <w:tc>
          <w:tcPr>
            <w:tcW w:w="0" w:type="auto"/>
            <w:vAlign w:val="center"/>
            <w:hideMark/>
          </w:tcPr>
          <w:p w14:paraId="36A754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156</w:t>
            </w:r>
          </w:p>
        </w:tc>
        <w:tc>
          <w:tcPr>
            <w:tcW w:w="0" w:type="auto"/>
            <w:vAlign w:val="center"/>
            <w:hideMark/>
          </w:tcPr>
          <w:p w14:paraId="4C68098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c>
          <w:tcPr>
            <w:tcW w:w="0" w:type="auto"/>
            <w:vAlign w:val="center"/>
            <w:hideMark/>
          </w:tcPr>
          <w:p w14:paraId="4E41441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c>
          <w:tcPr>
            <w:tcW w:w="0" w:type="auto"/>
            <w:vAlign w:val="center"/>
            <w:hideMark/>
          </w:tcPr>
          <w:p w14:paraId="38DF442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62.1</w:t>
            </w:r>
          </w:p>
        </w:tc>
      </w:tr>
      <w:tr w:rsidR="00AF4A2A" w:rsidRPr="002E4226" w14:paraId="75FA6701" w14:textId="77777777" w:rsidTr="00207648">
        <w:trPr>
          <w:tblCellSpacing w:w="15" w:type="dxa"/>
        </w:trPr>
        <w:tc>
          <w:tcPr>
            <w:tcW w:w="0" w:type="auto"/>
            <w:vAlign w:val="center"/>
            <w:hideMark/>
          </w:tcPr>
          <w:p w14:paraId="1EEA2D5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Secondary School</w:t>
            </w:r>
          </w:p>
        </w:tc>
        <w:tc>
          <w:tcPr>
            <w:tcW w:w="0" w:type="auto"/>
            <w:vAlign w:val="center"/>
            <w:hideMark/>
          </w:tcPr>
          <w:p w14:paraId="18DAF95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60</w:t>
            </w:r>
          </w:p>
        </w:tc>
        <w:tc>
          <w:tcPr>
            <w:tcW w:w="0" w:type="auto"/>
            <w:vAlign w:val="center"/>
            <w:hideMark/>
          </w:tcPr>
          <w:p w14:paraId="239C4D0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23.9</w:t>
            </w:r>
          </w:p>
        </w:tc>
        <w:tc>
          <w:tcPr>
            <w:tcW w:w="0" w:type="auto"/>
            <w:vAlign w:val="center"/>
            <w:hideMark/>
          </w:tcPr>
          <w:p w14:paraId="3E44F2B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23.9</w:t>
            </w:r>
          </w:p>
        </w:tc>
        <w:tc>
          <w:tcPr>
            <w:tcW w:w="0" w:type="auto"/>
            <w:vAlign w:val="center"/>
            <w:hideMark/>
          </w:tcPr>
          <w:p w14:paraId="762148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86.0</w:t>
            </w:r>
          </w:p>
        </w:tc>
      </w:tr>
      <w:tr w:rsidR="00AF4A2A" w:rsidRPr="002E4226" w14:paraId="267EA373" w14:textId="77777777" w:rsidTr="00207648">
        <w:trPr>
          <w:tblCellSpacing w:w="15" w:type="dxa"/>
        </w:trPr>
        <w:tc>
          <w:tcPr>
            <w:tcW w:w="0" w:type="auto"/>
            <w:vAlign w:val="center"/>
            <w:hideMark/>
          </w:tcPr>
          <w:p w14:paraId="224E81A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Primary School</w:t>
            </w:r>
          </w:p>
        </w:tc>
        <w:tc>
          <w:tcPr>
            <w:tcW w:w="0" w:type="auto"/>
            <w:vAlign w:val="center"/>
            <w:hideMark/>
          </w:tcPr>
          <w:p w14:paraId="38D1D4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19</w:t>
            </w:r>
          </w:p>
        </w:tc>
        <w:tc>
          <w:tcPr>
            <w:tcW w:w="0" w:type="auto"/>
            <w:vAlign w:val="center"/>
            <w:hideMark/>
          </w:tcPr>
          <w:p w14:paraId="64DF13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w:t>
            </w:r>
          </w:p>
        </w:tc>
        <w:tc>
          <w:tcPr>
            <w:tcW w:w="0" w:type="auto"/>
            <w:vAlign w:val="center"/>
            <w:hideMark/>
          </w:tcPr>
          <w:p w14:paraId="5D065A5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7.6</w:t>
            </w:r>
          </w:p>
        </w:tc>
        <w:tc>
          <w:tcPr>
            <w:tcW w:w="0" w:type="auto"/>
            <w:vAlign w:val="center"/>
            <w:hideMark/>
          </w:tcPr>
          <w:p w14:paraId="57C4730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93.6</w:t>
            </w:r>
          </w:p>
        </w:tc>
      </w:tr>
      <w:tr w:rsidR="00AF4A2A" w:rsidRPr="002E4226" w14:paraId="1D13920E" w14:textId="77777777" w:rsidTr="00207648">
        <w:trPr>
          <w:tblCellSpacing w:w="15" w:type="dxa"/>
        </w:trPr>
        <w:tc>
          <w:tcPr>
            <w:tcW w:w="0" w:type="auto"/>
            <w:vAlign w:val="center"/>
            <w:hideMark/>
          </w:tcPr>
          <w:p w14:paraId="6351319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Informal Education</w:t>
            </w:r>
          </w:p>
        </w:tc>
        <w:tc>
          <w:tcPr>
            <w:tcW w:w="0" w:type="auto"/>
            <w:vAlign w:val="center"/>
            <w:hideMark/>
          </w:tcPr>
          <w:p w14:paraId="3CE769C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w:t>
            </w:r>
          </w:p>
        </w:tc>
        <w:tc>
          <w:tcPr>
            <w:tcW w:w="0" w:type="auto"/>
            <w:vAlign w:val="center"/>
            <w:hideMark/>
          </w:tcPr>
          <w:p w14:paraId="14D108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6.4</w:t>
            </w:r>
          </w:p>
        </w:tc>
        <w:tc>
          <w:tcPr>
            <w:tcW w:w="0" w:type="auto"/>
            <w:vAlign w:val="center"/>
            <w:hideMark/>
          </w:tcPr>
          <w:p w14:paraId="323C117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6.4</w:t>
            </w:r>
          </w:p>
        </w:tc>
        <w:tc>
          <w:tcPr>
            <w:tcW w:w="0" w:type="auto"/>
            <w:vAlign w:val="center"/>
            <w:hideMark/>
          </w:tcPr>
          <w:p w14:paraId="4577B97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138AD4A8" w14:textId="77777777" w:rsidTr="00207648">
        <w:trPr>
          <w:tblCellSpacing w:w="15" w:type="dxa"/>
        </w:trPr>
        <w:tc>
          <w:tcPr>
            <w:tcW w:w="0" w:type="auto"/>
            <w:tcBorders>
              <w:bottom w:val="single" w:sz="4" w:space="0" w:color="auto"/>
            </w:tcBorders>
            <w:vAlign w:val="center"/>
            <w:hideMark/>
          </w:tcPr>
          <w:p w14:paraId="12D6EB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5A255F2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66BF36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0A5363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D1D2E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00CE867" w14:textId="176DA416"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3 presents the educational levels of the 251 respondents. The majority, 156 respondents (62.1%), have attained higher institution education. This is followed by 60 respondents (23.9%) with secondary school education, 19 respondents (7.6%) with primary school education, and 16 respondents (6.4%) with informal education. The cumulative percentages show that higher education is the most common, and all education levels together account for 100% of the sample.</w:t>
      </w:r>
    </w:p>
    <w:p w14:paraId="1A3C9A2D" w14:textId="14953881"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4: Familiarity with Medical Waste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971"/>
        <w:gridCol w:w="716"/>
        <w:gridCol w:w="1232"/>
        <w:gridCol w:w="1781"/>
      </w:tblGrid>
      <w:tr w:rsidR="00AF4A2A" w:rsidRPr="002E4226" w14:paraId="37B22A26" w14:textId="77777777" w:rsidTr="00207648">
        <w:trPr>
          <w:tblCellSpacing w:w="15" w:type="dxa"/>
        </w:trPr>
        <w:tc>
          <w:tcPr>
            <w:tcW w:w="0" w:type="auto"/>
            <w:tcBorders>
              <w:top w:val="single" w:sz="4" w:space="0" w:color="auto"/>
            </w:tcBorders>
            <w:vAlign w:val="center"/>
            <w:hideMark/>
          </w:tcPr>
          <w:p w14:paraId="21F3734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Familiarity</w:t>
            </w:r>
          </w:p>
        </w:tc>
        <w:tc>
          <w:tcPr>
            <w:tcW w:w="0" w:type="auto"/>
            <w:tcBorders>
              <w:top w:val="single" w:sz="4" w:space="0" w:color="auto"/>
            </w:tcBorders>
            <w:vAlign w:val="center"/>
            <w:hideMark/>
          </w:tcPr>
          <w:p w14:paraId="13998CB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tcBorders>
            <w:vAlign w:val="center"/>
            <w:hideMark/>
          </w:tcPr>
          <w:p w14:paraId="04B6EA06"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tcBorders>
            <w:vAlign w:val="center"/>
            <w:hideMark/>
          </w:tcPr>
          <w:p w14:paraId="783C907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tcBorders>
            <w:vAlign w:val="center"/>
            <w:hideMark/>
          </w:tcPr>
          <w:p w14:paraId="468000F9"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71E9695B" w14:textId="77777777" w:rsidTr="00207648">
        <w:trPr>
          <w:tblCellSpacing w:w="15" w:type="dxa"/>
        </w:trPr>
        <w:tc>
          <w:tcPr>
            <w:tcW w:w="0" w:type="auto"/>
            <w:tcBorders>
              <w:top w:val="single" w:sz="4" w:space="0" w:color="auto"/>
            </w:tcBorders>
            <w:vAlign w:val="center"/>
            <w:hideMark/>
          </w:tcPr>
          <w:p w14:paraId="4907B78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Familiar</w:t>
            </w:r>
          </w:p>
        </w:tc>
        <w:tc>
          <w:tcPr>
            <w:tcW w:w="0" w:type="auto"/>
            <w:tcBorders>
              <w:top w:val="single" w:sz="4" w:space="0" w:color="auto"/>
            </w:tcBorders>
            <w:vAlign w:val="center"/>
            <w:hideMark/>
          </w:tcPr>
          <w:p w14:paraId="48190A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w:t>
            </w:r>
          </w:p>
        </w:tc>
        <w:tc>
          <w:tcPr>
            <w:tcW w:w="0" w:type="auto"/>
            <w:tcBorders>
              <w:top w:val="single" w:sz="4" w:space="0" w:color="auto"/>
            </w:tcBorders>
            <w:vAlign w:val="center"/>
            <w:hideMark/>
          </w:tcPr>
          <w:p w14:paraId="03BECEA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c>
          <w:tcPr>
            <w:tcW w:w="0" w:type="auto"/>
            <w:tcBorders>
              <w:top w:val="single" w:sz="4" w:space="0" w:color="auto"/>
            </w:tcBorders>
            <w:vAlign w:val="center"/>
            <w:hideMark/>
          </w:tcPr>
          <w:p w14:paraId="4A0BBC0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c>
          <w:tcPr>
            <w:tcW w:w="0" w:type="auto"/>
            <w:tcBorders>
              <w:top w:val="single" w:sz="4" w:space="0" w:color="auto"/>
            </w:tcBorders>
            <w:vAlign w:val="center"/>
            <w:hideMark/>
          </w:tcPr>
          <w:p w14:paraId="3F38678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32.3</w:t>
            </w:r>
          </w:p>
        </w:tc>
      </w:tr>
      <w:tr w:rsidR="00AF4A2A" w:rsidRPr="002E4226" w14:paraId="6B65818E" w14:textId="77777777" w:rsidTr="00207648">
        <w:trPr>
          <w:tblCellSpacing w:w="15" w:type="dxa"/>
        </w:trPr>
        <w:tc>
          <w:tcPr>
            <w:tcW w:w="0" w:type="auto"/>
            <w:vAlign w:val="center"/>
            <w:hideMark/>
          </w:tcPr>
          <w:p w14:paraId="227BBFC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Familiar</w:t>
            </w:r>
          </w:p>
        </w:tc>
        <w:tc>
          <w:tcPr>
            <w:tcW w:w="0" w:type="auto"/>
            <w:vAlign w:val="center"/>
            <w:hideMark/>
          </w:tcPr>
          <w:p w14:paraId="0079B2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122</w:t>
            </w:r>
          </w:p>
        </w:tc>
        <w:tc>
          <w:tcPr>
            <w:tcW w:w="0" w:type="auto"/>
            <w:vAlign w:val="center"/>
            <w:hideMark/>
          </w:tcPr>
          <w:p w14:paraId="57CC42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48.6</w:t>
            </w:r>
          </w:p>
        </w:tc>
        <w:tc>
          <w:tcPr>
            <w:tcW w:w="0" w:type="auto"/>
            <w:vAlign w:val="center"/>
            <w:hideMark/>
          </w:tcPr>
          <w:p w14:paraId="5222E9C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48.6</w:t>
            </w:r>
          </w:p>
        </w:tc>
        <w:tc>
          <w:tcPr>
            <w:tcW w:w="0" w:type="auto"/>
            <w:vAlign w:val="center"/>
            <w:hideMark/>
          </w:tcPr>
          <w:p w14:paraId="206F5D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80.9</w:t>
            </w:r>
          </w:p>
        </w:tc>
      </w:tr>
      <w:tr w:rsidR="00AF4A2A" w:rsidRPr="002E4226" w14:paraId="12E64BCD" w14:textId="77777777" w:rsidTr="00207648">
        <w:trPr>
          <w:tblCellSpacing w:w="15" w:type="dxa"/>
        </w:trPr>
        <w:tc>
          <w:tcPr>
            <w:tcW w:w="0" w:type="auto"/>
            <w:vAlign w:val="center"/>
            <w:hideMark/>
          </w:tcPr>
          <w:p w14:paraId="302804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Slightly Familiar</w:t>
            </w:r>
          </w:p>
        </w:tc>
        <w:tc>
          <w:tcPr>
            <w:tcW w:w="0" w:type="auto"/>
            <w:vAlign w:val="center"/>
            <w:hideMark/>
          </w:tcPr>
          <w:p w14:paraId="0A3E630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47</w:t>
            </w:r>
          </w:p>
        </w:tc>
        <w:tc>
          <w:tcPr>
            <w:tcW w:w="0" w:type="auto"/>
            <w:vAlign w:val="center"/>
            <w:hideMark/>
          </w:tcPr>
          <w:p w14:paraId="1668C09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18.7</w:t>
            </w:r>
          </w:p>
        </w:tc>
        <w:tc>
          <w:tcPr>
            <w:tcW w:w="0" w:type="auto"/>
            <w:vAlign w:val="center"/>
            <w:hideMark/>
          </w:tcPr>
          <w:p w14:paraId="4BB0D5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18.7</w:t>
            </w:r>
          </w:p>
        </w:tc>
        <w:tc>
          <w:tcPr>
            <w:tcW w:w="0" w:type="auto"/>
            <w:vAlign w:val="center"/>
            <w:hideMark/>
          </w:tcPr>
          <w:p w14:paraId="5A087E6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99.6</w:t>
            </w:r>
          </w:p>
        </w:tc>
      </w:tr>
      <w:tr w:rsidR="00AF4A2A" w:rsidRPr="002E4226" w14:paraId="6F78A27D" w14:textId="77777777" w:rsidTr="00207648">
        <w:trPr>
          <w:tblCellSpacing w:w="15" w:type="dxa"/>
        </w:trPr>
        <w:tc>
          <w:tcPr>
            <w:tcW w:w="0" w:type="auto"/>
            <w:vAlign w:val="center"/>
            <w:hideMark/>
          </w:tcPr>
          <w:p w14:paraId="27F6C02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Not Familiar</w:t>
            </w:r>
          </w:p>
        </w:tc>
        <w:tc>
          <w:tcPr>
            <w:tcW w:w="0" w:type="auto"/>
            <w:vAlign w:val="center"/>
            <w:hideMark/>
          </w:tcPr>
          <w:p w14:paraId="4036795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w:t>
            </w:r>
          </w:p>
        </w:tc>
        <w:tc>
          <w:tcPr>
            <w:tcW w:w="0" w:type="auto"/>
            <w:vAlign w:val="center"/>
            <w:hideMark/>
          </w:tcPr>
          <w:p w14:paraId="04DA3BB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0.4</w:t>
            </w:r>
          </w:p>
        </w:tc>
        <w:tc>
          <w:tcPr>
            <w:tcW w:w="0" w:type="auto"/>
            <w:vAlign w:val="center"/>
            <w:hideMark/>
          </w:tcPr>
          <w:p w14:paraId="433213B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0.4</w:t>
            </w:r>
          </w:p>
        </w:tc>
        <w:tc>
          <w:tcPr>
            <w:tcW w:w="0" w:type="auto"/>
            <w:vAlign w:val="center"/>
            <w:hideMark/>
          </w:tcPr>
          <w:p w14:paraId="732BB98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F801CF9" w14:textId="77777777" w:rsidTr="00207648">
        <w:trPr>
          <w:tblCellSpacing w:w="15" w:type="dxa"/>
        </w:trPr>
        <w:tc>
          <w:tcPr>
            <w:tcW w:w="0" w:type="auto"/>
            <w:tcBorders>
              <w:bottom w:val="single" w:sz="4" w:space="0" w:color="auto"/>
            </w:tcBorders>
            <w:vAlign w:val="center"/>
            <w:hideMark/>
          </w:tcPr>
          <w:p w14:paraId="01FE95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1EC4398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68DFA1C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664EF0F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D7F161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40E4260B" w14:textId="624A2C44"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4 shows the respondents’ familiarity with medical waste. Most respondents, 122 (48.6%), reported being familiar, while 81 respondents (32.3%) were very familiar. A smaller group, 47 respondents (18.7%), were slightly familiar, and only 1 respondent (0.4%) reported being not familiar at all. The cumulative percentages indicate that nearly all respondents have some level of familiarity with medical waste, highlighting a generally high awareness among the sample.</w:t>
      </w:r>
    </w:p>
    <w:p w14:paraId="0B944692" w14:textId="76A248CE"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5: Types of Medical Waste Generated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971"/>
        <w:gridCol w:w="716"/>
        <w:gridCol w:w="1232"/>
        <w:gridCol w:w="1781"/>
      </w:tblGrid>
      <w:tr w:rsidR="00AF4A2A" w:rsidRPr="002E4226" w14:paraId="21DDB33D" w14:textId="77777777" w:rsidTr="00207648">
        <w:trPr>
          <w:tblCellSpacing w:w="15" w:type="dxa"/>
        </w:trPr>
        <w:tc>
          <w:tcPr>
            <w:tcW w:w="0" w:type="auto"/>
            <w:tcBorders>
              <w:top w:val="single" w:sz="4" w:space="0" w:color="auto"/>
              <w:bottom w:val="single" w:sz="4" w:space="0" w:color="auto"/>
            </w:tcBorders>
            <w:vAlign w:val="center"/>
            <w:hideMark/>
          </w:tcPr>
          <w:p w14:paraId="526408F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Waste Type</w:t>
            </w:r>
          </w:p>
        </w:tc>
        <w:tc>
          <w:tcPr>
            <w:tcW w:w="0" w:type="auto"/>
            <w:tcBorders>
              <w:top w:val="single" w:sz="4" w:space="0" w:color="auto"/>
              <w:bottom w:val="single" w:sz="4" w:space="0" w:color="auto"/>
            </w:tcBorders>
            <w:vAlign w:val="center"/>
            <w:hideMark/>
          </w:tcPr>
          <w:p w14:paraId="62B8888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5C598D1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728759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4D85D23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9424DDF" w14:textId="77777777" w:rsidTr="00207648">
        <w:trPr>
          <w:tblCellSpacing w:w="15" w:type="dxa"/>
        </w:trPr>
        <w:tc>
          <w:tcPr>
            <w:tcW w:w="0" w:type="auto"/>
            <w:vAlign w:val="center"/>
            <w:hideMark/>
          </w:tcPr>
          <w:p w14:paraId="5131F44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Infectious Waste</w:t>
            </w:r>
          </w:p>
        </w:tc>
        <w:tc>
          <w:tcPr>
            <w:tcW w:w="0" w:type="auto"/>
            <w:vAlign w:val="center"/>
            <w:hideMark/>
          </w:tcPr>
          <w:p w14:paraId="04759F8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vAlign w:val="center"/>
            <w:hideMark/>
          </w:tcPr>
          <w:p w14:paraId="2F753C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3F95776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6411C86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66C2F699" w14:textId="77777777" w:rsidTr="00207648">
        <w:trPr>
          <w:tblCellSpacing w:w="15" w:type="dxa"/>
        </w:trPr>
        <w:tc>
          <w:tcPr>
            <w:tcW w:w="0" w:type="auto"/>
            <w:vAlign w:val="center"/>
            <w:hideMark/>
          </w:tcPr>
          <w:p w14:paraId="1FB222C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Sharps</w:t>
            </w:r>
          </w:p>
        </w:tc>
        <w:tc>
          <w:tcPr>
            <w:tcW w:w="0" w:type="auto"/>
            <w:vAlign w:val="center"/>
            <w:hideMark/>
          </w:tcPr>
          <w:p w14:paraId="0FEDF48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vAlign w:val="center"/>
            <w:hideMark/>
          </w:tcPr>
          <w:p w14:paraId="36CBBC8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410BA7A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vAlign w:val="center"/>
            <w:hideMark/>
          </w:tcPr>
          <w:p w14:paraId="772BCF7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4AC6131F" w14:textId="77777777" w:rsidTr="00207648">
        <w:trPr>
          <w:tblCellSpacing w:w="15" w:type="dxa"/>
        </w:trPr>
        <w:tc>
          <w:tcPr>
            <w:tcW w:w="0" w:type="auto"/>
            <w:vAlign w:val="center"/>
            <w:hideMark/>
          </w:tcPr>
          <w:p w14:paraId="607B3AD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Chemical Waste</w:t>
            </w:r>
          </w:p>
        </w:tc>
        <w:tc>
          <w:tcPr>
            <w:tcW w:w="0" w:type="auto"/>
            <w:vAlign w:val="center"/>
            <w:hideMark/>
          </w:tcPr>
          <w:p w14:paraId="728D8C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229</w:t>
            </w:r>
          </w:p>
        </w:tc>
        <w:tc>
          <w:tcPr>
            <w:tcW w:w="0" w:type="auto"/>
            <w:vAlign w:val="center"/>
            <w:hideMark/>
          </w:tcPr>
          <w:p w14:paraId="3B63F76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c>
          <w:tcPr>
            <w:tcW w:w="0" w:type="auto"/>
            <w:vAlign w:val="center"/>
            <w:hideMark/>
          </w:tcPr>
          <w:p w14:paraId="0516F0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c>
          <w:tcPr>
            <w:tcW w:w="0" w:type="auto"/>
            <w:vAlign w:val="center"/>
            <w:hideMark/>
          </w:tcPr>
          <w:p w14:paraId="5C1FCB4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r>
      <w:tr w:rsidR="00AF4A2A" w:rsidRPr="002E4226" w14:paraId="47B4BE7F" w14:textId="77777777" w:rsidTr="00207648">
        <w:trPr>
          <w:tblCellSpacing w:w="15" w:type="dxa"/>
        </w:trPr>
        <w:tc>
          <w:tcPr>
            <w:tcW w:w="0" w:type="auto"/>
            <w:vAlign w:val="center"/>
            <w:hideMark/>
          </w:tcPr>
          <w:p w14:paraId="2BD86C2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Pathological Waste</w:t>
            </w:r>
          </w:p>
        </w:tc>
        <w:tc>
          <w:tcPr>
            <w:tcW w:w="0" w:type="auto"/>
            <w:vAlign w:val="center"/>
            <w:hideMark/>
          </w:tcPr>
          <w:p w14:paraId="28BA9A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203</w:t>
            </w:r>
          </w:p>
        </w:tc>
        <w:tc>
          <w:tcPr>
            <w:tcW w:w="0" w:type="auto"/>
            <w:vAlign w:val="center"/>
            <w:hideMark/>
          </w:tcPr>
          <w:p w14:paraId="19CB6A6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c>
          <w:tcPr>
            <w:tcW w:w="0" w:type="auto"/>
            <w:vAlign w:val="center"/>
            <w:hideMark/>
          </w:tcPr>
          <w:p w14:paraId="2BBEEA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c>
          <w:tcPr>
            <w:tcW w:w="0" w:type="auto"/>
            <w:vAlign w:val="center"/>
            <w:hideMark/>
          </w:tcPr>
          <w:p w14:paraId="563844D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81.0</w:t>
            </w:r>
          </w:p>
        </w:tc>
      </w:tr>
      <w:tr w:rsidR="00AF4A2A" w:rsidRPr="002E4226" w14:paraId="1E6F2E03" w14:textId="77777777" w:rsidTr="00207648">
        <w:trPr>
          <w:tblCellSpacing w:w="15" w:type="dxa"/>
        </w:trPr>
        <w:tc>
          <w:tcPr>
            <w:tcW w:w="0" w:type="auto"/>
            <w:tcBorders>
              <w:bottom w:val="single" w:sz="4" w:space="0" w:color="auto"/>
            </w:tcBorders>
            <w:vAlign w:val="center"/>
            <w:hideMark/>
          </w:tcPr>
          <w:p w14:paraId="7BFCED4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General Waste</w:t>
            </w:r>
          </w:p>
        </w:tc>
        <w:tc>
          <w:tcPr>
            <w:tcW w:w="0" w:type="auto"/>
            <w:tcBorders>
              <w:bottom w:val="single" w:sz="4" w:space="0" w:color="auto"/>
            </w:tcBorders>
            <w:vAlign w:val="center"/>
            <w:hideMark/>
          </w:tcPr>
          <w:p w14:paraId="31284A5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71B7A0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C9431C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C456C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bl>
    <w:p w14:paraId="2A44F1FF" w14:textId="5F0D6DD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 xml:space="preserve">Table 5 presents the </w:t>
      </w:r>
      <w:r w:rsidRPr="002E4226">
        <w:rPr>
          <w:rFonts w:ascii="Times New Roman" w:eastAsiaTheme="majorEastAsia" w:hAnsi="Times New Roman"/>
          <w:color w:val="0D0D0D" w:themeColor="text1" w:themeTint="F2"/>
        </w:rPr>
        <w:t>types of medical waste generated</w:t>
      </w:r>
      <w:r w:rsidRPr="002E4226">
        <w:rPr>
          <w:rFonts w:ascii="Times New Roman" w:hAnsi="Times New Roman"/>
          <w:color w:val="0D0D0D" w:themeColor="text1" w:themeTint="F2"/>
        </w:rPr>
        <w:t xml:space="preserve"> according to the respondents. It shows that all respondents </w:t>
      </w:r>
      <w:r w:rsidRPr="002E4226">
        <w:rPr>
          <w:rFonts w:ascii="Times New Roman" w:hAnsi="Times New Roman"/>
          <w:b/>
          <w:bCs/>
          <w:color w:val="0D0D0D" w:themeColor="text1" w:themeTint="F2"/>
        </w:rPr>
        <w:t>(</w:t>
      </w:r>
      <w:r w:rsidRPr="002E4226">
        <w:rPr>
          <w:rFonts w:ascii="Times New Roman" w:eastAsiaTheme="majorEastAsia" w:hAnsi="Times New Roman"/>
          <w:color w:val="0D0D0D" w:themeColor="text1" w:themeTint="F2"/>
        </w:rPr>
        <w:t>251; 100%</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reported </w:t>
      </w:r>
      <w:r w:rsidRPr="002E4226">
        <w:rPr>
          <w:rFonts w:ascii="Times New Roman" w:eastAsiaTheme="majorEastAsia" w:hAnsi="Times New Roman"/>
          <w:color w:val="0D0D0D" w:themeColor="text1" w:themeTint="F2"/>
        </w:rPr>
        <w:t>infectious waste, sharps,</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and general waste</w:t>
      </w:r>
      <w:r w:rsidRPr="002E4226">
        <w:rPr>
          <w:rFonts w:ascii="Times New Roman" w:hAnsi="Times New Roman"/>
          <w:b/>
          <w:bCs/>
          <w:color w:val="0D0D0D" w:themeColor="text1" w:themeTint="F2"/>
        </w:rPr>
        <w:t xml:space="preserve">. </w:t>
      </w:r>
      <w:r w:rsidRPr="002E4226">
        <w:rPr>
          <w:rFonts w:ascii="Times New Roman" w:eastAsiaTheme="majorEastAsia" w:hAnsi="Times New Roman"/>
          <w:color w:val="0D0D0D" w:themeColor="text1" w:themeTint="F2"/>
        </w:rPr>
        <w:t>Chemical waste</w:t>
      </w:r>
      <w:r w:rsidRPr="002E4226">
        <w:rPr>
          <w:rFonts w:ascii="Times New Roman" w:hAnsi="Times New Roman"/>
          <w:color w:val="0D0D0D" w:themeColor="text1" w:themeTint="F2"/>
        </w:rPr>
        <w:t xml:space="preserve"> was generated by </w:t>
      </w:r>
      <w:r w:rsidRPr="002E4226">
        <w:rPr>
          <w:rFonts w:ascii="Times New Roman" w:eastAsiaTheme="majorEastAsia" w:hAnsi="Times New Roman"/>
          <w:color w:val="0D0D0D" w:themeColor="text1" w:themeTint="F2"/>
        </w:rPr>
        <w:t>229 respondents (91.2%)</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while </w:t>
      </w:r>
      <w:r w:rsidRPr="002E4226">
        <w:rPr>
          <w:rFonts w:ascii="Times New Roman" w:eastAsiaTheme="majorEastAsia" w:hAnsi="Times New Roman"/>
          <w:color w:val="0D0D0D" w:themeColor="text1" w:themeTint="F2"/>
        </w:rPr>
        <w:t>pathological waste</w:t>
      </w:r>
      <w:r w:rsidRPr="002E4226">
        <w:rPr>
          <w:rFonts w:ascii="Times New Roman" w:hAnsi="Times New Roman"/>
          <w:color w:val="0D0D0D" w:themeColor="text1" w:themeTint="F2"/>
        </w:rPr>
        <w:t xml:space="preserve"> was reported by </w:t>
      </w:r>
      <w:r w:rsidRPr="002E4226">
        <w:rPr>
          <w:rFonts w:ascii="Times New Roman" w:eastAsiaTheme="majorEastAsia" w:hAnsi="Times New Roman"/>
          <w:color w:val="0D0D0D" w:themeColor="text1" w:themeTint="F2"/>
        </w:rPr>
        <w:t>203 respondents (81.0%)</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This indicates that while most medical facilities produce all major types of waste, chemical and pathological wastes are slightly less prevalent compared to infectious, sharps, and general waste. </w:t>
      </w:r>
    </w:p>
    <w:p w14:paraId="3204935D" w14:textId="4C873462"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b/>
          <w:bCs/>
          <w:color w:val="0D0D0D" w:themeColor="text1" w:themeTint="F2"/>
        </w:rPr>
        <w:t>Table 6: Adequacy of Staff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971"/>
        <w:gridCol w:w="716"/>
        <w:gridCol w:w="1232"/>
        <w:gridCol w:w="1781"/>
      </w:tblGrid>
      <w:tr w:rsidR="00AF4A2A" w:rsidRPr="002E4226" w14:paraId="7542D4B6" w14:textId="77777777" w:rsidTr="00207648">
        <w:trPr>
          <w:tblCellSpacing w:w="15" w:type="dxa"/>
        </w:trPr>
        <w:tc>
          <w:tcPr>
            <w:tcW w:w="0" w:type="auto"/>
            <w:tcBorders>
              <w:top w:val="single" w:sz="4" w:space="0" w:color="auto"/>
              <w:bottom w:val="single" w:sz="4" w:space="0" w:color="auto"/>
            </w:tcBorders>
            <w:vAlign w:val="center"/>
            <w:hideMark/>
          </w:tcPr>
          <w:p w14:paraId="7496147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3C9B6C6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319B53C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2EE9223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40D2E25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3EF9B60" w14:textId="77777777" w:rsidTr="00207648">
        <w:trPr>
          <w:tblCellSpacing w:w="15" w:type="dxa"/>
        </w:trPr>
        <w:tc>
          <w:tcPr>
            <w:tcW w:w="0" w:type="auto"/>
            <w:vAlign w:val="center"/>
            <w:hideMark/>
          </w:tcPr>
          <w:p w14:paraId="1FE73C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Agree</w:t>
            </w:r>
          </w:p>
        </w:tc>
        <w:tc>
          <w:tcPr>
            <w:tcW w:w="0" w:type="auto"/>
            <w:vAlign w:val="center"/>
            <w:hideMark/>
          </w:tcPr>
          <w:p w14:paraId="050A155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w:t>
            </w:r>
          </w:p>
        </w:tc>
        <w:tc>
          <w:tcPr>
            <w:tcW w:w="0" w:type="auto"/>
            <w:vAlign w:val="center"/>
            <w:hideMark/>
          </w:tcPr>
          <w:p w14:paraId="6EE13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c>
          <w:tcPr>
            <w:tcW w:w="0" w:type="auto"/>
            <w:vAlign w:val="center"/>
            <w:hideMark/>
          </w:tcPr>
          <w:p w14:paraId="50C483C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c>
          <w:tcPr>
            <w:tcW w:w="0" w:type="auto"/>
            <w:vAlign w:val="center"/>
            <w:hideMark/>
          </w:tcPr>
          <w:p w14:paraId="1E007E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22.7</w:t>
            </w:r>
          </w:p>
        </w:tc>
      </w:tr>
      <w:tr w:rsidR="00AF4A2A" w:rsidRPr="002E4226" w14:paraId="5DCE1AC1" w14:textId="77777777" w:rsidTr="00207648">
        <w:trPr>
          <w:tblCellSpacing w:w="15" w:type="dxa"/>
        </w:trPr>
        <w:tc>
          <w:tcPr>
            <w:tcW w:w="0" w:type="auto"/>
            <w:vAlign w:val="center"/>
            <w:hideMark/>
          </w:tcPr>
          <w:p w14:paraId="6A287AA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Agree</w:t>
            </w:r>
          </w:p>
        </w:tc>
        <w:tc>
          <w:tcPr>
            <w:tcW w:w="0" w:type="auto"/>
            <w:vAlign w:val="center"/>
            <w:hideMark/>
          </w:tcPr>
          <w:p w14:paraId="2DF55AA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78</w:t>
            </w:r>
          </w:p>
        </w:tc>
        <w:tc>
          <w:tcPr>
            <w:tcW w:w="0" w:type="auto"/>
            <w:vAlign w:val="center"/>
            <w:hideMark/>
          </w:tcPr>
          <w:p w14:paraId="38A30B7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31.1</w:t>
            </w:r>
          </w:p>
        </w:tc>
        <w:tc>
          <w:tcPr>
            <w:tcW w:w="0" w:type="auto"/>
            <w:vAlign w:val="center"/>
            <w:hideMark/>
          </w:tcPr>
          <w:p w14:paraId="61FC7FF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31.1</w:t>
            </w:r>
          </w:p>
        </w:tc>
        <w:tc>
          <w:tcPr>
            <w:tcW w:w="0" w:type="auto"/>
            <w:vAlign w:val="center"/>
            <w:hideMark/>
          </w:tcPr>
          <w:p w14:paraId="2EC52FF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53.8</w:t>
            </w:r>
          </w:p>
        </w:tc>
      </w:tr>
      <w:tr w:rsidR="00AF4A2A" w:rsidRPr="002E4226" w14:paraId="2AE87D35" w14:textId="77777777" w:rsidTr="00207648">
        <w:trPr>
          <w:tblCellSpacing w:w="15" w:type="dxa"/>
        </w:trPr>
        <w:tc>
          <w:tcPr>
            <w:tcW w:w="0" w:type="auto"/>
            <w:vAlign w:val="center"/>
            <w:hideMark/>
          </w:tcPr>
          <w:p w14:paraId="46E539E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Neutral</w:t>
            </w:r>
          </w:p>
        </w:tc>
        <w:tc>
          <w:tcPr>
            <w:tcW w:w="0" w:type="auto"/>
            <w:vAlign w:val="center"/>
            <w:hideMark/>
          </w:tcPr>
          <w:p w14:paraId="62EB19F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704F609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03A18A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13.1</w:t>
            </w:r>
          </w:p>
        </w:tc>
        <w:tc>
          <w:tcPr>
            <w:tcW w:w="0" w:type="auto"/>
            <w:vAlign w:val="center"/>
            <w:hideMark/>
          </w:tcPr>
          <w:p w14:paraId="3FD008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66.9</w:t>
            </w:r>
          </w:p>
        </w:tc>
      </w:tr>
      <w:tr w:rsidR="00AF4A2A" w:rsidRPr="002E4226" w14:paraId="1291A175" w14:textId="77777777" w:rsidTr="00207648">
        <w:trPr>
          <w:tblCellSpacing w:w="15" w:type="dxa"/>
        </w:trPr>
        <w:tc>
          <w:tcPr>
            <w:tcW w:w="0" w:type="auto"/>
            <w:vAlign w:val="center"/>
            <w:hideMark/>
          </w:tcPr>
          <w:p w14:paraId="341816D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Disagree</w:t>
            </w:r>
          </w:p>
        </w:tc>
        <w:tc>
          <w:tcPr>
            <w:tcW w:w="0" w:type="auto"/>
            <w:vAlign w:val="center"/>
            <w:hideMark/>
          </w:tcPr>
          <w:p w14:paraId="1B3240D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46</w:t>
            </w:r>
          </w:p>
        </w:tc>
        <w:tc>
          <w:tcPr>
            <w:tcW w:w="0" w:type="auto"/>
            <w:vAlign w:val="center"/>
            <w:hideMark/>
          </w:tcPr>
          <w:p w14:paraId="71EDDA5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4CDED0F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1B04648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85.2</w:t>
            </w:r>
          </w:p>
        </w:tc>
      </w:tr>
      <w:tr w:rsidR="00AF4A2A" w:rsidRPr="002E4226" w14:paraId="34DA9AEF" w14:textId="77777777" w:rsidTr="00207648">
        <w:trPr>
          <w:tblCellSpacing w:w="15" w:type="dxa"/>
        </w:trPr>
        <w:tc>
          <w:tcPr>
            <w:tcW w:w="0" w:type="auto"/>
            <w:vAlign w:val="center"/>
            <w:hideMark/>
          </w:tcPr>
          <w:p w14:paraId="77EBB62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Disagree</w:t>
            </w:r>
          </w:p>
        </w:tc>
        <w:tc>
          <w:tcPr>
            <w:tcW w:w="0" w:type="auto"/>
            <w:vAlign w:val="center"/>
            <w:hideMark/>
          </w:tcPr>
          <w:p w14:paraId="28B70B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w:t>
            </w:r>
          </w:p>
        </w:tc>
        <w:tc>
          <w:tcPr>
            <w:tcW w:w="0" w:type="auto"/>
            <w:vAlign w:val="center"/>
            <w:hideMark/>
          </w:tcPr>
          <w:p w14:paraId="114B611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14.7</w:t>
            </w:r>
          </w:p>
        </w:tc>
        <w:tc>
          <w:tcPr>
            <w:tcW w:w="0" w:type="auto"/>
            <w:vAlign w:val="center"/>
            <w:hideMark/>
          </w:tcPr>
          <w:p w14:paraId="13D908C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14.7</w:t>
            </w:r>
          </w:p>
        </w:tc>
        <w:tc>
          <w:tcPr>
            <w:tcW w:w="0" w:type="auto"/>
            <w:vAlign w:val="center"/>
            <w:hideMark/>
          </w:tcPr>
          <w:p w14:paraId="0833589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5DA05876" w14:textId="77777777" w:rsidTr="00207648">
        <w:trPr>
          <w:tblCellSpacing w:w="15" w:type="dxa"/>
        </w:trPr>
        <w:tc>
          <w:tcPr>
            <w:tcW w:w="0" w:type="auto"/>
            <w:tcBorders>
              <w:bottom w:val="single" w:sz="4" w:space="0" w:color="auto"/>
            </w:tcBorders>
            <w:vAlign w:val="center"/>
            <w:hideMark/>
          </w:tcPr>
          <w:p w14:paraId="417682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7A8823E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53D6C5F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1755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3D5414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6B6E8FEA"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This table summarizes respondents’ opinions on a given statement. The largest group, 78 respondents (31.1%), agreed, while 57 respondents (22.7%) strongly agreed. 33 respondents (13.1%) were neutral, 46 respondents (18.3%) disagreed, and 37 respondents (14.7%) strongly disagreed. Overall, the majority of respondents (53.8% cumulative) had a positive response (agree or strongly agree), indicating general support or agreement with the statement.</w:t>
      </w:r>
    </w:p>
    <w:p w14:paraId="0B93F72D" w14:textId="5CD38199"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7: Policy Effectiveness Perception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971"/>
        <w:gridCol w:w="716"/>
        <w:gridCol w:w="1232"/>
        <w:gridCol w:w="1781"/>
      </w:tblGrid>
      <w:tr w:rsidR="00AF4A2A" w:rsidRPr="002E4226" w14:paraId="57536371" w14:textId="77777777" w:rsidTr="00207648">
        <w:trPr>
          <w:tblCellSpacing w:w="15" w:type="dxa"/>
        </w:trPr>
        <w:tc>
          <w:tcPr>
            <w:tcW w:w="0" w:type="auto"/>
            <w:tcBorders>
              <w:top w:val="single" w:sz="4" w:space="0" w:color="auto"/>
              <w:bottom w:val="single" w:sz="4" w:space="0" w:color="auto"/>
            </w:tcBorders>
            <w:vAlign w:val="center"/>
            <w:hideMark/>
          </w:tcPr>
          <w:p w14:paraId="467E33DE"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7298A02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64456743"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59766D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C51C08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18AC0878" w14:textId="77777777" w:rsidTr="00207648">
        <w:trPr>
          <w:tblCellSpacing w:w="15" w:type="dxa"/>
        </w:trPr>
        <w:tc>
          <w:tcPr>
            <w:tcW w:w="0" w:type="auto"/>
            <w:vAlign w:val="center"/>
            <w:hideMark/>
          </w:tcPr>
          <w:p w14:paraId="351AB79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Agree</w:t>
            </w:r>
          </w:p>
        </w:tc>
        <w:tc>
          <w:tcPr>
            <w:tcW w:w="0" w:type="auto"/>
            <w:vAlign w:val="center"/>
            <w:hideMark/>
          </w:tcPr>
          <w:p w14:paraId="5D014DD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77</w:t>
            </w:r>
          </w:p>
        </w:tc>
        <w:tc>
          <w:tcPr>
            <w:tcW w:w="0" w:type="auto"/>
            <w:vAlign w:val="center"/>
            <w:hideMark/>
          </w:tcPr>
          <w:p w14:paraId="1614A1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c>
          <w:tcPr>
            <w:tcW w:w="0" w:type="auto"/>
            <w:vAlign w:val="center"/>
            <w:hideMark/>
          </w:tcPr>
          <w:p w14:paraId="3072548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c>
          <w:tcPr>
            <w:tcW w:w="0" w:type="auto"/>
            <w:vAlign w:val="center"/>
            <w:hideMark/>
          </w:tcPr>
          <w:p w14:paraId="2D2251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30.7</w:t>
            </w:r>
          </w:p>
        </w:tc>
      </w:tr>
      <w:tr w:rsidR="00AF4A2A" w:rsidRPr="002E4226" w14:paraId="7D0E3915" w14:textId="77777777" w:rsidTr="00207648">
        <w:trPr>
          <w:tblCellSpacing w:w="15" w:type="dxa"/>
        </w:trPr>
        <w:tc>
          <w:tcPr>
            <w:tcW w:w="0" w:type="auto"/>
            <w:vAlign w:val="center"/>
            <w:hideMark/>
          </w:tcPr>
          <w:p w14:paraId="1ACDB45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Agree</w:t>
            </w:r>
          </w:p>
        </w:tc>
        <w:tc>
          <w:tcPr>
            <w:tcW w:w="0" w:type="auto"/>
            <w:vAlign w:val="center"/>
            <w:hideMark/>
          </w:tcPr>
          <w:p w14:paraId="608D4CA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95</w:t>
            </w:r>
          </w:p>
        </w:tc>
        <w:tc>
          <w:tcPr>
            <w:tcW w:w="0" w:type="auto"/>
            <w:vAlign w:val="center"/>
            <w:hideMark/>
          </w:tcPr>
          <w:p w14:paraId="27C22F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37.8</w:t>
            </w:r>
          </w:p>
        </w:tc>
        <w:tc>
          <w:tcPr>
            <w:tcW w:w="0" w:type="auto"/>
            <w:vAlign w:val="center"/>
            <w:hideMark/>
          </w:tcPr>
          <w:p w14:paraId="5F9BBE3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37.8</w:t>
            </w:r>
          </w:p>
        </w:tc>
        <w:tc>
          <w:tcPr>
            <w:tcW w:w="0" w:type="auto"/>
            <w:vAlign w:val="center"/>
            <w:hideMark/>
          </w:tcPr>
          <w:p w14:paraId="74DDD3A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68.5</w:t>
            </w:r>
          </w:p>
        </w:tc>
      </w:tr>
      <w:tr w:rsidR="00AF4A2A" w:rsidRPr="002E4226" w14:paraId="23EAEC48" w14:textId="77777777" w:rsidTr="00207648">
        <w:trPr>
          <w:tblCellSpacing w:w="15" w:type="dxa"/>
        </w:trPr>
        <w:tc>
          <w:tcPr>
            <w:tcW w:w="0" w:type="auto"/>
            <w:vAlign w:val="center"/>
            <w:hideMark/>
          </w:tcPr>
          <w:p w14:paraId="25B0E5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Neutral</w:t>
            </w:r>
          </w:p>
        </w:tc>
        <w:tc>
          <w:tcPr>
            <w:tcW w:w="0" w:type="auto"/>
            <w:vAlign w:val="center"/>
            <w:hideMark/>
          </w:tcPr>
          <w:p w14:paraId="0E601CC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29</w:t>
            </w:r>
          </w:p>
        </w:tc>
        <w:tc>
          <w:tcPr>
            <w:tcW w:w="0" w:type="auto"/>
            <w:vAlign w:val="center"/>
            <w:hideMark/>
          </w:tcPr>
          <w:p w14:paraId="183C3B7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11.6</w:t>
            </w:r>
          </w:p>
        </w:tc>
        <w:tc>
          <w:tcPr>
            <w:tcW w:w="0" w:type="auto"/>
            <w:vAlign w:val="center"/>
            <w:hideMark/>
          </w:tcPr>
          <w:p w14:paraId="59C1D07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11.6</w:t>
            </w:r>
          </w:p>
        </w:tc>
        <w:tc>
          <w:tcPr>
            <w:tcW w:w="0" w:type="auto"/>
            <w:vAlign w:val="center"/>
            <w:hideMark/>
          </w:tcPr>
          <w:p w14:paraId="7B66703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80.1</w:t>
            </w:r>
          </w:p>
        </w:tc>
      </w:tr>
      <w:tr w:rsidR="00AF4A2A" w:rsidRPr="002E4226" w14:paraId="7D3AE9D7" w14:textId="77777777" w:rsidTr="00207648">
        <w:trPr>
          <w:tblCellSpacing w:w="15" w:type="dxa"/>
        </w:trPr>
        <w:tc>
          <w:tcPr>
            <w:tcW w:w="0" w:type="auto"/>
            <w:vAlign w:val="center"/>
            <w:hideMark/>
          </w:tcPr>
          <w:p w14:paraId="06774FF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Disagree</w:t>
            </w:r>
          </w:p>
        </w:tc>
        <w:tc>
          <w:tcPr>
            <w:tcW w:w="0" w:type="auto"/>
            <w:vAlign w:val="center"/>
            <w:hideMark/>
          </w:tcPr>
          <w:p w14:paraId="2A4366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30</w:t>
            </w:r>
          </w:p>
        </w:tc>
        <w:tc>
          <w:tcPr>
            <w:tcW w:w="0" w:type="auto"/>
            <w:vAlign w:val="center"/>
            <w:hideMark/>
          </w:tcPr>
          <w:p w14:paraId="76D2AA7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12.0</w:t>
            </w:r>
          </w:p>
        </w:tc>
        <w:tc>
          <w:tcPr>
            <w:tcW w:w="0" w:type="auto"/>
            <w:vAlign w:val="center"/>
            <w:hideMark/>
          </w:tcPr>
          <w:p w14:paraId="0AE3483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12.0</w:t>
            </w:r>
          </w:p>
        </w:tc>
        <w:tc>
          <w:tcPr>
            <w:tcW w:w="0" w:type="auto"/>
            <w:vAlign w:val="center"/>
            <w:hideMark/>
          </w:tcPr>
          <w:p w14:paraId="4C553E1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92.1</w:t>
            </w:r>
          </w:p>
        </w:tc>
      </w:tr>
      <w:tr w:rsidR="00AF4A2A" w:rsidRPr="002E4226" w14:paraId="29B26787" w14:textId="77777777" w:rsidTr="00207648">
        <w:trPr>
          <w:tblCellSpacing w:w="15" w:type="dxa"/>
        </w:trPr>
        <w:tc>
          <w:tcPr>
            <w:tcW w:w="0" w:type="auto"/>
            <w:vAlign w:val="center"/>
            <w:hideMark/>
          </w:tcPr>
          <w:p w14:paraId="5829CAE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Strongly Disagree</w:t>
            </w:r>
          </w:p>
        </w:tc>
        <w:tc>
          <w:tcPr>
            <w:tcW w:w="0" w:type="auto"/>
            <w:vAlign w:val="center"/>
            <w:hideMark/>
          </w:tcPr>
          <w:p w14:paraId="5658D14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20</w:t>
            </w:r>
          </w:p>
        </w:tc>
        <w:tc>
          <w:tcPr>
            <w:tcW w:w="0" w:type="auto"/>
            <w:vAlign w:val="center"/>
            <w:hideMark/>
          </w:tcPr>
          <w:p w14:paraId="2860C1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w:t>
            </w:r>
          </w:p>
        </w:tc>
        <w:tc>
          <w:tcPr>
            <w:tcW w:w="0" w:type="auto"/>
            <w:vAlign w:val="center"/>
            <w:hideMark/>
          </w:tcPr>
          <w:p w14:paraId="22F29E2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w:t>
            </w:r>
          </w:p>
        </w:tc>
        <w:tc>
          <w:tcPr>
            <w:tcW w:w="0" w:type="auto"/>
            <w:vAlign w:val="center"/>
            <w:hideMark/>
          </w:tcPr>
          <w:p w14:paraId="50AA20A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05771BB" w14:textId="77777777" w:rsidTr="00207648">
        <w:trPr>
          <w:tblCellSpacing w:w="15" w:type="dxa"/>
        </w:trPr>
        <w:tc>
          <w:tcPr>
            <w:tcW w:w="0" w:type="auto"/>
            <w:tcBorders>
              <w:bottom w:val="single" w:sz="4" w:space="0" w:color="auto"/>
            </w:tcBorders>
            <w:vAlign w:val="center"/>
            <w:hideMark/>
          </w:tcPr>
          <w:p w14:paraId="3C3A71D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292F4AF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165B75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4DC1B51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B4D523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35B2C86F" w14:textId="33965619"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7 presents respondents’ perceptions of policy effectiveness. The majority of respondents viewed the policy positively, with 95 (37.8%) agreeing and 77 (30.7%) strongly</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agreeing, totaling 68.5% cumulative in agreement. A smaller portion, 29 respondents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 xml:space="preserve">(11.6%), were neutral, while 30 (12.0%) </w:t>
      </w:r>
      <w:r w:rsidRPr="002E4226">
        <w:rPr>
          <w:rFonts w:ascii="Times New Roman" w:hAnsi="Times New Roman"/>
          <w:color w:val="0D0D0D" w:themeColor="text1" w:themeTint="F2"/>
        </w:rPr>
        <w:lastRenderedPageBreak/>
        <w:t>disagreed and 20 (8.0%) strongly disagreed. Overall, the table indicates that most respondents perceive the policy as effective.</w:t>
      </w:r>
    </w:p>
    <w:p w14:paraId="26C01854" w14:textId="77777777" w:rsidR="00AF4A2A" w:rsidRPr="002E4226" w:rsidRDefault="00AF4A2A" w:rsidP="00AF4A2A">
      <w:pPr>
        <w:spacing w:after="240"/>
        <w:jc w:val="both"/>
        <w:rPr>
          <w:rFonts w:ascii="Times New Roman" w:hAnsi="Times New Roman"/>
          <w:b/>
          <w:bCs/>
          <w:color w:val="0D0D0D" w:themeColor="text1" w:themeTint="F2"/>
        </w:rPr>
      </w:pPr>
    </w:p>
    <w:p w14:paraId="327213C0" w14:textId="7478784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8: Environmental Initiatives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
        <w:gridCol w:w="971"/>
        <w:gridCol w:w="716"/>
        <w:gridCol w:w="1232"/>
        <w:gridCol w:w="1781"/>
      </w:tblGrid>
      <w:tr w:rsidR="00AF4A2A" w:rsidRPr="002E4226" w14:paraId="1DBF7EA9" w14:textId="77777777" w:rsidTr="00207648">
        <w:trPr>
          <w:tblCellSpacing w:w="15" w:type="dxa"/>
        </w:trPr>
        <w:tc>
          <w:tcPr>
            <w:tcW w:w="0" w:type="auto"/>
            <w:tcBorders>
              <w:top w:val="single" w:sz="4" w:space="0" w:color="auto"/>
              <w:bottom w:val="single" w:sz="4" w:space="0" w:color="auto"/>
            </w:tcBorders>
            <w:vAlign w:val="center"/>
            <w:hideMark/>
          </w:tcPr>
          <w:p w14:paraId="5D6C804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2682AB6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7DF5F5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FDC8384"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29AE45F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0C085D87" w14:textId="77777777" w:rsidTr="00207648">
        <w:trPr>
          <w:tblCellSpacing w:w="15" w:type="dxa"/>
        </w:trPr>
        <w:tc>
          <w:tcPr>
            <w:tcW w:w="0" w:type="auto"/>
            <w:vAlign w:val="center"/>
            <w:hideMark/>
          </w:tcPr>
          <w:p w14:paraId="566AD00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Yes</w:t>
            </w:r>
          </w:p>
        </w:tc>
        <w:tc>
          <w:tcPr>
            <w:tcW w:w="0" w:type="auto"/>
            <w:vAlign w:val="center"/>
            <w:hideMark/>
          </w:tcPr>
          <w:p w14:paraId="5ABB134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87</w:t>
            </w:r>
          </w:p>
        </w:tc>
        <w:tc>
          <w:tcPr>
            <w:tcW w:w="0" w:type="auto"/>
            <w:vAlign w:val="center"/>
            <w:hideMark/>
          </w:tcPr>
          <w:p w14:paraId="55DE6A5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c>
          <w:tcPr>
            <w:tcW w:w="0" w:type="auto"/>
            <w:vAlign w:val="center"/>
            <w:hideMark/>
          </w:tcPr>
          <w:p w14:paraId="50A39C7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c>
          <w:tcPr>
            <w:tcW w:w="0" w:type="auto"/>
            <w:vAlign w:val="center"/>
            <w:hideMark/>
          </w:tcPr>
          <w:p w14:paraId="2FB69F4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34.7</w:t>
            </w:r>
          </w:p>
        </w:tc>
      </w:tr>
      <w:tr w:rsidR="00AF4A2A" w:rsidRPr="002E4226" w14:paraId="46B8E3E8" w14:textId="77777777" w:rsidTr="00207648">
        <w:trPr>
          <w:tblCellSpacing w:w="15" w:type="dxa"/>
        </w:trPr>
        <w:tc>
          <w:tcPr>
            <w:tcW w:w="0" w:type="auto"/>
            <w:vAlign w:val="center"/>
            <w:hideMark/>
          </w:tcPr>
          <w:p w14:paraId="37F8C08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w:t>
            </w:r>
          </w:p>
        </w:tc>
        <w:tc>
          <w:tcPr>
            <w:tcW w:w="0" w:type="auto"/>
            <w:vAlign w:val="center"/>
            <w:hideMark/>
          </w:tcPr>
          <w:p w14:paraId="5CFE2B7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164</w:t>
            </w:r>
          </w:p>
        </w:tc>
        <w:tc>
          <w:tcPr>
            <w:tcW w:w="0" w:type="auto"/>
            <w:vAlign w:val="center"/>
            <w:hideMark/>
          </w:tcPr>
          <w:p w14:paraId="1DD6782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65.3</w:t>
            </w:r>
          </w:p>
        </w:tc>
        <w:tc>
          <w:tcPr>
            <w:tcW w:w="0" w:type="auto"/>
            <w:vAlign w:val="center"/>
            <w:hideMark/>
          </w:tcPr>
          <w:p w14:paraId="47CD5188"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65.3</w:t>
            </w:r>
          </w:p>
        </w:tc>
        <w:tc>
          <w:tcPr>
            <w:tcW w:w="0" w:type="auto"/>
            <w:vAlign w:val="center"/>
            <w:hideMark/>
          </w:tcPr>
          <w:p w14:paraId="2ABD999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0F30708A" w14:textId="77777777" w:rsidTr="00207648">
        <w:trPr>
          <w:tblCellSpacing w:w="15" w:type="dxa"/>
        </w:trPr>
        <w:tc>
          <w:tcPr>
            <w:tcW w:w="0" w:type="auto"/>
            <w:tcBorders>
              <w:bottom w:val="single" w:sz="4" w:space="0" w:color="auto"/>
            </w:tcBorders>
            <w:vAlign w:val="center"/>
            <w:hideMark/>
          </w:tcPr>
          <w:p w14:paraId="3E0C16C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70D2551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50171EC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205C1B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1E667FF"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05A1BE0" w14:textId="16CD1412"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8 shows respondents’ involvement in environmental initiatives. A minority, 87 respondents (34.7%), reported participating in such initiatives, while the majority, 164 respondents (65.3%), indicated they do </w:t>
      </w:r>
      <w:r w:rsidRPr="002E4226">
        <w:rPr>
          <w:rFonts w:ascii="Times New Roman" w:hAnsi="Times New Roman"/>
          <w:b/>
          <w:bCs/>
          <w:color w:val="0D0D0D" w:themeColor="text1" w:themeTint="F2"/>
        </w:rPr>
        <w:t>not</w:t>
      </w:r>
      <w:r w:rsidRPr="002E4226">
        <w:rPr>
          <w:rFonts w:ascii="Times New Roman" w:hAnsi="Times New Roman"/>
          <w:color w:val="0D0D0D" w:themeColor="text1" w:themeTint="F2"/>
        </w:rPr>
        <w:t xml:space="preserve"> participate. This suggests that engagement in environmental initiatives among the respondents is relatively low.</w:t>
      </w:r>
    </w:p>
    <w:p w14:paraId="2BEC2DA1" w14:textId="7BF77A3C"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9: Perceived Health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
        <w:gridCol w:w="971"/>
        <w:gridCol w:w="716"/>
        <w:gridCol w:w="1232"/>
        <w:gridCol w:w="1781"/>
      </w:tblGrid>
      <w:tr w:rsidR="00AF4A2A" w:rsidRPr="002E4226" w14:paraId="32264DAB" w14:textId="77777777" w:rsidTr="00207648">
        <w:trPr>
          <w:tblCellSpacing w:w="15" w:type="dxa"/>
        </w:trPr>
        <w:tc>
          <w:tcPr>
            <w:tcW w:w="0" w:type="auto"/>
            <w:tcBorders>
              <w:top w:val="single" w:sz="4" w:space="0" w:color="auto"/>
              <w:bottom w:val="single" w:sz="4" w:space="0" w:color="auto"/>
            </w:tcBorders>
            <w:vAlign w:val="center"/>
            <w:hideMark/>
          </w:tcPr>
          <w:p w14:paraId="1E9F3762"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5D1C5F6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2485B49D"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386EA09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071455A5"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22801B96" w14:textId="77777777" w:rsidTr="00207648">
        <w:trPr>
          <w:tblCellSpacing w:w="15" w:type="dxa"/>
        </w:trPr>
        <w:tc>
          <w:tcPr>
            <w:tcW w:w="0" w:type="auto"/>
            <w:vAlign w:val="center"/>
            <w:hideMark/>
          </w:tcPr>
          <w:p w14:paraId="027E71D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High</w:t>
            </w:r>
          </w:p>
        </w:tc>
        <w:tc>
          <w:tcPr>
            <w:tcW w:w="0" w:type="auto"/>
            <w:vAlign w:val="center"/>
            <w:hideMark/>
          </w:tcPr>
          <w:p w14:paraId="47E1FAF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40</w:t>
            </w:r>
          </w:p>
        </w:tc>
        <w:tc>
          <w:tcPr>
            <w:tcW w:w="0" w:type="auto"/>
            <w:vAlign w:val="center"/>
            <w:hideMark/>
          </w:tcPr>
          <w:p w14:paraId="436639A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c>
          <w:tcPr>
            <w:tcW w:w="0" w:type="auto"/>
            <w:vAlign w:val="center"/>
            <w:hideMark/>
          </w:tcPr>
          <w:p w14:paraId="43BF0E5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c>
          <w:tcPr>
            <w:tcW w:w="0" w:type="auto"/>
            <w:vAlign w:val="center"/>
            <w:hideMark/>
          </w:tcPr>
          <w:p w14:paraId="1396FD4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16.0</w:t>
            </w:r>
          </w:p>
        </w:tc>
      </w:tr>
      <w:tr w:rsidR="00AF4A2A" w:rsidRPr="002E4226" w14:paraId="1404DB61" w14:textId="77777777" w:rsidTr="00207648">
        <w:trPr>
          <w:tblCellSpacing w:w="15" w:type="dxa"/>
        </w:trPr>
        <w:tc>
          <w:tcPr>
            <w:tcW w:w="0" w:type="auto"/>
            <w:vAlign w:val="center"/>
            <w:hideMark/>
          </w:tcPr>
          <w:p w14:paraId="27AF0E3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High</w:t>
            </w:r>
          </w:p>
        </w:tc>
        <w:tc>
          <w:tcPr>
            <w:tcW w:w="0" w:type="auto"/>
            <w:vAlign w:val="center"/>
            <w:hideMark/>
          </w:tcPr>
          <w:p w14:paraId="01C0AA0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102</w:t>
            </w:r>
          </w:p>
        </w:tc>
        <w:tc>
          <w:tcPr>
            <w:tcW w:w="0" w:type="auto"/>
            <w:vAlign w:val="center"/>
            <w:hideMark/>
          </w:tcPr>
          <w:p w14:paraId="5747667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41.1</w:t>
            </w:r>
          </w:p>
        </w:tc>
        <w:tc>
          <w:tcPr>
            <w:tcW w:w="0" w:type="auto"/>
            <w:vAlign w:val="center"/>
            <w:hideMark/>
          </w:tcPr>
          <w:p w14:paraId="6931FB1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41.1</w:t>
            </w:r>
          </w:p>
        </w:tc>
        <w:tc>
          <w:tcPr>
            <w:tcW w:w="0" w:type="auto"/>
            <w:vAlign w:val="center"/>
            <w:hideMark/>
          </w:tcPr>
          <w:p w14:paraId="3D7A330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57.1</w:t>
            </w:r>
          </w:p>
        </w:tc>
      </w:tr>
      <w:tr w:rsidR="00AF4A2A" w:rsidRPr="002E4226" w14:paraId="7009398E" w14:textId="77777777" w:rsidTr="00207648">
        <w:trPr>
          <w:tblCellSpacing w:w="15" w:type="dxa"/>
        </w:trPr>
        <w:tc>
          <w:tcPr>
            <w:tcW w:w="0" w:type="auto"/>
            <w:vAlign w:val="center"/>
            <w:hideMark/>
          </w:tcPr>
          <w:p w14:paraId="1960DC6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Moderate</w:t>
            </w:r>
          </w:p>
        </w:tc>
        <w:tc>
          <w:tcPr>
            <w:tcW w:w="0" w:type="auto"/>
            <w:vAlign w:val="center"/>
            <w:hideMark/>
          </w:tcPr>
          <w:p w14:paraId="33F5005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58</w:t>
            </w:r>
          </w:p>
        </w:tc>
        <w:tc>
          <w:tcPr>
            <w:tcW w:w="0" w:type="auto"/>
            <w:vAlign w:val="center"/>
            <w:hideMark/>
          </w:tcPr>
          <w:p w14:paraId="5919D82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23.1</w:t>
            </w:r>
          </w:p>
        </w:tc>
        <w:tc>
          <w:tcPr>
            <w:tcW w:w="0" w:type="auto"/>
            <w:vAlign w:val="center"/>
            <w:hideMark/>
          </w:tcPr>
          <w:p w14:paraId="4F870B6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23.1</w:t>
            </w:r>
          </w:p>
        </w:tc>
        <w:tc>
          <w:tcPr>
            <w:tcW w:w="0" w:type="auto"/>
            <w:vAlign w:val="center"/>
            <w:hideMark/>
          </w:tcPr>
          <w:p w14:paraId="0ACCDB6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80.2</w:t>
            </w:r>
          </w:p>
        </w:tc>
      </w:tr>
      <w:tr w:rsidR="00AF4A2A" w:rsidRPr="002E4226" w14:paraId="411AFF8D" w14:textId="77777777" w:rsidTr="00207648">
        <w:trPr>
          <w:tblCellSpacing w:w="15" w:type="dxa"/>
        </w:trPr>
        <w:tc>
          <w:tcPr>
            <w:tcW w:w="0" w:type="auto"/>
            <w:vAlign w:val="center"/>
            <w:hideMark/>
          </w:tcPr>
          <w:p w14:paraId="2CF1FF9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Low</w:t>
            </w:r>
          </w:p>
        </w:tc>
        <w:tc>
          <w:tcPr>
            <w:tcW w:w="0" w:type="auto"/>
            <w:vAlign w:val="center"/>
            <w:hideMark/>
          </w:tcPr>
          <w:p w14:paraId="5AE5FE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33</w:t>
            </w:r>
          </w:p>
        </w:tc>
        <w:tc>
          <w:tcPr>
            <w:tcW w:w="0" w:type="auto"/>
            <w:vAlign w:val="center"/>
            <w:hideMark/>
          </w:tcPr>
          <w:p w14:paraId="4458776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13.2</w:t>
            </w:r>
          </w:p>
        </w:tc>
        <w:tc>
          <w:tcPr>
            <w:tcW w:w="0" w:type="auto"/>
            <w:vAlign w:val="center"/>
            <w:hideMark/>
          </w:tcPr>
          <w:p w14:paraId="10EA930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13.2</w:t>
            </w:r>
          </w:p>
        </w:tc>
        <w:tc>
          <w:tcPr>
            <w:tcW w:w="0" w:type="auto"/>
            <w:vAlign w:val="center"/>
            <w:hideMark/>
          </w:tcPr>
          <w:p w14:paraId="1218164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93.4</w:t>
            </w:r>
          </w:p>
        </w:tc>
      </w:tr>
      <w:tr w:rsidR="00AF4A2A" w:rsidRPr="002E4226" w14:paraId="00E4BB70" w14:textId="77777777" w:rsidTr="00207648">
        <w:trPr>
          <w:tblCellSpacing w:w="15" w:type="dxa"/>
        </w:trPr>
        <w:tc>
          <w:tcPr>
            <w:tcW w:w="0" w:type="auto"/>
            <w:vAlign w:val="center"/>
            <w:hideMark/>
          </w:tcPr>
          <w:p w14:paraId="43CA9DB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No Impact</w:t>
            </w:r>
          </w:p>
        </w:tc>
        <w:tc>
          <w:tcPr>
            <w:tcW w:w="0" w:type="auto"/>
            <w:vAlign w:val="center"/>
            <w:hideMark/>
          </w:tcPr>
          <w:p w14:paraId="4F103E2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w:t>
            </w:r>
          </w:p>
        </w:tc>
        <w:tc>
          <w:tcPr>
            <w:tcW w:w="0" w:type="auto"/>
            <w:vAlign w:val="center"/>
            <w:hideMark/>
          </w:tcPr>
          <w:p w14:paraId="3D2C65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w:t>
            </w:r>
          </w:p>
        </w:tc>
        <w:tc>
          <w:tcPr>
            <w:tcW w:w="0" w:type="auto"/>
            <w:vAlign w:val="center"/>
            <w:hideMark/>
          </w:tcPr>
          <w:p w14:paraId="6B5140E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w:t>
            </w:r>
          </w:p>
        </w:tc>
        <w:tc>
          <w:tcPr>
            <w:tcW w:w="0" w:type="auto"/>
            <w:vAlign w:val="center"/>
            <w:hideMark/>
          </w:tcPr>
          <w:p w14:paraId="273394E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7F78BE2B" w14:textId="77777777" w:rsidTr="00207648">
        <w:trPr>
          <w:tblCellSpacing w:w="15" w:type="dxa"/>
        </w:trPr>
        <w:tc>
          <w:tcPr>
            <w:tcW w:w="0" w:type="auto"/>
            <w:tcBorders>
              <w:bottom w:val="single" w:sz="4" w:space="0" w:color="auto"/>
            </w:tcBorders>
            <w:vAlign w:val="center"/>
            <w:hideMark/>
          </w:tcPr>
          <w:p w14:paraId="61F776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6D9487E2"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762DDB5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58457F2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7D2B416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562468D6" w14:textId="29C512BD"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Table 9 presents respondents’ perceptions of the health impact of the issue under study. The largest group, 102 respondents (41.1%), perceived the impact as high, while 40 respondents</w:t>
      </w:r>
      <w:r w:rsidRPr="002E4226">
        <w:rPr>
          <w:rFonts w:ascii="Times New Roman" w:hAnsi="Times New Roman"/>
          <w:b/>
          <w:bCs/>
          <w:color w:val="0D0D0D" w:themeColor="text1" w:themeTint="F2"/>
        </w:rPr>
        <w:t xml:space="preserve"> </w:t>
      </w:r>
      <w:r w:rsidRPr="002E4226">
        <w:rPr>
          <w:rFonts w:ascii="Times New Roman" w:hAnsi="Times New Roman"/>
          <w:color w:val="0D0D0D" w:themeColor="text1" w:themeTint="F2"/>
        </w:rPr>
        <w:t>(16.0%) rated it as very high, making a cumulative 57.1% who see a significant health effect. 58 respondents (23.1%) considered the impact moderate, 33 (13.2%) viewed it as low, and 18 respondents (7.2%) felt there was no impact. Overall, the table indicates that most respondents perceive the health impact as moderate to very high.</w:t>
      </w:r>
    </w:p>
    <w:p w14:paraId="4DD6C544" w14:textId="77777777" w:rsidR="00AF4A2A" w:rsidRPr="002E4226" w:rsidRDefault="00AF4A2A" w:rsidP="00AF4A2A">
      <w:pPr>
        <w:spacing w:after="240"/>
        <w:jc w:val="both"/>
        <w:rPr>
          <w:rFonts w:ascii="Times New Roman" w:hAnsi="Times New Roman"/>
          <w:vanish/>
          <w:color w:val="0D0D0D" w:themeColor="text1" w:themeTint="F2"/>
        </w:rPr>
      </w:pPr>
      <w:r w:rsidRPr="002E4226">
        <w:rPr>
          <w:rFonts w:ascii="Times New Roman" w:hAnsi="Times New Roman"/>
          <w:vanish/>
          <w:color w:val="0D0D0D" w:themeColor="text1" w:themeTint="F2"/>
        </w:rPr>
        <w:t>Top of Form</w:t>
      </w:r>
    </w:p>
    <w:p w14:paraId="435A8E48" w14:textId="77777777" w:rsidR="00AF4A2A" w:rsidRPr="002E4226" w:rsidRDefault="00AF4A2A" w:rsidP="00AF4A2A">
      <w:pPr>
        <w:spacing w:after="240"/>
        <w:jc w:val="both"/>
        <w:rPr>
          <w:rFonts w:ascii="Times New Roman" w:hAnsi="Times New Roman"/>
          <w:vanish/>
          <w:color w:val="0D0D0D" w:themeColor="text1" w:themeTint="F2"/>
        </w:rPr>
      </w:pPr>
      <w:r w:rsidRPr="002E4226">
        <w:rPr>
          <w:rFonts w:ascii="Times New Roman" w:hAnsi="Times New Roman"/>
          <w:vanish/>
          <w:color w:val="0D0D0D" w:themeColor="text1" w:themeTint="F2"/>
        </w:rPr>
        <w:t>Bottom of Form</w:t>
      </w:r>
    </w:p>
    <w:p w14:paraId="04112C10" w14:textId="77777777" w:rsidR="00AF4A2A" w:rsidRPr="002E4226" w:rsidRDefault="00AF4A2A" w:rsidP="00AF4A2A">
      <w:pPr>
        <w:spacing w:after="240"/>
        <w:jc w:val="both"/>
        <w:rPr>
          <w:rFonts w:ascii="Times New Roman" w:hAnsi="Times New Roman"/>
          <w:b/>
          <w:bCs/>
          <w:color w:val="0D0D0D" w:themeColor="text1" w:themeTint="F2"/>
        </w:rPr>
      </w:pPr>
    </w:p>
    <w:p w14:paraId="21D4155E" w14:textId="22379DD3" w:rsidR="00AF4A2A" w:rsidRPr="002E4226" w:rsidRDefault="00AF4A2A" w:rsidP="00AF4A2A">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Table 10: Effectiveness of Current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971"/>
        <w:gridCol w:w="716"/>
        <w:gridCol w:w="1232"/>
        <w:gridCol w:w="1781"/>
      </w:tblGrid>
      <w:tr w:rsidR="00AF4A2A" w:rsidRPr="002E4226" w14:paraId="4D5BFCA0" w14:textId="77777777" w:rsidTr="00207648">
        <w:trPr>
          <w:tblCellSpacing w:w="15" w:type="dxa"/>
        </w:trPr>
        <w:tc>
          <w:tcPr>
            <w:tcW w:w="0" w:type="auto"/>
            <w:tcBorders>
              <w:top w:val="single" w:sz="4" w:space="0" w:color="auto"/>
              <w:bottom w:val="single" w:sz="4" w:space="0" w:color="auto"/>
            </w:tcBorders>
            <w:vAlign w:val="center"/>
            <w:hideMark/>
          </w:tcPr>
          <w:p w14:paraId="6044696C"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Response</w:t>
            </w:r>
          </w:p>
        </w:tc>
        <w:tc>
          <w:tcPr>
            <w:tcW w:w="0" w:type="auto"/>
            <w:tcBorders>
              <w:top w:val="single" w:sz="4" w:space="0" w:color="auto"/>
              <w:bottom w:val="single" w:sz="4" w:space="0" w:color="auto"/>
            </w:tcBorders>
            <w:vAlign w:val="center"/>
            <w:hideMark/>
          </w:tcPr>
          <w:p w14:paraId="3B8D4FDE"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Frequency</w:t>
            </w:r>
          </w:p>
        </w:tc>
        <w:tc>
          <w:tcPr>
            <w:tcW w:w="0" w:type="auto"/>
            <w:tcBorders>
              <w:top w:val="single" w:sz="4" w:space="0" w:color="auto"/>
              <w:bottom w:val="single" w:sz="4" w:space="0" w:color="auto"/>
            </w:tcBorders>
            <w:vAlign w:val="center"/>
            <w:hideMark/>
          </w:tcPr>
          <w:p w14:paraId="373DC640"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Percent</w:t>
            </w:r>
          </w:p>
        </w:tc>
        <w:tc>
          <w:tcPr>
            <w:tcW w:w="0" w:type="auto"/>
            <w:tcBorders>
              <w:top w:val="single" w:sz="4" w:space="0" w:color="auto"/>
              <w:bottom w:val="single" w:sz="4" w:space="0" w:color="auto"/>
            </w:tcBorders>
            <w:vAlign w:val="center"/>
            <w:hideMark/>
          </w:tcPr>
          <w:p w14:paraId="57EB4D7B"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Valid Percent</w:t>
            </w:r>
          </w:p>
        </w:tc>
        <w:tc>
          <w:tcPr>
            <w:tcW w:w="0" w:type="auto"/>
            <w:tcBorders>
              <w:top w:val="single" w:sz="4" w:space="0" w:color="auto"/>
              <w:bottom w:val="single" w:sz="4" w:space="0" w:color="auto"/>
            </w:tcBorders>
            <w:vAlign w:val="center"/>
            <w:hideMark/>
          </w:tcPr>
          <w:p w14:paraId="7908456A" w14:textId="77777777" w:rsidR="00AF4A2A" w:rsidRPr="002E4226" w:rsidRDefault="00AF4A2A" w:rsidP="00207648">
            <w:pPr>
              <w:spacing w:after="240"/>
              <w:jc w:val="both"/>
              <w:rPr>
                <w:rFonts w:ascii="Times New Roman" w:hAnsi="Times New Roman"/>
                <w:b/>
                <w:bCs/>
                <w:color w:val="0D0D0D" w:themeColor="text1" w:themeTint="F2"/>
              </w:rPr>
            </w:pPr>
            <w:r w:rsidRPr="002E4226">
              <w:rPr>
                <w:rFonts w:ascii="Times New Roman" w:hAnsi="Times New Roman"/>
                <w:b/>
                <w:bCs/>
                <w:color w:val="0D0D0D" w:themeColor="text1" w:themeTint="F2"/>
              </w:rPr>
              <w:t>Cumulative Percent</w:t>
            </w:r>
          </w:p>
        </w:tc>
      </w:tr>
      <w:tr w:rsidR="00AF4A2A" w:rsidRPr="002E4226" w14:paraId="5CD18D36" w14:textId="77777777" w:rsidTr="00207648">
        <w:trPr>
          <w:tblCellSpacing w:w="15" w:type="dxa"/>
        </w:trPr>
        <w:tc>
          <w:tcPr>
            <w:tcW w:w="0" w:type="auto"/>
            <w:vAlign w:val="center"/>
            <w:hideMark/>
          </w:tcPr>
          <w:p w14:paraId="5CF76F8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lastRenderedPageBreak/>
              <w:t>Very Effective</w:t>
            </w:r>
          </w:p>
        </w:tc>
        <w:tc>
          <w:tcPr>
            <w:tcW w:w="0" w:type="auto"/>
            <w:vAlign w:val="center"/>
            <w:hideMark/>
          </w:tcPr>
          <w:p w14:paraId="1B7F3D8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54</w:t>
            </w:r>
          </w:p>
        </w:tc>
        <w:tc>
          <w:tcPr>
            <w:tcW w:w="0" w:type="auto"/>
            <w:vAlign w:val="center"/>
            <w:hideMark/>
          </w:tcPr>
          <w:p w14:paraId="7B674A10"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c>
          <w:tcPr>
            <w:tcW w:w="0" w:type="auto"/>
            <w:vAlign w:val="center"/>
            <w:hideMark/>
          </w:tcPr>
          <w:p w14:paraId="44913D9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c>
          <w:tcPr>
            <w:tcW w:w="0" w:type="auto"/>
            <w:vAlign w:val="center"/>
            <w:hideMark/>
          </w:tcPr>
          <w:p w14:paraId="12F5051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21.5</w:t>
            </w:r>
          </w:p>
        </w:tc>
      </w:tr>
      <w:tr w:rsidR="00AF4A2A" w:rsidRPr="002E4226" w14:paraId="6D1FA90A" w14:textId="77777777" w:rsidTr="00207648">
        <w:trPr>
          <w:tblCellSpacing w:w="15" w:type="dxa"/>
        </w:trPr>
        <w:tc>
          <w:tcPr>
            <w:tcW w:w="0" w:type="auto"/>
            <w:vAlign w:val="center"/>
            <w:hideMark/>
          </w:tcPr>
          <w:p w14:paraId="6E2337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Effective</w:t>
            </w:r>
          </w:p>
        </w:tc>
        <w:tc>
          <w:tcPr>
            <w:tcW w:w="0" w:type="auto"/>
            <w:vAlign w:val="center"/>
            <w:hideMark/>
          </w:tcPr>
          <w:p w14:paraId="5814C5A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w:t>
            </w:r>
          </w:p>
        </w:tc>
        <w:tc>
          <w:tcPr>
            <w:tcW w:w="0" w:type="auto"/>
            <w:vAlign w:val="center"/>
            <w:hideMark/>
          </w:tcPr>
          <w:p w14:paraId="2FF03CB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36.3</w:t>
            </w:r>
          </w:p>
        </w:tc>
        <w:tc>
          <w:tcPr>
            <w:tcW w:w="0" w:type="auto"/>
            <w:vAlign w:val="center"/>
            <w:hideMark/>
          </w:tcPr>
          <w:p w14:paraId="2E55FB2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36.3</w:t>
            </w:r>
          </w:p>
        </w:tc>
        <w:tc>
          <w:tcPr>
            <w:tcW w:w="0" w:type="auto"/>
            <w:vAlign w:val="center"/>
            <w:hideMark/>
          </w:tcPr>
          <w:p w14:paraId="33916D6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57.8</w:t>
            </w:r>
          </w:p>
        </w:tc>
      </w:tr>
      <w:tr w:rsidR="00AF4A2A" w:rsidRPr="002E4226" w14:paraId="1FEF420A" w14:textId="77777777" w:rsidTr="00207648">
        <w:trPr>
          <w:tblCellSpacing w:w="15" w:type="dxa"/>
        </w:trPr>
        <w:tc>
          <w:tcPr>
            <w:tcW w:w="0" w:type="auto"/>
            <w:vAlign w:val="center"/>
            <w:hideMark/>
          </w:tcPr>
          <w:p w14:paraId="72A4D88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Neutral</w:t>
            </w:r>
          </w:p>
        </w:tc>
        <w:tc>
          <w:tcPr>
            <w:tcW w:w="0" w:type="auto"/>
            <w:vAlign w:val="center"/>
            <w:hideMark/>
          </w:tcPr>
          <w:p w14:paraId="39144CB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38</w:t>
            </w:r>
          </w:p>
        </w:tc>
        <w:tc>
          <w:tcPr>
            <w:tcW w:w="0" w:type="auto"/>
            <w:vAlign w:val="center"/>
            <w:hideMark/>
          </w:tcPr>
          <w:p w14:paraId="5ACF40C6"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15.1</w:t>
            </w:r>
          </w:p>
        </w:tc>
        <w:tc>
          <w:tcPr>
            <w:tcW w:w="0" w:type="auto"/>
            <w:vAlign w:val="center"/>
            <w:hideMark/>
          </w:tcPr>
          <w:p w14:paraId="5BF4CC49"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15.1</w:t>
            </w:r>
          </w:p>
        </w:tc>
        <w:tc>
          <w:tcPr>
            <w:tcW w:w="0" w:type="auto"/>
            <w:vAlign w:val="center"/>
            <w:hideMark/>
          </w:tcPr>
          <w:p w14:paraId="594DFCF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72.9</w:t>
            </w:r>
          </w:p>
        </w:tc>
      </w:tr>
      <w:tr w:rsidR="00AF4A2A" w:rsidRPr="002E4226" w14:paraId="315AEE07" w14:textId="77777777" w:rsidTr="00207648">
        <w:trPr>
          <w:tblCellSpacing w:w="15" w:type="dxa"/>
        </w:trPr>
        <w:tc>
          <w:tcPr>
            <w:tcW w:w="0" w:type="auto"/>
            <w:vAlign w:val="center"/>
            <w:hideMark/>
          </w:tcPr>
          <w:p w14:paraId="38C5421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Ineffective</w:t>
            </w:r>
          </w:p>
        </w:tc>
        <w:tc>
          <w:tcPr>
            <w:tcW w:w="0" w:type="auto"/>
            <w:vAlign w:val="center"/>
            <w:hideMark/>
          </w:tcPr>
          <w:p w14:paraId="028538A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46</w:t>
            </w:r>
          </w:p>
        </w:tc>
        <w:tc>
          <w:tcPr>
            <w:tcW w:w="0" w:type="auto"/>
            <w:vAlign w:val="center"/>
            <w:hideMark/>
          </w:tcPr>
          <w:p w14:paraId="4BDA753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16D0B5ED"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18.3</w:t>
            </w:r>
          </w:p>
        </w:tc>
        <w:tc>
          <w:tcPr>
            <w:tcW w:w="0" w:type="auto"/>
            <w:vAlign w:val="center"/>
            <w:hideMark/>
          </w:tcPr>
          <w:p w14:paraId="5FE00CE1"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91.2</w:t>
            </w:r>
          </w:p>
        </w:tc>
      </w:tr>
      <w:tr w:rsidR="00AF4A2A" w:rsidRPr="002E4226" w14:paraId="7BA9D067" w14:textId="77777777" w:rsidTr="00207648">
        <w:trPr>
          <w:tblCellSpacing w:w="15" w:type="dxa"/>
        </w:trPr>
        <w:tc>
          <w:tcPr>
            <w:tcW w:w="0" w:type="auto"/>
            <w:vAlign w:val="center"/>
            <w:hideMark/>
          </w:tcPr>
          <w:p w14:paraId="086A57AA"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Very Ineffective</w:t>
            </w:r>
          </w:p>
        </w:tc>
        <w:tc>
          <w:tcPr>
            <w:tcW w:w="0" w:type="auto"/>
            <w:vAlign w:val="center"/>
            <w:hideMark/>
          </w:tcPr>
          <w:p w14:paraId="72B1D56B"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22</w:t>
            </w:r>
          </w:p>
        </w:tc>
        <w:tc>
          <w:tcPr>
            <w:tcW w:w="0" w:type="auto"/>
            <w:vAlign w:val="center"/>
            <w:hideMark/>
          </w:tcPr>
          <w:p w14:paraId="2B5560B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056BDCE5"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8.8</w:t>
            </w:r>
          </w:p>
        </w:tc>
        <w:tc>
          <w:tcPr>
            <w:tcW w:w="0" w:type="auto"/>
            <w:vAlign w:val="center"/>
            <w:hideMark/>
          </w:tcPr>
          <w:p w14:paraId="1605E834"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r>
      <w:tr w:rsidR="00AF4A2A" w:rsidRPr="002E4226" w14:paraId="14465C20" w14:textId="77777777" w:rsidTr="00207648">
        <w:trPr>
          <w:tblCellSpacing w:w="15" w:type="dxa"/>
        </w:trPr>
        <w:tc>
          <w:tcPr>
            <w:tcW w:w="0" w:type="auto"/>
            <w:tcBorders>
              <w:bottom w:val="single" w:sz="4" w:space="0" w:color="auto"/>
            </w:tcBorders>
            <w:vAlign w:val="center"/>
            <w:hideMark/>
          </w:tcPr>
          <w:p w14:paraId="3CAD04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eastAsiaTheme="majorEastAsia" w:hAnsi="Times New Roman"/>
                <w:b/>
                <w:bCs/>
                <w:color w:val="0D0D0D" w:themeColor="text1" w:themeTint="F2"/>
              </w:rPr>
              <w:t>Total</w:t>
            </w:r>
          </w:p>
        </w:tc>
        <w:tc>
          <w:tcPr>
            <w:tcW w:w="0" w:type="auto"/>
            <w:tcBorders>
              <w:bottom w:val="single" w:sz="4" w:space="0" w:color="auto"/>
            </w:tcBorders>
            <w:vAlign w:val="center"/>
            <w:hideMark/>
          </w:tcPr>
          <w:p w14:paraId="54922007"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251</w:t>
            </w:r>
          </w:p>
        </w:tc>
        <w:tc>
          <w:tcPr>
            <w:tcW w:w="0" w:type="auto"/>
            <w:tcBorders>
              <w:bottom w:val="single" w:sz="4" w:space="0" w:color="auto"/>
            </w:tcBorders>
            <w:vAlign w:val="center"/>
            <w:hideMark/>
          </w:tcPr>
          <w:p w14:paraId="04E3869C"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27AFCEE3"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100.0</w:t>
            </w:r>
          </w:p>
        </w:tc>
        <w:tc>
          <w:tcPr>
            <w:tcW w:w="0" w:type="auto"/>
            <w:tcBorders>
              <w:bottom w:val="single" w:sz="4" w:space="0" w:color="auto"/>
            </w:tcBorders>
            <w:vAlign w:val="center"/>
            <w:hideMark/>
          </w:tcPr>
          <w:p w14:paraId="1EA0A77E" w14:textId="77777777" w:rsidR="00AF4A2A" w:rsidRPr="002E4226" w:rsidRDefault="00AF4A2A" w:rsidP="00207648">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w:t>
            </w:r>
          </w:p>
        </w:tc>
      </w:tr>
    </w:tbl>
    <w:p w14:paraId="6A48F8CF" w14:textId="467DF28D"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Table 10 presents respondents’ views on the </w:t>
      </w:r>
      <w:r w:rsidRPr="002E4226">
        <w:rPr>
          <w:rFonts w:ascii="Times New Roman" w:eastAsiaTheme="majorEastAsia" w:hAnsi="Times New Roman"/>
          <w:color w:val="0D0D0D" w:themeColor="text1" w:themeTint="F2"/>
        </w:rPr>
        <w:t>effectiveness of current practices</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The majority perceived the practices positively, with </w:t>
      </w:r>
      <w:r w:rsidRPr="002E4226">
        <w:rPr>
          <w:rFonts w:ascii="Times New Roman" w:eastAsiaTheme="majorEastAsia" w:hAnsi="Times New Roman"/>
          <w:color w:val="0D0D0D" w:themeColor="text1" w:themeTint="F2"/>
        </w:rPr>
        <w:t>91 respondents (36.3%) rating them as effective</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54 respondents (21.5%) as very effective</w:t>
      </w:r>
      <w:r w:rsidRPr="002E4226">
        <w:rPr>
          <w:rFonts w:ascii="Times New Roman" w:hAnsi="Times New Roman"/>
          <w:b/>
          <w:bCs/>
          <w:color w:val="0D0D0D" w:themeColor="text1" w:themeTint="F2"/>
        </w:rPr>
        <w:t>,</w:t>
      </w:r>
      <w:r w:rsidRPr="002E4226">
        <w:rPr>
          <w:rFonts w:ascii="Times New Roman" w:hAnsi="Times New Roman"/>
          <w:color w:val="0D0D0D" w:themeColor="text1" w:themeTint="F2"/>
        </w:rPr>
        <w:t xml:space="preserve"> totaling </w:t>
      </w:r>
      <w:r w:rsidRPr="002E4226">
        <w:rPr>
          <w:rFonts w:ascii="Times New Roman" w:eastAsiaTheme="majorEastAsia" w:hAnsi="Times New Roman"/>
          <w:color w:val="0D0D0D" w:themeColor="text1" w:themeTint="F2"/>
        </w:rPr>
        <w:t>57.8% cumulative</w:t>
      </w:r>
      <w:r w:rsidRPr="002E4226">
        <w:rPr>
          <w:rFonts w:ascii="Times New Roman" w:hAnsi="Times New Roman"/>
          <w:color w:val="0D0D0D" w:themeColor="text1" w:themeTint="F2"/>
        </w:rPr>
        <w:t xml:space="preserve"> in positive responses. </w:t>
      </w:r>
      <w:r w:rsidRPr="002E4226">
        <w:rPr>
          <w:rFonts w:ascii="Times New Roman" w:eastAsiaTheme="majorEastAsia" w:hAnsi="Times New Roman"/>
          <w:color w:val="0D0D0D" w:themeColor="text1" w:themeTint="F2"/>
        </w:rPr>
        <w:t>38</w:t>
      </w:r>
      <w:r w:rsidRPr="002E4226">
        <w:rPr>
          <w:rFonts w:ascii="Times New Roman" w:eastAsiaTheme="majorEastAsia" w:hAnsi="Times New Roman"/>
          <w:b/>
          <w:bCs/>
          <w:color w:val="0D0D0D" w:themeColor="text1" w:themeTint="F2"/>
        </w:rPr>
        <w:t xml:space="preserve"> </w:t>
      </w:r>
      <w:r w:rsidRPr="002E4226">
        <w:rPr>
          <w:rFonts w:ascii="Times New Roman" w:eastAsiaTheme="majorEastAsia" w:hAnsi="Times New Roman"/>
          <w:color w:val="0D0D0D" w:themeColor="text1" w:themeTint="F2"/>
        </w:rPr>
        <w:t>respondents (15.1%)</w:t>
      </w:r>
      <w:r w:rsidRPr="002E4226">
        <w:rPr>
          <w:rFonts w:ascii="Times New Roman" w:hAnsi="Times New Roman"/>
          <w:color w:val="0D0D0D" w:themeColor="text1" w:themeTint="F2"/>
        </w:rPr>
        <w:t xml:space="preserve"> were neutral, while </w:t>
      </w:r>
      <w:r w:rsidRPr="002E4226">
        <w:rPr>
          <w:rFonts w:ascii="Times New Roman" w:eastAsiaTheme="majorEastAsia" w:hAnsi="Times New Roman"/>
          <w:color w:val="0D0D0D" w:themeColor="text1" w:themeTint="F2"/>
        </w:rPr>
        <w:t>46 (18.3%) considered the practices ineffective</w:t>
      </w:r>
      <w:r w:rsidRPr="002E4226">
        <w:rPr>
          <w:rFonts w:ascii="Times New Roman" w:hAnsi="Times New Roman"/>
          <w:color w:val="0D0D0D" w:themeColor="text1" w:themeTint="F2"/>
        </w:rPr>
        <w:t xml:space="preserve"> and </w:t>
      </w:r>
      <w:r w:rsidRPr="002E4226">
        <w:rPr>
          <w:rFonts w:ascii="Times New Roman" w:eastAsiaTheme="majorEastAsia" w:hAnsi="Times New Roman"/>
          <w:color w:val="0D0D0D" w:themeColor="text1" w:themeTint="F2"/>
        </w:rPr>
        <w:t>22 (8.8%) very ineffective</w:t>
      </w:r>
      <w:r w:rsidRPr="002E4226">
        <w:rPr>
          <w:rFonts w:ascii="Times New Roman" w:hAnsi="Times New Roman"/>
          <w:color w:val="0D0D0D" w:themeColor="text1" w:themeTint="F2"/>
        </w:rPr>
        <w:t>. Overall, the table indicates that more than half of the respondents view the current practices as effective, though a notable portion still finds them lacking.</w:t>
      </w:r>
    </w:p>
    <w:p w14:paraId="0C7E1E74"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4. Discussion</w:t>
      </w:r>
    </w:p>
    <w:p w14:paraId="5B175300"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This study revealed that most healthcare workers in the sample possess considerable familiarity with medical waste, corroborating findings from other Nigerian settings where high awareness and knowledge levels among health workers have been reported (Sidney-</w:t>
      </w:r>
      <w:proofErr w:type="spellStart"/>
      <w:r w:rsidRPr="00AF2457">
        <w:rPr>
          <w:rFonts w:ascii="Times New Roman" w:hAnsi="Times New Roman"/>
          <w:color w:val="0D0D0D" w:themeColor="text1" w:themeTint="F2"/>
        </w:rPr>
        <w:t>Nnebue</w:t>
      </w:r>
      <w:proofErr w:type="spellEnd"/>
      <w:r w:rsidRPr="00AF2457">
        <w:rPr>
          <w:rFonts w:ascii="Times New Roman" w:hAnsi="Times New Roman"/>
          <w:color w:val="0D0D0D" w:themeColor="text1" w:themeTint="F2"/>
        </w:rPr>
        <w:t xml:space="preserve"> et al., 2022). Recent systematic reviews have demonstrated that while healthcare workers globally show moderate to high knowledge levels regarding biomedical waste management, significant gaps persist in translating this knowledge into safe practices (Mathur et al., 2022; </w:t>
      </w:r>
      <w:proofErr w:type="spellStart"/>
      <w:r w:rsidRPr="00AF2457">
        <w:rPr>
          <w:rFonts w:ascii="Times New Roman" w:hAnsi="Times New Roman"/>
          <w:color w:val="0D0D0D" w:themeColor="text1" w:themeTint="F2"/>
        </w:rPr>
        <w:t>Minoglou</w:t>
      </w:r>
      <w:proofErr w:type="spellEnd"/>
      <w:r w:rsidRPr="00AF2457">
        <w:rPr>
          <w:rFonts w:ascii="Times New Roman" w:hAnsi="Times New Roman"/>
          <w:color w:val="0D0D0D" w:themeColor="text1" w:themeTint="F2"/>
        </w:rPr>
        <w:t xml:space="preserve"> et al., 2017). Similar to our findings, Adewumi et al. (2019) found that awareness of medical waste issues was prevalent; however, the adequacy of practical training often lagged behind theoretical knowledge. A comprehensive study across sub-Saharan African healthcare facilities confirmed that this knowledge-practice gap is particularly pronounced among auxiliary healthcare staff, with significant discrepancies between theoretical understanding and actual waste handling behaviors (</w:t>
      </w:r>
      <w:proofErr w:type="spellStart"/>
      <w:r w:rsidRPr="00AF2457">
        <w:rPr>
          <w:rFonts w:ascii="Times New Roman" w:hAnsi="Times New Roman"/>
          <w:color w:val="0D0D0D" w:themeColor="text1" w:themeTint="F2"/>
        </w:rPr>
        <w:t>Tesfahun</w:t>
      </w:r>
      <w:proofErr w:type="spellEnd"/>
      <w:r w:rsidRPr="00AF2457">
        <w:rPr>
          <w:rFonts w:ascii="Times New Roman" w:hAnsi="Times New Roman"/>
          <w:color w:val="0D0D0D" w:themeColor="text1" w:themeTint="F2"/>
        </w:rPr>
        <w:t xml:space="preserve"> et al., 2016). These parallels indicate a recurring challenge in Nigerian healthcare contexts: knowledge alone is insufficient without continuous, occupation-specific training and supportive supervision.</w:t>
      </w:r>
    </w:p>
    <w:p w14:paraId="28D81CF0"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 xml:space="preserve">Consistent with our results showing diverse types of medical waste generated, studies in Nigeria report similar variability in waste streams and the need for improved segregation and disposal practices. Despite awareness, implementation of guidelines remains inconsistent; for example, compliance with national healthcare waste management guidelines was found to be suboptimal in </w:t>
      </w:r>
      <w:proofErr w:type="spellStart"/>
      <w:r w:rsidRPr="00AF2457">
        <w:rPr>
          <w:rFonts w:ascii="Times New Roman" w:hAnsi="Times New Roman"/>
          <w:color w:val="0D0D0D" w:themeColor="text1" w:themeTint="F2"/>
        </w:rPr>
        <w:t>Abakaliki</w:t>
      </w:r>
      <w:proofErr w:type="spellEnd"/>
      <w:r w:rsidRPr="00AF2457">
        <w:rPr>
          <w:rFonts w:ascii="Times New Roman" w:hAnsi="Times New Roman"/>
          <w:color w:val="0D0D0D" w:themeColor="text1" w:themeTint="F2"/>
        </w:rPr>
        <w:t>, with facility implementation scores lagging behind individual knowledge (</w:t>
      </w:r>
      <w:proofErr w:type="spellStart"/>
      <w:r w:rsidRPr="00AF2457">
        <w:rPr>
          <w:rFonts w:ascii="Times New Roman" w:hAnsi="Times New Roman"/>
          <w:color w:val="0D0D0D" w:themeColor="text1" w:themeTint="F2"/>
        </w:rPr>
        <w:t>Ituma</w:t>
      </w:r>
      <w:proofErr w:type="spellEnd"/>
      <w:r w:rsidRPr="00AF2457">
        <w:rPr>
          <w:rFonts w:ascii="Times New Roman" w:hAnsi="Times New Roman"/>
          <w:color w:val="0D0D0D" w:themeColor="text1" w:themeTint="F2"/>
        </w:rPr>
        <w:t xml:space="preserve"> et al., 2024). This mirrors our observation that while policy awareness exists, the operationalization of waste management practices at the facility level remains weak. Research across multiple Nigerian states documented that a substantial proportion of primary healthcare centers lack functional waste segregation systems and adequate color-coded bins as mandated by national guidelines (Abubakar &amp; </w:t>
      </w:r>
      <w:proofErr w:type="spellStart"/>
      <w:r w:rsidRPr="00AF2457">
        <w:rPr>
          <w:rFonts w:ascii="Times New Roman" w:hAnsi="Times New Roman"/>
          <w:color w:val="0D0D0D" w:themeColor="text1" w:themeTint="F2"/>
        </w:rPr>
        <w:t>Emigilati</w:t>
      </w:r>
      <w:proofErr w:type="spellEnd"/>
      <w:r w:rsidRPr="00AF2457">
        <w:rPr>
          <w:rFonts w:ascii="Times New Roman" w:hAnsi="Times New Roman"/>
          <w:color w:val="0D0D0D" w:themeColor="text1" w:themeTint="F2"/>
        </w:rPr>
        <w:t>, 2022; Coker et al., 2009).</w:t>
      </w:r>
    </w:p>
    <w:p w14:paraId="05DAF949"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 xml:space="preserve">Perceptions of policy effectiveness in our study were largely positive, though a substantial minority disagreed—highlighting the perceived gap between policy existence and practical enforcement. Such findings indicate that policy formulation alone is insufficient without mechanisms for monitoring, enforcement, and resource allocation. Recent research has quantified this implementation gap, identifying systemic barriers including inadequate budgetary allocation, lack of waste management </w:t>
      </w:r>
      <w:r w:rsidRPr="00AF2457">
        <w:rPr>
          <w:rFonts w:ascii="Times New Roman" w:hAnsi="Times New Roman"/>
          <w:color w:val="0D0D0D" w:themeColor="text1" w:themeTint="F2"/>
        </w:rPr>
        <w:lastRenderedPageBreak/>
        <w:t xml:space="preserve">committees, and absence of regular monitoring and evaluation frameworks (Ajayi &amp; </w:t>
      </w:r>
      <w:proofErr w:type="spellStart"/>
      <w:r w:rsidRPr="00AF2457">
        <w:rPr>
          <w:rFonts w:ascii="Times New Roman" w:hAnsi="Times New Roman"/>
          <w:color w:val="0D0D0D" w:themeColor="text1" w:themeTint="F2"/>
        </w:rPr>
        <w:t>Osibanjo</w:t>
      </w:r>
      <w:proofErr w:type="spellEnd"/>
      <w:r w:rsidRPr="00AF2457">
        <w:rPr>
          <w:rFonts w:ascii="Times New Roman" w:hAnsi="Times New Roman"/>
          <w:color w:val="0D0D0D" w:themeColor="text1" w:themeTint="F2"/>
        </w:rPr>
        <w:t>, 2020). International comparisons reveal that countries with strong regulatory frameworks and enforcement mechanisms achieve significantly better healthcare waste management outcomes than those with policies lacking implementation support (Windfeld &amp; Brooks, 2015).</w:t>
      </w:r>
    </w:p>
    <w:p w14:paraId="3C9A0DAE"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The high perceived health risks related to medical waste in our findings reflect global and Nigerian experiences of occupational exposure concerns (</w:t>
      </w:r>
      <w:proofErr w:type="spellStart"/>
      <w:r w:rsidRPr="00AF2457">
        <w:rPr>
          <w:rFonts w:ascii="Times New Roman" w:hAnsi="Times New Roman"/>
          <w:color w:val="0D0D0D" w:themeColor="text1" w:themeTint="F2"/>
        </w:rPr>
        <w:t>Omoleke</w:t>
      </w:r>
      <w:proofErr w:type="spellEnd"/>
      <w:r w:rsidRPr="00AF2457">
        <w:rPr>
          <w:rFonts w:ascii="Times New Roman" w:hAnsi="Times New Roman"/>
          <w:color w:val="0D0D0D" w:themeColor="text1" w:themeTint="F2"/>
        </w:rPr>
        <w:t xml:space="preserve"> et al., 2021). Studies at the primary healthcare level in northwest Nigeria demonstrate that inadequate management practices increase exposure risks for workers and communities, especially in low-resource settings (Abdulla et al., 2016). Similarly, research from Lagos and other urban </w:t>
      </w:r>
      <w:proofErr w:type="spellStart"/>
      <w:r w:rsidRPr="00AF2457">
        <w:rPr>
          <w:rFonts w:ascii="Times New Roman" w:hAnsi="Times New Roman"/>
          <w:color w:val="0D0D0D" w:themeColor="text1" w:themeTint="F2"/>
        </w:rPr>
        <w:t>centres</w:t>
      </w:r>
      <w:proofErr w:type="spellEnd"/>
      <w:r w:rsidRPr="00AF2457">
        <w:rPr>
          <w:rFonts w:ascii="Times New Roman" w:hAnsi="Times New Roman"/>
          <w:color w:val="0D0D0D" w:themeColor="text1" w:themeTint="F2"/>
        </w:rPr>
        <w:t xml:space="preserve"> highlights persistent issues with waste segregation and disposal, further underscoring the public health implications of suboptimal waste management systems (</w:t>
      </w:r>
      <w:proofErr w:type="spellStart"/>
      <w:r w:rsidRPr="00AF2457">
        <w:rPr>
          <w:rFonts w:ascii="Times New Roman" w:hAnsi="Times New Roman"/>
          <w:color w:val="0D0D0D" w:themeColor="text1" w:themeTint="F2"/>
        </w:rPr>
        <w:t>Awodele</w:t>
      </w:r>
      <w:proofErr w:type="spellEnd"/>
      <w:r w:rsidRPr="00AF2457">
        <w:rPr>
          <w:rFonts w:ascii="Times New Roman" w:hAnsi="Times New Roman"/>
          <w:color w:val="0D0D0D" w:themeColor="text1" w:themeTint="F2"/>
        </w:rPr>
        <w:t xml:space="preserve"> et al., 2016). Contemporary evidence reinforces these concerns: healthcare workers in low- and middle-income countries, including Nigeria, face substantially higher risks of needlestick injuries and sharps-related exposures compared to those in high-income settings, primarily due to inadequate waste management infrastructure (</w:t>
      </w:r>
      <w:proofErr w:type="spellStart"/>
      <w:r w:rsidRPr="00AF2457">
        <w:rPr>
          <w:rFonts w:ascii="Times New Roman" w:hAnsi="Times New Roman"/>
          <w:color w:val="0D0D0D" w:themeColor="text1" w:themeTint="F2"/>
        </w:rPr>
        <w:t>Deress</w:t>
      </w:r>
      <w:proofErr w:type="spellEnd"/>
      <w:r w:rsidRPr="00AF2457">
        <w:rPr>
          <w:rFonts w:ascii="Times New Roman" w:hAnsi="Times New Roman"/>
          <w:color w:val="0D0D0D" w:themeColor="text1" w:themeTint="F2"/>
        </w:rPr>
        <w:t xml:space="preserve"> et al., 2018; Ferreira &amp; Teixeira, 2010). Studies have detected multidrug-resistant organisms and pathogenic microorganisms in healthcare waste disposal sites across Nigerian cities, highlighting community-level public health risks extending beyond occupational exposure (Anozie et al., 2017).</w:t>
      </w:r>
    </w:p>
    <w:p w14:paraId="7D0BB3D5" w14:textId="77777777" w:rsidR="00AF2457" w:rsidRPr="00AF2457" w:rsidRDefault="00AF2457" w:rsidP="00AF2457">
      <w:pPr>
        <w:spacing w:after="240"/>
        <w:jc w:val="both"/>
        <w:rPr>
          <w:rFonts w:ascii="Times New Roman" w:hAnsi="Times New Roman"/>
          <w:color w:val="0D0D0D" w:themeColor="text1" w:themeTint="F2"/>
        </w:rPr>
      </w:pPr>
      <w:r w:rsidRPr="00AF2457">
        <w:rPr>
          <w:rFonts w:ascii="Times New Roman" w:hAnsi="Times New Roman"/>
          <w:color w:val="0D0D0D" w:themeColor="text1" w:themeTint="F2"/>
        </w:rPr>
        <w:t xml:space="preserve">While over half of our respondents rated current practices as effective, notable proportions viewed them as ineffective—indicating mixed satisfaction with operational practices. This duality echoes the broad pattern seen across Nigeria, where pockets of good practice exist alongside systemic weaknesses in infrastructure, funding, and training (Abubakar &amp; </w:t>
      </w:r>
      <w:proofErr w:type="spellStart"/>
      <w:r w:rsidRPr="00AF2457">
        <w:rPr>
          <w:rFonts w:ascii="Times New Roman" w:hAnsi="Times New Roman"/>
          <w:color w:val="0D0D0D" w:themeColor="text1" w:themeTint="F2"/>
        </w:rPr>
        <w:t>Emigilati</w:t>
      </w:r>
      <w:proofErr w:type="spellEnd"/>
      <w:r w:rsidRPr="00AF2457">
        <w:rPr>
          <w:rFonts w:ascii="Times New Roman" w:hAnsi="Times New Roman"/>
          <w:color w:val="0D0D0D" w:themeColor="text1" w:themeTint="F2"/>
        </w:rPr>
        <w:t>, 2022). Comparative analyses reveal significant disparities between facility types: tertiary hospitals demonstrate substantially higher compliance with waste management standards compared to primary healthcare centers (Ogbonna et al., 2012). Geographic inequalities are equally pronounced, with variations in waste management infrastructure and practices across different Nigerian regions (Babatunde et al., 2013). The environmental dimensions of healthcare waste management deserve particular attention, as studies have documented significant ecological contamination from inadequate disposal practices, including elevated concentrations of heavy metals and pharmaceutical residues near healthcare waste dumpsites (Anozie et al., 2017; Manga et al., 2011).</w:t>
      </w:r>
    </w:p>
    <w:p w14:paraId="71AD1977" w14:textId="23DA7494" w:rsidR="00AF4A2A" w:rsidRPr="002E4226" w:rsidRDefault="00AF4A2A" w:rsidP="00472353">
      <w:pPr>
        <w:spacing w:after="240"/>
        <w:jc w:val="both"/>
        <w:rPr>
          <w:rFonts w:ascii="Times New Roman" w:hAnsi="Times New Roman"/>
          <w:color w:val="0D0D0D" w:themeColor="text1" w:themeTint="F2"/>
        </w:rPr>
      </w:pPr>
    </w:p>
    <w:p w14:paraId="18B6D4C8"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5. Conclusion</w:t>
      </w:r>
    </w:p>
    <w:p w14:paraId="390DBB86"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This study demonstrates that healthcare workers in Jalingo possess a </w:t>
      </w:r>
      <w:r w:rsidRPr="002E4226">
        <w:rPr>
          <w:rFonts w:ascii="Times New Roman" w:eastAsiaTheme="majorEastAsia" w:hAnsi="Times New Roman"/>
          <w:color w:val="0D0D0D" w:themeColor="text1" w:themeTint="F2"/>
        </w:rPr>
        <w:t>substantial level of awareness and familiarity with medical waste management</w:t>
      </w:r>
      <w:r w:rsidRPr="002E4226">
        <w:rPr>
          <w:rFonts w:ascii="Times New Roman" w:hAnsi="Times New Roman"/>
          <w:color w:val="0D0D0D" w:themeColor="text1" w:themeTint="F2"/>
        </w:rPr>
        <w:t xml:space="preserve">, reflecting a foundational understanding of safe practices. However, significant </w:t>
      </w:r>
      <w:r w:rsidRPr="002E4226">
        <w:rPr>
          <w:rFonts w:ascii="Times New Roman" w:eastAsiaTheme="majorEastAsia" w:hAnsi="Times New Roman"/>
          <w:color w:val="0D0D0D" w:themeColor="text1" w:themeTint="F2"/>
        </w:rPr>
        <w:t>gaps remain in training adequacy, environmental initiatives, and the practical implementation of existing policies</w:t>
      </w:r>
      <w:r w:rsidRPr="002E4226">
        <w:rPr>
          <w:rFonts w:ascii="Times New Roman" w:hAnsi="Times New Roman"/>
          <w:color w:val="0D0D0D" w:themeColor="text1" w:themeTint="F2"/>
        </w:rPr>
        <w:t>, indicating that knowledge does not always translate into consistent or safe practices at the facility level.</w:t>
      </w:r>
    </w:p>
    <w:p w14:paraId="5EDFC65D"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 xml:space="preserve">The findings highlight the </w:t>
      </w:r>
      <w:r w:rsidRPr="002E4226">
        <w:rPr>
          <w:rFonts w:ascii="Times New Roman" w:eastAsiaTheme="majorEastAsia" w:hAnsi="Times New Roman"/>
          <w:color w:val="0D0D0D" w:themeColor="text1" w:themeTint="F2"/>
        </w:rPr>
        <w:t>diversity of medical waste types</w:t>
      </w:r>
      <w:r w:rsidRPr="002E4226">
        <w:rPr>
          <w:rFonts w:ascii="Times New Roman" w:hAnsi="Times New Roman"/>
          <w:color w:val="0D0D0D" w:themeColor="text1" w:themeTint="F2"/>
        </w:rPr>
        <w:t xml:space="preserve"> generated across healthcare facilities, including infectious, sharps, chemical, and pathological waste, emphasizing the critical need for effective </w:t>
      </w:r>
      <w:r w:rsidRPr="002E4226">
        <w:rPr>
          <w:rFonts w:ascii="Times New Roman" w:eastAsiaTheme="majorEastAsia" w:hAnsi="Times New Roman"/>
          <w:color w:val="0D0D0D" w:themeColor="text1" w:themeTint="F2"/>
        </w:rPr>
        <w:t>segregation, handling, and disposal systems</w:t>
      </w:r>
      <w:r w:rsidRPr="002E4226">
        <w:rPr>
          <w:rFonts w:ascii="Times New Roman" w:hAnsi="Times New Roman"/>
          <w:color w:val="0D0D0D" w:themeColor="text1" w:themeTint="F2"/>
        </w:rPr>
        <w:t xml:space="preserve">. While respondents generally perceive current policies and practices as moderately effective, the limited adoption of facility-level environmental initiatives and inconsistencies in policy enforcement suggest systemic challenges that may exacerbate </w:t>
      </w:r>
      <w:r w:rsidRPr="002E4226">
        <w:rPr>
          <w:rFonts w:ascii="Times New Roman" w:eastAsiaTheme="majorEastAsia" w:hAnsi="Times New Roman"/>
          <w:color w:val="0D0D0D" w:themeColor="text1" w:themeTint="F2"/>
        </w:rPr>
        <w:t>occupational health risks</w:t>
      </w:r>
      <w:r w:rsidRPr="002E4226">
        <w:rPr>
          <w:rFonts w:ascii="Times New Roman" w:hAnsi="Times New Roman"/>
          <w:color w:val="0D0D0D" w:themeColor="text1" w:themeTint="F2"/>
        </w:rPr>
        <w:t xml:space="preserve"> and environmental hazards.</w:t>
      </w:r>
    </w:p>
    <w:p w14:paraId="49C9D0F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hAnsi="Times New Roman"/>
          <w:color w:val="0D0D0D" w:themeColor="text1" w:themeTint="F2"/>
        </w:rPr>
        <w:t>To address these challenges, healthcare institutions must prioritize:</w:t>
      </w:r>
    </w:p>
    <w:p w14:paraId="5E61DB15"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Capacity-building and regular training</w:t>
      </w:r>
      <w:r w:rsidRPr="002E4226">
        <w:rPr>
          <w:rFonts w:ascii="Times New Roman" w:hAnsi="Times New Roman"/>
          <w:color w:val="0D0D0D" w:themeColor="text1" w:themeTint="F2"/>
        </w:rPr>
        <w:t xml:space="preserve"> for all cadres of healthcare workers to ensure knowledge is consistently applied in practice. </w:t>
      </w:r>
    </w:p>
    <w:p w14:paraId="6B1EA88A"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lastRenderedPageBreak/>
        <w:t>Investment in infrastructure</w:t>
      </w:r>
      <w:r w:rsidRPr="002E4226">
        <w:rPr>
          <w:rFonts w:ascii="Times New Roman" w:hAnsi="Times New Roman"/>
          <w:color w:val="0D0D0D" w:themeColor="text1" w:themeTint="F2"/>
        </w:rPr>
        <w:t xml:space="preserve">, including adequate waste segregation containers, personal protective equipment, and environmentally sustainable disposal systems. </w:t>
      </w:r>
    </w:p>
    <w:p w14:paraId="1234B643" w14:textId="77777777" w:rsidR="00AF4A2A" w:rsidRPr="002E4226"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Strict enforcement and monitoring of policies</w:t>
      </w:r>
      <w:r w:rsidRPr="002E4226">
        <w:rPr>
          <w:rFonts w:ascii="Times New Roman" w:hAnsi="Times New Roman"/>
          <w:color w:val="0D0D0D" w:themeColor="text1" w:themeTint="F2"/>
        </w:rPr>
        <w:t xml:space="preserve">, coupled with supportive supervision to bridge the gap between policy formulation and operational compliance. </w:t>
      </w:r>
    </w:p>
    <w:p w14:paraId="0B40F332" w14:textId="0EB71907" w:rsidR="00AF4A2A" w:rsidRDefault="00AF4A2A" w:rsidP="00AF4A2A">
      <w:pPr>
        <w:spacing w:after="240"/>
        <w:jc w:val="both"/>
        <w:rPr>
          <w:rFonts w:ascii="Times New Roman" w:hAnsi="Times New Roman"/>
          <w:color w:val="0D0D0D" w:themeColor="text1" w:themeTint="F2"/>
        </w:rPr>
      </w:pPr>
      <w:r w:rsidRPr="002E4226">
        <w:rPr>
          <w:rFonts w:ascii="Times New Roman" w:eastAsiaTheme="majorEastAsia" w:hAnsi="Times New Roman"/>
          <w:color w:val="0D0D0D" w:themeColor="text1" w:themeTint="F2"/>
        </w:rPr>
        <w:t>Promotion of sustainability initiatives</w:t>
      </w:r>
      <w:r w:rsidRPr="002E4226">
        <w:rPr>
          <w:rFonts w:ascii="Times New Roman" w:hAnsi="Times New Roman"/>
          <w:color w:val="0D0D0D" w:themeColor="text1" w:themeTint="F2"/>
        </w:rPr>
        <w:t xml:space="preserve">, such as waste minimization, recycling, and safe disposal, to mitigate environmental impacts. </w:t>
      </w:r>
    </w:p>
    <w:p w14:paraId="2147CB0E" w14:textId="5A45A3B0" w:rsidR="00472353" w:rsidRDefault="00472353" w:rsidP="00AF4A2A">
      <w:pPr>
        <w:spacing w:after="240"/>
        <w:jc w:val="both"/>
        <w:rPr>
          <w:rFonts w:ascii="Times New Roman" w:hAnsi="Times New Roman"/>
          <w:color w:val="0D0D0D" w:themeColor="text1" w:themeTint="F2"/>
        </w:rPr>
      </w:pPr>
    </w:p>
    <w:p w14:paraId="3CA57B58" w14:textId="3379A1BB" w:rsidR="00472353" w:rsidRDefault="00472353" w:rsidP="00AF4A2A">
      <w:pPr>
        <w:spacing w:after="240"/>
        <w:jc w:val="both"/>
        <w:rPr>
          <w:rFonts w:ascii="Times New Roman" w:hAnsi="Times New Roman"/>
          <w:color w:val="0D0D0D" w:themeColor="text1" w:themeTint="F2"/>
        </w:rPr>
      </w:pPr>
    </w:p>
    <w:p w14:paraId="6B3C377D" w14:textId="77777777" w:rsidR="00472353" w:rsidRPr="007255A0" w:rsidRDefault="00472353" w:rsidP="00472353">
      <w:pPr>
        <w:spacing w:after="240"/>
        <w:jc w:val="both"/>
        <w:rPr>
          <w:rFonts w:ascii="Times New Roman" w:hAnsi="Times New Roman"/>
          <w:b/>
          <w:bCs/>
          <w:color w:val="0D0D0D" w:themeColor="text1" w:themeTint="F2"/>
          <w:sz w:val="22"/>
          <w:szCs w:val="22"/>
        </w:rPr>
      </w:pPr>
      <w:r w:rsidRPr="007255A0">
        <w:rPr>
          <w:rFonts w:ascii="Times New Roman" w:hAnsi="Times New Roman"/>
          <w:b/>
          <w:bCs/>
          <w:color w:val="0D0D0D" w:themeColor="text1" w:themeTint="F2"/>
          <w:sz w:val="22"/>
          <w:szCs w:val="22"/>
        </w:rPr>
        <w:t>Limitations of the Study</w:t>
      </w:r>
      <w:bookmarkStart w:id="2" w:name="_GoBack"/>
      <w:bookmarkEnd w:id="2"/>
    </w:p>
    <w:p w14:paraId="002997AC" w14:textId="77777777" w:rsidR="00472353" w:rsidRPr="002E4226" w:rsidRDefault="00472353" w:rsidP="00472353">
      <w:pPr>
        <w:spacing w:after="240"/>
        <w:jc w:val="both"/>
        <w:rPr>
          <w:rFonts w:ascii="Times New Roman" w:hAnsi="Times New Roman"/>
          <w:color w:val="0D0D0D" w:themeColor="text1" w:themeTint="F2"/>
        </w:rPr>
      </w:pPr>
      <w:r w:rsidRPr="007255A0">
        <w:rPr>
          <w:rFonts w:ascii="Times New Roman" w:hAnsi="Times New Roman"/>
          <w:color w:val="0D0D0D" w:themeColor="text1" w:themeTint="F2"/>
        </w:rPr>
        <w:t>Notwithstanding the important contributions of this study, several limitations should be considered when interpreting the findings. First, the cross-sectional design limits the ability to establish causal relationships between healthcare workers’ knowledge, perceptions, and actual waste management practices. The results therefore reflect conditions at a single point in time and may not capture temporal dynamics or evolving practices. The study relied on self-reported data, which may be influenced by social desirability and recall biases. Participants may have overreported compliance with recommended practices or underreported unsafe behaviors, potentially leading to an overestimation of awareness and perceived effectiveness. The study did not include direct observational assessments or environmental measurements such as quantification of waste generation, emission levels, or environmental contamination indicators. Consequently, the environmental and health risks discussed are based on perceptions rather than objective measurements. Additionally, although the study was geographically contextualized, it did not employ advanced spatial or geospatial analytical techniques to assess environmental exposure patterns or proximity-based risks. This limits the ability to draw conclusions regarding spatial distribution of environmental burden</w:t>
      </w:r>
      <w:r>
        <w:rPr>
          <w:rFonts w:ascii="Times New Roman" w:hAnsi="Times New Roman"/>
          <w:color w:val="0D0D0D" w:themeColor="text1" w:themeTint="F2"/>
        </w:rPr>
        <w:t xml:space="preserve">. </w:t>
      </w:r>
      <w:r w:rsidRPr="007255A0">
        <w:rPr>
          <w:rFonts w:ascii="Times New Roman" w:hAnsi="Times New Roman"/>
          <w:color w:val="0D0D0D" w:themeColor="text1" w:themeTint="F2"/>
        </w:rPr>
        <w:t xml:space="preserve">Furthermore, the study was conducted within selected healthcare facilities in </w:t>
      </w:r>
      <w:proofErr w:type="spellStart"/>
      <w:r w:rsidRPr="007255A0">
        <w:rPr>
          <w:rFonts w:ascii="Times New Roman" w:hAnsi="Times New Roman"/>
          <w:color w:val="0D0D0D" w:themeColor="text1" w:themeTint="F2"/>
        </w:rPr>
        <w:t>Jalingo</w:t>
      </w:r>
      <w:proofErr w:type="spellEnd"/>
      <w:r w:rsidRPr="007255A0">
        <w:rPr>
          <w:rFonts w:ascii="Times New Roman" w:hAnsi="Times New Roman"/>
          <w:color w:val="0D0D0D" w:themeColor="text1" w:themeTint="F2"/>
        </w:rPr>
        <w:t>, which may limit the generalizability of the findings to other regions with differing healthcare systems, infrastructure, and regulatory environments. Future studies should adopt longitudinal and mixed-method approaches, incorporate direct environmental assessments, and utilize geospatial tools to provide a more comprehensive understanding of healthcare waste management and its associated risks.</w:t>
      </w:r>
    </w:p>
    <w:p w14:paraId="5C3E56B4" w14:textId="77777777" w:rsidR="00472353" w:rsidRDefault="00472353" w:rsidP="00AF4A2A">
      <w:pPr>
        <w:spacing w:after="240"/>
        <w:jc w:val="both"/>
        <w:rPr>
          <w:rFonts w:ascii="Times New Roman" w:hAnsi="Times New Roman"/>
          <w:color w:val="0D0D0D" w:themeColor="text1" w:themeTint="F2"/>
        </w:rPr>
      </w:pPr>
    </w:p>
    <w:p w14:paraId="04A13076" w14:textId="153BEFFD" w:rsidR="003876D6" w:rsidRPr="003876D6" w:rsidRDefault="003876D6" w:rsidP="00AF4A2A">
      <w:pPr>
        <w:spacing w:after="240"/>
        <w:jc w:val="both"/>
        <w:rPr>
          <w:rFonts w:ascii="Times New Roman" w:hAnsi="Times New Roman"/>
          <w:b/>
          <w:color w:val="0D0D0D" w:themeColor="text1" w:themeTint="F2"/>
          <w:sz w:val="32"/>
          <w:szCs w:val="32"/>
        </w:rPr>
      </w:pPr>
      <w:r w:rsidRPr="003876D6">
        <w:rPr>
          <w:rFonts w:ascii="Times New Roman" w:hAnsi="Times New Roman"/>
          <w:b/>
          <w:color w:val="0D0D0D" w:themeColor="text1" w:themeTint="F2"/>
          <w:sz w:val="32"/>
          <w:szCs w:val="32"/>
        </w:rPr>
        <w:t>consent</w:t>
      </w:r>
    </w:p>
    <w:p w14:paraId="518ECEB8" w14:textId="4D834045" w:rsidR="003876D6" w:rsidRPr="002E4226" w:rsidRDefault="003876D6" w:rsidP="003876D6">
      <w:pPr>
        <w:spacing w:after="240"/>
        <w:jc w:val="both"/>
        <w:rPr>
          <w:rFonts w:ascii="Times New Roman" w:hAnsi="Times New Roman"/>
          <w:color w:val="0D0D0D" w:themeColor="text1" w:themeTint="F2"/>
        </w:rPr>
      </w:pPr>
      <w:r>
        <w:rPr>
          <w:rFonts w:ascii="Times New Roman" w:hAnsi="Times New Roman"/>
          <w:color w:val="0D0D0D" w:themeColor="text1" w:themeTint="F2"/>
        </w:rPr>
        <w:t xml:space="preserve">Written </w:t>
      </w:r>
      <w:r w:rsidRPr="002E4226">
        <w:rPr>
          <w:rFonts w:ascii="Times New Roman" w:hAnsi="Times New Roman"/>
          <w:color w:val="0D0D0D" w:themeColor="text1" w:themeTint="F2"/>
        </w:rPr>
        <w:t>Informed consent was obtained from all participants, and responses were anonymized and securely stored. Ethical procedures minimized potential response bias, supporting the validity of the study.</w:t>
      </w:r>
    </w:p>
    <w:p w14:paraId="6A694EBE" w14:textId="77777777" w:rsidR="003876D6" w:rsidRDefault="003876D6" w:rsidP="00AF4A2A">
      <w:pPr>
        <w:spacing w:after="240"/>
        <w:jc w:val="both"/>
        <w:rPr>
          <w:rFonts w:ascii="Times New Roman" w:hAnsi="Times New Roman"/>
          <w:color w:val="0D0D0D" w:themeColor="text1" w:themeTint="F2"/>
        </w:rPr>
      </w:pPr>
    </w:p>
    <w:p w14:paraId="26988A43" w14:textId="77777777" w:rsidR="00CE5D4F" w:rsidRPr="007255A0" w:rsidRDefault="00CE5D4F" w:rsidP="00CE5D4F">
      <w:pPr>
        <w:pStyle w:val="NoSpacing"/>
        <w:rPr>
          <w:rFonts w:ascii="Arial" w:hAnsi="Arial" w:cs="Arial"/>
        </w:rPr>
      </w:pPr>
      <w:bookmarkStart w:id="3" w:name="_Hlk219284361"/>
      <w:bookmarkStart w:id="4" w:name="_Hlk225937769"/>
      <w:bookmarkStart w:id="5" w:name="_Hlk198031404"/>
      <w:r w:rsidRPr="007255A0">
        <w:rPr>
          <w:rFonts w:ascii="Arial" w:hAnsi="Arial" w:cs="Arial"/>
        </w:rPr>
        <w:t>Disclaimer (Artificial intelligence)</w:t>
      </w:r>
    </w:p>
    <w:p w14:paraId="44FD0069" w14:textId="77777777" w:rsidR="00CE5D4F" w:rsidRPr="007255A0" w:rsidRDefault="00CE5D4F" w:rsidP="00CE5D4F">
      <w:pPr>
        <w:pStyle w:val="NoSpacing"/>
        <w:rPr>
          <w:rFonts w:ascii="Arial" w:hAnsi="Arial" w:cs="Arial"/>
        </w:rPr>
      </w:pPr>
    </w:p>
    <w:p w14:paraId="39058E57" w14:textId="2ECC64FA" w:rsidR="00CE5D4F" w:rsidRPr="007255A0" w:rsidRDefault="00CE5D4F" w:rsidP="00CE5D4F">
      <w:pPr>
        <w:pStyle w:val="NoSpacing"/>
        <w:rPr>
          <w:rFonts w:ascii="Arial" w:hAnsi="Arial" w:cs="Arial"/>
        </w:rPr>
      </w:pPr>
      <w:r w:rsidRPr="007255A0">
        <w:rPr>
          <w:rFonts w:ascii="Arial" w:hAnsi="Arial" w:cs="Arial"/>
        </w:rPr>
        <w:t xml:space="preserve">Author(s) hereby declare that NO generative AI technologies such as Large Language Models (ChatGPT, COPILOT, etc.) and text-to-image generators have been used during the writing or </w:t>
      </w:r>
      <w:proofErr w:type="gramStart"/>
      <w:r w:rsidRPr="007255A0">
        <w:rPr>
          <w:rFonts w:ascii="Arial" w:hAnsi="Arial" w:cs="Arial"/>
        </w:rPr>
        <w:t>editing</w:t>
      </w:r>
      <w:r w:rsidR="00552D39">
        <w:rPr>
          <w:rFonts w:ascii="Arial" w:hAnsi="Arial" w:cs="Arial"/>
        </w:rPr>
        <w:t xml:space="preserve"> </w:t>
      </w:r>
      <w:r w:rsidRPr="007255A0">
        <w:rPr>
          <w:rFonts w:ascii="Arial" w:hAnsi="Arial" w:cs="Arial"/>
        </w:rPr>
        <w:t xml:space="preserve"> of</w:t>
      </w:r>
      <w:proofErr w:type="gramEnd"/>
      <w:r w:rsidRPr="007255A0">
        <w:rPr>
          <w:rFonts w:ascii="Arial" w:hAnsi="Arial" w:cs="Arial"/>
        </w:rPr>
        <w:t xml:space="preserve"> this manuscript</w:t>
      </w:r>
      <w:bookmarkEnd w:id="3"/>
      <w:r w:rsidRPr="007255A0">
        <w:rPr>
          <w:rFonts w:ascii="Arial" w:hAnsi="Arial" w:cs="Arial"/>
        </w:rPr>
        <w:t xml:space="preserve">. </w:t>
      </w:r>
      <w:bookmarkEnd w:id="4"/>
    </w:p>
    <w:bookmarkEnd w:id="5"/>
    <w:p w14:paraId="63DB0F29" w14:textId="77777777" w:rsidR="00CD3494" w:rsidRDefault="00CD3494" w:rsidP="00AF4A2A">
      <w:pPr>
        <w:spacing w:after="240"/>
        <w:jc w:val="both"/>
        <w:rPr>
          <w:rFonts w:ascii="Times New Roman" w:hAnsi="Times New Roman"/>
          <w:color w:val="0D0D0D" w:themeColor="text1" w:themeTint="F2"/>
        </w:rPr>
      </w:pPr>
    </w:p>
    <w:p w14:paraId="55BE8A3F" w14:textId="77777777" w:rsidR="00AF4A2A" w:rsidRPr="002E4226" w:rsidRDefault="00AF4A2A" w:rsidP="00AF4A2A">
      <w:pPr>
        <w:spacing w:after="240"/>
        <w:jc w:val="both"/>
        <w:rPr>
          <w:rFonts w:ascii="Times New Roman" w:hAnsi="Times New Roman"/>
          <w:b/>
          <w:bCs/>
          <w:color w:val="0D0D0D" w:themeColor="text1" w:themeTint="F2"/>
          <w:sz w:val="22"/>
          <w:szCs w:val="22"/>
        </w:rPr>
      </w:pPr>
      <w:r w:rsidRPr="002E4226">
        <w:rPr>
          <w:rFonts w:ascii="Times New Roman" w:hAnsi="Times New Roman"/>
          <w:b/>
          <w:bCs/>
          <w:color w:val="0D0D0D" w:themeColor="text1" w:themeTint="F2"/>
          <w:sz w:val="22"/>
          <w:szCs w:val="22"/>
        </w:rPr>
        <w:t>References</w:t>
      </w:r>
    </w:p>
    <w:p w14:paraId="6C919B7F" w14:textId="194E0D9B"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Abdulla, F., </w:t>
      </w:r>
      <w:proofErr w:type="spellStart"/>
      <w:r w:rsidRPr="00524B29">
        <w:rPr>
          <w:color w:val="0D0D0D" w:themeColor="text1" w:themeTint="F2"/>
        </w:rPr>
        <w:t>Qdais</w:t>
      </w:r>
      <w:proofErr w:type="spellEnd"/>
      <w:r w:rsidRPr="00524B29">
        <w:rPr>
          <w:color w:val="0D0D0D" w:themeColor="text1" w:themeTint="F2"/>
        </w:rPr>
        <w:t xml:space="preserve">, H. A., &amp; Rabi, A. (2016). Site investigation on medical waste management practices in northern Jordan. </w:t>
      </w:r>
      <w:r w:rsidRPr="00524B29">
        <w:rPr>
          <w:i/>
          <w:iCs/>
          <w:color w:val="0D0D0D" w:themeColor="text1" w:themeTint="F2"/>
        </w:rPr>
        <w:t>Waste Management, 28</w:t>
      </w:r>
      <w:r w:rsidRPr="00524B29">
        <w:rPr>
          <w:color w:val="0D0D0D" w:themeColor="text1" w:themeTint="F2"/>
        </w:rPr>
        <w:t xml:space="preserve">(2), 450-458. </w:t>
      </w:r>
      <w:hyperlink r:id="rId8" w:history="1">
        <w:r w:rsidR="0048326D" w:rsidRPr="00524B29">
          <w:rPr>
            <w:rStyle w:val="Hyperlink"/>
          </w:rPr>
          <w:t>https://doi.org/10.1016/j.wasman.2007.02.035</w:t>
        </w:r>
      </w:hyperlink>
    </w:p>
    <w:p w14:paraId="5E3B229C" w14:textId="77777777"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Abubakar, U., &amp; </w:t>
      </w:r>
      <w:proofErr w:type="spellStart"/>
      <w:r w:rsidRPr="00524B29">
        <w:rPr>
          <w:color w:val="0D0D0D" w:themeColor="text1" w:themeTint="F2"/>
        </w:rPr>
        <w:t>Emigilati</w:t>
      </w:r>
      <w:proofErr w:type="spellEnd"/>
      <w:r w:rsidRPr="00524B29">
        <w:rPr>
          <w:color w:val="0D0D0D" w:themeColor="text1" w:themeTint="F2"/>
        </w:rPr>
        <w:t xml:space="preserve">, M. A. (2022). Healthcare waste management in Nigeria: A review. </w:t>
      </w:r>
      <w:r w:rsidRPr="00524B29">
        <w:rPr>
          <w:i/>
          <w:iCs/>
          <w:color w:val="0D0D0D" w:themeColor="text1" w:themeTint="F2"/>
        </w:rPr>
        <w:t>International Journal of Environmental Studies, 79</w:t>
      </w:r>
      <w:r w:rsidRPr="00524B29">
        <w:rPr>
          <w:color w:val="0D0D0D" w:themeColor="text1" w:themeTint="F2"/>
        </w:rPr>
        <w:t xml:space="preserve">(3), 458-473. </w:t>
      </w:r>
      <w:hyperlink r:id="rId9" w:history="1">
        <w:r w:rsidR="0048326D" w:rsidRPr="00524B29">
          <w:rPr>
            <w:rStyle w:val="Hyperlink"/>
          </w:rPr>
          <w:t>https://doi.org/10.1080/00207233.2021.1941240</w:t>
        </w:r>
      </w:hyperlink>
    </w:p>
    <w:p w14:paraId="590DB926" w14:textId="77777777"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Adewumi, I. K., Ogbonna, D. N., &amp; Ephraim-Emmanuel, B. C. (2019). Hospital waste management: A case study of Port Harcourt metropolis. </w:t>
      </w:r>
      <w:r w:rsidRPr="00524B29">
        <w:rPr>
          <w:i/>
          <w:iCs/>
          <w:color w:val="0D0D0D" w:themeColor="text1" w:themeTint="F2"/>
        </w:rPr>
        <w:t>Journal of Applied Sciences and Environmental Management, 23</w:t>
      </w:r>
      <w:r w:rsidRPr="00524B29">
        <w:rPr>
          <w:color w:val="0D0D0D" w:themeColor="text1" w:themeTint="F2"/>
        </w:rPr>
        <w:t xml:space="preserve">(9), 1641-1648. </w:t>
      </w:r>
      <w:hyperlink r:id="rId10" w:history="1">
        <w:r w:rsidR="0048326D" w:rsidRPr="00524B29">
          <w:rPr>
            <w:rStyle w:val="Hyperlink"/>
          </w:rPr>
          <w:t>https://doi.org/10.4314/jasem.v23i9.11</w:t>
        </w:r>
      </w:hyperlink>
    </w:p>
    <w:p w14:paraId="4D3521D6" w14:textId="7CB66C70"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Ajayi, S. O., &amp; </w:t>
      </w:r>
      <w:proofErr w:type="spellStart"/>
      <w:r w:rsidRPr="00524B29">
        <w:rPr>
          <w:color w:val="0D0D0D" w:themeColor="text1" w:themeTint="F2"/>
        </w:rPr>
        <w:t>Osibanjo</w:t>
      </w:r>
      <w:proofErr w:type="spellEnd"/>
      <w:r w:rsidRPr="00524B29">
        <w:rPr>
          <w:color w:val="0D0D0D" w:themeColor="text1" w:themeTint="F2"/>
        </w:rPr>
        <w:t xml:space="preserve">, O. (2020). Pollution studies on Nigerian rivers: The SOLID waste situation. </w:t>
      </w:r>
      <w:r w:rsidRPr="00524B29">
        <w:rPr>
          <w:i/>
          <w:iCs/>
          <w:color w:val="0D0D0D" w:themeColor="text1" w:themeTint="F2"/>
        </w:rPr>
        <w:t>Environmental Management and Health, 11</w:t>
      </w:r>
      <w:r w:rsidRPr="00524B29">
        <w:rPr>
          <w:color w:val="0D0D0D" w:themeColor="text1" w:themeTint="F2"/>
        </w:rPr>
        <w:t xml:space="preserve">(4), 354-361. </w:t>
      </w:r>
      <w:hyperlink r:id="rId11" w:history="1">
        <w:r w:rsidR="0048326D" w:rsidRPr="00524B29">
          <w:rPr>
            <w:rStyle w:val="Hyperlink"/>
          </w:rPr>
          <w:t>https://doi.org/10.1108/09566160010372861</w:t>
        </w:r>
      </w:hyperlink>
    </w:p>
    <w:p w14:paraId="756789B9" w14:textId="7B0ACDF8"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Anozie, O. B., Lawani, L. O., Eze, J. N., &amp; </w:t>
      </w:r>
      <w:proofErr w:type="spellStart"/>
      <w:r w:rsidRPr="00524B29">
        <w:rPr>
          <w:color w:val="0D0D0D" w:themeColor="text1" w:themeTint="F2"/>
        </w:rPr>
        <w:t>Iyoke</w:t>
      </w:r>
      <w:proofErr w:type="spellEnd"/>
      <w:r w:rsidRPr="00524B29">
        <w:rPr>
          <w:color w:val="0D0D0D" w:themeColor="text1" w:themeTint="F2"/>
        </w:rPr>
        <w:t xml:space="preserve">, C. A. (2017). Knowledge, attitude and practice of healthcare managers to medical waste management and occupational safety practices: Findings from Southeast Nigeria. </w:t>
      </w:r>
      <w:r w:rsidRPr="00524B29">
        <w:rPr>
          <w:i/>
          <w:iCs/>
          <w:color w:val="0D0D0D" w:themeColor="text1" w:themeTint="F2"/>
        </w:rPr>
        <w:t>Journal of Clinical and Diagnostic Research, 11</w:t>
      </w:r>
      <w:r w:rsidRPr="00524B29">
        <w:rPr>
          <w:color w:val="0D0D0D" w:themeColor="text1" w:themeTint="F2"/>
        </w:rPr>
        <w:t xml:space="preserve">(3), IC01-IC04. </w:t>
      </w:r>
      <w:hyperlink r:id="rId12" w:history="1">
        <w:r w:rsidR="0048326D" w:rsidRPr="00524B29">
          <w:rPr>
            <w:rStyle w:val="Hyperlink"/>
          </w:rPr>
          <w:t>https://doi.org/10.7860/JCDR/2017/24230.9527</w:t>
        </w:r>
      </w:hyperlink>
    </w:p>
    <w:p w14:paraId="36B9D005" w14:textId="6CEC18FB"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Awodele, O., </w:t>
      </w:r>
      <w:proofErr w:type="spellStart"/>
      <w:r w:rsidRPr="00524B29">
        <w:rPr>
          <w:color w:val="0D0D0D" w:themeColor="text1" w:themeTint="F2"/>
        </w:rPr>
        <w:t>Adewoye</w:t>
      </w:r>
      <w:proofErr w:type="spellEnd"/>
      <w:r w:rsidRPr="00524B29">
        <w:rPr>
          <w:color w:val="0D0D0D" w:themeColor="text1" w:themeTint="F2"/>
        </w:rPr>
        <w:t xml:space="preserve">, A. A., &amp; Oparah, A. C. (2016). Assessment of medical waste management in seven hospitals in Lagos, Nigeria. </w:t>
      </w:r>
      <w:r w:rsidRPr="00524B29">
        <w:rPr>
          <w:i/>
          <w:iCs/>
          <w:color w:val="0D0D0D" w:themeColor="text1" w:themeTint="F2"/>
        </w:rPr>
        <w:t>BMC Public Health, 16</w:t>
      </w:r>
      <w:r w:rsidRPr="00524B29">
        <w:rPr>
          <w:color w:val="0D0D0D" w:themeColor="text1" w:themeTint="F2"/>
        </w:rPr>
        <w:t xml:space="preserve">, 269. </w:t>
      </w:r>
      <w:hyperlink r:id="rId13" w:history="1">
        <w:r w:rsidR="0048326D" w:rsidRPr="00524B29">
          <w:rPr>
            <w:rStyle w:val="Hyperlink"/>
          </w:rPr>
          <w:t>https://doi.org/10.1186/s12889-016-2916-1</w:t>
        </w:r>
      </w:hyperlink>
    </w:p>
    <w:p w14:paraId="1502494A" w14:textId="50F2E8ED"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Babatunde, A. M., Kolo, M. A., &amp; </w:t>
      </w:r>
      <w:proofErr w:type="spellStart"/>
      <w:r w:rsidRPr="00524B29">
        <w:rPr>
          <w:color w:val="0D0D0D" w:themeColor="text1" w:themeTint="F2"/>
        </w:rPr>
        <w:t>Ogezi</w:t>
      </w:r>
      <w:proofErr w:type="spellEnd"/>
      <w:r w:rsidRPr="00524B29">
        <w:rPr>
          <w:color w:val="0D0D0D" w:themeColor="text1" w:themeTint="F2"/>
        </w:rPr>
        <w:t xml:space="preserve">, A. O. (2013). Management of healthcare wastes in selected healthcare facilities in Kano Metropolis, Nigeria. </w:t>
      </w:r>
      <w:r w:rsidRPr="00524B29">
        <w:rPr>
          <w:i/>
          <w:iCs/>
          <w:color w:val="0D0D0D" w:themeColor="text1" w:themeTint="F2"/>
        </w:rPr>
        <w:t>African Journal of Environmental Science and Technology, 7</w:t>
      </w:r>
      <w:r w:rsidRPr="00524B29">
        <w:rPr>
          <w:color w:val="0D0D0D" w:themeColor="text1" w:themeTint="F2"/>
        </w:rPr>
        <w:t xml:space="preserve">(7), 624-631. </w:t>
      </w:r>
      <w:hyperlink r:id="rId14" w:history="1">
        <w:r w:rsidR="0048326D" w:rsidRPr="00524B29">
          <w:rPr>
            <w:rStyle w:val="Hyperlink"/>
          </w:rPr>
          <w:t>https://doi.org/10.5897/AJEST2013.1446</w:t>
        </w:r>
      </w:hyperlink>
    </w:p>
    <w:p w14:paraId="2C0ACCA2" w14:textId="570FDCBA"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Coker, A., </w:t>
      </w:r>
      <w:proofErr w:type="spellStart"/>
      <w:r w:rsidRPr="00524B29">
        <w:rPr>
          <w:color w:val="0D0D0D" w:themeColor="text1" w:themeTint="F2"/>
        </w:rPr>
        <w:t>Sangodoyin</w:t>
      </w:r>
      <w:proofErr w:type="spellEnd"/>
      <w:r w:rsidRPr="00524B29">
        <w:rPr>
          <w:color w:val="0D0D0D" w:themeColor="text1" w:themeTint="F2"/>
        </w:rPr>
        <w:t xml:space="preserve">, A., Sridhar, M., Booth, C., </w:t>
      </w:r>
      <w:proofErr w:type="spellStart"/>
      <w:r w:rsidRPr="00524B29">
        <w:rPr>
          <w:color w:val="0D0D0D" w:themeColor="text1" w:themeTint="F2"/>
        </w:rPr>
        <w:t>Olomolaiye</w:t>
      </w:r>
      <w:proofErr w:type="spellEnd"/>
      <w:r w:rsidRPr="00524B29">
        <w:rPr>
          <w:color w:val="0D0D0D" w:themeColor="text1" w:themeTint="F2"/>
        </w:rPr>
        <w:t xml:space="preserve">, P., &amp; Hammond, F. (2009). Medical waste management in Ibadan, Nigeria: Obstacles and prospects. </w:t>
      </w:r>
      <w:r w:rsidRPr="00524B29">
        <w:rPr>
          <w:i/>
          <w:iCs/>
          <w:color w:val="0D0D0D" w:themeColor="text1" w:themeTint="F2"/>
        </w:rPr>
        <w:t>Waste Management, 29</w:t>
      </w:r>
      <w:r w:rsidRPr="00524B29">
        <w:rPr>
          <w:color w:val="0D0D0D" w:themeColor="text1" w:themeTint="F2"/>
        </w:rPr>
        <w:t xml:space="preserve">(2), 804-811. </w:t>
      </w:r>
      <w:hyperlink r:id="rId15" w:history="1">
        <w:r w:rsidR="0048326D" w:rsidRPr="00524B29">
          <w:rPr>
            <w:rStyle w:val="Hyperlink"/>
          </w:rPr>
          <w:t>https://doi.org/10.1016/j.wasman.2008.06.040</w:t>
        </w:r>
      </w:hyperlink>
    </w:p>
    <w:p w14:paraId="1BCC44CA" w14:textId="3F13B422"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Deress</w:t>
      </w:r>
      <w:proofErr w:type="spellEnd"/>
      <w:r w:rsidRPr="00524B29">
        <w:rPr>
          <w:color w:val="0D0D0D" w:themeColor="text1" w:themeTint="F2"/>
        </w:rPr>
        <w:t xml:space="preserve">, T., Hassen, F., Adane, K., &amp; Tsegaye, A. (2018). Assessment of knowledge, attitude, and practice about biomedical waste management and associated factors among the healthcare professionals at Debre Markos town healthcare facilities, Northwest Ethiopia. </w:t>
      </w:r>
      <w:r w:rsidRPr="00524B29">
        <w:rPr>
          <w:i/>
          <w:iCs/>
          <w:color w:val="0D0D0D" w:themeColor="text1" w:themeTint="F2"/>
        </w:rPr>
        <w:t>Journal of Environmental and Public Health, 2018</w:t>
      </w:r>
      <w:r w:rsidRPr="00524B29">
        <w:rPr>
          <w:color w:val="0D0D0D" w:themeColor="text1" w:themeTint="F2"/>
        </w:rPr>
        <w:t xml:space="preserve">, 7672981. </w:t>
      </w:r>
      <w:hyperlink r:id="rId16" w:history="1">
        <w:r w:rsidR="0048326D" w:rsidRPr="00524B29">
          <w:rPr>
            <w:rStyle w:val="Hyperlink"/>
          </w:rPr>
          <w:t>https://doi.org/10.1155/2018/7672981</w:t>
        </w:r>
      </w:hyperlink>
    </w:p>
    <w:p w14:paraId="430631B7" w14:textId="18A0B40B"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lastRenderedPageBreak/>
        <w:t xml:space="preserve">Ferreira, V., &amp; Teixeira, M. R. (2010). Healthcare waste management practices and risk perceptions: Findings from hospitals in the Algarve region, Portugal. </w:t>
      </w:r>
      <w:r w:rsidRPr="00524B29">
        <w:rPr>
          <w:i/>
          <w:iCs/>
          <w:color w:val="0D0D0D" w:themeColor="text1" w:themeTint="F2"/>
        </w:rPr>
        <w:t>Waste Management, 30</w:t>
      </w:r>
      <w:r w:rsidRPr="00524B29">
        <w:rPr>
          <w:color w:val="0D0D0D" w:themeColor="text1" w:themeTint="F2"/>
        </w:rPr>
        <w:t xml:space="preserve">(12), 2657-2663. </w:t>
      </w:r>
      <w:hyperlink r:id="rId17" w:history="1">
        <w:r w:rsidR="0048326D" w:rsidRPr="00524B29">
          <w:rPr>
            <w:rStyle w:val="Hyperlink"/>
          </w:rPr>
          <w:t>https://doi.org/10.1016/j.wasman.2010.07.012</w:t>
        </w:r>
      </w:hyperlink>
    </w:p>
    <w:p w14:paraId="5AE36E96" w14:textId="77777777"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Harhay, M. O., Halpern, S. D., Harhay, J. S., &amp; </w:t>
      </w:r>
      <w:proofErr w:type="spellStart"/>
      <w:r w:rsidRPr="00524B29">
        <w:rPr>
          <w:color w:val="0D0D0D" w:themeColor="text1" w:themeTint="F2"/>
        </w:rPr>
        <w:t>Olliaro</w:t>
      </w:r>
      <w:proofErr w:type="spellEnd"/>
      <w:r w:rsidRPr="00524B29">
        <w:rPr>
          <w:color w:val="0D0D0D" w:themeColor="text1" w:themeTint="F2"/>
        </w:rPr>
        <w:t xml:space="preserve">, P. L. (2009). Health care waste management: A neglected and growing public health problem worldwide. </w:t>
      </w:r>
      <w:r w:rsidRPr="00524B29">
        <w:rPr>
          <w:rFonts w:eastAsiaTheme="majorEastAsia"/>
          <w:i/>
          <w:iCs/>
          <w:color w:val="0D0D0D" w:themeColor="text1" w:themeTint="F2"/>
        </w:rPr>
        <w:t>Tropical Medicine &amp; International Health, 14</w:t>
      </w:r>
      <w:r w:rsidRPr="00524B29">
        <w:rPr>
          <w:color w:val="0D0D0D" w:themeColor="text1" w:themeTint="F2"/>
        </w:rPr>
        <w:t>(11), 1414–1417.</w:t>
      </w:r>
    </w:p>
    <w:p w14:paraId="17CE8432" w14:textId="77777777"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Ituma</w:t>
      </w:r>
      <w:proofErr w:type="spellEnd"/>
      <w:r w:rsidRPr="00524B29">
        <w:rPr>
          <w:color w:val="0D0D0D" w:themeColor="text1" w:themeTint="F2"/>
        </w:rPr>
        <w:t xml:space="preserve">, B., </w:t>
      </w:r>
      <w:proofErr w:type="spellStart"/>
      <w:r w:rsidRPr="00524B29">
        <w:rPr>
          <w:color w:val="0D0D0D" w:themeColor="text1" w:themeTint="F2"/>
        </w:rPr>
        <w:t>Amazue</w:t>
      </w:r>
      <w:proofErr w:type="spellEnd"/>
      <w:r w:rsidRPr="00524B29">
        <w:rPr>
          <w:color w:val="0D0D0D" w:themeColor="text1" w:themeTint="F2"/>
        </w:rPr>
        <w:t xml:space="preserve">, C. U., &amp; </w:t>
      </w:r>
      <w:proofErr w:type="spellStart"/>
      <w:r w:rsidRPr="00524B29">
        <w:rPr>
          <w:color w:val="0D0D0D" w:themeColor="text1" w:themeTint="F2"/>
        </w:rPr>
        <w:t>Ekeleme</w:t>
      </w:r>
      <w:proofErr w:type="spellEnd"/>
      <w:r w:rsidRPr="00524B29">
        <w:rPr>
          <w:color w:val="0D0D0D" w:themeColor="text1" w:themeTint="F2"/>
        </w:rPr>
        <w:t xml:space="preserve">, N. C. (2024). Compliance to national healthcare waste management guidelines by healthcare workers and facilities in </w:t>
      </w:r>
      <w:proofErr w:type="spellStart"/>
      <w:r w:rsidRPr="00524B29">
        <w:rPr>
          <w:color w:val="0D0D0D" w:themeColor="text1" w:themeTint="F2"/>
        </w:rPr>
        <w:t>Abakaliki</w:t>
      </w:r>
      <w:proofErr w:type="spellEnd"/>
      <w:r w:rsidRPr="00524B29">
        <w:rPr>
          <w:color w:val="0D0D0D" w:themeColor="text1" w:themeTint="F2"/>
        </w:rPr>
        <w:t xml:space="preserve">, South East Nigeria. </w:t>
      </w:r>
      <w:r w:rsidRPr="00524B29">
        <w:rPr>
          <w:rFonts w:eastAsiaTheme="majorEastAsia"/>
          <w:i/>
          <w:iCs/>
          <w:color w:val="0D0D0D" w:themeColor="text1" w:themeTint="F2"/>
        </w:rPr>
        <w:t>Orient Journal of Medicine, 36</w:t>
      </w:r>
      <w:r w:rsidRPr="00524B29">
        <w:rPr>
          <w:color w:val="0D0D0D" w:themeColor="text1" w:themeTint="F2"/>
        </w:rPr>
        <w:t xml:space="preserve">(3–4), 83–90. </w:t>
      </w:r>
      <w:hyperlink r:id="rId18" w:tgtFrame="_new" w:history="1">
        <w:r w:rsidRPr="00524B29">
          <w:rPr>
            <w:color w:val="0563C1" w:themeColor="hyperlink"/>
            <w:u w:val="single"/>
          </w:rPr>
          <w:t>https://orientjom.org.ng</w:t>
        </w:r>
      </w:hyperlink>
    </w:p>
    <w:p w14:paraId="6C1D517D" w14:textId="54D0BD3D"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Ituma</w:t>
      </w:r>
      <w:proofErr w:type="spellEnd"/>
      <w:r w:rsidRPr="00524B29">
        <w:rPr>
          <w:color w:val="0D0D0D" w:themeColor="text1" w:themeTint="F2"/>
        </w:rPr>
        <w:t xml:space="preserve">, E. I., </w:t>
      </w:r>
      <w:proofErr w:type="spellStart"/>
      <w:r w:rsidRPr="00524B29">
        <w:rPr>
          <w:color w:val="0D0D0D" w:themeColor="text1" w:themeTint="F2"/>
        </w:rPr>
        <w:t>Umoke</w:t>
      </w:r>
      <w:proofErr w:type="spellEnd"/>
      <w:r w:rsidRPr="00524B29">
        <w:rPr>
          <w:color w:val="0D0D0D" w:themeColor="text1" w:themeTint="F2"/>
        </w:rPr>
        <w:t xml:space="preserve">, P. C. I., Eze, I. I., </w:t>
      </w:r>
      <w:proofErr w:type="spellStart"/>
      <w:r w:rsidRPr="00524B29">
        <w:rPr>
          <w:color w:val="0D0D0D" w:themeColor="text1" w:themeTint="F2"/>
        </w:rPr>
        <w:t>Nwekwe</w:t>
      </w:r>
      <w:proofErr w:type="spellEnd"/>
      <w:r w:rsidRPr="00524B29">
        <w:rPr>
          <w:color w:val="0D0D0D" w:themeColor="text1" w:themeTint="F2"/>
        </w:rPr>
        <w:t xml:space="preserve">, C. M., &amp; </w:t>
      </w:r>
      <w:proofErr w:type="spellStart"/>
      <w:r w:rsidRPr="00524B29">
        <w:rPr>
          <w:color w:val="0D0D0D" w:themeColor="text1" w:themeTint="F2"/>
        </w:rPr>
        <w:t>Nwalieji</w:t>
      </w:r>
      <w:proofErr w:type="spellEnd"/>
      <w:r w:rsidRPr="00524B29">
        <w:rPr>
          <w:color w:val="0D0D0D" w:themeColor="text1" w:themeTint="F2"/>
        </w:rPr>
        <w:t xml:space="preserve">, C. A. (2024). Compliance with healthcare waste management guidelines among healthcare workers in tertiary hospitals in </w:t>
      </w:r>
      <w:proofErr w:type="spellStart"/>
      <w:r w:rsidRPr="00524B29">
        <w:rPr>
          <w:color w:val="0D0D0D" w:themeColor="text1" w:themeTint="F2"/>
        </w:rPr>
        <w:t>Abakaliki</w:t>
      </w:r>
      <w:proofErr w:type="spellEnd"/>
      <w:r w:rsidRPr="00524B29">
        <w:rPr>
          <w:color w:val="0D0D0D" w:themeColor="text1" w:themeTint="F2"/>
        </w:rPr>
        <w:t xml:space="preserve">, Nigeria. </w:t>
      </w:r>
      <w:r w:rsidRPr="00524B29">
        <w:rPr>
          <w:i/>
          <w:iCs/>
          <w:color w:val="0D0D0D" w:themeColor="text1" w:themeTint="F2"/>
        </w:rPr>
        <w:t>BMC Public Health, 24</w:t>
      </w:r>
      <w:r w:rsidRPr="00524B29">
        <w:rPr>
          <w:color w:val="0D0D0D" w:themeColor="text1" w:themeTint="F2"/>
        </w:rPr>
        <w:t xml:space="preserve">, 89. </w:t>
      </w:r>
      <w:hyperlink r:id="rId19" w:history="1">
        <w:r w:rsidR="0048326D" w:rsidRPr="00524B29">
          <w:rPr>
            <w:rStyle w:val="Hyperlink"/>
          </w:rPr>
          <w:t>https://doi.org/10.1186/s12889-024-17598-3</w:t>
        </w:r>
      </w:hyperlink>
    </w:p>
    <w:p w14:paraId="066931E8" w14:textId="10CB2E34"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Manga, V. E., Forton, O. T., Mofor, L. A., &amp; Woodard, R. (2011). Health care waste management in Cameroon: A case study from the Southwestern Region. </w:t>
      </w:r>
      <w:r w:rsidRPr="00524B29">
        <w:rPr>
          <w:i/>
          <w:iCs/>
          <w:color w:val="0D0D0D" w:themeColor="text1" w:themeTint="F2"/>
        </w:rPr>
        <w:t>Resources, Conservation and Recycling, 57</w:t>
      </w:r>
      <w:r w:rsidRPr="00524B29">
        <w:rPr>
          <w:color w:val="0D0D0D" w:themeColor="text1" w:themeTint="F2"/>
        </w:rPr>
        <w:t xml:space="preserve">, 108-116. </w:t>
      </w:r>
      <w:hyperlink r:id="rId20" w:history="1">
        <w:r w:rsidR="0048326D" w:rsidRPr="00524B29">
          <w:rPr>
            <w:rStyle w:val="Hyperlink"/>
          </w:rPr>
          <w:t>https://doi.org/10.1016/j.resconrec.2011.10.002</w:t>
        </w:r>
      </w:hyperlink>
    </w:p>
    <w:p w14:paraId="6E923B19" w14:textId="0071CB06"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Mathur, V., Dwivedi, S., Hassan, M. A., &amp; Misra, R. P. (2022). Knowledge, attitude, and practices about biomedical waste management among healthcare personnel: A cross-sectional study. </w:t>
      </w:r>
      <w:r w:rsidRPr="00524B29">
        <w:rPr>
          <w:i/>
          <w:iCs/>
          <w:color w:val="0D0D0D" w:themeColor="text1" w:themeTint="F2"/>
        </w:rPr>
        <w:t>Indian Journal of Community Medicine, 36</w:t>
      </w:r>
      <w:r w:rsidRPr="00524B29">
        <w:rPr>
          <w:color w:val="0D0D0D" w:themeColor="text1" w:themeTint="F2"/>
        </w:rPr>
        <w:t xml:space="preserve">(2), 143-145. </w:t>
      </w:r>
      <w:hyperlink r:id="rId21" w:history="1">
        <w:r w:rsidR="0048326D" w:rsidRPr="00524B29">
          <w:rPr>
            <w:rStyle w:val="Hyperlink"/>
          </w:rPr>
          <w:t>https://doi.org/10.4103/0970-0218.84137</w:t>
        </w:r>
      </w:hyperlink>
    </w:p>
    <w:p w14:paraId="5287866F" w14:textId="5B26F4E4"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Minoglou, M., </w:t>
      </w:r>
      <w:proofErr w:type="spellStart"/>
      <w:r w:rsidRPr="00524B29">
        <w:rPr>
          <w:color w:val="0D0D0D" w:themeColor="text1" w:themeTint="F2"/>
        </w:rPr>
        <w:t>Gerassimidou</w:t>
      </w:r>
      <w:proofErr w:type="spellEnd"/>
      <w:r w:rsidRPr="00524B29">
        <w:rPr>
          <w:color w:val="0D0D0D" w:themeColor="text1" w:themeTint="F2"/>
        </w:rPr>
        <w:t xml:space="preserve">, S., &amp; </w:t>
      </w:r>
      <w:proofErr w:type="spellStart"/>
      <w:r w:rsidRPr="00524B29">
        <w:rPr>
          <w:color w:val="0D0D0D" w:themeColor="text1" w:themeTint="F2"/>
        </w:rPr>
        <w:t>Komilis</w:t>
      </w:r>
      <w:proofErr w:type="spellEnd"/>
      <w:r w:rsidRPr="00524B29">
        <w:rPr>
          <w:color w:val="0D0D0D" w:themeColor="text1" w:themeTint="F2"/>
        </w:rPr>
        <w:t xml:space="preserve">, D. (2017). Healthcare waste generation worldwide and its dependence on socio-economic and environmental factors. </w:t>
      </w:r>
      <w:r w:rsidRPr="00524B29">
        <w:rPr>
          <w:i/>
          <w:iCs/>
          <w:color w:val="0D0D0D" w:themeColor="text1" w:themeTint="F2"/>
        </w:rPr>
        <w:t>Sustainability, 9</w:t>
      </w:r>
      <w:r w:rsidRPr="00524B29">
        <w:rPr>
          <w:color w:val="0D0D0D" w:themeColor="text1" w:themeTint="F2"/>
        </w:rPr>
        <w:t xml:space="preserve">(2), 220. </w:t>
      </w:r>
      <w:hyperlink r:id="rId22" w:history="1">
        <w:r w:rsidR="0048326D" w:rsidRPr="00524B29">
          <w:rPr>
            <w:rStyle w:val="Hyperlink"/>
          </w:rPr>
          <w:t>https://doi.org/10.3390/su9020220</w:t>
        </w:r>
      </w:hyperlink>
    </w:p>
    <w:p w14:paraId="101BD049" w14:textId="67FCDA7E"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Ogbonna, D. N., </w:t>
      </w:r>
      <w:proofErr w:type="spellStart"/>
      <w:r w:rsidRPr="00524B29">
        <w:rPr>
          <w:color w:val="0D0D0D" w:themeColor="text1" w:themeTint="F2"/>
        </w:rPr>
        <w:t>Chindah</w:t>
      </w:r>
      <w:proofErr w:type="spellEnd"/>
      <w:r w:rsidRPr="00524B29">
        <w:rPr>
          <w:color w:val="0D0D0D" w:themeColor="text1" w:themeTint="F2"/>
        </w:rPr>
        <w:t xml:space="preserve">, A. C., &amp; Ubani, N. (2012). Waste management options for healthcare wastes in Nigeria: A case study of Port Harcourt hospitals. </w:t>
      </w:r>
      <w:r w:rsidRPr="00524B29">
        <w:rPr>
          <w:i/>
          <w:iCs/>
          <w:color w:val="0D0D0D" w:themeColor="text1" w:themeTint="F2"/>
        </w:rPr>
        <w:t>Journal of Public Health in Africa, 3</w:t>
      </w:r>
      <w:r w:rsidRPr="00524B29">
        <w:rPr>
          <w:color w:val="0D0D0D" w:themeColor="text1" w:themeTint="F2"/>
        </w:rPr>
        <w:t xml:space="preserve">(1), e3. </w:t>
      </w:r>
      <w:hyperlink r:id="rId23" w:history="1">
        <w:r w:rsidR="0048326D" w:rsidRPr="00524B29">
          <w:rPr>
            <w:rStyle w:val="Hyperlink"/>
          </w:rPr>
          <w:t>https://doi.org/10.4081/jphia.2012.e3</w:t>
        </w:r>
      </w:hyperlink>
    </w:p>
    <w:p w14:paraId="3FF5802B" w14:textId="026E6E98"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Omoleke</w:t>
      </w:r>
      <w:proofErr w:type="spellEnd"/>
      <w:r w:rsidRPr="00524B29">
        <w:rPr>
          <w:color w:val="0D0D0D" w:themeColor="text1" w:themeTint="F2"/>
        </w:rPr>
        <w:t xml:space="preserve">, S. A., Ibrahim, H., &amp; Ige, O. K. (2021). Assessment of medical waste management in primary health care centers in Kwara State, Nigeria. </w:t>
      </w:r>
      <w:r w:rsidRPr="00524B29">
        <w:rPr>
          <w:i/>
          <w:iCs/>
          <w:color w:val="0D0D0D" w:themeColor="text1" w:themeTint="F2"/>
        </w:rPr>
        <w:t>Journal of Environmental and Public Health, 2021</w:t>
      </w:r>
      <w:r w:rsidRPr="00524B29">
        <w:rPr>
          <w:color w:val="0D0D0D" w:themeColor="text1" w:themeTint="F2"/>
        </w:rPr>
        <w:t xml:space="preserve">, 6622362. </w:t>
      </w:r>
      <w:hyperlink r:id="rId24" w:history="1">
        <w:r w:rsidR="0048326D" w:rsidRPr="00524B29">
          <w:rPr>
            <w:rStyle w:val="Hyperlink"/>
          </w:rPr>
          <w:t>https://doi.org/10.1155/2021/6622362</w:t>
        </w:r>
      </w:hyperlink>
    </w:p>
    <w:p w14:paraId="12F925AB" w14:textId="37E81008" w:rsidR="0048326D"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lastRenderedPageBreak/>
        <w:t>Sidney-</w:t>
      </w:r>
      <w:proofErr w:type="spellStart"/>
      <w:r w:rsidRPr="00524B29">
        <w:rPr>
          <w:color w:val="0D0D0D" w:themeColor="text1" w:themeTint="F2"/>
        </w:rPr>
        <w:t>Nnebue</w:t>
      </w:r>
      <w:proofErr w:type="spellEnd"/>
      <w:r w:rsidRPr="00524B29">
        <w:rPr>
          <w:color w:val="0D0D0D" w:themeColor="text1" w:themeTint="F2"/>
        </w:rPr>
        <w:t xml:space="preserve">, Q. N., Adeyinka, O. A., Oluwatosin, O. M., &amp; Madu, C. I. (2022). Knowledge and practice of healthcare waste management among healthcare workers in tertiary hospitals in Enugu, Nigeria. International </w:t>
      </w:r>
      <w:r w:rsidRPr="00524B29">
        <w:rPr>
          <w:i/>
          <w:iCs/>
          <w:color w:val="0D0D0D" w:themeColor="text1" w:themeTint="F2"/>
        </w:rPr>
        <w:t>Journal of Africa Nursing Sciences, 17</w:t>
      </w:r>
      <w:r w:rsidRPr="00524B29">
        <w:rPr>
          <w:color w:val="0D0D0D" w:themeColor="text1" w:themeTint="F2"/>
        </w:rPr>
        <w:t xml:space="preserve">, 100460. </w:t>
      </w:r>
      <w:hyperlink r:id="rId25" w:history="1">
        <w:r w:rsidR="0048326D" w:rsidRPr="00524B29">
          <w:rPr>
            <w:rStyle w:val="Hyperlink"/>
          </w:rPr>
          <w:t>https://doi.org/10.1016/j.ijans.2022.100460</w:t>
        </w:r>
      </w:hyperlink>
    </w:p>
    <w:p w14:paraId="460A53ED" w14:textId="77777777" w:rsidR="0048326D" w:rsidRPr="00524B29" w:rsidRDefault="00AF2457" w:rsidP="00524B29">
      <w:pPr>
        <w:pStyle w:val="ListParagraph"/>
        <w:numPr>
          <w:ilvl w:val="0"/>
          <w:numId w:val="1"/>
        </w:numPr>
        <w:spacing w:after="240"/>
        <w:rPr>
          <w:color w:val="0D0D0D" w:themeColor="text1" w:themeTint="F2"/>
        </w:rPr>
      </w:pPr>
      <w:proofErr w:type="spellStart"/>
      <w:r w:rsidRPr="00524B29">
        <w:rPr>
          <w:color w:val="0D0D0D" w:themeColor="text1" w:themeTint="F2"/>
        </w:rPr>
        <w:t>Tesfahun</w:t>
      </w:r>
      <w:proofErr w:type="spellEnd"/>
      <w:r w:rsidRPr="00524B29">
        <w:rPr>
          <w:color w:val="0D0D0D" w:themeColor="text1" w:themeTint="F2"/>
        </w:rPr>
        <w:t xml:space="preserve">, E., Kumie, A., &amp; Beyene, A. (2016). Developing models for the prediction of hospital healthcare waste generation rate. </w:t>
      </w:r>
      <w:r w:rsidRPr="00524B29">
        <w:rPr>
          <w:i/>
          <w:iCs/>
          <w:color w:val="0D0D0D" w:themeColor="text1" w:themeTint="F2"/>
        </w:rPr>
        <w:t>Waste Management &amp; Research, 34</w:t>
      </w:r>
      <w:r w:rsidRPr="00524B29">
        <w:rPr>
          <w:color w:val="0D0D0D" w:themeColor="text1" w:themeTint="F2"/>
        </w:rPr>
        <w:t xml:space="preserve">(1), 75-80. </w:t>
      </w:r>
      <w:hyperlink r:id="rId26" w:history="1">
        <w:r w:rsidR="0048326D" w:rsidRPr="00524B29">
          <w:rPr>
            <w:rStyle w:val="Hyperlink"/>
          </w:rPr>
          <w:t>https://doi.org/10.1177/0734242X15607422</w:t>
        </w:r>
      </w:hyperlink>
    </w:p>
    <w:p w14:paraId="0EA4B851" w14:textId="34F56AAE" w:rsidR="00AF2457"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Windfeld, E. S., &amp; Brooks, M. S. L. (2015). Medical waste management–A review. </w:t>
      </w:r>
      <w:r w:rsidRPr="00524B29">
        <w:rPr>
          <w:i/>
          <w:iCs/>
          <w:color w:val="0D0D0D" w:themeColor="text1" w:themeTint="F2"/>
        </w:rPr>
        <w:t>Journal of Environmental Management, 163</w:t>
      </w:r>
      <w:r w:rsidRPr="00524B29">
        <w:rPr>
          <w:color w:val="0D0D0D" w:themeColor="text1" w:themeTint="F2"/>
        </w:rPr>
        <w:t>, 98-108. https://doi.org/10.1016/j.jenvman.2015.08.013</w:t>
      </w:r>
    </w:p>
    <w:p w14:paraId="603FB51E" w14:textId="77777777" w:rsidR="00AF2457" w:rsidRPr="00524B29" w:rsidRDefault="00AF2457" w:rsidP="00524B29">
      <w:pPr>
        <w:pStyle w:val="ListParagraph"/>
        <w:numPr>
          <w:ilvl w:val="0"/>
          <w:numId w:val="1"/>
        </w:numPr>
        <w:spacing w:after="240"/>
        <w:rPr>
          <w:color w:val="0D0D0D" w:themeColor="text1" w:themeTint="F2"/>
        </w:rPr>
      </w:pPr>
      <w:r w:rsidRPr="00524B29">
        <w:rPr>
          <w:color w:val="0D0D0D" w:themeColor="text1" w:themeTint="F2"/>
        </w:rPr>
        <w:t xml:space="preserve">World Health Organization. (2018). </w:t>
      </w:r>
      <w:r w:rsidRPr="00524B29">
        <w:rPr>
          <w:rFonts w:eastAsiaTheme="majorEastAsia"/>
          <w:i/>
          <w:iCs/>
          <w:color w:val="0D0D0D" w:themeColor="text1" w:themeTint="F2"/>
        </w:rPr>
        <w:t>Safe management of wastes from health-care activities</w:t>
      </w:r>
      <w:r w:rsidRPr="00524B29">
        <w:rPr>
          <w:color w:val="0D0D0D" w:themeColor="text1" w:themeTint="F2"/>
        </w:rPr>
        <w:t xml:space="preserve"> (2nd ed.). WHO Press. </w:t>
      </w:r>
      <w:hyperlink r:id="rId27" w:tgtFrame="_new" w:history="1">
        <w:r w:rsidRPr="00524B29">
          <w:rPr>
            <w:color w:val="0563C1" w:themeColor="hyperlink"/>
            <w:u w:val="single"/>
          </w:rPr>
          <w:t>https://www.who.int/publications/i/item/9789241515172</w:t>
        </w:r>
      </w:hyperlink>
    </w:p>
    <w:bookmarkEnd w:id="0"/>
    <w:bookmarkEnd w:id="1"/>
    <w:p w14:paraId="171B4DBD" w14:textId="77777777" w:rsidR="00817B50" w:rsidRDefault="00817B50"/>
    <w:sectPr w:rsidR="00817B50" w:rsidSect="00A20664">
      <w:headerReference w:type="even" r:id="rId28"/>
      <w:headerReference w:type="default" r:id="rId29"/>
      <w:footerReference w:type="even" r:id="rId30"/>
      <w:footerReference w:type="default" r:id="rId31"/>
      <w:headerReference w:type="first" r:id="rId32"/>
      <w:footerReference w:type="first" r:id="rId33"/>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98F8D" w14:textId="77777777" w:rsidR="00251C2A" w:rsidRDefault="00251C2A" w:rsidP="00A20664">
      <w:r>
        <w:separator/>
      </w:r>
    </w:p>
  </w:endnote>
  <w:endnote w:type="continuationSeparator" w:id="0">
    <w:p w14:paraId="2BF7715E" w14:textId="77777777" w:rsidR="00251C2A" w:rsidRDefault="00251C2A" w:rsidP="00A2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7896" w14:textId="77777777" w:rsidR="00A20664" w:rsidRDefault="00A20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CB42" w14:textId="77777777" w:rsidR="00A20664" w:rsidRDefault="00A20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637F" w14:textId="77777777" w:rsidR="00A20664" w:rsidRDefault="00A20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E4CF" w14:textId="77777777" w:rsidR="00251C2A" w:rsidRDefault="00251C2A" w:rsidP="00A20664">
      <w:r>
        <w:separator/>
      </w:r>
    </w:p>
  </w:footnote>
  <w:footnote w:type="continuationSeparator" w:id="0">
    <w:p w14:paraId="1943D281" w14:textId="77777777" w:rsidR="00251C2A" w:rsidRDefault="00251C2A" w:rsidP="00A2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B6FC" w14:textId="29F28E94" w:rsidR="00A20664" w:rsidRDefault="00251C2A">
    <w:pPr>
      <w:pStyle w:val="Header"/>
    </w:pPr>
    <w:r>
      <w:rPr>
        <w:noProof/>
      </w:rPr>
      <w:pict w14:anchorId="7EB61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9BED" w14:textId="3CE1B78C" w:rsidR="00A20664" w:rsidRDefault="00251C2A">
    <w:pPr>
      <w:pStyle w:val="Header"/>
    </w:pPr>
    <w:r>
      <w:rPr>
        <w:noProof/>
      </w:rPr>
      <w:pict w14:anchorId="6CD83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0E60" w14:textId="2FCF8983" w:rsidR="00A20664" w:rsidRDefault="00251C2A">
    <w:pPr>
      <w:pStyle w:val="Header"/>
    </w:pPr>
    <w:r>
      <w:rPr>
        <w:noProof/>
      </w:rPr>
      <w:pict w14:anchorId="3A998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55453"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A7ED2"/>
    <w:multiLevelType w:val="hybridMultilevel"/>
    <w:tmpl w:val="1E226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2A"/>
    <w:rsid w:val="000057CE"/>
    <w:rsid w:val="00063D0D"/>
    <w:rsid w:val="000E38C7"/>
    <w:rsid w:val="0010284F"/>
    <w:rsid w:val="00157505"/>
    <w:rsid w:val="001E121A"/>
    <w:rsid w:val="00251C2A"/>
    <w:rsid w:val="00263921"/>
    <w:rsid w:val="003578E4"/>
    <w:rsid w:val="003876D6"/>
    <w:rsid w:val="00463EAA"/>
    <w:rsid w:val="00472353"/>
    <w:rsid w:val="0048326D"/>
    <w:rsid w:val="004D5C4E"/>
    <w:rsid w:val="004D7222"/>
    <w:rsid w:val="0050171A"/>
    <w:rsid w:val="005107B7"/>
    <w:rsid w:val="00524B29"/>
    <w:rsid w:val="00552D39"/>
    <w:rsid w:val="00595A01"/>
    <w:rsid w:val="006C4D5B"/>
    <w:rsid w:val="007255A0"/>
    <w:rsid w:val="00817B50"/>
    <w:rsid w:val="0086500F"/>
    <w:rsid w:val="009167CE"/>
    <w:rsid w:val="00951BB9"/>
    <w:rsid w:val="009752DA"/>
    <w:rsid w:val="009928C7"/>
    <w:rsid w:val="009F39D9"/>
    <w:rsid w:val="00A20664"/>
    <w:rsid w:val="00A855D3"/>
    <w:rsid w:val="00AF2457"/>
    <w:rsid w:val="00AF4A2A"/>
    <w:rsid w:val="00B93FB9"/>
    <w:rsid w:val="00CD3494"/>
    <w:rsid w:val="00CE5D4F"/>
    <w:rsid w:val="00D209A1"/>
    <w:rsid w:val="00DD6DF0"/>
    <w:rsid w:val="00E20965"/>
    <w:rsid w:val="00E23E44"/>
    <w:rsid w:val="00F41613"/>
    <w:rsid w:val="00F6284E"/>
    <w:rsid w:val="00FB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473B14"/>
  <w15:chartTrackingRefBased/>
  <w15:docId w15:val="{3D30BE10-BF99-4389-88BE-ECC24F1C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A2A"/>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autoRedefine/>
    <w:uiPriority w:val="9"/>
    <w:qFormat/>
    <w:rsid w:val="000E38C7"/>
    <w:pPr>
      <w:keepNext/>
      <w:keepLines/>
      <w:spacing w:line="480" w:lineRule="auto"/>
      <w:jc w:val="both"/>
      <w:outlineLvl w:val="0"/>
    </w:pPr>
    <w:rPr>
      <w:rFonts w:ascii="Times New Roman" w:eastAsia="PMingLiU" w:hAnsi="Times New Roman" w:cstheme="majorBidi"/>
      <w:b/>
      <w:bCs/>
      <w:color w:val="000000" w:themeColor="text1"/>
      <w:kern w:val="2"/>
      <w:sz w:val="24"/>
      <w:szCs w:val="40"/>
      <w:lang w:bidi="en-US"/>
      <w14:ligatures w14:val="standardContextual"/>
    </w:rPr>
  </w:style>
  <w:style w:type="paragraph" w:styleId="Heading2">
    <w:name w:val="heading 2"/>
    <w:basedOn w:val="Normal"/>
    <w:next w:val="Normal"/>
    <w:link w:val="Heading2Char"/>
    <w:uiPriority w:val="9"/>
    <w:semiHidden/>
    <w:unhideWhenUsed/>
    <w:qFormat/>
    <w:rsid w:val="00AF4A2A"/>
    <w:pPr>
      <w:keepNext/>
      <w:keepLines/>
      <w:spacing w:before="160" w:after="80" w:line="278" w:lineRule="auto"/>
      <w:jc w:val="both"/>
      <w:outlineLvl w:val="1"/>
    </w:pPr>
    <w:rPr>
      <w:rFonts w:asciiTheme="majorHAnsi" w:eastAsiaTheme="majorEastAsia" w:hAnsiTheme="majorHAnsi" w:cstheme="majorBidi"/>
      <w:b/>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4A2A"/>
    <w:pPr>
      <w:keepNext/>
      <w:keepLines/>
      <w:spacing w:before="160" w:after="80" w:line="278" w:lineRule="auto"/>
      <w:jc w:val="both"/>
      <w:outlineLvl w:val="2"/>
    </w:pPr>
    <w:rPr>
      <w:rFonts w:asciiTheme="minorHAnsi" w:eastAsiaTheme="majorEastAsia" w:hAnsiTheme="minorHAnsi" w:cstheme="majorBidi"/>
      <w:b/>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4A2A"/>
    <w:pPr>
      <w:keepNext/>
      <w:keepLines/>
      <w:spacing w:before="80" w:after="40" w:line="278" w:lineRule="auto"/>
      <w:jc w:val="both"/>
      <w:outlineLvl w:val="3"/>
    </w:pPr>
    <w:rPr>
      <w:rFonts w:asciiTheme="minorHAnsi" w:eastAsiaTheme="majorEastAsia" w:hAnsiTheme="minorHAnsi" w:cstheme="majorBidi"/>
      <w:b/>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4A2A"/>
    <w:pPr>
      <w:keepNext/>
      <w:keepLines/>
      <w:spacing w:before="80" w:after="40" w:line="278" w:lineRule="auto"/>
      <w:jc w:val="both"/>
      <w:outlineLvl w:val="4"/>
    </w:pPr>
    <w:rPr>
      <w:rFonts w:asciiTheme="minorHAnsi" w:eastAsiaTheme="majorEastAsia" w:hAnsiTheme="minorHAnsi" w:cstheme="majorBidi"/>
      <w:b/>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4A2A"/>
    <w:pPr>
      <w:keepNext/>
      <w:keepLines/>
      <w:spacing w:before="40" w:line="278" w:lineRule="auto"/>
      <w:jc w:val="both"/>
      <w:outlineLvl w:val="5"/>
    </w:pPr>
    <w:rPr>
      <w:rFonts w:asciiTheme="minorHAnsi" w:eastAsiaTheme="majorEastAsia" w:hAnsiTheme="minorHAnsi" w:cstheme="majorBidi"/>
      <w:b/>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4A2A"/>
    <w:pPr>
      <w:keepNext/>
      <w:keepLines/>
      <w:spacing w:before="40" w:line="278" w:lineRule="auto"/>
      <w:jc w:val="both"/>
      <w:outlineLvl w:val="6"/>
    </w:pPr>
    <w:rPr>
      <w:rFonts w:asciiTheme="minorHAnsi" w:eastAsiaTheme="majorEastAsia" w:hAnsiTheme="minorHAnsi" w:cstheme="majorBidi"/>
      <w:b/>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4A2A"/>
    <w:pPr>
      <w:keepNext/>
      <w:keepLines/>
      <w:spacing w:line="278" w:lineRule="auto"/>
      <w:jc w:val="both"/>
      <w:outlineLvl w:val="7"/>
    </w:pPr>
    <w:rPr>
      <w:rFonts w:asciiTheme="minorHAnsi" w:eastAsiaTheme="majorEastAsia" w:hAnsiTheme="minorHAnsi" w:cstheme="majorBidi"/>
      <w:b/>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4A2A"/>
    <w:pPr>
      <w:keepNext/>
      <w:keepLines/>
      <w:spacing w:line="278" w:lineRule="auto"/>
      <w:jc w:val="both"/>
      <w:outlineLvl w:val="8"/>
    </w:pPr>
    <w:rPr>
      <w:rFonts w:asciiTheme="minorHAnsi" w:eastAsiaTheme="majorEastAsia" w:hAnsiTheme="minorHAnsi" w:cstheme="majorBidi"/>
      <w:b/>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8C7"/>
    <w:rPr>
      <w:rFonts w:ascii="Times New Roman" w:eastAsia="PMingLiU" w:hAnsi="Times New Roman" w:cstheme="majorBidi"/>
      <w:b/>
      <w:bCs/>
      <w:color w:val="000000" w:themeColor="text1"/>
      <w:szCs w:val="40"/>
      <w:lang w:bidi="en-US"/>
    </w:rPr>
  </w:style>
  <w:style w:type="paragraph" w:styleId="NoSpacing">
    <w:name w:val="No Spacing"/>
    <w:uiPriority w:val="1"/>
    <w:qFormat/>
    <w:rsid w:val="00F6284E"/>
    <w:pPr>
      <w:spacing w:after="0" w:line="240" w:lineRule="auto"/>
      <w:jc w:val="both"/>
    </w:pPr>
    <w:rPr>
      <w:rFonts w:ascii="Times New Roman" w:hAnsi="Times New Roman"/>
      <w:b/>
      <w:color w:val="000000" w:themeColor="text1"/>
    </w:rPr>
  </w:style>
  <w:style w:type="character" w:customStyle="1" w:styleId="Heading2Char">
    <w:name w:val="Heading 2 Char"/>
    <w:basedOn w:val="DefaultParagraphFont"/>
    <w:link w:val="Heading2"/>
    <w:uiPriority w:val="9"/>
    <w:semiHidden/>
    <w:rsid w:val="00AF4A2A"/>
    <w:rPr>
      <w:rFonts w:asciiTheme="majorHAnsi" w:eastAsiaTheme="majorEastAsia" w:hAnsiTheme="majorHAnsi" w:cstheme="majorBidi"/>
      <w:b/>
      <w:color w:val="2F5496" w:themeColor="accent1" w:themeShade="BF"/>
      <w:sz w:val="32"/>
      <w:szCs w:val="32"/>
    </w:rPr>
  </w:style>
  <w:style w:type="character" w:customStyle="1" w:styleId="Heading3Char">
    <w:name w:val="Heading 3 Char"/>
    <w:basedOn w:val="DefaultParagraphFont"/>
    <w:link w:val="Heading3"/>
    <w:uiPriority w:val="9"/>
    <w:semiHidden/>
    <w:rsid w:val="00AF4A2A"/>
    <w:rPr>
      <w:rFonts w:eastAsiaTheme="majorEastAsia" w:cstheme="majorBidi"/>
      <w:b/>
      <w:color w:val="2F5496" w:themeColor="accent1" w:themeShade="BF"/>
      <w:sz w:val="28"/>
      <w:szCs w:val="28"/>
    </w:rPr>
  </w:style>
  <w:style w:type="character" w:customStyle="1" w:styleId="Heading4Char">
    <w:name w:val="Heading 4 Char"/>
    <w:basedOn w:val="DefaultParagraphFont"/>
    <w:link w:val="Heading4"/>
    <w:uiPriority w:val="9"/>
    <w:semiHidden/>
    <w:rsid w:val="00AF4A2A"/>
    <w:rPr>
      <w:rFonts w:eastAsiaTheme="majorEastAsia" w:cstheme="majorBidi"/>
      <w:b/>
      <w:i/>
      <w:iCs/>
      <w:color w:val="2F5496" w:themeColor="accent1" w:themeShade="BF"/>
    </w:rPr>
  </w:style>
  <w:style w:type="character" w:customStyle="1" w:styleId="Heading5Char">
    <w:name w:val="Heading 5 Char"/>
    <w:basedOn w:val="DefaultParagraphFont"/>
    <w:link w:val="Heading5"/>
    <w:uiPriority w:val="9"/>
    <w:semiHidden/>
    <w:rsid w:val="00AF4A2A"/>
    <w:rPr>
      <w:rFonts w:eastAsiaTheme="majorEastAsia" w:cstheme="majorBidi"/>
      <w:b/>
      <w:color w:val="2F5496" w:themeColor="accent1" w:themeShade="BF"/>
    </w:rPr>
  </w:style>
  <w:style w:type="character" w:customStyle="1" w:styleId="Heading6Char">
    <w:name w:val="Heading 6 Char"/>
    <w:basedOn w:val="DefaultParagraphFont"/>
    <w:link w:val="Heading6"/>
    <w:uiPriority w:val="9"/>
    <w:semiHidden/>
    <w:rsid w:val="00AF4A2A"/>
    <w:rPr>
      <w:rFonts w:eastAsiaTheme="majorEastAsia" w:cstheme="majorBidi"/>
      <w:b/>
      <w:i/>
      <w:iCs/>
      <w:color w:val="595959" w:themeColor="text1" w:themeTint="A6"/>
    </w:rPr>
  </w:style>
  <w:style w:type="character" w:customStyle="1" w:styleId="Heading7Char">
    <w:name w:val="Heading 7 Char"/>
    <w:basedOn w:val="DefaultParagraphFont"/>
    <w:link w:val="Heading7"/>
    <w:uiPriority w:val="9"/>
    <w:semiHidden/>
    <w:rsid w:val="00AF4A2A"/>
    <w:rPr>
      <w:rFonts w:eastAsiaTheme="majorEastAsia" w:cstheme="majorBidi"/>
      <w:b/>
      <w:color w:val="595959" w:themeColor="text1" w:themeTint="A6"/>
    </w:rPr>
  </w:style>
  <w:style w:type="character" w:customStyle="1" w:styleId="Heading8Char">
    <w:name w:val="Heading 8 Char"/>
    <w:basedOn w:val="DefaultParagraphFont"/>
    <w:link w:val="Heading8"/>
    <w:uiPriority w:val="9"/>
    <w:semiHidden/>
    <w:rsid w:val="00AF4A2A"/>
    <w:rPr>
      <w:rFonts w:eastAsiaTheme="majorEastAsia" w:cstheme="majorBidi"/>
      <w:b/>
      <w:i/>
      <w:iCs/>
      <w:color w:val="272727" w:themeColor="text1" w:themeTint="D8"/>
    </w:rPr>
  </w:style>
  <w:style w:type="character" w:customStyle="1" w:styleId="Heading9Char">
    <w:name w:val="Heading 9 Char"/>
    <w:basedOn w:val="DefaultParagraphFont"/>
    <w:link w:val="Heading9"/>
    <w:uiPriority w:val="9"/>
    <w:semiHidden/>
    <w:rsid w:val="00AF4A2A"/>
    <w:rPr>
      <w:rFonts w:eastAsiaTheme="majorEastAsia" w:cstheme="majorBidi"/>
      <w:b/>
      <w:color w:val="272727" w:themeColor="text1" w:themeTint="D8"/>
    </w:rPr>
  </w:style>
  <w:style w:type="paragraph" w:styleId="Title">
    <w:name w:val="Title"/>
    <w:basedOn w:val="Normal"/>
    <w:next w:val="Normal"/>
    <w:link w:val="TitleChar"/>
    <w:uiPriority w:val="10"/>
    <w:qFormat/>
    <w:rsid w:val="00AF4A2A"/>
    <w:pPr>
      <w:spacing w:after="80"/>
      <w:contextualSpacing/>
      <w:jc w:val="both"/>
    </w:pPr>
    <w:rPr>
      <w:rFonts w:asciiTheme="majorHAnsi" w:eastAsiaTheme="majorEastAsia" w:hAnsiTheme="majorHAnsi"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AF4A2A"/>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AF4A2A"/>
    <w:pPr>
      <w:numPr>
        <w:ilvl w:val="1"/>
      </w:numPr>
      <w:spacing w:after="160" w:line="278" w:lineRule="auto"/>
      <w:jc w:val="both"/>
    </w:pPr>
    <w:rPr>
      <w:rFonts w:asciiTheme="minorHAnsi" w:eastAsiaTheme="majorEastAsia" w:hAnsiTheme="minorHAnsi" w:cstheme="majorBidi"/>
      <w:b/>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4A2A"/>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AF4A2A"/>
    <w:pPr>
      <w:spacing w:before="160" w:after="160" w:line="278" w:lineRule="auto"/>
      <w:jc w:val="center"/>
    </w:pPr>
    <w:rPr>
      <w:rFonts w:ascii="Times New Roman" w:eastAsiaTheme="minorHAnsi" w:hAnsi="Times New Roman" w:cstheme="minorBidi"/>
      <w:b/>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4A2A"/>
    <w:rPr>
      <w:rFonts w:ascii="Times New Roman" w:hAnsi="Times New Roman"/>
      <w:b/>
      <w:i/>
      <w:iCs/>
      <w:color w:val="404040" w:themeColor="text1" w:themeTint="BF"/>
    </w:rPr>
  </w:style>
  <w:style w:type="paragraph" w:styleId="ListParagraph">
    <w:name w:val="List Paragraph"/>
    <w:basedOn w:val="Normal"/>
    <w:uiPriority w:val="34"/>
    <w:qFormat/>
    <w:rsid w:val="00AF4A2A"/>
    <w:pPr>
      <w:spacing w:after="160" w:line="278" w:lineRule="auto"/>
      <w:ind w:left="720"/>
      <w:contextualSpacing/>
      <w:jc w:val="both"/>
    </w:pPr>
    <w:rPr>
      <w:rFonts w:ascii="Times New Roman" w:eastAsiaTheme="minorHAnsi" w:hAnsi="Times New Roman" w:cstheme="minorBidi"/>
      <w:b/>
      <w:color w:val="000000" w:themeColor="text1"/>
      <w:kern w:val="2"/>
      <w:sz w:val="24"/>
      <w:szCs w:val="24"/>
      <w14:ligatures w14:val="standardContextual"/>
    </w:rPr>
  </w:style>
  <w:style w:type="character" w:styleId="IntenseEmphasis">
    <w:name w:val="Intense Emphasis"/>
    <w:basedOn w:val="DefaultParagraphFont"/>
    <w:uiPriority w:val="21"/>
    <w:qFormat/>
    <w:rsid w:val="00AF4A2A"/>
    <w:rPr>
      <w:i/>
      <w:iCs/>
      <w:color w:val="2F5496" w:themeColor="accent1" w:themeShade="BF"/>
    </w:rPr>
  </w:style>
  <w:style w:type="paragraph" w:styleId="IntenseQuote">
    <w:name w:val="Intense Quote"/>
    <w:basedOn w:val="Normal"/>
    <w:next w:val="Normal"/>
    <w:link w:val="IntenseQuoteChar"/>
    <w:uiPriority w:val="30"/>
    <w:qFormat/>
    <w:rsid w:val="00AF4A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eastAsiaTheme="minorHAnsi" w:hAnsi="Times New Roman" w:cstheme="minorBidi"/>
      <w:b/>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4A2A"/>
    <w:rPr>
      <w:rFonts w:ascii="Times New Roman" w:hAnsi="Times New Roman"/>
      <w:b/>
      <w:i/>
      <w:iCs/>
      <w:color w:val="2F5496" w:themeColor="accent1" w:themeShade="BF"/>
    </w:rPr>
  </w:style>
  <w:style w:type="character" w:styleId="IntenseReference">
    <w:name w:val="Intense Reference"/>
    <w:basedOn w:val="DefaultParagraphFont"/>
    <w:uiPriority w:val="32"/>
    <w:qFormat/>
    <w:rsid w:val="00AF4A2A"/>
    <w:rPr>
      <w:b/>
      <w:bCs/>
      <w:smallCaps/>
      <w:color w:val="2F5496" w:themeColor="accent1" w:themeShade="BF"/>
      <w:spacing w:val="5"/>
    </w:rPr>
  </w:style>
  <w:style w:type="table" w:customStyle="1" w:styleId="TableGrid1">
    <w:name w:val="Table Grid1"/>
    <w:basedOn w:val="TableNormal"/>
    <w:next w:val="TableGrid"/>
    <w:uiPriority w:val="59"/>
    <w:rsid w:val="00AF4A2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F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F4A2A"/>
  </w:style>
  <w:style w:type="character" w:styleId="Hyperlink">
    <w:name w:val="Hyperlink"/>
    <w:basedOn w:val="DefaultParagraphFont"/>
    <w:uiPriority w:val="99"/>
    <w:unhideWhenUsed/>
    <w:rsid w:val="009167CE"/>
    <w:rPr>
      <w:color w:val="0563C1" w:themeColor="hyperlink"/>
      <w:u w:val="single"/>
    </w:rPr>
  </w:style>
  <w:style w:type="character" w:styleId="UnresolvedMention">
    <w:name w:val="Unresolved Mention"/>
    <w:basedOn w:val="DefaultParagraphFont"/>
    <w:uiPriority w:val="99"/>
    <w:semiHidden/>
    <w:unhideWhenUsed/>
    <w:rsid w:val="009167CE"/>
    <w:rPr>
      <w:color w:val="605E5C"/>
      <w:shd w:val="clear" w:color="auto" w:fill="E1DFDD"/>
    </w:rPr>
  </w:style>
  <w:style w:type="paragraph" w:styleId="Header">
    <w:name w:val="header"/>
    <w:basedOn w:val="Normal"/>
    <w:link w:val="HeaderChar"/>
    <w:uiPriority w:val="99"/>
    <w:unhideWhenUsed/>
    <w:rsid w:val="00A20664"/>
    <w:pPr>
      <w:tabs>
        <w:tab w:val="center" w:pos="4680"/>
        <w:tab w:val="right" w:pos="9360"/>
      </w:tabs>
    </w:pPr>
  </w:style>
  <w:style w:type="character" w:customStyle="1" w:styleId="HeaderChar">
    <w:name w:val="Header Char"/>
    <w:basedOn w:val="DefaultParagraphFont"/>
    <w:link w:val="Header"/>
    <w:uiPriority w:val="99"/>
    <w:rsid w:val="00A20664"/>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A20664"/>
    <w:pPr>
      <w:tabs>
        <w:tab w:val="center" w:pos="4680"/>
        <w:tab w:val="right" w:pos="9360"/>
      </w:tabs>
    </w:pPr>
  </w:style>
  <w:style w:type="character" w:customStyle="1" w:styleId="FooterChar">
    <w:name w:val="Footer Char"/>
    <w:basedOn w:val="DefaultParagraphFont"/>
    <w:link w:val="Footer"/>
    <w:uiPriority w:val="99"/>
    <w:rsid w:val="00A20664"/>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9-016-2916-1" TargetMode="External"/><Relationship Id="rId18" Type="http://schemas.openxmlformats.org/officeDocument/2006/relationships/hyperlink" Target="https://orientjom.org.ng" TargetMode="External"/><Relationship Id="rId26" Type="http://schemas.openxmlformats.org/officeDocument/2006/relationships/hyperlink" Target="https://doi.org/10.1177/0734242X15607422" TargetMode="External"/><Relationship Id="rId3" Type="http://schemas.openxmlformats.org/officeDocument/2006/relationships/settings" Target="settings.xml"/><Relationship Id="rId21" Type="http://schemas.openxmlformats.org/officeDocument/2006/relationships/hyperlink" Target="https://doi.org/10.4103/0970-0218.8413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7860/JCDR/2017/24230.9527" TargetMode="External"/><Relationship Id="rId17" Type="http://schemas.openxmlformats.org/officeDocument/2006/relationships/hyperlink" Target="https://doi.org/10.1016/j.wasman.2010.07.012" TargetMode="External"/><Relationship Id="rId25" Type="http://schemas.openxmlformats.org/officeDocument/2006/relationships/hyperlink" Target="https://doi.org/10.1016/j.ijans.2022.10046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55/2018/7672981" TargetMode="External"/><Relationship Id="rId20" Type="http://schemas.openxmlformats.org/officeDocument/2006/relationships/hyperlink" Target="https://doi.org/10.1016/j.resconrec.2011.10.00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09566160010372861" TargetMode="External"/><Relationship Id="rId24" Type="http://schemas.openxmlformats.org/officeDocument/2006/relationships/hyperlink" Target="https://doi.org/10.1155/2021/662236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wasman.2008.06.040" TargetMode="External"/><Relationship Id="rId23" Type="http://schemas.openxmlformats.org/officeDocument/2006/relationships/hyperlink" Target="https://doi.org/10.4081/jphia.2012.e3" TargetMode="External"/><Relationship Id="rId28" Type="http://schemas.openxmlformats.org/officeDocument/2006/relationships/header" Target="header1.xml"/><Relationship Id="rId10" Type="http://schemas.openxmlformats.org/officeDocument/2006/relationships/hyperlink" Target="https://doi.org/10.4314/jasem.v23i9.11" TargetMode="External"/><Relationship Id="rId19" Type="http://schemas.openxmlformats.org/officeDocument/2006/relationships/hyperlink" Target="https://doi.org/10.1186/s12889-024-17598-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80/00207233.2021.1941240" TargetMode="External"/><Relationship Id="rId14" Type="http://schemas.openxmlformats.org/officeDocument/2006/relationships/hyperlink" Target="https://doi.org/10.5897/AJEST2013.1446" TargetMode="External"/><Relationship Id="rId22" Type="http://schemas.openxmlformats.org/officeDocument/2006/relationships/hyperlink" Target="https://doi.org/10.3390/su9020220" TargetMode="External"/><Relationship Id="rId27" Type="http://schemas.openxmlformats.org/officeDocument/2006/relationships/hyperlink" Target="https://www.who.int/publications/i/item/978924151517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wasman.2007.02.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15</Pages>
  <Words>5522</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19</cp:revision>
  <dcterms:created xsi:type="dcterms:W3CDTF">2026-04-09T05:51:00Z</dcterms:created>
  <dcterms:modified xsi:type="dcterms:W3CDTF">2026-04-16T12:20:00Z</dcterms:modified>
</cp:coreProperties>
</file>