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6EAA" w14:textId="7525AD93" w:rsidR="00261240" w:rsidRPr="00BF1C99" w:rsidRDefault="00B93629" w:rsidP="00B93629">
      <w:pPr>
        <w:spacing w:line="360" w:lineRule="auto"/>
        <w:jc w:val="center"/>
        <w:rPr>
          <w:rFonts w:ascii="Arial" w:hAnsi="Arial" w:cs="Arial"/>
          <w:b/>
          <w:bCs/>
          <w:sz w:val="24"/>
          <w:szCs w:val="24"/>
          <w:lang w:val="en-GB"/>
        </w:rPr>
      </w:pPr>
      <w:r w:rsidRPr="00BF1C99">
        <w:rPr>
          <w:rFonts w:ascii="Arial" w:hAnsi="Arial" w:cs="Arial"/>
          <w:b/>
          <w:bCs/>
          <w:sz w:val="24"/>
          <w:szCs w:val="24"/>
          <w:lang w:val="en-GB"/>
        </w:rPr>
        <w:t>THERMAL PERFORMANCE OF INTERLOCKING STABILISED SOIL BLOCKS (ISSB) FOR PASSIVE AND SUSTAINABLE BUILDING DESIGN</w:t>
      </w:r>
    </w:p>
    <w:p w14:paraId="150EC46B" w14:textId="53C1FC20" w:rsidR="008F71F0" w:rsidRPr="00BF1C99" w:rsidRDefault="008F71F0" w:rsidP="00BF1C99">
      <w:pPr>
        <w:spacing w:before="240" w:after="0" w:line="240" w:lineRule="auto"/>
        <w:jc w:val="center"/>
        <w:rPr>
          <w:rFonts w:ascii="Arial" w:hAnsi="Arial" w:cs="Arial"/>
          <w:b/>
          <w:bCs/>
          <w:sz w:val="20"/>
          <w:szCs w:val="20"/>
          <w:lang w:val="en-GB"/>
        </w:rPr>
      </w:pPr>
      <w:r w:rsidRPr="00BF1C99">
        <w:rPr>
          <w:rFonts w:ascii="Arial" w:hAnsi="Arial" w:cs="Arial"/>
          <w:b/>
          <w:bCs/>
          <w:sz w:val="20"/>
          <w:szCs w:val="20"/>
          <w:lang w:val="en-GB"/>
        </w:rPr>
        <w:t>ABSTRACT</w:t>
      </w:r>
    </w:p>
    <w:p w14:paraId="67D1C90E" w14:textId="69E4C12D" w:rsidR="008F71F0" w:rsidRPr="00BF1C99" w:rsidRDefault="008F71F0"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investigates the thermal performance of Interlocking Stabilised Soil Blocks (ISSB) as a sustainable walling material suitable for passive building design in tropical regions. The research employed both experimental field measurements and structured questionnaires to compare ISSB with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 Data from 412 respondents and temperature monitoring across selected buildings in southwestern Nigeria revealed that ISSB structures exhibited lower indoor temperature fluctuations and reduced cooling energy demand by approximately 30%. Statistical analysis confirmed significant differences (p &lt; .05)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demonstrating ISSB’s superior ability to maintain thermal stability and comfort. These findings validate ISSB’s potential to minimize reliance on active cooling systems, thereby advancing energy efficiency and sustainable housing objectives in developing contexts. The study contributes empirical evidence to support policy advocacy, architectural design strategies, and material optimization for climate-responsive housing solutions in Nigeria.</w:t>
      </w:r>
    </w:p>
    <w:p w14:paraId="5BD2341C" w14:textId="7972913C" w:rsidR="008F71F0" w:rsidRDefault="008F71F0" w:rsidP="008F71F0">
      <w:pPr>
        <w:spacing w:line="240" w:lineRule="auto"/>
        <w:jc w:val="both"/>
        <w:rPr>
          <w:rFonts w:ascii="Arial" w:hAnsi="Arial" w:cs="Arial"/>
          <w:sz w:val="20"/>
          <w:szCs w:val="20"/>
          <w:lang w:val="en-GB"/>
        </w:rPr>
      </w:pPr>
      <w:r w:rsidRPr="00BF1C99">
        <w:rPr>
          <w:rFonts w:ascii="Arial" w:hAnsi="Arial" w:cs="Arial"/>
          <w:b/>
          <w:bCs/>
          <w:sz w:val="20"/>
          <w:szCs w:val="20"/>
          <w:lang w:val="en-GB"/>
        </w:rPr>
        <w:t xml:space="preserve">Keywords: </w:t>
      </w:r>
      <w:r w:rsidRPr="00BF1C99">
        <w:rPr>
          <w:rFonts w:ascii="Arial" w:hAnsi="Arial" w:cs="Arial"/>
          <w:sz w:val="20"/>
          <w:szCs w:val="20"/>
          <w:lang w:val="en-GB"/>
        </w:rPr>
        <w:t>Interlocking Stabilised Soil Blocks (ISSB)</w:t>
      </w:r>
      <w:r w:rsidRPr="00BF1C99">
        <w:rPr>
          <w:rFonts w:ascii="Arial" w:hAnsi="Arial" w:cs="Arial"/>
          <w:b/>
          <w:bCs/>
          <w:sz w:val="20"/>
          <w:szCs w:val="20"/>
          <w:lang w:val="en-GB"/>
        </w:rPr>
        <w:t xml:space="preserve">, </w:t>
      </w:r>
      <w:r w:rsidRPr="00BF1C99">
        <w:rPr>
          <w:rFonts w:ascii="Arial" w:hAnsi="Arial" w:cs="Arial"/>
          <w:sz w:val="20"/>
          <w:szCs w:val="20"/>
          <w:lang w:val="en-GB"/>
        </w:rPr>
        <w:t>Thermal Performance</w:t>
      </w:r>
      <w:r w:rsidRPr="00BF1C99">
        <w:rPr>
          <w:rFonts w:ascii="Arial" w:hAnsi="Arial" w:cs="Arial"/>
          <w:b/>
          <w:bCs/>
          <w:sz w:val="20"/>
          <w:szCs w:val="20"/>
          <w:lang w:val="en-GB"/>
        </w:rPr>
        <w:t xml:space="preserve">, </w:t>
      </w:r>
      <w:r w:rsidRPr="00BF1C99">
        <w:rPr>
          <w:rFonts w:ascii="Arial" w:hAnsi="Arial" w:cs="Arial"/>
          <w:sz w:val="20"/>
          <w:szCs w:val="20"/>
          <w:lang w:val="en-GB"/>
        </w:rPr>
        <w:t>Passive Building Design</w:t>
      </w:r>
      <w:r w:rsidRPr="00BF1C99">
        <w:rPr>
          <w:rFonts w:ascii="Arial" w:hAnsi="Arial" w:cs="Arial"/>
          <w:b/>
          <w:bCs/>
          <w:sz w:val="20"/>
          <w:szCs w:val="20"/>
          <w:lang w:val="en-GB"/>
        </w:rPr>
        <w:t xml:space="preserve">, </w:t>
      </w:r>
      <w:r w:rsidRPr="00BF1C99">
        <w:rPr>
          <w:rFonts w:ascii="Arial" w:hAnsi="Arial" w:cs="Arial"/>
          <w:sz w:val="20"/>
          <w:szCs w:val="20"/>
          <w:lang w:val="en-GB"/>
        </w:rPr>
        <w:t>Sustainable Construction</w:t>
      </w:r>
      <w:r w:rsidRPr="00BF1C99">
        <w:rPr>
          <w:rFonts w:ascii="Arial" w:hAnsi="Arial" w:cs="Arial"/>
          <w:b/>
          <w:bCs/>
          <w:sz w:val="20"/>
          <w:szCs w:val="20"/>
          <w:lang w:val="en-GB"/>
        </w:rPr>
        <w:t xml:space="preserve">, </w:t>
      </w:r>
      <w:r w:rsidRPr="00BF1C99">
        <w:rPr>
          <w:rFonts w:ascii="Arial" w:hAnsi="Arial" w:cs="Arial"/>
          <w:sz w:val="20"/>
          <w:szCs w:val="20"/>
          <w:lang w:val="en-GB"/>
        </w:rPr>
        <w:t>Energy Efficiency</w:t>
      </w:r>
    </w:p>
    <w:p w14:paraId="47056093" w14:textId="77777777" w:rsidR="00BF1C99" w:rsidRPr="00BF1C99" w:rsidRDefault="00BF1C99" w:rsidP="008F71F0">
      <w:pPr>
        <w:spacing w:line="240" w:lineRule="auto"/>
        <w:jc w:val="both"/>
        <w:rPr>
          <w:rFonts w:ascii="Arial" w:hAnsi="Arial" w:cs="Arial"/>
          <w:b/>
          <w:bCs/>
          <w:sz w:val="20"/>
          <w:szCs w:val="20"/>
          <w:lang w:val="en-GB"/>
        </w:rPr>
      </w:pPr>
    </w:p>
    <w:p w14:paraId="2F680CF8" w14:textId="7D48A84B" w:rsidR="0089208D" w:rsidRPr="00BF1C99" w:rsidRDefault="00261240"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1.</w:t>
      </w:r>
      <w:r w:rsidR="00C92446" w:rsidRPr="00BF1C99">
        <w:rPr>
          <w:rFonts w:ascii="Arial" w:hAnsi="Arial" w:cs="Arial"/>
          <w:b/>
          <w:bCs/>
          <w:sz w:val="24"/>
          <w:szCs w:val="24"/>
          <w:lang w:val="en-GB"/>
        </w:rPr>
        <w:t>0</w:t>
      </w:r>
      <w:r w:rsidRPr="00BF1C99">
        <w:rPr>
          <w:rFonts w:ascii="Arial" w:hAnsi="Arial" w:cs="Arial"/>
          <w:b/>
          <w:bCs/>
          <w:sz w:val="24"/>
          <w:szCs w:val="24"/>
          <w:lang w:val="en-GB"/>
        </w:rPr>
        <w:tab/>
        <w:t>INTRODUCTION</w:t>
      </w:r>
    </w:p>
    <w:p w14:paraId="45C645C8" w14:textId="65AC0385"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 xml:space="preserve">1.1 </w:t>
      </w:r>
      <w:r w:rsidR="00261240" w:rsidRPr="00BF1C99">
        <w:rPr>
          <w:rFonts w:ascii="Arial" w:hAnsi="Arial" w:cs="Arial"/>
          <w:b/>
          <w:bCs/>
          <w:lang w:val="en-GB"/>
        </w:rPr>
        <w:t>Background to Study</w:t>
      </w:r>
    </w:p>
    <w:p w14:paraId="626FF2A1" w14:textId="4CDC4547" w:rsidR="0089208D" w:rsidRPr="00BF1C99"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 xml:space="preserve">Achieving thermal comfort in buildings through passive means is a central concern of sustainable design, particularly in hot–humid regions such as Nigeria. High indoor temperatures and overreliance on mechanical cooling systems contribute significantly to energy consumption and carbon emissions in residential buildings (Olaniyan, 2024). Consequently, attention has turned toward low-cost, energy-efficient materials capable of moderating indoor thermal conditions without active systems. Among these, Interlocking </w:t>
      </w:r>
      <w:proofErr w:type="spellStart"/>
      <w:r w:rsidRPr="00BF1C99">
        <w:rPr>
          <w:rFonts w:ascii="Arial" w:eastAsia="Times New Roman" w:hAnsi="Arial" w:cs="Arial"/>
          <w:kern w:val="0"/>
          <w:sz w:val="20"/>
          <w:szCs w:val="20"/>
          <w14:ligatures w14:val="none"/>
        </w:rPr>
        <w:t>Stabilised</w:t>
      </w:r>
      <w:proofErr w:type="spellEnd"/>
      <w:r w:rsidRPr="00BF1C99">
        <w:rPr>
          <w:rFonts w:ascii="Arial" w:eastAsia="Times New Roman" w:hAnsi="Arial" w:cs="Arial"/>
          <w:kern w:val="0"/>
          <w:sz w:val="20"/>
          <w:szCs w:val="20"/>
          <w14:ligatures w14:val="none"/>
        </w:rPr>
        <w:t xml:space="preserve"> Soil Blocks (ISSB) have gained increasing interest as an environmentally friendly alternative to conventional </w:t>
      </w:r>
      <w:proofErr w:type="spellStart"/>
      <w:r w:rsidRPr="00BF1C99">
        <w:rPr>
          <w:rFonts w:ascii="Arial" w:eastAsia="Times New Roman" w:hAnsi="Arial" w:cs="Arial"/>
          <w:kern w:val="0"/>
          <w:sz w:val="20"/>
          <w:szCs w:val="20"/>
          <w14:ligatures w14:val="none"/>
        </w:rPr>
        <w:t>sandcrete</w:t>
      </w:r>
      <w:proofErr w:type="spellEnd"/>
      <w:r w:rsidRPr="00BF1C99">
        <w:rPr>
          <w:rFonts w:ascii="Arial" w:eastAsia="Times New Roman" w:hAnsi="Arial" w:cs="Arial"/>
          <w:kern w:val="0"/>
          <w:sz w:val="20"/>
          <w:szCs w:val="20"/>
          <w14:ligatures w14:val="none"/>
        </w:rPr>
        <w:t xml:space="preserve"> blocks and fired bricks.</w:t>
      </w:r>
      <w:r w:rsidR="00EE237A" w:rsidRPr="00EE237A">
        <w:t xml:space="preserve"> </w:t>
      </w:r>
      <w:r w:rsidR="00EE237A" w:rsidRPr="00EE237A">
        <w:rPr>
          <w:rFonts w:ascii="Arial" w:eastAsia="Times New Roman" w:hAnsi="Arial" w:cs="Arial"/>
          <w:kern w:val="0"/>
          <w:sz w:val="20"/>
          <w:szCs w:val="20"/>
          <w14:ligatures w14:val="none"/>
        </w:rPr>
        <w:t>However, beyond technical performance, the adoption of ISSB in Nigeria is influenced by non-technical factors such as user perception, institutional support, and industry acceptance. A recent statistical analysis by Ibitoye et al. (2026) identified psychological resistance, low awareness, and weak regulatory backing as major barriers limiting the widespread use of ISSB in Nigeria’s construction industry.</w:t>
      </w:r>
    </w:p>
    <w:p w14:paraId="7BBBF6AE" w14:textId="49D9EC4F" w:rsidR="0089208D" w:rsidRPr="00BF1C99"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ISSB technology utilizes locally available lateritic soils mixed with small proportions of stabilizers (cement or lime) and compressed into uniform blocks without firing. This method significantly reduces embodied energy while enhancing the thermal mass of the building envelope, allowing the walls to absorb and release heat gradually a desirable characteristic for passive cooling (</w:t>
      </w:r>
      <w:r w:rsidR="001111BA">
        <w:rPr>
          <w:rFonts w:ascii="Arial" w:eastAsia="Times New Roman" w:hAnsi="Arial" w:cs="Arial"/>
          <w:kern w:val="0"/>
          <w:sz w:val="20"/>
          <w:szCs w:val="20"/>
          <w14:ligatures w14:val="none"/>
        </w:rPr>
        <w:t>Real</w:t>
      </w:r>
      <w:r w:rsidRPr="00BF1C99">
        <w:rPr>
          <w:rFonts w:ascii="Arial" w:eastAsia="Times New Roman" w:hAnsi="Arial" w:cs="Arial"/>
          <w:kern w:val="0"/>
          <w:sz w:val="20"/>
          <w:szCs w:val="20"/>
          <w14:ligatures w14:val="none"/>
        </w:rPr>
        <w:t xml:space="preserve">, </w:t>
      </w:r>
      <w:r w:rsidR="001111BA">
        <w:rPr>
          <w:rFonts w:ascii="Arial" w:eastAsia="Times New Roman" w:hAnsi="Arial" w:cs="Arial"/>
          <w:kern w:val="0"/>
          <w:sz w:val="20"/>
          <w:szCs w:val="20"/>
          <w14:ligatures w14:val="none"/>
        </w:rPr>
        <w:t>Bogas</w:t>
      </w:r>
      <w:r w:rsidRPr="00BF1C99">
        <w:rPr>
          <w:rFonts w:ascii="Arial" w:eastAsia="Times New Roman" w:hAnsi="Arial" w:cs="Arial"/>
          <w:kern w:val="0"/>
          <w:sz w:val="20"/>
          <w:szCs w:val="20"/>
          <w14:ligatures w14:val="none"/>
        </w:rPr>
        <w:t>,</w:t>
      </w:r>
      <w:r w:rsidR="001111BA">
        <w:rPr>
          <w:rFonts w:ascii="Arial" w:eastAsia="Times New Roman" w:hAnsi="Arial" w:cs="Arial"/>
          <w:kern w:val="0"/>
          <w:sz w:val="20"/>
          <w:szCs w:val="20"/>
          <w14:ligatures w14:val="none"/>
        </w:rPr>
        <w:t xml:space="preserve"> Gomez</w:t>
      </w:r>
      <w:r w:rsidRPr="00BF1C99">
        <w:rPr>
          <w:rFonts w:ascii="Arial" w:eastAsia="Times New Roman" w:hAnsi="Arial" w:cs="Arial"/>
          <w:kern w:val="0"/>
          <w:sz w:val="20"/>
          <w:szCs w:val="20"/>
          <w14:ligatures w14:val="none"/>
        </w:rPr>
        <w:t xml:space="preserve"> &amp; </w:t>
      </w:r>
      <w:proofErr w:type="spellStart"/>
      <w:r w:rsidR="001111BA" w:rsidRPr="001111BA">
        <w:rPr>
          <w:rFonts w:ascii="Arial" w:eastAsia="Times New Roman" w:hAnsi="Arial" w:cs="Arial"/>
          <w:kern w:val="0"/>
          <w:sz w:val="20"/>
          <w:szCs w:val="20"/>
          <w14:ligatures w14:val="none"/>
        </w:rPr>
        <w:t>Nabais</w:t>
      </w:r>
      <w:proofErr w:type="spellEnd"/>
      <w:r w:rsidRPr="00BF1C99">
        <w:rPr>
          <w:rFonts w:ascii="Arial" w:eastAsia="Times New Roman" w:hAnsi="Arial" w:cs="Arial"/>
          <w:kern w:val="0"/>
          <w:sz w:val="20"/>
          <w:szCs w:val="20"/>
          <w14:ligatures w14:val="none"/>
        </w:rPr>
        <w:t>, 202</w:t>
      </w:r>
      <w:r w:rsidR="001111BA">
        <w:rPr>
          <w:rFonts w:ascii="Arial" w:eastAsia="Times New Roman" w:hAnsi="Arial" w:cs="Arial"/>
          <w:kern w:val="0"/>
          <w:sz w:val="20"/>
          <w:szCs w:val="20"/>
          <w14:ligatures w14:val="none"/>
        </w:rPr>
        <w:t>4</w:t>
      </w:r>
      <w:r w:rsidRPr="00BF1C99">
        <w:rPr>
          <w:rFonts w:ascii="Arial" w:eastAsia="Times New Roman" w:hAnsi="Arial" w:cs="Arial"/>
          <w:kern w:val="0"/>
          <w:sz w:val="20"/>
          <w:szCs w:val="20"/>
          <w14:ligatures w14:val="none"/>
        </w:rPr>
        <w:t xml:space="preserve">). Studies conducted in tropical climates indicate that ISSB walls can reduce indoor air temperature fluctuations and maintain more stable interior environments compared to </w:t>
      </w:r>
      <w:proofErr w:type="spellStart"/>
      <w:r w:rsidRPr="00BF1C99">
        <w:rPr>
          <w:rFonts w:ascii="Arial" w:eastAsia="Times New Roman" w:hAnsi="Arial" w:cs="Arial"/>
          <w:kern w:val="0"/>
          <w:sz w:val="20"/>
          <w:szCs w:val="20"/>
          <w14:ligatures w14:val="none"/>
        </w:rPr>
        <w:t>sandcrete</w:t>
      </w:r>
      <w:proofErr w:type="spellEnd"/>
      <w:r w:rsidRPr="00BF1C99">
        <w:rPr>
          <w:rFonts w:ascii="Arial" w:eastAsia="Times New Roman" w:hAnsi="Arial" w:cs="Arial"/>
          <w:kern w:val="0"/>
          <w:sz w:val="20"/>
          <w:szCs w:val="20"/>
          <w14:ligatures w14:val="none"/>
        </w:rPr>
        <w:t xml:space="preserve"> walls (Bailly, El </w:t>
      </w:r>
      <w:proofErr w:type="spellStart"/>
      <w:r w:rsidRPr="00BF1C99">
        <w:rPr>
          <w:rFonts w:ascii="Arial" w:eastAsia="Times New Roman" w:hAnsi="Arial" w:cs="Arial"/>
          <w:kern w:val="0"/>
          <w:sz w:val="20"/>
          <w:szCs w:val="20"/>
          <w14:ligatures w14:val="none"/>
        </w:rPr>
        <w:t>Mendili</w:t>
      </w:r>
      <w:proofErr w:type="spellEnd"/>
      <w:r w:rsidRPr="00BF1C99">
        <w:rPr>
          <w:rFonts w:ascii="Arial" w:eastAsia="Times New Roman" w:hAnsi="Arial" w:cs="Arial"/>
          <w:kern w:val="0"/>
          <w:sz w:val="20"/>
          <w:szCs w:val="20"/>
          <w14:ligatures w14:val="none"/>
        </w:rPr>
        <w:t>, &amp; Khoury, 2024).</w:t>
      </w:r>
    </w:p>
    <w:p w14:paraId="3BFC2E1D" w14:textId="53AB6D00" w:rsidR="0089208D"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 xml:space="preserve">In Nigeria, however, the thermal behavior of ISSB is not yet widely documented despite its potential to improve indoor comfort and reduce energy demands. Ibitoye, Oyewole, and </w:t>
      </w:r>
      <w:proofErr w:type="spellStart"/>
      <w:r w:rsidRPr="00BF1C99">
        <w:rPr>
          <w:rFonts w:ascii="Arial" w:eastAsia="Times New Roman" w:hAnsi="Arial" w:cs="Arial"/>
          <w:kern w:val="0"/>
          <w:sz w:val="20"/>
          <w:szCs w:val="20"/>
          <w14:ligatures w14:val="none"/>
        </w:rPr>
        <w:t>Babamboni</w:t>
      </w:r>
      <w:proofErr w:type="spellEnd"/>
      <w:r w:rsidRPr="00BF1C99">
        <w:rPr>
          <w:rFonts w:ascii="Arial" w:eastAsia="Times New Roman" w:hAnsi="Arial" w:cs="Arial"/>
          <w:kern w:val="0"/>
          <w:sz w:val="20"/>
          <w:szCs w:val="20"/>
          <w14:ligatures w14:val="none"/>
        </w:rPr>
        <w:t xml:space="preserve"> (2023) emphasized that awareness and empirical validation of ISSB performance are vital to its mainstream acceptance in sustainable housing.</w:t>
      </w:r>
      <w:r w:rsidR="00EE237A" w:rsidRPr="00EE237A">
        <w:t xml:space="preserve"> </w:t>
      </w:r>
      <w:r w:rsidR="00EE237A" w:rsidRPr="00EE237A">
        <w:rPr>
          <w:rFonts w:ascii="Arial" w:eastAsia="Times New Roman" w:hAnsi="Arial" w:cs="Arial"/>
          <w:kern w:val="0"/>
          <w:sz w:val="20"/>
          <w:szCs w:val="20"/>
          <w14:ligatures w14:val="none"/>
        </w:rPr>
        <w:t>While existing studies emphasize the thermal and environmental advantages of ISSB, limited research integrates these technical benefits with the socio-institutional factors influencing adoption (Ibitoye et al., 2026). This disconnect highlights the need for empirical studies that not only validate performance but also reinforce user confidence and industry acceptance.</w:t>
      </w:r>
      <w:r w:rsidR="00EE237A">
        <w:rPr>
          <w:rFonts w:ascii="Arial" w:eastAsia="Times New Roman" w:hAnsi="Arial" w:cs="Arial"/>
          <w:kern w:val="0"/>
          <w:sz w:val="20"/>
          <w:szCs w:val="20"/>
          <w14:ligatures w14:val="none"/>
        </w:rPr>
        <w:t xml:space="preserve"> </w:t>
      </w:r>
      <w:r w:rsidRPr="00BF1C99">
        <w:rPr>
          <w:rFonts w:ascii="Arial" w:eastAsia="Times New Roman" w:hAnsi="Arial" w:cs="Arial"/>
          <w:kern w:val="0"/>
          <w:sz w:val="20"/>
          <w:szCs w:val="20"/>
          <w14:ligatures w14:val="none"/>
        </w:rPr>
        <w:t>This study, therefore, seeks to investigate the thermal performance of ISSB walls, focusing on how their physical properties contribute to passive and sustainable design objectives in the Nigerian context.</w:t>
      </w:r>
    </w:p>
    <w:p w14:paraId="41AA24A2" w14:textId="77777777" w:rsidR="00BF1C99" w:rsidRPr="00BF1C99" w:rsidRDefault="00BF1C99" w:rsidP="00BF1C99">
      <w:pPr>
        <w:spacing w:line="240" w:lineRule="auto"/>
        <w:jc w:val="both"/>
        <w:rPr>
          <w:rFonts w:ascii="Arial" w:eastAsia="Times New Roman" w:hAnsi="Arial" w:cs="Arial"/>
          <w:kern w:val="0"/>
          <w:sz w:val="20"/>
          <w:szCs w:val="20"/>
          <w14:ligatures w14:val="none"/>
        </w:rPr>
      </w:pPr>
    </w:p>
    <w:p w14:paraId="5481F2D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1.2 Aim and Objectives</w:t>
      </w:r>
    </w:p>
    <w:p w14:paraId="184EEA72"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aim of this study is to evaluate the thermal performance of Interlocking Stabilised Soil Blocks (ISSB) as a sustainable walling material for passive building design in tropical environments.</w:t>
      </w:r>
      <w:r w:rsidRPr="00BF1C99">
        <w:rPr>
          <w:rFonts w:ascii="Arial" w:hAnsi="Arial" w:cs="Arial"/>
          <w:sz w:val="20"/>
          <w:szCs w:val="20"/>
          <w:lang w:val="en-GB"/>
        </w:rPr>
        <w:br/>
        <w:t>The specific objectives are to:</w:t>
      </w:r>
    </w:p>
    <w:p w14:paraId="2684C8F2"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 xml:space="preserve">Assess the perceived and measured thermal comfort levels of ISSB buildings compared to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structures.</w:t>
      </w:r>
    </w:p>
    <w:p w14:paraId="4F1DA1DD"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Examine the influence of material composition and wall thickness on the thermal efficiency of ISSB.</w:t>
      </w:r>
    </w:p>
    <w:p w14:paraId="3ED76CBC"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Evaluate user satisfaction with thermal conditions in ISSB buildings.</w:t>
      </w:r>
    </w:p>
    <w:p w14:paraId="0289CF40" w14:textId="5B43E1DB"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Recommend design and construction strategies that optimize ISSB performance for passive and sustainable building design.</w:t>
      </w:r>
    </w:p>
    <w:p w14:paraId="7BE06E83"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1.3 Research Questions</w:t>
      </w:r>
    </w:p>
    <w:p w14:paraId="6BFC947F"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 xml:space="preserve">How does the thermal comfort performance of ISSB walls compare with that of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and other conventional wall materials?</w:t>
      </w:r>
    </w:p>
    <w:p w14:paraId="53D9B51C"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material and construction factors (e.g., stabilizer content, block density, wall thickness) influence ISSB’s thermal efficiency?</w:t>
      </w:r>
    </w:p>
    <w:p w14:paraId="6205DF71"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are users’ perceptions of indoor thermal comfort in ISSB-built houses?</w:t>
      </w:r>
    </w:p>
    <w:p w14:paraId="2863F8E4" w14:textId="30F0978A" w:rsidR="00261240"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design and material strategies can enhance ISSB’s role in achieving passive and sustainable building performance?</w:t>
      </w:r>
    </w:p>
    <w:p w14:paraId="1142A68B"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1.4 Significance of the Study</w:t>
      </w:r>
    </w:p>
    <w:p w14:paraId="44FBD7EC"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is significant in advancing knowledge of low-carbon, passive thermal design strategies for buildings in tropical climates. By quantifying and </w:t>
      </w:r>
      <w:proofErr w:type="spellStart"/>
      <w:r w:rsidRPr="00BF1C99">
        <w:rPr>
          <w:rFonts w:ascii="Arial" w:hAnsi="Arial" w:cs="Arial"/>
          <w:sz w:val="20"/>
          <w:szCs w:val="20"/>
          <w:lang w:val="en-GB"/>
        </w:rPr>
        <w:t>analyzing</w:t>
      </w:r>
      <w:proofErr w:type="spellEnd"/>
      <w:r w:rsidRPr="00BF1C99">
        <w:rPr>
          <w:rFonts w:ascii="Arial" w:hAnsi="Arial" w:cs="Arial"/>
          <w:sz w:val="20"/>
          <w:szCs w:val="20"/>
          <w:lang w:val="en-GB"/>
        </w:rPr>
        <w:t xml:space="preserve"> the thermal performance of ISSB, the research contributes to evidence-based design that minimizes dependence on energy-intensive cooling systems. It further supports Nigeria’s sustainable development goals related to affordable housing, energy efficiency, and environmental protection.</w:t>
      </w:r>
    </w:p>
    <w:p w14:paraId="2176238A" w14:textId="4321D64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For practitioners, the findings provide data-driven guidance on optimizing ISSB wall systems to achieve comfortable indoor environments. For policymakers, the study offers insights to support building standards and green housing policies promoting ISSB use in public housing. The research also extends the work of Ibitoye et al. (2023) by integrating empirical thermal assessment with user-</w:t>
      </w:r>
      <w:proofErr w:type="spellStart"/>
      <w:r w:rsidRPr="00BF1C99">
        <w:rPr>
          <w:rFonts w:ascii="Arial" w:hAnsi="Arial" w:cs="Arial"/>
          <w:sz w:val="20"/>
          <w:szCs w:val="20"/>
          <w:lang w:val="en-GB"/>
        </w:rPr>
        <w:t>centered</w:t>
      </w:r>
      <w:proofErr w:type="spellEnd"/>
      <w:r w:rsidRPr="00BF1C99">
        <w:rPr>
          <w:rFonts w:ascii="Arial" w:hAnsi="Arial" w:cs="Arial"/>
          <w:sz w:val="20"/>
          <w:szCs w:val="20"/>
          <w:lang w:val="en-GB"/>
        </w:rPr>
        <w:t xml:space="preserve"> evaluations, thus bridging technical performance and occupant comfort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two critical pillars of sustainable architecture.</w:t>
      </w:r>
    </w:p>
    <w:p w14:paraId="296FC9AD" w14:textId="676D3423" w:rsidR="0089208D" w:rsidRPr="00BF1C99" w:rsidRDefault="007C6BB0"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2.</w:t>
      </w:r>
      <w:r w:rsidR="00C92446" w:rsidRPr="00BF1C99">
        <w:rPr>
          <w:rFonts w:ascii="Arial" w:hAnsi="Arial" w:cs="Arial"/>
          <w:b/>
          <w:bCs/>
          <w:sz w:val="24"/>
          <w:szCs w:val="24"/>
          <w:lang w:val="en-GB"/>
        </w:rPr>
        <w:t>0</w:t>
      </w:r>
      <w:r w:rsidRPr="00BF1C99">
        <w:rPr>
          <w:rFonts w:ascii="Arial" w:hAnsi="Arial" w:cs="Arial"/>
          <w:b/>
          <w:bCs/>
          <w:sz w:val="24"/>
          <w:szCs w:val="24"/>
          <w:lang w:val="en-GB"/>
        </w:rPr>
        <w:tab/>
        <w:t>LITERATURE REVIEW</w:t>
      </w:r>
    </w:p>
    <w:p w14:paraId="4098AFB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2.1 Overview of Passive and Sustainable Building Design</w:t>
      </w:r>
    </w:p>
    <w:p w14:paraId="3C9AC0D9" w14:textId="278D648C"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Passive building design seeks to achieve thermal comfort and energy efficiency by utilizing the building’s form, orientation, and materials to control heat gain and loss without mechanical intervention (Hafez, 2023). The approach emphasizes climatic responsiveness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designing envelopes that harness natural ventilation, shading, and thermal mass to maintain comfort year-round. In tropical environments such as Nigeria, passive design principles are crucial for minimizing dependence on air-conditioning, which accounts for over 40% of total residential energy consumption (Olaniyan, 2024).</w:t>
      </w:r>
      <w:r w:rsidR="00214406">
        <w:rPr>
          <w:rFonts w:ascii="Arial" w:hAnsi="Arial" w:cs="Arial"/>
          <w:sz w:val="20"/>
          <w:szCs w:val="20"/>
          <w:lang w:val="en-GB"/>
        </w:rPr>
        <w:t xml:space="preserve"> </w:t>
      </w:r>
      <w:r w:rsidR="00214406" w:rsidRPr="00214406">
        <w:rPr>
          <w:rFonts w:ascii="Arial" w:hAnsi="Arial" w:cs="Arial"/>
          <w:sz w:val="20"/>
          <w:szCs w:val="20"/>
        </w:rPr>
        <w:t>Recent research highlights the growing interest in earth-based materials due to their environmental benefits and improved thermal performance (Latapie et al., 2023).</w:t>
      </w:r>
    </w:p>
    <w:p w14:paraId="4C29DA68" w14:textId="0871C7BE"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lastRenderedPageBreak/>
        <w:t>Sustainable building design extends this concept to incorporate environmental, economic, and social considerations throughout the building’s life cycle (Bailly et al., 2024). Central to sustainability is the use of local, renewable, and low-embodied-energy materials, which reduce transportation impacts and enhance affordability. ISSB exemplifies this principle: by using local lateritic soils and minimal cement, it supports both passive design and sustainable development goals. Recent studies advocate for coupling passive thermal strategies with material innovation to deliver low-carbon, climate-adaptive housing for developing nations (</w:t>
      </w:r>
      <w:r w:rsidR="00E52068">
        <w:rPr>
          <w:rFonts w:ascii="Arial" w:hAnsi="Arial" w:cs="Arial"/>
          <w:sz w:val="20"/>
          <w:szCs w:val="20"/>
          <w:lang w:val="en-GB"/>
        </w:rPr>
        <w:t>Ibitoye</w:t>
      </w:r>
      <w:r w:rsidR="00C92446" w:rsidRPr="00BF1C99">
        <w:rPr>
          <w:rFonts w:ascii="Arial" w:hAnsi="Arial" w:cs="Arial"/>
          <w:sz w:val="20"/>
          <w:szCs w:val="20"/>
          <w:lang w:val="en-GB"/>
        </w:rPr>
        <w:t xml:space="preserve"> et al., </w:t>
      </w:r>
      <w:r w:rsidRPr="00BF1C99">
        <w:rPr>
          <w:rFonts w:ascii="Arial" w:hAnsi="Arial" w:cs="Arial"/>
          <w:sz w:val="20"/>
          <w:szCs w:val="20"/>
          <w:lang w:val="en-GB"/>
        </w:rPr>
        <w:t>202</w:t>
      </w:r>
      <w:r w:rsidR="00E52068">
        <w:rPr>
          <w:rFonts w:ascii="Arial" w:hAnsi="Arial" w:cs="Arial"/>
          <w:sz w:val="20"/>
          <w:szCs w:val="20"/>
          <w:lang w:val="en-GB"/>
        </w:rPr>
        <w:t>3</w:t>
      </w:r>
      <w:r w:rsidRPr="00BF1C99">
        <w:rPr>
          <w:rFonts w:ascii="Arial" w:hAnsi="Arial" w:cs="Arial"/>
          <w:sz w:val="20"/>
          <w:szCs w:val="20"/>
          <w:lang w:val="en-GB"/>
        </w:rPr>
        <w:t>).</w:t>
      </w:r>
    </w:p>
    <w:p w14:paraId="7CAC9CBF"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2.2 Thermal Properties of Earth-Based Materials</w:t>
      </w:r>
    </w:p>
    <w:p w14:paraId="05064AD8" w14:textId="3975FA0F"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Earth-based materials, such as adobe, compressed earth blocks (CEB), and Interlocking Stabilised Soil Blocks (ISSB), are renowned for their high thermal mass and moderate conductivity, which allow them to absorb and slowly release heat (Bui et al., 2023). </w:t>
      </w:r>
      <w:r w:rsidR="00214406" w:rsidRPr="00214406">
        <w:rPr>
          <w:rFonts w:ascii="Arial" w:hAnsi="Arial" w:cs="Arial"/>
          <w:sz w:val="20"/>
          <w:szCs w:val="20"/>
        </w:rPr>
        <w:t xml:space="preserve">Earth-based materials exhibit significant thermal mass and moderate conductivity, enabling them to regulate indoor temperatures effectively (Teixeira et al., 2020). </w:t>
      </w:r>
      <w:r w:rsidR="00214406">
        <w:rPr>
          <w:rFonts w:ascii="Arial" w:hAnsi="Arial" w:cs="Arial"/>
          <w:sz w:val="20"/>
          <w:szCs w:val="20"/>
        </w:rPr>
        <w:t xml:space="preserve"> </w:t>
      </w:r>
      <w:r w:rsidRPr="00BF1C99">
        <w:rPr>
          <w:rFonts w:ascii="Arial" w:hAnsi="Arial" w:cs="Arial"/>
          <w:sz w:val="20"/>
          <w:szCs w:val="20"/>
          <w:lang w:val="en-GB"/>
        </w:rPr>
        <w:t xml:space="preserve">This characteristic </w:t>
      </w:r>
      <w:proofErr w:type="gramStart"/>
      <w:r w:rsidRPr="00BF1C99">
        <w:rPr>
          <w:rFonts w:ascii="Arial" w:hAnsi="Arial" w:cs="Arial"/>
          <w:sz w:val="20"/>
          <w:szCs w:val="20"/>
          <w:lang w:val="en-GB"/>
        </w:rPr>
        <w:t>moderates</w:t>
      </w:r>
      <w:proofErr w:type="gramEnd"/>
      <w:r w:rsidRPr="00BF1C99">
        <w:rPr>
          <w:rFonts w:ascii="Arial" w:hAnsi="Arial" w:cs="Arial"/>
          <w:sz w:val="20"/>
          <w:szCs w:val="20"/>
          <w:lang w:val="en-GB"/>
        </w:rPr>
        <w:t xml:space="preserve"> diurnal temperature fluctuations, resulting in more stable indoor conditions compared to lightweight materials like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or hollow concrete blocks.</w:t>
      </w:r>
    </w:p>
    <w:p w14:paraId="5D71F2E5" w14:textId="187704C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According to Bailly et al. (2024), stabilized earth walls exhibit low thermal diffusivity and good hygroscopic properties, meaning they can buffer internal humidity and heat variations. Studies in tropical Africa and Asia have shown that stabilized soil blocks can reduce indoor temperature peaks by 2–4°C compared with concrete structures (</w:t>
      </w:r>
      <w:r w:rsidR="001111BA" w:rsidRPr="001111BA">
        <w:rPr>
          <w:rFonts w:ascii="Arial" w:hAnsi="Arial" w:cs="Arial"/>
          <w:sz w:val="20"/>
          <w:szCs w:val="20"/>
        </w:rPr>
        <w:t xml:space="preserve">Real, Bogas, Gomez &amp; </w:t>
      </w:r>
      <w:proofErr w:type="spellStart"/>
      <w:r w:rsidR="001111BA" w:rsidRPr="001111BA">
        <w:rPr>
          <w:rFonts w:ascii="Arial" w:hAnsi="Arial" w:cs="Arial"/>
          <w:sz w:val="20"/>
          <w:szCs w:val="20"/>
        </w:rPr>
        <w:t>Nabais</w:t>
      </w:r>
      <w:proofErr w:type="spellEnd"/>
      <w:r w:rsidR="001111BA" w:rsidRPr="001111BA">
        <w:rPr>
          <w:rFonts w:ascii="Arial" w:hAnsi="Arial" w:cs="Arial"/>
          <w:sz w:val="20"/>
          <w:szCs w:val="20"/>
        </w:rPr>
        <w:t>, 2024</w:t>
      </w:r>
      <w:r w:rsidRPr="00BF1C99">
        <w:rPr>
          <w:rFonts w:ascii="Arial" w:hAnsi="Arial" w:cs="Arial"/>
          <w:sz w:val="20"/>
          <w:szCs w:val="20"/>
          <w:lang w:val="en-GB"/>
        </w:rPr>
        <w:t xml:space="preserve">). Furthermore, the degree of stabilization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typically 5–10% cement or lime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affects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with over-stabilization increasing conductivity and reducing passive cooling capacity (Real et al., 2024).</w:t>
      </w:r>
    </w:p>
    <w:p w14:paraId="091AF56B" w14:textId="0E26C74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Despite these advantages, the performance of earth-based materials depends heavily on wall thickness, block density, and surface finishing. Proper plastering and orientation further enhance thermal resistance by minimizing direct solar radiation on exposed surfaces (Hafez, 2023). Thus, the thermal optimization of ISSB construction must be approached holistically, combining material science and architectural design principles.</w:t>
      </w:r>
    </w:p>
    <w:p w14:paraId="6A45AC90"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2.3 ISSB Technology and Thermal Regulation in Tropical Climates</w:t>
      </w:r>
    </w:p>
    <w:p w14:paraId="0DF9EDFA" w14:textId="4EE87B2D"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ISSB technology offers an integrated solution for affordable and thermally efficient construction. The interlocking system eliminates mortar joints, reduces thermal bridging, and enhances airtightness (</w:t>
      </w:r>
      <w:r w:rsidR="001111BA">
        <w:rPr>
          <w:rFonts w:ascii="Arial" w:hAnsi="Arial" w:cs="Arial"/>
          <w:sz w:val="20"/>
          <w:szCs w:val="20"/>
          <w:lang w:val="en-GB"/>
        </w:rPr>
        <w:t>Real</w:t>
      </w:r>
      <w:r w:rsidRPr="00BF1C99">
        <w:rPr>
          <w:rFonts w:ascii="Arial" w:hAnsi="Arial" w:cs="Arial"/>
          <w:sz w:val="20"/>
          <w:szCs w:val="20"/>
          <w:lang w:val="en-GB"/>
        </w:rPr>
        <w:t xml:space="preserve"> et al., 202</w:t>
      </w:r>
      <w:r w:rsidR="001111BA">
        <w:rPr>
          <w:rFonts w:ascii="Arial" w:hAnsi="Arial" w:cs="Arial"/>
          <w:sz w:val="20"/>
          <w:szCs w:val="20"/>
          <w:lang w:val="en-GB"/>
        </w:rPr>
        <w:t>4</w:t>
      </w:r>
      <w:r w:rsidRPr="00BF1C99">
        <w:rPr>
          <w:rFonts w:ascii="Arial" w:hAnsi="Arial" w:cs="Arial"/>
          <w:sz w:val="20"/>
          <w:szCs w:val="20"/>
          <w:lang w:val="en-GB"/>
        </w:rPr>
        <w:t xml:space="preserve">). In tropical climates, where daytime temperatures are high and night-time cooling is limited, ISSB walls provide thermal inertia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storing heat during the day and releasing it slowly at night.</w:t>
      </w:r>
    </w:p>
    <w:p w14:paraId="482B453E" w14:textId="66EBB35F"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Ibitoye, Oyewole, and </w:t>
      </w:r>
      <w:proofErr w:type="spellStart"/>
      <w:r w:rsidRPr="00BF1C99">
        <w:rPr>
          <w:rFonts w:ascii="Arial" w:hAnsi="Arial" w:cs="Arial"/>
          <w:sz w:val="20"/>
          <w:szCs w:val="20"/>
          <w:lang w:val="en-GB"/>
        </w:rPr>
        <w:t>Babamboni</w:t>
      </w:r>
      <w:proofErr w:type="spellEnd"/>
      <w:r w:rsidRPr="00BF1C99">
        <w:rPr>
          <w:rFonts w:ascii="Arial" w:hAnsi="Arial" w:cs="Arial"/>
          <w:sz w:val="20"/>
          <w:szCs w:val="20"/>
          <w:lang w:val="en-GB"/>
        </w:rPr>
        <w:t xml:space="preserve"> (2023) emphasized that ISSB’s climatic adaptability makes it particularly suitable for Nigeria’s hot-humid regions, as its natural insulation properties help maintain cooler indoor conditions. Field studies in Kenya and Uganda reported that ISSB homes maintained indoor temperatures 2–3°C lower than external ambient air during peak daytime hours (</w:t>
      </w:r>
      <w:r w:rsidR="00145F3F" w:rsidRPr="00145F3F">
        <w:rPr>
          <w:rFonts w:ascii="Arial" w:hAnsi="Arial" w:cs="Arial"/>
          <w:sz w:val="20"/>
          <w:szCs w:val="20"/>
        </w:rPr>
        <w:t>Aderinsola</w:t>
      </w:r>
      <w:r w:rsidR="00145F3F">
        <w:rPr>
          <w:rFonts w:ascii="Arial" w:hAnsi="Arial" w:cs="Arial"/>
          <w:sz w:val="20"/>
          <w:szCs w:val="20"/>
        </w:rPr>
        <w:t xml:space="preserve"> </w:t>
      </w:r>
      <w:r w:rsidRPr="00BF1C99">
        <w:rPr>
          <w:rFonts w:ascii="Arial" w:hAnsi="Arial" w:cs="Arial"/>
          <w:sz w:val="20"/>
          <w:szCs w:val="20"/>
          <w:lang w:val="en-GB"/>
        </w:rPr>
        <w:t>et al., 202</w:t>
      </w:r>
      <w:r w:rsidR="00145F3F">
        <w:rPr>
          <w:rFonts w:ascii="Arial" w:hAnsi="Arial" w:cs="Arial"/>
          <w:sz w:val="20"/>
          <w:szCs w:val="20"/>
          <w:lang w:val="en-GB"/>
        </w:rPr>
        <w:t>5</w:t>
      </w:r>
      <w:r w:rsidRPr="00BF1C99">
        <w:rPr>
          <w:rFonts w:ascii="Arial" w:hAnsi="Arial" w:cs="Arial"/>
          <w:sz w:val="20"/>
          <w:szCs w:val="20"/>
          <w:lang w:val="en-GB"/>
        </w:rPr>
        <w:t xml:space="preserve">). Similarly, Diatta (2025) confirmed that earthen materials’ capacity for phase lag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the delay between outdoor and indoor temperature peaks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is a defining factor in passive comfort.</w:t>
      </w:r>
    </w:p>
    <w:p w14:paraId="555640B4" w14:textId="38E63C9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Furthermore, ISSB walls can be optimized for thermal performance through variations in mix ratio, stabilization level, and wall thickness. Experimental research by Bailly et al. (2024) found that 230 mm–300 mm ISSB walls with 7% cement content achieved the best balance of strength and insulation for warm climates. These findings reinforce ISSB’s relevance to low-cost passive housing, especially where affordability and sustainability are twin priorities.</w:t>
      </w:r>
    </w:p>
    <w:p w14:paraId="6A8CDA5F" w14:textId="38A25A56" w:rsidR="00EE237A" w:rsidRPr="00EE237A" w:rsidRDefault="0089208D" w:rsidP="00EE237A">
      <w:pPr>
        <w:spacing w:line="360" w:lineRule="auto"/>
        <w:jc w:val="both"/>
        <w:rPr>
          <w:rFonts w:ascii="Arial" w:hAnsi="Arial" w:cs="Arial"/>
          <w:b/>
          <w:bCs/>
          <w:lang w:val="en-GB"/>
        </w:rPr>
      </w:pPr>
      <w:r w:rsidRPr="00BF1C99">
        <w:rPr>
          <w:rFonts w:ascii="Arial" w:hAnsi="Arial" w:cs="Arial"/>
          <w:b/>
          <w:bCs/>
          <w:lang w:val="en-GB"/>
        </w:rPr>
        <w:t xml:space="preserve">2.4 Comparative Studies on ISSB, </w:t>
      </w:r>
      <w:proofErr w:type="spellStart"/>
      <w:r w:rsidRPr="00BF1C99">
        <w:rPr>
          <w:rFonts w:ascii="Arial" w:hAnsi="Arial" w:cs="Arial"/>
          <w:b/>
          <w:bCs/>
          <w:lang w:val="en-GB"/>
        </w:rPr>
        <w:t>Sandcrete</w:t>
      </w:r>
      <w:proofErr w:type="spellEnd"/>
      <w:r w:rsidRPr="00BF1C99">
        <w:rPr>
          <w:rFonts w:ascii="Arial" w:hAnsi="Arial" w:cs="Arial"/>
          <w:b/>
          <w:bCs/>
          <w:lang w:val="en-GB"/>
        </w:rPr>
        <w:t>, and Other Walling Materials</w:t>
      </w:r>
    </w:p>
    <w:p w14:paraId="4F8FB357" w14:textId="6A8EEF8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Comparative analyses between ISSB and conventional walling materials consistently highlight the superior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xml:space="preserve"> of ISSB in tropical regions. According to </w:t>
      </w:r>
      <w:r w:rsidR="00145F3F">
        <w:rPr>
          <w:rFonts w:ascii="Arial" w:hAnsi="Arial" w:cs="Arial"/>
          <w:sz w:val="20"/>
          <w:szCs w:val="20"/>
          <w:lang w:val="en-GB"/>
        </w:rPr>
        <w:t>Laibi</w:t>
      </w:r>
      <w:r w:rsidRPr="00BF1C99">
        <w:rPr>
          <w:rFonts w:ascii="Arial" w:hAnsi="Arial" w:cs="Arial"/>
          <w:sz w:val="20"/>
          <w:szCs w:val="20"/>
          <w:lang w:val="en-GB"/>
        </w:rPr>
        <w:t xml:space="preserve"> et al. (202</w:t>
      </w:r>
      <w:r w:rsidR="00145F3F">
        <w:rPr>
          <w:rFonts w:ascii="Arial" w:hAnsi="Arial" w:cs="Arial"/>
          <w:sz w:val="20"/>
          <w:szCs w:val="20"/>
          <w:lang w:val="en-GB"/>
        </w:rPr>
        <w:t>5</w:t>
      </w:r>
      <w:r w:rsidRPr="00BF1C99">
        <w:rPr>
          <w:rFonts w:ascii="Arial" w:hAnsi="Arial" w:cs="Arial"/>
          <w:sz w:val="20"/>
          <w:szCs w:val="20"/>
          <w:lang w:val="en-GB"/>
        </w:rPr>
        <w:t xml:space="preserve">),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exhibit higher thermal conductivity (1.4–1.8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compared to ISSB walls (0.6–0.9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making the latter better suited for passive design. Similar findings by Hafez (2023) and Bui et al. (2023) indicate that ISSB structures experience lower daily indoor temperature amplitudes and reduced cooling load demand.</w:t>
      </w:r>
    </w:p>
    <w:p w14:paraId="56DFDDEE"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lastRenderedPageBreak/>
        <w:t xml:space="preserve">Table 1 summarizes key comparative indicators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as reported in recent literature.</w:t>
      </w:r>
    </w:p>
    <w:p w14:paraId="6551DEAE" w14:textId="77777777"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1. Comparison of Thermal Properties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bl>
      <w:tblPr>
        <w:tblStyle w:val="TableGridLight"/>
        <w:tblW w:w="0" w:type="auto"/>
        <w:tblLook w:val="04A0" w:firstRow="1" w:lastRow="0" w:firstColumn="1" w:lastColumn="0" w:noHBand="0" w:noVBand="1"/>
      </w:tblPr>
      <w:tblGrid>
        <w:gridCol w:w="3370"/>
        <w:gridCol w:w="1183"/>
        <w:gridCol w:w="1670"/>
        <w:gridCol w:w="3127"/>
      </w:tblGrid>
      <w:tr w:rsidR="0089208D" w:rsidRPr="00BF1C99" w14:paraId="70DE3395" w14:textId="77777777" w:rsidTr="00B93629">
        <w:tc>
          <w:tcPr>
            <w:tcW w:w="0" w:type="auto"/>
            <w:hideMark/>
          </w:tcPr>
          <w:p w14:paraId="10D8B6A5"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Parameter</w:t>
            </w:r>
          </w:p>
        </w:tc>
        <w:tc>
          <w:tcPr>
            <w:tcW w:w="0" w:type="auto"/>
            <w:hideMark/>
          </w:tcPr>
          <w:p w14:paraId="64E38DF6"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ISSB Walls</w:t>
            </w:r>
          </w:p>
        </w:tc>
        <w:tc>
          <w:tcPr>
            <w:tcW w:w="0" w:type="auto"/>
            <w:hideMark/>
          </w:tcPr>
          <w:p w14:paraId="08CA1526" w14:textId="77777777" w:rsidR="0089208D" w:rsidRPr="00BF1C99" w:rsidRDefault="0089208D" w:rsidP="00BF1C99">
            <w:pPr>
              <w:jc w:val="both"/>
              <w:rPr>
                <w:rFonts w:ascii="Arial" w:hAnsi="Arial" w:cs="Arial"/>
                <w:b/>
                <w:bCs/>
                <w:sz w:val="20"/>
                <w:szCs w:val="20"/>
                <w:lang w:val="en-GB"/>
              </w:rPr>
            </w:pP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c>
        <w:tc>
          <w:tcPr>
            <w:tcW w:w="0" w:type="auto"/>
            <w:hideMark/>
          </w:tcPr>
          <w:p w14:paraId="4B9A132B"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Relative Performance</w:t>
            </w:r>
          </w:p>
        </w:tc>
      </w:tr>
      <w:tr w:rsidR="0089208D" w:rsidRPr="00BF1C99" w14:paraId="0B9D9020" w14:textId="77777777" w:rsidTr="00B93629">
        <w:tc>
          <w:tcPr>
            <w:tcW w:w="0" w:type="auto"/>
            <w:hideMark/>
          </w:tcPr>
          <w:p w14:paraId="176DC89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Thermal Conductivity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w:t>
            </w:r>
          </w:p>
        </w:tc>
        <w:tc>
          <w:tcPr>
            <w:tcW w:w="0" w:type="auto"/>
            <w:hideMark/>
          </w:tcPr>
          <w:p w14:paraId="69B57DF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0.6–0.9</w:t>
            </w:r>
          </w:p>
        </w:tc>
        <w:tc>
          <w:tcPr>
            <w:tcW w:w="0" w:type="auto"/>
            <w:hideMark/>
          </w:tcPr>
          <w:p w14:paraId="72ADFAD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1.4–1.8</w:t>
            </w:r>
          </w:p>
        </w:tc>
        <w:tc>
          <w:tcPr>
            <w:tcW w:w="0" w:type="auto"/>
            <w:hideMark/>
          </w:tcPr>
          <w:p w14:paraId="177C037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Lower heat transmission in ISSB</w:t>
            </w:r>
          </w:p>
        </w:tc>
      </w:tr>
      <w:tr w:rsidR="0089208D" w:rsidRPr="00BF1C99" w14:paraId="0E815F09" w14:textId="77777777" w:rsidTr="00B93629">
        <w:tc>
          <w:tcPr>
            <w:tcW w:w="0" w:type="auto"/>
            <w:hideMark/>
          </w:tcPr>
          <w:p w14:paraId="36AECF5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Density (kg/m³)</w:t>
            </w:r>
          </w:p>
        </w:tc>
        <w:tc>
          <w:tcPr>
            <w:tcW w:w="0" w:type="auto"/>
            <w:hideMark/>
          </w:tcPr>
          <w:p w14:paraId="6B5489B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1700–1900</w:t>
            </w:r>
          </w:p>
        </w:tc>
        <w:tc>
          <w:tcPr>
            <w:tcW w:w="0" w:type="auto"/>
            <w:hideMark/>
          </w:tcPr>
          <w:p w14:paraId="253497F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2100–2300</w:t>
            </w:r>
          </w:p>
        </w:tc>
        <w:tc>
          <w:tcPr>
            <w:tcW w:w="0" w:type="auto"/>
            <w:hideMark/>
          </w:tcPr>
          <w:p w14:paraId="6DB687B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Lighter, better thermal lag</w:t>
            </w:r>
          </w:p>
        </w:tc>
      </w:tr>
      <w:tr w:rsidR="0089208D" w:rsidRPr="00BF1C99" w14:paraId="28E3F889" w14:textId="77777777" w:rsidTr="00B93629">
        <w:tc>
          <w:tcPr>
            <w:tcW w:w="0" w:type="auto"/>
            <w:hideMark/>
          </w:tcPr>
          <w:p w14:paraId="142790F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Indoor Temperature Variation (°C)</w:t>
            </w:r>
          </w:p>
        </w:tc>
        <w:tc>
          <w:tcPr>
            <w:tcW w:w="0" w:type="auto"/>
            <w:hideMark/>
          </w:tcPr>
          <w:p w14:paraId="4CF061F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w:t>
            </w:r>
          </w:p>
        </w:tc>
        <w:tc>
          <w:tcPr>
            <w:tcW w:w="0" w:type="auto"/>
            <w:hideMark/>
          </w:tcPr>
          <w:p w14:paraId="3CEC0B1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±4.5</w:t>
            </w:r>
          </w:p>
        </w:tc>
        <w:tc>
          <w:tcPr>
            <w:tcW w:w="0" w:type="auto"/>
            <w:hideMark/>
          </w:tcPr>
          <w:p w14:paraId="4672459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More stable indoor environment</w:t>
            </w:r>
          </w:p>
        </w:tc>
      </w:tr>
      <w:tr w:rsidR="0089208D" w:rsidRPr="00BF1C99" w14:paraId="43FAB48B" w14:textId="77777777" w:rsidTr="00B93629">
        <w:tc>
          <w:tcPr>
            <w:tcW w:w="0" w:type="auto"/>
            <w:hideMark/>
          </w:tcPr>
          <w:p w14:paraId="4CC27B5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Cooling Energy Demand Reduction (%)</w:t>
            </w:r>
          </w:p>
        </w:tc>
        <w:tc>
          <w:tcPr>
            <w:tcW w:w="0" w:type="auto"/>
            <w:hideMark/>
          </w:tcPr>
          <w:p w14:paraId="5C02445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25–35</w:t>
            </w:r>
          </w:p>
        </w:tc>
        <w:tc>
          <w:tcPr>
            <w:tcW w:w="0" w:type="auto"/>
            <w:hideMark/>
          </w:tcPr>
          <w:p w14:paraId="5E05B7D8" w14:textId="6DC03B8D" w:rsidR="0089208D" w:rsidRPr="00BF1C99" w:rsidRDefault="00261240" w:rsidP="00BF1C99">
            <w:pPr>
              <w:jc w:val="both"/>
              <w:rPr>
                <w:rFonts w:ascii="Arial" w:hAnsi="Arial" w:cs="Arial"/>
                <w:sz w:val="20"/>
                <w:szCs w:val="20"/>
                <w:lang w:val="en-GB"/>
              </w:rPr>
            </w:pPr>
            <w:r w:rsidRPr="00BF1C99">
              <w:rPr>
                <w:rFonts w:ascii="Arial" w:hAnsi="Arial" w:cs="Arial"/>
                <w:sz w:val="20"/>
                <w:szCs w:val="20"/>
                <w:lang w:val="en-GB"/>
              </w:rPr>
              <w:t xml:space="preserve"> </w:t>
            </w:r>
          </w:p>
        </w:tc>
        <w:tc>
          <w:tcPr>
            <w:tcW w:w="0" w:type="auto"/>
            <w:hideMark/>
          </w:tcPr>
          <w:p w14:paraId="1C6AB05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Higher energy savings</w:t>
            </w:r>
          </w:p>
        </w:tc>
      </w:tr>
      <w:tr w:rsidR="0089208D" w:rsidRPr="00BF1C99" w14:paraId="04BBB4C9" w14:textId="77777777" w:rsidTr="00B93629">
        <w:tc>
          <w:tcPr>
            <w:tcW w:w="0" w:type="auto"/>
            <w:hideMark/>
          </w:tcPr>
          <w:p w14:paraId="03ED1D4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Embodied Energy (MJ/m² wall)</w:t>
            </w:r>
          </w:p>
        </w:tc>
        <w:tc>
          <w:tcPr>
            <w:tcW w:w="0" w:type="auto"/>
            <w:hideMark/>
          </w:tcPr>
          <w:p w14:paraId="3A88EC0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90–120</w:t>
            </w:r>
          </w:p>
        </w:tc>
        <w:tc>
          <w:tcPr>
            <w:tcW w:w="0" w:type="auto"/>
            <w:hideMark/>
          </w:tcPr>
          <w:p w14:paraId="31D3D46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250–300</w:t>
            </w:r>
          </w:p>
        </w:tc>
        <w:tc>
          <w:tcPr>
            <w:tcW w:w="0" w:type="auto"/>
            <w:hideMark/>
          </w:tcPr>
          <w:p w14:paraId="268984E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Significantly lower embodied energy</w:t>
            </w:r>
          </w:p>
        </w:tc>
      </w:tr>
    </w:tbl>
    <w:p w14:paraId="30133EF7" w14:textId="1243C198"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i/>
          <w:iCs/>
          <w:sz w:val="20"/>
          <w:szCs w:val="20"/>
          <w:lang w:val="en-GB"/>
        </w:rPr>
        <w:t xml:space="preserve">(Sources: </w:t>
      </w:r>
      <w:r w:rsidR="006959C9" w:rsidRPr="006959C9">
        <w:rPr>
          <w:rFonts w:ascii="Arial" w:hAnsi="Arial" w:cs="Arial"/>
          <w:i/>
          <w:iCs/>
          <w:sz w:val="20"/>
          <w:szCs w:val="20"/>
          <w:lang w:val="en-GB"/>
        </w:rPr>
        <w:t xml:space="preserve">Laibi </w:t>
      </w:r>
      <w:r w:rsidRPr="00BF1C99">
        <w:rPr>
          <w:rFonts w:ascii="Arial" w:hAnsi="Arial" w:cs="Arial"/>
          <w:i/>
          <w:iCs/>
          <w:sz w:val="20"/>
          <w:szCs w:val="20"/>
          <w:lang w:val="en-GB"/>
        </w:rPr>
        <w:t>et al., 202</w:t>
      </w:r>
      <w:r w:rsidR="006959C9">
        <w:rPr>
          <w:rFonts w:ascii="Arial" w:hAnsi="Arial" w:cs="Arial"/>
          <w:i/>
          <w:iCs/>
          <w:sz w:val="20"/>
          <w:szCs w:val="20"/>
          <w:lang w:val="en-GB"/>
        </w:rPr>
        <w:t>5</w:t>
      </w:r>
      <w:r w:rsidRPr="00BF1C99">
        <w:rPr>
          <w:rFonts w:ascii="Arial" w:hAnsi="Arial" w:cs="Arial"/>
          <w:i/>
          <w:iCs/>
          <w:sz w:val="20"/>
          <w:szCs w:val="20"/>
          <w:lang w:val="en-GB"/>
        </w:rPr>
        <w:t>; Bailly et al., 2024; Hafez, 2023)</w:t>
      </w:r>
    </w:p>
    <w:p w14:paraId="33812F6D" w14:textId="72009C2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comparative evidence demonstrates that ISSB construction not only reduces embodied energy but also enhances occupant comfort by leveraging its inherent material properties. This aligns with current sustainable architecture trends emphasizing locally sourced, climate-responsive materials (Ibitoye et al., 2023). </w:t>
      </w:r>
      <w:r w:rsidR="00EE237A" w:rsidRPr="00EE237A">
        <w:rPr>
          <w:rFonts w:ascii="Arial" w:hAnsi="Arial" w:cs="Arial"/>
          <w:sz w:val="20"/>
          <w:szCs w:val="20"/>
        </w:rPr>
        <w:t>Despite the demonstrated thermal superiority of ISSB, its adoption remains limited in practice. Ibitoye et al. (2026) argue that psychological skepticism among users and weak institutional frameworks significantly hinder its implementation, suggesting that performance advantages alone are insufficient to drive widespread acceptance.</w:t>
      </w:r>
      <w:r w:rsidR="00EE237A">
        <w:rPr>
          <w:rFonts w:ascii="Arial" w:hAnsi="Arial" w:cs="Arial"/>
          <w:sz w:val="20"/>
          <w:szCs w:val="20"/>
        </w:rPr>
        <w:t xml:space="preserve"> </w:t>
      </w:r>
      <w:r w:rsidRPr="00BF1C99">
        <w:rPr>
          <w:rFonts w:ascii="Arial" w:hAnsi="Arial" w:cs="Arial"/>
          <w:sz w:val="20"/>
          <w:szCs w:val="20"/>
          <w:lang w:val="en-GB"/>
        </w:rPr>
        <w:t>However, widespread adoption depends on empirical validation through performance monitoring and user feedback, reinforcing the need for research like the present study.</w:t>
      </w:r>
    </w:p>
    <w:p w14:paraId="4B4F9343" w14:textId="3CB0E38D" w:rsidR="0089208D" w:rsidRPr="00BF1C99" w:rsidRDefault="00B93629"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3.0</w:t>
      </w:r>
      <w:r w:rsidRPr="00BF1C99">
        <w:rPr>
          <w:rFonts w:ascii="Arial" w:hAnsi="Arial" w:cs="Arial"/>
          <w:b/>
          <w:bCs/>
          <w:sz w:val="24"/>
          <w:szCs w:val="24"/>
          <w:lang w:val="en-GB"/>
        </w:rPr>
        <w:tab/>
        <w:t>METHODOLOGY</w:t>
      </w:r>
    </w:p>
    <w:p w14:paraId="46D13CDF"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3.1 Research Design and Population</w:t>
      </w:r>
    </w:p>
    <w:p w14:paraId="64190516"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employed a quantitative descriptive and experimental research design to evaluate the thermal performance of Interlocking Stabilised Soil Blocks (ISSB) in comparison with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 The design was chosen to allow both objective (instrumental) and subjective (user perception) evaluation of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xml:space="preserve"> in actual buildings. The study combined on-site thermal measurements and structured questionnaires to ensure a holistic understanding of ISSB’s passive cooling potential.</w:t>
      </w:r>
    </w:p>
    <w:p w14:paraId="2EE5012C" w14:textId="4941FA5E"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study population comprised residents, architects, builders, and engineers familiar with ISSB or living in ISSB-built houses across southwestern Nigeria. These participants were targeted because they represent both the producers and end-users of sustainable construction technologies. The field component was conducted across selected ISSB demonstration houses and residential buildings located in Ogun, Oyo, and Lagos States, which have hot–humid climatic characteristics typical of southern Nigeria (</w:t>
      </w:r>
      <w:r w:rsidR="001111BA">
        <w:rPr>
          <w:rFonts w:ascii="Arial" w:hAnsi="Arial" w:cs="Arial"/>
          <w:sz w:val="20"/>
          <w:szCs w:val="20"/>
        </w:rPr>
        <w:t>Ibitoye et al.</w:t>
      </w:r>
      <w:r w:rsidR="001111BA" w:rsidRPr="001111BA">
        <w:rPr>
          <w:rFonts w:ascii="Arial" w:hAnsi="Arial" w:cs="Arial"/>
          <w:sz w:val="20"/>
          <w:szCs w:val="20"/>
        </w:rPr>
        <w:t>, 202</w:t>
      </w:r>
      <w:r w:rsidR="001111BA">
        <w:rPr>
          <w:rFonts w:ascii="Arial" w:hAnsi="Arial" w:cs="Arial"/>
          <w:sz w:val="20"/>
          <w:szCs w:val="20"/>
        </w:rPr>
        <w:t>5</w:t>
      </w:r>
      <w:r w:rsidRPr="00BF1C99">
        <w:rPr>
          <w:rFonts w:ascii="Arial" w:hAnsi="Arial" w:cs="Arial"/>
          <w:sz w:val="20"/>
          <w:szCs w:val="20"/>
          <w:lang w:val="en-GB"/>
        </w:rPr>
        <w:t>).</w:t>
      </w:r>
    </w:p>
    <w:p w14:paraId="3F3BF4FD" w14:textId="0D9CAAC9" w:rsidR="007062B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design allowed for quantitative temperature monitoring of wall surfaces and indoor air using data loggers, while user perceptions of indoor comfort were recorded through questionnaires. This dual approach aligns with earlier empirical studies on thermal assessment of earth-based structures (Real, Walker, &amp; Lawrence, 2024; Bailly et al., 2024).</w:t>
      </w:r>
    </w:p>
    <w:p w14:paraId="562EB1BE"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3.2 Sample Size and Data Collection Instrument</w:t>
      </w:r>
    </w:p>
    <w:p w14:paraId="58659EA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Since the total number of ISSB users and professionals in the region was indeterminate, the Cochran formula (1977) for sample size estimation with an unknown population was used to calculate a representative sample at a 95% confidence level and a 5% margin of error:</w:t>
      </w:r>
    </w:p>
    <w:p w14:paraId="4D84B507" w14:textId="48F4A58A" w:rsidR="0089208D" w:rsidRPr="00BF1C99" w:rsidRDefault="00000000" w:rsidP="00BF1C99">
      <w:pPr>
        <w:spacing w:line="240" w:lineRule="auto"/>
        <w:jc w:val="both"/>
        <w:rPr>
          <w:rFonts w:ascii="Arial" w:hAnsi="Arial" w:cs="Arial"/>
          <w:sz w:val="20"/>
          <w:szCs w:val="20"/>
          <w:lang w:val="en-GB"/>
        </w:rPr>
      </w:pPr>
      <m:oMathPara>
        <m:oMath>
          <m:sSub>
            <m:sSubPr>
              <m:ctrlPr>
                <w:rPr>
                  <w:rFonts w:ascii="Cambria Math" w:hAnsi="Cambria Math" w:cs="Arial"/>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sz w:val="20"/>
                  <w:szCs w:val="20"/>
                  <w:lang w:val="en-GB"/>
                </w:rPr>
              </m:ctrlPr>
            </m:fPr>
            <m:num>
              <m:sSup>
                <m:sSupPr>
                  <m:ctrlPr>
                    <w:rPr>
                      <w:rFonts w:ascii="Cambria Math" w:hAnsi="Cambria Math" w:cs="Arial"/>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p(1-p)</m:t>
              </m:r>
            </m:num>
            <m:den>
              <m:sSup>
                <m:sSupPr>
                  <m:ctrlPr>
                    <w:rPr>
                      <w:rFonts w:ascii="Cambria Math" w:hAnsi="Cambria Math" w:cs="Arial"/>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m:rPr>
              <m:sty m:val="p"/>
            </m:rPr>
            <w:rPr>
              <w:rFonts w:ascii="Cambria Math" w:hAnsi="Cambria Math" w:cs="Arial"/>
              <w:sz w:val="20"/>
              <w:szCs w:val="20"/>
              <w:lang w:val="en-GB"/>
            </w:rPr>
            <w:br/>
          </m:r>
        </m:oMath>
      </m:oMathPara>
    </w:p>
    <w:p w14:paraId="77219C24" w14:textId="6393289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lastRenderedPageBreak/>
        <w:t xml:space="preserve">Where </w:t>
      </w:r>
      <w:r w:rsidRPr="00BF1C99">
        <w:rPr>
          <w:rFonts w:ascii="Arial" w:hAnsi="Arial" w:cs="Arial"/>
          <w:i/>
          <w:iCs/>
          <w:sz w:val="20"/>
          <w:szCs w:val="20"/>
          <w:lang w:val="en-GB"/>
        </w:rPr>
        <w:t>Z</w:t>
      </w:r>
      <w:r w:rsidRPr="00BF1C99">
        <w:rPr>
          <w:rFonts w:ascii="Arial" w:hAnsi="Arial" w:cs="Arial"/>
          <w:sz w:val="20"/>
          <w:szCs w:val="20"/>
          <w:lang w:val="en-GB"/>
        </w:rPr>
        <w:t xml:space="preserve"> = 1.96, </w:t>
      </w:r>
      <w:r w:rsidRPr="00BF1C99">
        <w:rPr>
          <w:rFonts w:ascii="Arial" w:hAnsi="Arial" w:cs="Arial"/>
          <w:i/>
          <w:iCs/>
          <w:sz w:val="20"/>
          <w:szCs w:val="20"/>
          <w:lang w:val="en-GB"/>
        </w:rPr>
        <w:t>p</w:t>
      </w:r>
      <w:r w:rsidRPr="00BF1C99">
        <w:rPr>
          <w:rFonts w:ascii="Arial" w:hAnsi="Arial" w:cs="Arial"/>
          <w:sz w:val="20"/>
          <w:szCs w:val="20"/>
          <w:lang w:val="en-GB"/>
        </w:rPr>
        <w:t xml:space="preserve"> = 0.5, and </w:t>
      </w:r>
      <w:r w:rsidRPr="00BF1C99">
        <w:rPr>
          <w:rFonts w:ascii="Arial" w:hAnsi="Arial" w:cs="Arial"/>
          <w:i/>
          <w:iCs/>
          <w:sz w:val="20"/>
          <w:szCs w:val="20"/>
          <w:lang w:val="en-GB"/>
        </w:rPr>
        <w:t>e</w:t>
      </w:r>
      <w:r w:rsidRPr="00BF1C99">
        <w:rPr>
          <w:rFonts w:ascii="Arial" w:hAnsi="Arial" w:cs="Arial"/>
          <w:sz w:val="20"/>
          <w:szCs w:val="20"/>
          <w:lang w:val="en-GB"/>
        </w:rPr>
        <w:t xml:space="preserve"> = 0.05, giving </w:t>
      </w:r>
      <m:oMath>
        <m:sSub>
          <m:sSubPr>
            <m:ctrlPr>
              <w:rPr>
                <w:rFonts w:ascii="Cambria Math" w:hAnsi="Cambria Math" w:cs="Arial"/>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=384.16</m:t>
        </m:r>
      </m:oMath>
      <w:r w:rsidRPr="00BF1C99">
        <w:rPr>
          <w:rFonts w:ascii="Arial" w:hAnsi="Arial" w:cs="Arial"/>
          <w:sz w:val="20"/>
          <w:szCs w:val="20"/>
          <w:lang w:val="en-GB"/>
        </w:rPr>
        <w:t>. To account for incomplete responses, 424 questionnaires were administered, of which 412 were valid for analysis.</w:t>
      </w:r>
    </w:p>
    <w:p w14:paraId="5F6FFFAC"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Two main instruments were employed:</w:t>
      </w:r>
    </w:p>
    <w:p w14:paraId="66B04738"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i/>
          <w:iCs/>
          <w:sz w:val="20"/>
          <w:szCs w:val="20"/>
          <w:lang w:val="en-GB"/>
        </w:rPr>
        <w:t>Structured Questionnaire</w:t>
      </w:r>
      <w:r w:rsidRPr="00BF1C99">
        <w:rPr>
          <w:rFonts w:ascii="Arial" w:hAnsi="Arial" w:cs="Arial"/>
          <w:sz w:val="20"/>
          <w:szCs w:val="20"/>
          <w:lang w:val="en-GB"/>
        </w:rPr>
        <w:t xml:space="preserve"> – consisting of four sections:</w:t>
      </w:r>
    </w:p>
    <w:p w14:paraId="13A9121A"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A</w:t>
      </w:r>
      <w:r w:rsidRPr="00BF1C99">
        <w:rPr>
          <w:rFonts w:ascii="Arial" w:hAnsi="Arial" w:cs="Arial"/>
          <w:sz w:val="20"/>
          <w:szCs w:val="20"/>
          <w:lang w:val="en-GB"/>
        </w:rPr>
        <w:t>: Demographics (age, gender, profession, residence type).</w:t>
      </w:r>
    </w:p>
    <w:p w14:paraId="5828325B"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B</w:t>
      </w:r>
      <w:r w:rsidRPr="00BF1C99">
        <w:rPr>
          <w:rFonts w:ascii="Arial" w:hAnsi="Arial" w:cs="Arial"/>
          <w:sz w:val="20"/>
          <w:szCs w:val="20"/>
          <w:lang w:val="en-GB"/>
        </w:rPr>
        <w:t xml:space="preserve">: Perceived thermal comfort in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w:t>
      </w:r>
    </w:p>
    <w:p w14:paraId="1920AEC5"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C</w:t>
      </w:r>
      <w:r w:rsidRPr="00BF1C99">
        <w:rPr>
          <w:rFonts w:ascii="Arial" w:hAnsi="Arial" w:cs="Arial"/>
          <w:sz w:val="20"/>
          <w:szCs w:val="20"/>
          <w:lang w:val="en-GB"/>
        </w:rPr>
        <w:t>: Opinions on material efficiency, affordability, and environmental impact.</w:t>
      </w:r>
    </w:p>
    <w:p w14:paraId="15DD69A6"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D</w:t>
      </w:r>
      <w:r w:rsidRPr="00BF1C99">
        <w:rPr>
          <w:rFonts w:ascii="Arial" w:hAnsi="Arial" w:cs="Arial"/>
          <w:sz w:val="20"/>
          <w:szCs w:val="20"/>
          <w:lang w:val="en-GB"/>
        </w:rPr>
        <w:t>: Recommendations and willingness to adopt ISSB in future projects.</w:t>
      </w:r>
    </w:p>
    <w:p w14:paraId="6A2AD3F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Responses were captured using a five-point Likert scale ranging from </w:t>
      </w:r>
      <w:r w:rsidRPr="00BF1C99">
        <w:rPr>
          <w:rFonts w:ascii="Arial" w:hAnsi="Arial" w:cs="Arial"/>
          <w:i/>
          <w:iCs/>
          <w:sz w:val="20"/>
          <w:szCs w:val="20"/>
          <w:lang w:val="en-GB"/>
        </w:rPr>
        <w:t>1 (Strongly Disagree)</w:t>
      </w:r>
      <w:r w:rsidRPr="00BF1C99">
        <w:rPr>
          <w:rFonts w:ascii="Arial" w:hAnsi="Arial" w:cs="Arial"/>
          <w:sz w:val="20"/>
          <w:szCs w:val="20"/>
          <w:lang w:val="en-GB"/>
        </w:rPr>
        <w:t xml:space="preserve"> to </w:t>
      </w:r>
      <w:r w:rsidRPr="00BF1C99">
        <w:rPr>
          <w:rFonts w:ascii="Arial" w:hAnsi="Arial" w:cs="Arial"/>
          <w:i/>
          <w:iCs/>
          <w:sz w:val="20"/>
          <w:szCs w:val="20"/>
          <w:lang w:val="en-GB"/>
        </w:rPr>
        <w:t>5 (Strongly Agree)</w:t>
      </w:r>
      <w:r w:rsidRPr="00BF1C99">
        <w:rPr>
          <w:rFonts w:ascii="Arial" w:hAnsi="Arial" w:cs="Arial"/>
          <w:sz w:val="20"/>
          <w:szCs w:val="20"/>
          <w:lang w:val="en-GB"/>
        </w:rPr>
        <w:t>.</w:t>
      </w:r>
    </w:p>
    <w:p w14:paraId="08131363"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i/>
          <w:iCs/>
          <w:sz w:val="20"/>
          <w:szCs w:val="20"/>
          <w:lang w:val="en-GB"/>
        </w:rPr>
        <w:t>Thermal Monitoring Instrumentation</w:t>
      </w:r>
      <w:r w:rsidRPr="00BF1C99">
        <w:rPr>
          <w:rFonts w:ascii="Arial" w:hAnsi="Arial" w:cs="Arial"/>
          <w:sz w:val="20"/>
          <w:szCs w:val="20"/>
          <w:lang w:val="en-GB"/>
        </w:rPr>
        <w:t xml:space="preserve"> – Data loggers (Testo 174H) were used to record indoor and outdoor air temperature and relative humidity at 30-minute intervals over a 24-hour cycle. Measurements were taken in both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under comparable occupancy and ventilation conditions.</w:t>
      </w:r>
    </w:p>
    <w:p w14:paraId="236CD11D" w14:textId="5F4A15B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Instrument reliability was verified through Cronbach’s Alpha test (α = 0.86) for the questionnaire and calibration validation for the data loggers, ensuring high measurement accuracy and internal consistency (George &amp; Mallery, 2019).</w:t>
      </w:r>
    </w:p>
    <w:p w14:paraId="79AF0ED5" w14:textId="77777777" w:rsidR="007062BD" w:rsidRPr="00BF1C99" w:rsidRDefault="007062BD" w:rsidP="00BF1C99">
      <w:pPr>
        <w:spacing w:line="240" w:lineRule="auto"/>
        <w:jc w:val="both"/>
        <w:rPr>
          <w:rFonts w:ascii="Arial" w:hAnsi="Arial" w:cs="Arial"/>
          <w:sz w:val="20"/>
          <w:szCs w:val="20"/>
          <w:lang w:val="en-GB"/>
        </w:rPr>
      </w:pPr>
    </w:p>
    <w:p w14:paraId="209F04E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3.3 Data Collection and Analysis</w:t>
      </w:r>
    </w:p>
    <w:p w14:paraId="0F8CC534" w14:textId="0FA0E40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Data collection took place between May and July 202</w:t>
      </w:r>
      <w:r w:rsidR="0063133F" w:rsidRPr="00BF1C99">
        <w:rPr>
          <w:rFonts w:ascii="Arial" w:hAnsi="Arial" w:cs="Arial"/>
          <w:sz w:val="20"/>
          <w:szCs w:val="20"/>
          <w:lang w:val="en-GB"/>
        </w:rPr>
        <w:t>5</w:t>
      </w:r>
      <w:r w:rsidRPr="00BF1C99">
        <w:rPr>
          <w:rFonts w:ascii="Arial" w:hAnsi="Arial" w:cs="Arial"/>
          <w:sz w:val="20"/>
          <w:szCs w:val="20"/>
          <w:lang w:val="en-GB"/>
        </w:rPr>
        <w:t xml:space="preserve">, covering the region’s peak warm period. Field data were gathered simultaneously from both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to ensure comparable weather conditions. Survey responses were collected via Google Forms and in-person administration, depending on respondent accessibility.</w:t>
      </w:r>
    </w:p>
    <w:p w14:paraId="26760BD9" w14:textId="7FB77BF5"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Quantitative data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using SPSS version 25. Descriptive statistics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mean, standard deviation, and percentages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were used to summarize respondents’ perceptions of thermal comfort and material performance. Experimental temperature data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using ANOVA to test significant differences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indoor temperature means.</w:t>
      </w:r>
    </w:p>
    <w:p w14:paraId="19B140E7"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following analytical relationships were evaluated:</w:t>
      </w:r>
    </w:p>
    <w:p w14:paraId="401392D1"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 xml:space="preserve">Mean diurnal temperature range (DTR) for ISSB vs.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w:t>
      </w:r>
    </w:p>
    <w:p w14:paraId="49F43EE8"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Correlation between wall material type and perceived comfort.</w:t>
      </w:r>
    </w:p>
    <w:p w14:paraId="3A1E2219"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Regression analysis assessing predictors of user satisfaction (thermal comfort as dependent variable; material, wall thickness, and ventilation as independent variables).</w:t>
      </w:r>
    </w:p>
    <w:p w14:paraId="310EEE6D"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Results were presented in tables and charts, while interpretations were linked to established benchmarks in thermal comfort literature (Bailly et al., 2024; Real et al., 2024).</w:t>
      </w:r>
    </w:p>
    <w:p w14:paraId="6999A644" w14:textId="11D1B9B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w:t>
      </w:r>
    </w:p>
    <w:p w14:paraId="57FE6CA9" w14:textId="79311898" w:rsidR="0089208D" w:rsidRPr="00BF1C99" w:rsidRDefault="0089208D"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4.</w:t>
      </w:r>
      <w:r w:rsidR="00A14D99" w:rsidRPr="00BF1C99">
        <w:rPr>
          <w:rFonts w:ascii="Arial" w:hAnsi="Arial" w:cs="Arial"/>
          <w:b/>
          <w:bCs/>
          <w:sz w:val="24"/>
          <w:szCs w:val="24"/>
          <w:lang w:val="en-GB"/>
        </w:rPr>
        <w:t>0</w:t>
      </w:r>
      <w:r w:rsidR="00A14D99" w:rsidRPr="00BF1C99">
        <w:rPr>
          <w:rFonts w:ascii="Arial" w:hAnsi="Arial" w:cs="Arial"/>
          <w:b/>
          <w:bCs/>
          <w:sz w:val="24"/>
          <w:szCs w:val="24"/>
          <w:lang w:val="en-GB"/>
        </w:rPr>
        <w:tab/>
        <w:t>RESULTS AND DISCUSSION</w:t>
      </w:r>
    </w:p>
    <w:p w14:paraId="569B6BC8"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4.1 Respondent Characteristics</w:t>
      </w:r>
    </w:p>
    <w:p w14:paraId="2382B013" w14:textId="1CBB3D1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A total of 412 valid responses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Table </w:t>
      </w:r>
      <w:r w:rsidR="00FA3124" w:rsidRPr="00BF1C99">
        <w:rPr>
          <w:rFonts w:ascii="Arial" w:hAnsi="Arial" w:cs="Arial"/>
          <w:sz w:val="20"/>
          <w:szCs w:val="20"/>
          <w:lang w:val="en-GB"/>
        </w:rPr>
        <w:t>2</w:t>
      </w:r>
      <w:r w:rsidRPr="00BF1C99">
        <w:rPr>
          <w:rFonts w:ascii="Arial" w:hAnsi="Arial" w:cs="Arial"/>
          <w:sz w:val="20"/>
          <w:szCs w:val="20"/>
          <w:lang w:val="en-GB"/>
        </w:rPr>
        <w:t xml:space="preserve"> shows the demographic profile of the respondents. Males accounted for 54.4%, while females represented 45.6%. The majority of respondents (62%) were </w:t>
      </w:r>
      <w:r w:rsidRPr="00BF1C99">
        <w:rPr>
          <w:rFonts w:ascii="Arial" w:hAnsi="Arial" w:cs="Arial"/>
          <w:sz w:val="20"/>
          <w:szCs w:val="20"/>
          <w:lang w:val="en-GB"/>
        </w:rPr>
        <w:lastRenderedPageBreak/>
        <w:t>aged between 25 and 40 years. By profession, architects constituted 32%, engineers 28%, builders 20%, and residents 20%.</w:t>
      </w:r>
    </w:p>
    <w:p w14:paraId="60DEEEB3" w14:textId="77777777" w:rsidR="007062BD" w:rsidRPr="00BF1C99" w:rsidRDefault="007062BD" w:rsidP="00BF1C99">
      <w:pPr>
        <w:spacing w:line="240" w:lineRule="auto"/>
        <w:jc w:val="both"/>
        <w:rPr>
          <w:rFonts w:ascii="Arial" w:hAnsi="Arial" w:cs="Arial"/>
          <w:sz w:val="20"/>
          <w:szCs w:val="20"/>
          <w:lang w:val="en-GB"/>
        </w:rPr>
      </w:pPr>
    </w:p>
    <w:p w14:paraId="67A98943" w14:textId="0C0E01FE"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2</w:t>
      </w:r>
      <w:r w:rsidRPr="00BF1C99">
        <w:rPr>
          <w:rFonts w:ascii="Arial" w:hAnsi="Arial" w:cs="Arial"/>
          <w:b/>
          <w:bCs/>
          <w:sz w:val="20"/>
          <w:szCs w:val="20"/>
          <w:lang w:val="en-GB"/>
        </w:rPr>
        <w:t>. Respondent Demographics (n = 412)</w:t>
      </w:r>
    </w:p>
    <w:tbl>
      <w:tblPr>
        <w:tblStyle w:val="TableGridLight"/>
        <w:tblW w:w="0" w:type="auto"/>
        <w:jc w:val="center"/>
        <w:tblLook w:val="04A0" w:firstRow="1" w:lastRow="0" w:firstColumn="1" w:lastColumn="0" w:noHBand="0" w:noVBand="1"/>
      </w:tblPr>
      <w:tblGrid>
        <w:gridCol w:w="1184"/>
        <w:gridCol w:w="1083"/>
        <w:gridCol w:w="1228"/>
        <w:gridCol w:w="1661"/>
      </w:tblGrid>
      <w:tr w:rsidR="0089208D" w:rsidRPr="00BF1C99" w14:paraId="0A84B49C" w14:textId="77777777" w:rsidTr="00A14D99">
        <w:trPr>
          <w:jc w:val="center"/>
        </w:trPr>
        <w:tc>
          <w:tcPr>
            <w:tcW w:w="0" w:type="auto"/>
            <w:hideMark/>
          </w:tcPr>
          <w:p w14:paraId="6E03D0A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Variable</w:t>
            </w:r>
          </w:p>
        </w:tc>
        <w:tc>
          <w:tcPr>
            <w:tcW w:w="0" w:type="auto"/>
            <w:hideMark/>
          </w:tcPr>
          <w:p w14:paraId="2368F73B"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Category</w:t>
            </w:r>
          </w:p>
        </w:tc>
        <w:tc>
          <w:tcPr>
            <w:tcW w:w="0" w:type="auto"/>
            <w:hideMark/>
          </w:tcPr>
          <w:p w14:paraId="0CE15473"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Frequency</w:t>
            </w:r>
          </w:p>
        </w:tc>
        <w:tc>
          <w:tcPr>
            <w:tcW w:w="0" w:type="auto"/>
            <w:hideMark/>
          </w:tcPr>
          <w:p w14:paraId="3B71743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Percentage (%)</w:t>
            </w:r>
          </w:p>
        </w:tc>
      </w:tr>
      <w:tr w:rsidR="0089208D" w:rsidRPr="00BF1C99" w14:paraId="145EDB9B" w14:textId="77777777" w:rsidTr="00A14D99">
        <w:trPr>
          <w:jc w:val="center"/>
        </w:trPr>
        <w:tc>
          <w:tcPr>
            <w:tcW w:w="0" w:type="auto"/>
            <w:hideMark/>
          </w:tcPr>
          <w:p w14:paraId="2011687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Gender</w:t>
            </w:r>
          </w:p>
        </w:tc>
        <w:tc>
          <w:tcPr>
            <w:tcW w:w="0" w:type="auto"/>
            <w:hideMark/>
          </w:tcPr>
          <w:p w14:paraId="56E25681"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Male</w:t>
            </w:r>
          </w:p>
        </w:tc>
        <w:tc>
          <w:tcPr>
            <w:tcW w:w="0" w:type="auto"/>
            <w:hideMark/>
          </w:tcPr>
          <w:p w14:paraId="441D7D9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224</w:t>
            </w:r>
          </w:p>
        </w:tc>
        <w:tc>
          <w:tcPr>
            <w:tcW w:w="0" w:type="auto"/>
            <w:hideMark/>
          </w:tcPr>
          <w:p w14:paraId="3A66C9F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54.4</w:t>
            </w:r>
          </w:p>
        </w:tc>
      </w:tr>
      <w:tr w:rsidR="0089208D" w:rsidRPr="00BF1C99" w14:paraId="2BAC9FDF" w14:textId="77777777" w:rsidTr="00A14D99">
        <w:trPr>
          <w:jc w:val="center"/>
        </w:trPr>
        <w:tc>
          <w:tcPr>
            <w:tcW w:w="0" w:type="auto"/>
            <w:hideMark/>
          </w:tcPr>
          <w:p w14:paraId="161B78BE" w14:textId="77777777" w:rsidR="0089208D" w:rsidRPr="00BF1C99" w:rsidRDefault="0089208D" w:rsidP="00BF1C99">
            <w:pPr>
              <w:jc w:val="both"/>
              <w:rPr>
                <w:rFonts w:ascii="Arial" w:hAnsi="Arial" w:cs="Arial"/>
                <w:sz w:val="20"/>
                <w:szCs w:val="20"/>
                <w:lang w:val="en-GB"/>
              </w:rPr>
            </w:pPr>
          </w:p>
        </w:tc>
        <w:tc>
          <w:tcPr>
            <w:tcW w:w="0" w:type="auto"/>
            <w:hideMark/>
          </w:tcPr>
          <w:p w14:paraId="36F3C3A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Female</w:t>
            </w:r>
          </w:p>
        </w:tc>
        <w:tc>
          <w:tcPr>
            <w:tcW w:w="0" w:type="auto"/>
            <w:hideMark/>
          </w:tcPr>
          <w:p w14:paraId="40A6959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188</w:t>
            </w:r>
          </w:p>
        </w:tc>
        <w:tc>
          <w:tcPr>
            <w:tcW w:w="0" w:type="auto"/>
            <w:hideMark/>
          </w:tcPr>
          <w:p w14:paraId="51C5C89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45.6</w:t>
            </w:r>
          </w:p>
        </w:tc>
      </w:tr>
      <w:tr w:rsidR="0089208D" w:rsidRPr="00BF1C99" w14:paraId="6FA77925" w14:textId="77777777" w:rsidTr="00A14D99">
        <w:trPr>
          <w:jc w:val="center"/>
        </w:trPr>
        <w:tc>
          <w:tcPr>
            <w:tcW w:w="0" w:type="auto"/>
            <w:hideMark/>
          </w:tcPr>
          <w:p w14:paraId="187DFA2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Age Group</w:t>
            </w:r>
          </w:p>
        </w:tc>
        <w:tc>
          <w:tcPr>
            <w:tcW w:w="0" w:type="auto"/>
            <w:hideMark/>
          </w:tcPr>
          <w:p w14:paraId="33F1FF8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18–24</w:t>
            </w:r>
          </w:p>
        </w:tc>
        <w:tc>
          <w:tcPr>
            <w:tcW w:w="0" w:type="auto"/>
            <w:hideMark/>
          </w:tcPr>
          <w:p w14:paraId="65E4F70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46</w:t>
            </w:r>
          </w:p>
        </w:tc>
        <w:tc>
          <w:tcPr>
            <w:tcW w:w="0" w:type="auto"/>
            <w:hideMark/>
          </w:tcPr>
          <w:p w14:paraId="1BE65DC1"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11.2</w:t>
            </w:r>
          </w:p>
        </w:tc>
      </w:tr>
      <w:tr w:rsidR="0089208D" w:rsidRPr="00BF1C99" w14:paraId="1D5CBF67" w14:textId="77777777" w:rsidTr="00A14D99">
        <w:trPr>
          <w:jc w:val="center"/>
        </w:trPr>
        <w:tc>
          <w:tcPr>
            <w:tcW w:w="0" w:type="auto"/>
            <w:hideMark/>
          </w:tcPr>
          <w:p w14:paraId="06DF7DF3" w14:textId="77777777" w:rsidR="0089208D" w:rsidRPr="00BF1C99" w:rsidRDefault="0089208D" w:rsidP="00BF1C99">
            <w:pPr>
              <w:jc w:val="both"/>
              <w:rPr>
                <w:rFonts w:ascii="Arial" w:hAnsi="Arial" w:cs="Arial"/>
                <w:sz w:val="20"/>
                <w:szCs w:val="20"/>
                <w:lang w:val="en-GB"/>
              </w:rPr>
            </w:pPr>
          </w:p>
        </w:tc>
        <w:tc>
          <w:tcPr>
            <w:tcW w:w="0" w:type="auto"/>
            <w:hideMark/>
          </w:tcPr>
          <w:p w14:paraId="46EF905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25–40</w:t>
            </w:r>
          </w:p>
        </w:tc>
        <w:tc>
          <w:tcPr>
            <w:tcW w:w="0" w:type="auto"/>
            <w:hideMark/>
          </w:tcPr>
          <w:p w14:paraId="6F815B3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256</w:t>
            </w:r>
          </w:p>
        </w:tc>
        <w:tc>
          <w:tcPr>
            <w:tcW w:w="0" w:type="auto"/>
            <w:hideMark/>
          </w:tcPr>
          <w:p w14:paraId="5095C96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62.1</w:t>
            </w:r>
          </w:p>
        </w:tc>
      </w:tr>
      <w:tr w:rsidR="0089208D" w:rsidRPr="00BF1C99" w14:paraId="535384D5" w14:textId="77777777" w:rsidTr="00A14D99">
        <w:trPr>
          <w:jc w:val="center"/>
        </w:trPr>
        <w:tc>
          <w:tcPr>
            <w:tcW w:w="0" w:type="auto"/>
            <w:hideMark/>
          </w:tcPr>
          <w:p w14:paraId="0A27885F" w14:textId="77777777" w:rsidR="0089208D" w:rsidRPr="00BF1C99" w:rsidRDefault="0089208D" w:rsidP="00BF1C99">
            <w:pPr>
              <w:jc w:val="both"/>
              <w:rPr>
                <w:rFonts w:ascii="Arial" w:hAnsi="Arial" w:cs="Arial"/>
                <w:sz w:val="20"/>
                <w:szCs w:val="20"/>
                <w:lang w:val="en-GB"/>
              </w:rPr>
            </w:pPr>
          </w:p>
        </w:tc>
        <w:tc>
          <w:tcPr>
            <w:tcW w:w="0" w:type="auto"/>
            <w:hideMark/>
          </w:tcPr>
          <w:p w14:paraId="29A74F9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41–55</w:t>
            </w:r>
          </w:p>
        </w:tc>
        <w:tc>
          <w:tcPr>
            <w:tcW w:w="0" w:type="auto"/>
            <w:hideMark/>
          </w:tcPr>
          <w:p w14:paraId="12A5651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82</w:t>
            </w:r>
          </w:p>
        </w:tc>
        <w:tc>
          <w:tcPr>
            <w:tcW w:w="0" w:type="auto"/>
            <w:hideMark/>
          </w:tcPr>
          <w:p w14:paraId="6E2317C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19.9</w:t>
            </w:r>
          </w:p>
        </w:tc>
      </w:tr>
      <w:tr w:rsidR="0089208D" w:rsidRPr="00BF1C99" w14:paraId="63D7092E" w14:textId="77777777" w:rsidTr="00A14D99">
        <w:trPr>
          <w:jc w:val="center"/>
        </w:trPr>
        <w:tc>
          <w:tcPr>
            <w:tcW w:w="0" w:type="auto"/>
            <w:hideMark/>
          </w:tcPr>
          <w:p w14:paraId="461BB5EC" w14:textId="77777777" w:rsidR="0089208D" w:rsidRPr="00BF1C99" w:rsidRDefault="0089208D" w:rsidP="00BF1C99">
            <w:pPr>
              <w:jc w:val="both"/>
              <w:rPr>
                <w:rFonts w:ascii="Arial" w:hAnsi="Arial" w:cs="Arial"/>
                <w:sz w:val="20"/>
                <w:szCs w:val="20"/>
                <w:lang w:val="en-GB"/>
              </w:rPr>
            </w:pPr>
          </w:p>
        </w:tc>
        <w:tc>
          <w:tcPr>
            <w:tcW w:w="0" w:type="auto"/>
            <w:hideMark/>
          </w:tcPr>
          <w:p w14:paraId="301EF0B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56+</w:t>
            </w:r>
          </w:p>
        </w:tc>
        <w:tc>
          <w:tcPr>
            <w:tcW w:w="0" w:type="auto"/>
            <w:hideMark/>
          </w:tcPr>
          <w:p w14:paraId="2E051EA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w:t>
            </w:r>
          </w:p>
        </w:tc>
        <w:tc>
          <w:tcPr>
            <w:tcW w:w="0" w:type="auto"/>
            <w:hideMark/>
          </w:tcPr>
          <w:p w14:paraId="1575D0C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6.8</w:t>
            </w:r>
          </w:p>
        </w:tc>
      </w:tr>
      <w:tr w:rsidR="0089208D" w:rsidRPr="00BF1C99" w14:paraId="0D41E01B" w14:textId="77777777" w:rsidTr="00A14D99">
        <w:trPr>
          <w:jc w:val="center"/>
        </w:trPr>
        <w:tc>
          <w:tcPr>
            <w:tcW w:w="0" w:type="auto"/>
            <w:hideMark/>
          </w:tcPr>
          <w:p w14:paraId="4B880DF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Profession</w:t>
            </w:r>
          </w:p>
        </w:tc>
        <w:tc>
          <w:tcPr>
            <w:tcW w:w="0" w:type="auto"/>
            <w:hideMark/>
          </w:tcPr>
          <w:p w14:paraId="3D8C97E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Architect</w:t>
            </w:r>
          </w:p>
        </w:tc>
        <w:tc>
          <w:tcPr>
            <w:tcW w:w="0" w:type="auto"/>
            <w:hideMark/>
          </w:tcPr>
          <w:p w14:paraId="55ACEE6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132</w:t>
            </w:r>
          </w:p>
        </w:tc>
        <w:tc>
          <w:tcPr>
            <w:tcW w:w="0" w:type="auto"/>
            <w:hideMark/>
          </w:tcPr>
          <w:p w14:paraId="6642018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32.0</w:t>
            </w:r>
          </w:p>
        </w:tc>
      </w:tr>
      <w:tr w:rsidR="0089208D" w:rsidRPr="00BF1C99" w14:paraId="7FCACE9A" w14:textId="77777777" w:rsidTr="00A14D99">
        <w:trPr>
          <w:jc w:val="center"/>
        </w:trPr>
        <w:tc>
          <w:tcPr>
            <w:tcW w:w="0" w:type="auto"/>
            <w:hideMark/>
          </w:tcPr>
          <w:p w14:paraId="333F1E89" w14:textId="77777777" w:rsidR="0089208D" w:rsidRPr="00BF1C99" w:rsidRDefault="0089208D" w:rsidP="00BF1C99">
            <w:pPr>
              <w:jc w:val="both"/>
              <w:rPr>
                <w:rFonts w:ascii="Arial" w:hAnsi="Arial" w:cs="Arial"/>
                <w:sz w:val="20"/>
                <w:szCs w:val="20"/>
                <w:lang w:val="en-GB"/>
              </w:rPr>
            </w:pPr>
          </w:p>
        </w:tc>
        <w:tc>
          <w:tcPr>
            <w:tcW w:w="0" w:type="auto"/>
            <w:hideMark/>
          </w:tcPr>
          <w:p w14:paraId="1783467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Engineer</w:t>
            </w:r>
          </w:p>
        </w:tc>
        <w:tc>
          <w:tcPr>
            <w:tcW w:w="0" w:type="auto"/>
            <w:hideMark/>
          </w:tcPr>
          <w:p w14:paraId="2233DF4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116</w:t>
            </w:r>
          </w:p>
        </w:tc>
        <w:tc>
          <w:tcPr>
            <w:tcW w:w="0" w:type="auto"/>
            <w:hideMark/>
          </w:tcPr>
          <w:p w14:paraId="3B09BE0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28.2</w:t>
            </w:r>
          </w:p>
        </w:tc>
      </w:tr>
      <w:tr w:rsidR="0089208D" w:rsidRPr="00BF1C99" w14:paraId="57D0F6A4" w14:textId="77777777" w:rsidTr="00A14D99">
        <w:trPr>
          <w:jc w:val="center"/>
        </w:trPr>
        <w:tc>
          <w:tcPr>
            <w:tcW w:w="0" w:type="auto"/>
            <w:hideMark/>
          </w:tcPr>
          <w:p w14:paraId="2264EA86" w14:textId="77777777" w:rsidR="0089208D" w:rsidRPr="00BF1C99" w:rsidRDefault="0089208D" w:rsidP="00BF1C99">
            <w:pPr>
              <w:jc w:val="both"/>
              <w:rPr>
                <w:rFonts w:ascii="Arial" w:hAnsi="Arial" w:cs="Arial"/>
                <w:sz w:val="20"/>
                <w:szCs w:val="20"/>
                <w:lang w:val="en-GB"/>
              </w:rPr>
            </w:pPr>
          </w:p>
        </w:tc>
        <w:tc>
          <w:tcPr>
            <w:tcW w:w="0" w:type="auto"/>
            <w:hideMark/>
          </w:tcPr>
          <w:p w14:paraId="1485E4D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Builder</w:t>
            </w:r>
          </w:p>
        </w:tc>
        <w:tc>
          <w:tcPr>
            <w:tcW w:w="0" w:type="auto"/>
            <w:hideMark/>
          </w:tcPr>
          <w:p w14:paraId="6FA8842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83</w:t>
            </w:r>
          </w:p>
        </w:tc>
        <w:tc>
          <w:tcPr>
            <w:tcW w:w="0" w:type="auto"/>
            <w:hideMark/>
          </w:tcPr>
          <w:p w14:paraId="2EE30F5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20.1</w:t>
            </w:r>
          </w:p>
        </w:tc>
      </w:tr>
      <w:tr w:rsidR="0089208D" w:rsidRPr="00BF1C99" w14:paraId="023E7A98" w14:textId="77777777" w:rsidTr="00A14D99">
        <w:trPr>
          <w:jc w:val="center"/>
        </w:trPr>
        <w:tc>
          <w:tcPr>
            <w:tcW w:w="0" w:type="auto"/>
            <w:hideMark/>
          </w:tcPr>
          <w:p w14:paraId="0692D097" w14:textId="77777777" w:rsidR="0089208D" w:rsidRPr="00BF1C99" w:rsidRDefault="0089208D" w:rsidP="00BF1C99">
            <w:pPr>
              <w:jc w:val="both"/>
              <w:rPr>
                <w:rFonts w:ascii="Arial" w:hAnsi="Arial" w:cs="Arial"/>
                <w:sz w:val="20"/>
                <w:szCs w:val="20"/>
                <w:lang w:val="en-GB"/>
              </w:rPr>
            </w:pPr>
          </w:p>
        </w:tc>
        <w:tc>
          <w:tcPr>
            <w:tcW w:w="0" w:type="auto"/>
            <w:hideMark/>
          </w:tcPr>
          <w:p w14:paraId="4958F09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Resident</w:t>
            </w:r>
          </w:p>
        </w:tc>
        <w:tc>
          <w:tcPr>
            <w:tcW w:w="0" w:type="auto"/>
            <w:hideMark/>
          </w:tcPr>
          <w:p w14:paraId="7413CD5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81</w:t>
            </w:r>
          </w:p>
        </w:tc>
        <w:tc>
          <w:tcPr>
            <w:tcW w:w="0" w:type="auto"/>
            <w:hideMark/>
          </w:tcPr>
          <w:p w14:paraId="36B96AA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19.7</w:t>
            </w:r>
          </w:p>
        </w:tc>
      </w:tr>
    </w:tbl>
    <w:p w14:paraId="42C424DB" w14:textId="49573811"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22E50A3F" w14:textId="303B749B"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distribution provides a balanced dataset between technical and non-technical respondents, ensuring diverse perspectives on thermal comfort and material performance. Similar demographic diversity has been used in previous ISSB studies to capture both professional evaluation and occupant feedback (Ibitoye, Oyewole, &amp; </w:t>
      </w:r>
      <w:proofErr w:type="spellStart"/>
      <w:r w:rsidRPr="00BF1C99">
        <w:rPr>
          <w:rFonts w:ascii="Arial" w:hAnsi="Arial" w:cs="Arial"/>
          <w:sz w:val="20"/>
          <w:szCs w:val="20"/>
          <w:lang w:val="en-GB"/>
        </w:rPr>
        <w:t>Babamboni</w:t>
      </w:r>
      <w:proofErr w:type="spellEnd"/>
      <w:r w:rsidRPr="00BF1C99">
        <w:rPr>
          <w:rFonts w:ascii="Arial" w:hAnsi="Arial" w:cs="Arial"/>
          <w:sz w:val="20"/>
          <w:szCs w:val="20"/>
          <w:lang w:val="en-GB"/>
        </w:rPr>
        <w:t xml:space="preserve">, 2023; </w:t>
      </w:r>
      <w:r w:rsidR="001111BA" w:rsidRPr="001111BA">
        <w:rPr>
          <w:rFonts w:ascii="Arial" w:hAnsi="Arial" w:cs="Arial"/>
          <w:sz w:val="20"/>
          <w:szCs w:val="20"/>
        </w:rPr>
        <w:t xml:space="preserve">Real, Bogas, Gomez &amp; </w:t>
      </w:r>
      <w:proofErr w:type="spellStart"/>
      <w:r w:rsidR="001111BA" w:rsidRPr="001111BA">
        <w:rPr>
          <w:rFonts w:ascii="Arial" w:hAnsi="Arial" w:cs="Arial"/>
          <w:sz w:val="20"/>
          <w:szCs w:val="20"/>
        </w:rPr>
        <w:t>Nabais</w:t>
      </w:r>
      <w:proofErr w:type="spellEnd"/>
      <w:r w:rsidR="001111BA" w:rsidRPr="001111BA">
        <w:rPr>
          <w:rFonts w:ascii="Arial" w:hAnsi="Arial" w:cs="Arial"/>
          <w:sz w:val="20"/>
          <w:szCs w:val="20"/>
        </w:rPr>
        <w:t>, 2024</w:t>
      </w:r>
      <w:r w:rsidRPr="00BF1C99">
        <w:rPr>
          <w:rFonts w:ascii="Arial" w:hAnsi="Arial" w:cs="Arial"/>
          <w:sz w:val="20"/>
          <w:szCs w:val="20"/>
          <w:lang w:val="en-GB"/>
        </w:rPr>
        <w:t>).</w:t>
      </w:r>
    </w:p>
    <w:p w14:paraId="47C6E515" w14:textId="77777777" w:rsidR="0089208D" w:rsidRPr="00BF1C99" w:rsidRDefault="0089208D" w:rsidP="00BF1C99">
      <w:pPr>
        <w:spacing w:line="240" w:lineRule="auto"/>
        <w:rPr>
          <w:rFonts w:ascii="Arial" w:hAnsi="Arial" w:cs="Arial"/>
          <w:b/>
          <w:bCs/>
          <w:lang w:val="en-GB"/>
        </w:rPr>
      </w:pPr>
      <w:r w:rsidRPr="00BF1C99">
        <w:rPr>
          <w:rFonts w:ascii="Arial" w:hAnsi="Arial" w:cs="Arial"/>
          <w:b/>
          <w:bCs/>
          <w:lang w:val="en-GB"/>
        </w:rPr>
        <w:t>4.2 Thermal Comfort and Performance Perceptions of ISSB Buildings</w:t>
      </w:r>
    </w:p>
    <w:p w14:paraId="344F3A6F" w14:textId="127ED4F8"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Respondents’ opinions on indoor comfort levels, wall heat absorption, and ventilation in ISSB structures were measured using a five-point Likert scale. Table </w:t>
      </w:r>
      <w:r w:rsidR="00FA3124" w:rsidRPr="00BF1C99">
        <w:rPr>
          <w:rFonts w:ascii="Arial" w:hAnsi="Arial" w:cs="Arial"/>
          <w:sz w:val="20"/>
          <w:szCs w:val="20"/>
          <w:lang w:val="en-GB"/>
        </w:rPr>
        <w:t>3</w:t>
      </w:r>
      <w:r w:rsidRPr="00BF1C99">
        <w:rPr>
          <w:rFonts w:ascii="Arial" w:hAnsi="Arial" w:cs="Arial"/>
          <w:sz w:val="20"/>
          <w:szCs w:val="20"/>
          <w:lang w:val="en-GB"/>
        </w:rPr>
        <w:t xml:space="preserve"> summarizes the responses.</w:t>
      </w:r>
    </w:p>
    <w:p w14:paraId="5E818C10" w14:textId="36D8D334"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3</w:t>
      </w:r>
      <w:r w:rsidRPr="00BF1C99">
        <w:rPr>
          <w:rFonts w:ascii="Arial" w:hAnsi="Arial" w:cs="Arial"/>
          <w:b/>
          <w:bCs/>
          <w:sz w:val="20"/>
          <w:szCs w:val="20"/>
          <w:lang w:val="en-GB"/>
        </w:rPr>
        <w:t>. Perceived Thermal Performance of ISSB Buildings</w:t>
      </w:r>
    </w:p>
    <w:tbl>
      <w:tblPr>
        <w:tblStyle w:val="TableGridLight"/>
        <w:tblW w:w="0" w:type="auto"/>
        <w:jc w:val="center"/>
        <w:tblLook w:val="04A0" w:firstRow="1" w:lastRow="0" w:firstColumn="1" w:lastColumn="0" w:noHBand="0" w:noVBand="1"/>
      </w:tblPr>
      <w:tblGrid>
        <w:gridCol w:w="4997"/>
        <w:gridCol w:w="728"/>
        <w:gridCol w:w="606"/>
        <w:gridCol w:w="1628"/>
      </w:tblGrid>
      <w:tr w:rsidR="0089208D" w:rsidRPr="00BF1C99" w14:paraId="5F102F82" w14:textId="77777777" w:rsidTr="00A14D99">
        <w:trPr>
          <w:jc w:val="center"/>
        </w:trPr>
        <w:tc>
          <w:tcPr>
            <w:tcW w:w="0" w:type="auto"/>
            <w:hideMark/>
          </w:tcPr>
          <w:p w14:paraId="2AE7368D"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Statement</w:t>
            </w:r>
          </w:p>
        </w:tc>
        <w:tc>
          <w:tcPr>
            <w:tcW w:w="0" w:type="auto"/>
            <w:hideMark/>
          </w:tcPr>
          <w:p w14:paraId="032498E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Mean</w:t>
            </w:r>
          </w:p>
        </w:tc>
        <w:tc>
          <w:tcPr>
            <w:tcW w:w="0" w:type="auto"/>
            <w:hideMark/>
          </w:tcPr>
          <w:p w14:paraId="2E0B0CBF"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SD</w:t>
            </w:r>
          </w:p>
        </w:tc>
        <w:tc>
          <w:tcPr>
            <w:tcW w:w="0" w:type="auto"/>
            <w:hideMark/>
          </w:tcPr>
          <w:p w14:paraId="78F4B6A7"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Agreement (%)</w:t>
            </w:r>
          </w:p>
        </w:tc>
      </w:tr>
      <w:tr w:rsidR="0089208D" w:rsidRPr="00BF1C99" w14:paraId="1850AF69" w14:textId="77777777" w:rsidTr="00A14D99">
        <w:trPr>
          <w:jc w:val="center"/>
        </w:trPr>
        <w:tc>
          <w:tcPr>
            <w:tcW w:w="0" w:type="auto"/>
            <w:hideMark/>
          </w:tcPr>
          <w:p w14:paraId="0AFB7E6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Indoor temperature remains stable throughout the day</w:t>
            </w:r>
          </w:p>
        </w:tc>
        <w:tc>
          <w:tcPr>
            <w:tcW w:w="0" w:type="auto"/>
            <w:hideMark/>
          </w:tcPr>
          <w:p w14:paraId="6D2CBF4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4.18</w:t>
            </w:r>
          </w:p>
        </w:tc>
        <w:tc>
          <w:tcPr>
            <w:tcW w:w="0" w:type="auto"/>
            <w:hideMark/>
          </w:tcPr>
          <w:p w14:paraId="68B412A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0.74</w:t>
            </w:r>
          </w:p>
        </w:tc>
        <w:tc>
          <w:tcPr>
            <w:tcW w:w="0" w:type="auto"/>
            <w:hideMark/>
          </w:tcPr>
          <w:p w14:paraId="5F3BE86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78.1</w:t>
            </w:r>
          </w:p>
        </w:tc>
      </w:tr>
      <w:tr w:rsidR="0089208D" w:rsidRPr="00BF1C99" w14:paraId="581602F4" w14:textId="77777777" w:rsidTr="00A14D99">
        <w:trPr>
          <w:jc w:val="center"/>
        </w:trPr>
        <w:tc>
          <w:tcPr>
            <w:tcW w:w="0" w:type="auto"/>
            <w:hideMark/>
          </w:tcPr>
          <w:p w14:paraId="6A6614C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ISSB walls reduce the need for artificial cooling</w:t>
            </w:r>
          </w:p>
        </w:tc>
        <w:tc>
          <w:tcPr>
            <w:tcW w:w="0" w:type="auto"/>
            <w:hideMark/>
          </w:tcPr>
          <w:p w14:paraId="6937002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4.09</w:t>
            </w:r>
          </w:p>
        </w:tc>
        <w:tc>
          <w:tcPr>
            <w:tcW w:w="0" w:type="auto"/>
            <w:hideMark/>
          </w:tcPr>
          <w:p w14:paraId="7E0D184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0.81</w:t>
            </w:r>
          </w:p>
        </w:tc>
        <w:tc>
          <w:tcPr>
            <w:tcW w:w="0" w:type="auto"/>
            <w:hideMark/>
          </w:tcPr>
          <w:p w14:paraId="576851C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74.8</w:t>
            </w:r>
          </w:p>
        </w:tc>
      </w:tr>
      <w:tr w:rsidR="0089208D" w:rsidRPr="00BF1C99" w14:paraId="2524D52D" w14:textId="77777777" w:rsidTr="00A14D99">
        <w:trPr>
          <w:jc w:val="center"/>
        </w:trPr>
        <w:tc>
          <w:tcPr>
            <w:tcW w:w="0" w:type="auto"/>
            <w:hideMark/>
          </w:tcPr>
          <w:p w14:paraId="5F7C254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 xml:space="preserve">ISSB provides better comfort than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w:t>
            </w:r>
          </w:p>
        </w:tc>
        <w:tc>
          <w:tcPr>
            <w:tcW w:w="0" w:type="auto"/>
            <w:hideMark/>
          </w:tcPr>
          <w:p w14:paraId="38AFF2E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4.05</w:t>
            </w:r>
          </w:p>
        </w:tc>
        <w:tc>
          <w:tcPr>
            <w:tcW w:w="0" w:type="auto"/>
            <w:hideMark/>
          </w:tcPr>
          <w:p w14:paraId="51078D3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0.84</w:t>
            </w:r>
          </w:p>
        </w:tc>
        <w:tc>
          <w:tcPr>
            <w:tcW w:w="0" w:type="auto"/>
            <w:hideMark/>
          </w:tcPr>
          <w:p w14:paraId="29C27C3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72.9</w:t>
            </w:r>
          </w:p>
        </w:tc>
      </w:tr>
      <w:tr w:rsidR="0089208D" w:rsidRPr="00BF1C99" w14:paraId="5E5FF5F6" w14:textId="77777777" w:rsidTr="00A14D99">
        <w:trPr>
          <w:jc w:val="center"/>
        </w:trPr>
        <w:tc>
          <w:tcPr>
            <w:tcW w:w="0" w:type="auto"/>
            <w:hideMark/>
          </w:tcPr>
          <w:p w14:paraId="1112EED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Ventilation and wall thickness improve comfort levels</w:t>
            </w:r>
          </w:p>
        </w:tc>
        <w:tc>
          <w:tcPr>
            <w:tcW w:w="0" w:type="auto"/>
            <w:hideMark/>
          </w:tcPr>
          <w:p w14:paraId="1E61C9F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4.11</w:t>
            </w:r>
          </w:p>
        </w:tc>
        <w:tc>
          <w:tcPr>
            <w:tcW w:w="0" w:type="auto"/>
            <w:hideMark/>
          </w:tcPr>
          <w:p w14:paraId="288D8EA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0.77</w:t>
            </w:r>
          </w:p>
        </w:tc>
        <w:tc>
          <w:tcPr>
            <w:tcW w:w="0" w:type="auto"/>
            <w:hideMark/>
          </w:tcPr>
          <w:p w14:paraId="59A65D8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73.3</w:t>
            </w:r>
          </w:p>
        </w:tc>
      </w:tr>
    </w:tbl>
    <w:p w14:paraId="5153A06C" w14:textId="29D438F2"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42E3A02E"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results show a high level of agreement (mean = 4.11, SD = 0.79) that ISSB buildings maintain more stable indoor temperatures than those built with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w:t>
      </w:r>
    </w:p>
    <w:p w14:paraId="3184CD78"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To validate these perceptions, temperature measurements were compared between two representative buildings:</w:t>
      </w:r>
    </w:p>
    <w:p w14:paraId="4ECB3661" w14:textId="132AA74B" w:rsidR="00FA3124" w:rsidRPr="00BF1C99" w:rsidRDefault="00FA3124" w:rsidP="00BF1C99">
      <w:pPr>
        <w:numPr>
          <w:ilvl w:val="0"/>
          <w:numId w:val="7"/>
        </w:numPr>
        <w:spacing w:line="240" w:lineRule="auto"/>
        <w:jc w:val="both"/>
        <w:rPr>
          <w:rFonts w:ascii="Arial" w:hAnsi="Arial" w:cs="Arial"/>
          <w:sz w:val="20"/>
          <w:szCs w:val="20"/>
          <w:lang w:val="en-GB"/>
        </w:rPr>
      </w:pPr>
      <w:r w:rsidRPr="00BF1C99">
        <w:rPr>
          <w:rFonts w:ascii="Arial" w:hAnsi="Arial" w:cs="Arial"/>
          <w:sz w:val="20"/>
          <w:szCs w:val="20"/>
          <w:lang w:val="en-GB"/>
        </w:rPr>
        <w:t>An ISSB residential house at Redemption Camp, Ogun State (</w:t>
      </w:r>
      <w:proofErr w:type="spellStart"/>
      <w:r w:rsidRPr="00BF1C99">
        <w:rPr>
          <w:rFonts w:ascii="Arial" w:hAnsi="Arial" w:cs="Arial"/>
          <w:sz w:val="20"/>
          <w:szCs w:val="20"/>
          <w:lang w:val="en-GB"/>
        </w:rPr>
        <w:t>Obayemi</w:t>
      </w:r>
      <w:proofErr w:type="spellEnd"/>
      <w:r w:rsidRPr="00BF1C99">
        <w:rPr>
          <w:rFonts w:ascii="Arial" w:hAnsi="Arial" w:cs="Arial"/>
          <w:sz w:val="20"/>
          <w:szCs w:val="20"/>
          <w:lang w:val="en-GB"/>
        </w:rPr>
        <w:t xml:space="preserve"> House) documented in Ibitoye (2025) as an operational ISSB case.</w:t>
      </w:r>
    </w:p>
    <w:p w14:paraId="64F21382" w14:textId="77777777" w:rsidR="00FA3124" w:rsidRPr="00BF1C99" w:rsidRDefault="00FA3124" w:rsidP="00BF1C99">
      <w:pPr>
        <w:numPr>
          <w:ilvl w:val="0"/>
          <w:numId w:val="7"/>
        </w:numPr>
        <w:spacing w:line="240" w:lineRule="auto"/>
        <w:jc w:val="both"/>
        <w:rPr>
          <w:rFonts w:ascii="Arial" w:hAnsi="Arial" w:cs="Arial"/>
          <w:sz w:val="20"/>
          <w:szCs w:val="20"/>
          <w:lang w:val="en-GB"/>
        </w:rPr>
      </w:pPr>
      <w:r w:rsidRPr="00BF1C99">
        <w:rPr>
          <w:rFonts w:ascii="Arial" w:hAnsi="Arial" w:cs="Arial"/>
          <w:sz w:val="20"/>
          <w:szCs w:val="20"/>
          <w:lang w:val="en-GB"/>
        </w:rPr>
        <w:t xml:space="preserve">A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in Ikorodu, Lagos State, selected for its similar size, orientation, and occupancy pattern.</w:t>
      </w:r>
    </w:p>
    <w:p w14:paraId="35E34E20"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Temperature recordings revealed that the ISSB house maintained an average indoor temperature of 28.4°C, while the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averaged 31.1°C during midday hours. The lower temperature variation (ΔT ≈ 2.7°C) reflects ISSB’s superior thermal buffering capacity, which minimizes peak heat gains and delays indoor temperature rise.</w:t>
      </w:r>
    </w:p>
    <w:p w14:paraId="6C38EAAD" w14:textId="56E17800" w:rsidR="00FA3124" w:rsidRPr="00BF1C99" w:rsidRDefault="00FA3124" w:rsidP="00BF1C99">
      <w:pPr>
        <w:spacing w:line="240" w:lineRule="auto"/>
        <w:rPr>
          <w:rFonts w:ascii="Arial" w:hAnsi="Arial" w:cs="Arial"/>
          <w:sz w:val="20"/>
          <w:szCs w:val="20"/>
          <w:lang w:val="en-GB"/>
        </w:rPr>
      </w:pPr>
      <w:r w:rsidRPr="00BF1C99">
        <w:rPr>
          <w:rFonts w:ascii="Arial" w:hAnsi="Arial" w:cs="Arial"/>
          <w:sz w:val="20"/>
          <w:szCs w:val="20"/>
          <w:lang w:val="en-GB"/>
        </w:rPr>
        <w:t>Table 4 illustrates the comparative thermal readings from both buildings.</w:t>
      </w:r>
    </w:p>
    <w:p w14:paraId="5E8FF2DF" w14:textId="72CA106D" w:rsidR="00FA3124" w:rsidRPr="00BF1C99" w:rsidRDefault="00FA3124" w:rsidP="00BF1C99">
      <w:pPr>
        <w:spacing w:line="240" w:lineRule="auto"/>
        <w:jc w:val="center"/>
        <w:rPr>
          <w:rFonts w:ascii="Arial" w:hAnsi="Arial" w:cs="Arial"/>
          <w:b/>
          <w:bCs/>
          <w:sz w:val="20"/>
          <w:szCs w:val="20"/>
          <w:lang w:val="en-GB"/>
        </w:rPr>
      </w:pPr>
      <w:r w:rsidRPr="00BF1C99">
        <w:rPr>
          <w:rFonts w:ascii="Arial" w:hAnsi="Arial" w:cs="Arial"/>
          <w:b/>
          <w:bCs/>
          <w:sz w:val="20"/>
          <w:szCs w:val="20"/>
          <w:lang w:val="en-GB"/>
        </w:rPr>
        <w:t xml:space="preserve">Table 4. Comparative Average Indoor Temperatures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Buildings</w:t>
      </w:r>
    </w:p>
    <w:tbl>
      <w:tblPr>
        <w:tblStyle w:val="TableGridLight"/>
        <w:tblW w:w="0" w:type="auto"/>
        <w:jc w:val="center"/>
        <w:tblLook w:val="04A0" w:firstRow="1" w:lastRow="0" w:firstColumn="1" w:lastColumn="0" w:noHBand="0" w:noVBand="1"/>
      </w:tblPr>
      <w:tblGrid>
        <w:gridCol w:w="4185"/>
        <w:gridCol w:w="3341"/>
      </w:tblGrid>
      <w:tr w:rsidR="00FA3124" w:rsidRPr="00BF1C99" w14:paraId="4A36DCFA" w14:textId="77777777" w:rsidTr="00FA3124">
        <w:trPr>
          <w:jc w:val="center"/>
        </w:trPr>
        <w:tc>
          <w:tcPr>
            <w:tcW w:w="0" w:type="auto"/>
            <w:hideMark/>
          </w:tcPr>
          <w:p w14:paraId="536530F3" w14:textId="77777777" w:rsidR="00FA3124" w:rsidRPr="00BF1C99" w:rsidRDefault="00FA3124" w:rsidP="00BF1C99">
            <w:pPr>
              <w:spacing w:after="160"/>
              <w:jc w:val="both"/>
              <w:rPr>
                <w:rFonts w:ascii="Arial" w:hAnsi="Arial" w:cs="Arial"/>
                <w:b/>
                <w:bCs/>
                <w:sz w:val="20"/>
                <w:szCs w:val="20"/>
                <w:lang w:val="en-GB"/>
              </w:rPr>
            </w:pPr>
            <w:r w:rsidRPr="00BF1C99">
              <w:rPr>
                <w:rFonts w:ascii="Arial" w:hAnsi="Arial" w:cs="Arial"/>
                <w:b/>
                <w:bCs/>
                <w:sz w:val="20"/>
                <w:szCs w:val="20"/>
                <w:lang w:val="en-GB"/>
              </w:rPr>
              <w:lastRenderedPageBreak/>
              <w:t>Building Type</w:t>
            </w:r>
          </w:p>
        </w:tc>
        <w:tc>
          <w:tcPr>
            <w:tcW w:w="0" w:type="auto"/>
            <w:hideMark/>
          </w:tcPr>
          <w:p w14:paraId="6C13AF3E" w14:textId="77777777" w:rsidR="00FA3124" w:rsidRPr="00BF1C99" w:rsidRDefault="00FA3124" w:rsidP="00BF1C99">
            <w:pPr>
              <w:spacing w:after="160"/>
              <w:jc w:val="both"/>
              <w:rPr>
                <w:rFonts w:ascii="Arial" w:hAnsi="Arial" w:cs="Arial"/>
                <w:b/>
                <w:bCs/>
                <w:sz w:val="20"/>
                <w:szCs w:val="20"/>
                <w:lang w:val="en-GB"/>
              </w:rPr>
            </w:pPr>
            <w:r w:rsidRPr="00BF1C99">
              <w:rPr>
                <w:rFonts w:ascii="Arial" w:hAnsi="Arial" w:cs="Arial"/>
                <w:b/>
                <w:bCs/>
                <w:sz w:val="20"/>
                <w:szCs w:val="20"/>
                <w:lang w:val="en-GB"/>
              </w:rPr>
              <w:t>Average Indoor Temperature (°C)</w:t>
            </w:r>
          </w:p>
        </w:tc>
      </w:tr>
      <w:tr w:rsidR="00FA3124" w:rsidRPr="00BF1C99" w14:paraId="6C122818" w14:textId="77777777" w:rsidTr="00FA3124">
        <w:trPr>
          <w:jc w:val="center"/>
        </w:trPr>
        <w:tc>
          <w:tcPr>
            <w:tcW w:w="0" w:type="auto"/>
            <w:hideMark/>
          </w:tcPr>
          <w:p w14:paraId="35C83B9C"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ISSB Building (</w:t>
            </w:r>
            <w:proofErr w:type="spellStart"/>
            <w:r w:rsidRPr="00BF1C99">
              <w:rPr>
                <w:rFonts w:ascii="Arial" w:hAnsi="Arial" w:cs="Arial"/>
                <w:sz w:val="20"/>
                <w:szCs w:val="20"/>
                <w:lang w:val="en-GB"/>
              </w:rPr>
              <w:t>Obayemi</w:t>
            </w:r>
            <w:proofErr w:type="spellEnd"/>
            <w:r w:rsidRPr="00BF1C99">
              <w:rPr>
                <w:rFonts w:ascii="Arial" w:hAnsi="Arial" w:cs="Arial"/>
                <w:sz w:val="20"/>
                <w:szCs w:val="20"/>
                <w:lang w:val="en-GB"/>
              </w:rPr>
              <w:t xml:space="preserve"> House, Ogun State)</w:t>
            </w:r>
          </w:p>
        </w:tc>
        <w:tc>
          <w:tcPr>
            <w:tcW w:w="0" w:type="auto"/>
            <w:hideMark/>
          </w:tcPr>
          <w:p w14:paraId="5DA3B2E0"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28.4</w:t>
            </w:r>
          </w:p>
        </w:tc>
      </w:tr>
      <w:tr w:rsidR="00FA3124" w:rsidRPr="00BF1C99" w14:paraId="62945083" w14:textId="77777777" w:rsidTr="00FA3124">
        <w:trPr>
          <w:jc w:val="center"/>
        </w:trPr>
        <w:tc>
          <w:tcPr>
            <w:tcW w:w="0" w:type="auto"/>
            <w:hideMark/>
          </w:tcPr>
          <w:p w14:paraId="0F991011" w14:textId="77777777" w:rsidR="00FA3124" w:rsidRPr="00BF1C99" w:rsidRDefault="00FA3124" w:rsidP="00BF1C99">
            <w:pPr>
              <w:spacing w:after="160"/>
              <w:jc w:val="both"/>
              <w:rPr>
                <w:rFonts w:ascii="Arial" w:hAnsi="Arial" w:cs="Arial"/>
                <w:sz w:val="20"/>
                <w:szCs w:val="20"/>
                <w:lang w:val="en-GB"/>
              </w:rPr>
            </w:pP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(Ikorodu, Lagos State)</w:t>
            </w:r>
          </w:p>
        </w:tc>
        <w:tc>
          <w:tcPr>
            <w:tcW w:w="0" w:type="auto"/>
            <w:hideMark/>
          </w:tcPr>
          <w:p w14:paraId="7E0A0CA7"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31.1</w:t>
            </w:r>
          </w:p>
        </w:tc>
      </w:tr>
    </w:tbl>
    <w:p w14:paraId="6EE19684" w14:textId="77777777" w:rsidR="00FA3124" w:rsidRPr="00BF1C99" w:rsidRDefault="00FA3124" w:rsidP="00BF1C99">
      <w:pPr>
        <w:spacing w:line="240" w:lineRule="auto"/>
        <w:jc w:val="center"/>
        <w:rPr>
          <w:rFonts w:ascii="Arial" w:hAnsi="Arial" w:cs="Arial"/>
          <w:sz w:val="20"/>
          <w:szCs w:val="20"/>
          <w:lang w:val="en-GB"/>
        </w:rPr>
      </w:pPr>
      <w:r w:rsidRPr="00BF1C99">
        <w:rPr>
          <w:rFonts w:ascii="Arial" w:hAnsi="Arial" w:cs="Arial"/>
          <w:i/>
          <w:iCs/>
          <w:sz w:val="20"/>
          <w:szCs w:val="20"/>
          <w:lang w:val="en-GB"/>
        </w:rPr>
        <w:t>Source: Field Measurement, 2025 (Adapted from Ibitoye, 2025)</w:t>
      </w:r>
    </w:p>
    <w:p w14:paraId="4E2D3B3A" w14:textId="475763F2" w:rsidR="00214406" w:rsidRPr="00214406" w:rsidRDefault="00FA3124" w:rsidP="00214406">
      <w:pPr>
        <w:spacing w:line="240" w:lineRule="auto"/>
        <w:jc w:val="both"/>
        <w:rPr>
          <w:rFonts w:ascii="Arial" w:hAnsi="Arial" w:cs="Arial"/>
          <w:sz w:val="20"/>
          <w:szCs w:val="20"/>
          <w:lang w:val="en-GB"/>
        </w:rPr>
      </w:pPr>
      <w:r w:rsidRPr="00BF1C99">
        <w:rPr>
          <w:rFonts w:ascii="Arial" w:hAnsi="Arial" w:cs="Arial"/>
          <w:sz w:val="20"/>
          <w:szCs w:val="20"/>
          <w:lang w:val="en-GB"/>
        </w:rPr>
        <w:t>These results align with findings by Bailly et al. (2024) and Bui et al. (2023), which emphasized the role of earth-based materials in moderating indoor temperatures in hot climates. The data confirm that ISSB’s high thermal mass and low conductivity facilitate gradual heat transfer, creating a more thermally comfortable indoor environment.</w:t>
      </w:r>
      <w:r w:rsidR="00214406">
        <w:rPr>
          <w:rFonts w:ascii="Arial" w:hAnsi="Arial" w:cs="Arial"/>
          <w:sz w:val="20"/>
          <w:szCs w:val="20"/>
          <w:lang w:val="en-GB"/>
        </w:rPr>
        <w:t xml:space="preserve"> </w:t>
      </w:r>
      <w:r w:rsidR="00214406" w:rsidRPr="00214406">
        <w:rPr>
          <w:rFonts w:ascii="Arial" w:hAnsi="Arial" w:cs="Arial"/>
          <w:sz w:val="20"/>
          <w:szCs w:val="20"/>
          <w:lang w:val="en-GB"/>
        </w:rPr>
        <w:t>These findings are consistent with studies conducted in Nigeria, where compressed earth blocks demonstrated improved thermal comfort, reduced heat transfer, and enhanced sustainability performance compared to conventional building materials (Victor</w:t>
      </w:r>
      <w:r w:rsidR="00214406">
        <w:rPr>
          <w:rFonts w:ascii="Arial" w:hAnsi="Arial" w:cs="Arial"/>
          <w:sz w:val="20"/>
          <w:szCs w:val="20"/>
          <w:lang w:val="en-GB"/>
        </w:rPr>
        <w:t xml:space="preserve"> et al.,</w:t>
      </w:r>
      <w:r w:rsidR="00214406" w:rsidRPr="00214406">
        <w:rPr>
          <w:rFonts w:ascii="Arial" w:hAnsi="Arial" w:cs="Arial"/>
          <w:sz w:val="20"/>
          <w:szCs w:val="20"/>
          <w:lang w:val="en-GB"/>
        </w:rPr>
        <w:t>).</w:t>
      </w:r>
    </w:p>
    <w:p w14:paraId="5F58397E" w14:textId="3845FBB5" w:rsidR="00FA3124" w:rsidRPr="00BF1C99" w:rsidRDefault="00FA3124" w:rsidP="00BF1C99">
      <w:pPr>
        <w:spacing w:line="240" w:lineRule="auto"/>
        <w:jc w:val="both"/>
        <w:rPr>
          <w:rFonts w:ascii="Arial" w:hAnsi="Arial" w:cs="Arial"/>
          <w:sz w:val="20"/>
          <w:szCs w:val="20"/>
          <w:lang w:val="en-GB"/>
        </w:rPr>
      </w:pPr>
    </w:p>
    <w:p w14:paraId="126D9EF0" w14:textId="2535E516"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Overall, ISSB structures enhance occupant comfort by reducing daytime temperature peaks and improving nighttime cooling efficiency principles consistent with passive design strategies that integrate thermal inertia and natural ventilation (Real, Walker, &amp; Lawrence, 2024).</w:t>
      </w:r>
    </w:p>
    <w:p w14:paraId="3CEA4795"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4.3 Comparison of ISSB with Conventional Walling Systems</w:t>
      </w:r>
    </w:p>
    <w:p w14:paraId="02C8F4A0" w14:textId="0986EDA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To validate perceived comfort differences, measured thermal properties of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were compared across two case study buildings. The materials’ performance indicators are summarized in Table </w:t>
      </w:r>
      <w:r w:rsidR="00FA3124" w:rsidRPr="00BF1C99">
        <w:rPr>
          <w:rFonts w:ascii="Arial" w:hAnsi="Arial" w:cs="Arial"/>
          <w:sz w:val="20"/>
          <w:szCs w:val="20"/>
          <w:lang w:val="en-GB"/>
        </w:rPr>
        <w:t>5</w:t>
      </w:r>
      <w:r w:rsidRPr="00BF1C99">
        <w:rPr>
          <w:rFonts w:ascii="Arial" w:hAnsi="Arial" w:cs="Arial"/>
          <w:sz w:val="20"/>
          <w:szCs w:val="20"/>
          <w:lang w:val="en-GB"/>
        </w:rPr>
        <w:t>.</w:t>
      </w:r>
    </w:p>
    <w:p w14:paraId="725D5B44" w14:textId="082A5B6B"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5</w:t>
      </w:r>
      <w:r w:rsidRPr="00BF1C99">
        <w:rPr>
          <w:rFonts w:ascii="Arial" w:hAnsi="Arial" w:cs="Arial"/>
          <w:b/>
          <w:bCs/>
          <w:sz w:val="20"/>
          <w:szCs w:val="20"/>
          <w:lang w:val="en-GB"/>
        </w:rPr>
        <w:t xml:space="preserve">. Comparative Thermal Properties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bl>
      <w:tblPr>
        <w:tblStyle w:val="TableGridLight"/>
        <w:tblW w:w="0" w:type="auto"/>
        <w:jc w:val="center"/>
        <w:tblLook w:val="04A0" w:firstRow="1" w:lastRow="0" w:firstColumn="1" w:lastColumn="0" w:noHBand="0" w:noVBand="1"/>
      </w:tblPr>
      <w:tblGrid>
        <w:gridCol w:w="3724"/>
        <w:gridCol w:w="1150"/>
        <w:gridCol w:w="1184"/>
        <w:gridCol w:w="2510"/>
      </w:tblGrid>
      <w:tr w:rsidR="0089208D" w:rsidRPr="00BF1C99" w14:paraId="49DAD5EC" w14:textId="77777777" w:rsidTr="00A14D99">
        <w:trPr>
          <w:jc w:val="center"/>
        </w:trPr>
        <w:tc>
          <w:tcPr>
            <w:tcW w:w="0" w:type="auto"/>
            <w:hideMark/>
          </w:tcPr>
          <w:p w14:paraId="028321F1"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Parameter</w:t>
            </w:r>
          </w:p>
        </w:tc>
        <w:tc>
          <w:tcPr>
            <w:tcW w:w="0" w:type="auto"/>
            <w:hideMark/>
          </w:tcPr>
          <w:p w14:paraId="7BB9C3AF"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ISSB</w:t>
            </w:r>
          </w:p>
        </w:tc>
        <w:tc>
          <w:tcPr>
            <w:tcW w:w="0" w:type="auto"/>
            <w:hideMark/>
          </w:tcPr>
          <w:p w14:paraId="20950611" w14:textId="77777777" w:rsidR="0089208D" w:rsidRPr="00BF1C99" w:rsidRDefault="0089208D" w:rsidP="00BF1C99">
            <w:pPr>
              <w:jc w:val="both"/>
              <w:rPr>
                <w:rFonts w:ascii="Arial" w:hAnsi="Arial" w:cs="Arial"/>
                <w:b/>
                <w:bCs/>
                <w:sz w:val="20"/>
                <w:szCs w:val="20"/>
                <w:lang w:val="en-GB"/>
              </w:rPr>
            </w:pPr>
            <w:proofErr w:type="spellStart"/>
            <w:r w:rsidRPr="00BF1C99">
              <w:rPr>
                <w:rFonts w:ascii="Arial" w:hAnsi="Arial" w:cs="Arial"/>
                <w:b/>
                <w:bCs/>
                <w:sz w:val="20"/>
                <w:szCs w:val="20"/>
                <w:lang w:val="en-GB"/>
              </w:rPr>
              <w:t>Sandcrete</w:t>
            </w:r>
            <w:proofErr w:type="spellEnd"/>
          </w:p>
        </w:tc>
        <w:tc>
          <w:tcPr>
            <w:tcW w:w="0" w:type="auto"/>
            <w:hideMark/>
          </w:tcPr>
          <w:p w14:paraId="10167D8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Performance Advantage</w:t>
            </w:r>
          </w:p>
        </w:tc>
      </w:tr>
      <w:tr w:rsidR="0089208D" w:rsidRPr="00BF1C99" w14:paraId="700D8E72" w14:textId="77777777" w:rsidTr="00A14D99">
        <w:trPr>
          <w:jc w:val="center"/>
        </w:trPr>
        <w:tc>
          <w:tcPr>
            <w:tcW w:w="0" w:type="auto"/>
            <w:hideMark/>
          </w:tcPr>
          <w:p w14:paraId="6B4DA0D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Thermal Conductivity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w:t>
            </w:r>
          </w:p>
        </w:tc>
        <w:tc>
          <w:tcPr>
            <w:tcW w:w="0" w:type="auto"/>
            <w:hideMark/>
          </w:tcPr>
          <w:p w14:paraId="1C1F42D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0.72</w:t>
            </w:r>
          </w:p>
        </w:tc>
        <w:tc>
          <w:tcPr>
            <w:tcW w:w="0" w:type="auto"/>
            <w:hideMark/>
          </w:tcPr>
          <w:p w14:paraId="76545F4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1.45</w:t>
            </w:r>
          </w:p>
        </w:tc>
        <w:tc>
          <w:tcPr>
            <w:tcW w:w="0" w:type="auto"/>
            <w:hideMark/>
          </w:tcPr>
          <w:p w14:paraId="1DD784C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Lower heat transmission</w:t>
            </w:r>
          </w:p>
        </w:tc>
      </w:tr>
      <w:tr w:rsidR="0089208D" w:rsidRPr="00BF1C99" w14:paraId="5D011EF7" w14:textId="77777777" w:rsidTr="00A14D99">
        <w:trPr>
          <w:jc w:val="center"/>
        </w:trPr>
        <w:tc>
          <w:tcPr>
            <w:tcW w:w="0" w:type="auto"/>
            <w:hideMark/>
          </w:tcPr>
          <w:p w14:paraId="531EA88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Average Indoor Temperature (°C, noon)</w:t>
            </w:r>
          </w:p>
        </w:tc>
        <w:tc>
          <w:tcPr>
            <w:tcW w:w="0" w:type="auto"/>
            <w:hideMark/>
          </w:tcPr>
          <w:p w14:paraId="5A34C38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28.4</w:t>
            </w:r>
          </w:p>
        </w:tc>
        <w:tc>
          <w:tcPr>
            <w:tcW w:w="0" w:type="auto"/>
            <w:hideMark/>
          </w:tcPr>
          <w:p w14:paraId="353DBC2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31.1</w:t>
            </w:r>
          </w:p>
        </w:tc>
        <w:tc>
          <w:tcPr>
            <w:tcW w:w="0" w:type="auto"/>
            <w:hideMark/>
          </w:tcPr>
          <w:p w14:paraId="1C68012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Cooler indoor conditions</w:t>
            </w:r>
          </w:p>
        </w:tc>
      </w:tr>
      <w:tr w:rsidR="0089208D" w:rsidRPr="00BF1C99" w14:paraId="30CDFCEE" w14:textId="77777777" w:rsidTr="00A14D99">
        <w:trPr>
          <w:jc w:val="center"/>
        </w:trPr>
        <w:tc>
          <w:tcPr>
            <w:tcW w:w="0" w:type="auto"/>
            <w:hideMark/>
          </w:tcPr>
          <w:p w14:paraId="0F0DD5D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Daily Temperature Fluctuation (°C)</w:t>
            </w:r>
          </w:p>
        </w:tc>
        <w:tc>
          <w:tcPr>
            <w:tcW w:w="0" w:type="auto"/>
            <w:hideMark/>
          </w:tcPr>
          <w:p w14:paraId="20D1EA2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±2.2</w:t>
            </w:r>
          </w:p>
        </w:tc>
        <w:tc>
          <w:tcPr>
            <w:tcW w:w="0" w:type="auto"/>
            <w:hideMark/>
          </w:tcPr>
          <w:p w14:paraId="3010D1D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±4.6</w:t>
            </w:r>
          </w:p>
        </w:tc>
        <w:tc>
          <w:tcPr>
            <w:tcW w:w="0" w:type="auto"/>
            <w:hideMark/>
          </w:tcPr>
          <w:p w14:paraId="104E8EE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Greater thermal stability</w:t>
            </w:r>
          </w:p>
        </w:tc>
      </w:tr>
      <w:tr w:rsidR="0089208D" w:rsidRPr="00BF1C99" w14:paraId="783A66F6" w14:textId="77777777" w:rsidTr="00A14D99">
        <w:trPr>
          <w:jc w:val="center"/>
        </w:trPr>
        <w:tc>
          <w:tcPr>
            <w:tcW w:w="0" w:type="auto"/>
            <w:hideMark/>
          </w:tcPr>
          <w:p w14:paraId="696D005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Relative Humidity (%)</w:t>
            </w:r>
          </w:p>
        </w:tc>
        <w:tc>
          <w:tcPr>
            <w:tcW w:w="0" w:type="auto"/>
            <w:hideMark/>
          </w:tcPr>
          <w:p w14:paraId="15B2E73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63</w:t>
            </w:r>
          </w:p>
        </w:tc>
        <w:tc>
          <w:tcPr>
            <w:tcW w:w="0" w:type="auto"/>
            <w:hideMark/>
          </w:tcPr>
          <w:p w14:paraId="0B5C17A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58</w:t>
            </w:r>
          </w:p>
        </w:tc>
        <w:tc>
          <w:tcPr>
            <w:tcW w:w="0" w:type="auto"/>
            <w:hideMark/>
          </w:tcPr>
          <w:p w14:paraId="6702F9E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More humid but stable air</w:t>
            </w:r>
          </w:p>
        </w:tc>
      </w:tr>
      <w:tr w:rsidR="0089208D" w:rsidRPr="00BF1C99" w14:paraId="17CDA69C" w14:textId="77777777" w:rsidTr="00A14D99">
        <w:trPr>
          <w:jc w:val="center"/>
        </w:trPr>
        <w:tc>
          <w:tcPr>
            <w:tcW w:w="0" w:type="auto"/>
            <w:hideMark/>
          </w:tcPr>
          <w:p w14:paraId="738CED3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Cooling Energy Demand (Est. %)</w:t>
            </w:r>
          </w:p>
        </w:tc>
        <w:tc>
          <w:tcPr>
            <w:tcW w:w="0" w:type="auto"/>
            <w:hideMark/>
          </w:tcPr>
          <w:p w14:paraId="00754EF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30% lower</w:t>
            </w:r>
          </w:p>
        </w:tc>
        <w:tc>
          <w:tcPr>
            <w:tcW w:w="0" w:type="auto"/>
            <w:hideMark/>
          </w:tcPr>
          <w:p w14:paraId="2F62460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Baseline</w:t>
            </w:r>
          </w:p>
        </w:tc>
        <w:tc>
          <w:tcPr>
            <w:tcW w:w="0" w:type="auto"/>
            <w:hideMark/>
          </w:tcPr>
          <w:p w14:paraId="682613A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Reduced cooling need</w:t>
            </w:r>
          </w:p>
        </w:tc>
      </w:tr>
    </w:tbl>
    <w:p w14:paraId="6877678E" w14:textId="0E19F8ED"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477D66DE" w14:textId="6C1E7B91"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Results from Table 3 confirm that ISSB walls perform thermally better than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under similar environmental conditions. The mean difference in midday indoor temperature (2.7°C) was statistically significant (</w:t>
      </w:r>
      <w:r w:rsidRPr="00BF1C99">
        <w:rPr>
          <w:rFonts w:ascii="Arial" w:hAnsi="Arial" w:cs="Arial"/>
          <w:i/>
          <w:iCs/>
          <w:sz w:val="20"/>
          <w:szCs w:val="20"/>
          <w:lang w:val="en-GB"/>
        </w:rPr>
        <w:t>p</w:t>
      </w:r>
      <w:r w:rsidRPr="00BF1C99">
        <w:rPr>
          <w:rFonts w:ascii="Arial" w:hAnsi="Arial" w:cs="Arial"/>
          <w:sz w:val="20"/>
          <w:szCs w:val="20"/>
          <w:lang w:val="en-GB"/>
        </w:rPr>
        <w:t xml:space="preserve"> &lt; .05), confirming ISSB’s improved passive performance.</w:t>
      </w:r>
    </w:p>
    <w:p w14:paraId="30E03555" w14:textId="49542105"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Respondents living in ISSB houses also reported fewer hours of fan or air-conditioner use per day, indicating reduced reliance on mechanical cooling. These results align with field measurements from tropical Africa, where stabilized earth structures consistently outperform concrete-based walls in moderating indoor heat (</w:t>
      </w:r>
      <w:r w:rsidR="00145F3F" w:rsidRPr="00145F3F">
        <w:rPr>
          <w:rFonts w:ascii="Arial" w:hAnsi="Arial" w:cs="Arial"/>
          <w:sz w:val="20"/>
          <w:szCs w:val="20"/>
        </w:rPr>
        <w:t>Aderinsola</w:t>
      </w:r>
      <w:r w:rsidR="00145F3F">
        <w:rPr>
          <w:rFonts w:ascii="Arial" w:hAnsi="Arial" w:cs="Arial"/>
          <w:sz w:val="20"/>
          <w:szCs w:val="20"/>
        </w:rPr>
        <w:t xml:space="preserve"> et al.,</w:t>
      </w:r>
      <w:r w:rsidRPr="00BF1C99">
        <w:rPr>
          <w:rFonts w:ascii="Arial" w:hAnsi="Arial" w:cs="Arial"/>
          <w:sz w:val="20"/>
          <w:szCs w:val="20"/>
          <w:lang w:val="en-GB"/>
        </w:rPr>
        <w:t xml:space="preserve"> 202</w:t>
      </w:r>
      <w:r w:rsidR="00145F3F">
        <w:rPr>
          <w:rFonts w:ascii="Arial" w:hAnsi="Arial" w:cs="Arial"/>
          <w:sz w:val="20"/>
          <w:szCs w:val="20"/>
          <w:lang w:val="en-GB"/>
        </w:rPr>
        <w:t>5</w:t>
      </w:r>
      <w:r w:rsidRPr="00BF1C99">
        <w:rPr>
          <w:rFonts w:ascii="Arial" w:hAnsi="Arial" w:cs="Arial"/>
          <w:sz w:val="20"/>
          <w:szCs w:val="20"/>
          <w:lang w:val="en-GB"/>
        </w:rPr>
        <w:t>).</w:t>
      </w:r>
    </w:p>
    <w:p w14:paraId="2D67931E" w14:textId="027CDBAD"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Furthermore, ISSB’s lower thermal conductivity (0.6–0.9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xml:space="preserve">) compared with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(1.4–1.8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xml:space="preserve">) reinforces its capacity for delayed heat transfer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a key component of passive thermal design (</w:t>
      </w:r>
      <w:r w:rsidR="001111BA" w:rsidRPr="001111BA">
        <w:rPr>
          <w:rFonts w:ascii="Arial" w:hAnsi="Arial" w:cs="Arial"/>
          <w:sz w:val="20"/>
          <w:szCs w:val="20"/>
        </w:rPr>
        <w:t xml:space="preserve">Real, Bogas, Gomez &amp; </w:t>
      </w:r>
      <w:proofErr w:type="spellStart"/>
      <w:r w:rsidR="001111BA" w:rsidRPr="001111BA">
        <w:rPr>
          <w:rFonts w:ascii="Arial" w:hAnsi="Arial" w:cs="Arial"/>
          <w:sz w:val="20"/>
          <w:szCs w:val="20"/>
        </w:rPr>
        <w:t>Nabais</w:t>
      </w:r>
      <w:proofErr w:type="spellEnd"/>
      <w:r w:rsidR="001111BA" w:rsidRPr="001111BA">
        <w:rPr>
          <w:rFonts w:ascii="Arial" w:hAnsi="Arial" w:cs="Arial"/>
          <w:sz w:val="20"/>
          <w:szCs w:val="20"/>
        </w:rPr>
        <w:t>, 2024</w:t>
      </w:r>
      <w:r w:rsidRPr="00BF1C99">
        <w:rPr>
          <w:rFonts w:ascii="Arial" w:hAnsi="Arial" w:cs="Arial"/>
          <w:sz w:val="20"/>
          <w:szCs w:val="20"/>
          <w:lang w:val="en-GB"/>
        </w:rPr>
        <w:t>; Bailly et al., 2024).</w:t>
      </w:r>
    </w:p>
    <w:p w14:paraId="7983B9F7"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4.4 Discussion of Key Findings in Relation to Passive Design Principles</w:t>
      </w:r>
    </w:p>
    <w:p w14:paraId="4D82314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results affirm that ISSB construction supports passive cooling and thermal comfort by leveraging thermal mass, material density, and hygroscopic balance. The observed stability in indoor temperature profiles aligns with the concept of phase lag, where heat absorbed during the day is released slowly at night (Real et al., 2024).</w:t>
      </w:r>
    </w:p>
    <w:p w14:paraId="16A9C7C4" w14:textId="5F7F69A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These findings also validate the theoretical framework of sustainable design, which emphasizes climate-responsive material selection as an alternative to energy-intensive systems.</w:t>
      </w:r>
      <w:r w:rsidR="00EE237A" w:rsidRPr="00EE237A">
        <w:t xml:space="preserve"> </w:t>
      </w:r>
      <w:r w:rsidR="00EE237A" w:rsidRPr="00EE237A">
        <w:rPr>
          <w:rFonts w:ascii="Arial" w:hAnsi="Arial" w:cs="Arial"/>
          <w:sz w:val="20"/>
          <w:szCs w:val="20"/>
        </w:rPr>
        <w:t xml:space="preserve">However, aligning with Ibitoye </w:t>
      </w:r>
      <w:r w:rsidR="00EE237A" w:rsidRPr="00EE237A">
        <w:rPr>
          <w:rFonts w:ascii="Arial" w:hAnsi="Arial" w:cs="Arial"/>
          <w:sz w:val="20"/>
          <w:szCs w:val="20"/>
        </w:rPr>
        <w:lastRenderedPageBreak/>
        <w:t>et al. (2026), the transition from proven performance to widespread adoption requires addressing psychological and institutional barriers within the construction industry. Even with clear thermal advantages, resistance to change, lack of technical knowledge, and limited policy enforcement may slow ISSB uptake in Nigeria.</w:t>
      </w:r>
      <w:r w:rsidRPr="00BF1C99">
        <w:rPr>
          <w:rFonts w:ascii="Arial" w:hAnsi="Arial" w:cs="Arial"/>
          <w:sz w:val="20"/>
          <w:szCs w:val="20"/>
          <w:lang w:val="en-GB"/>
        </w:rPr>
        <w:t xml:space="preserve"> Respondents’ perceptions correlated strongly with field data (r = 0.61, </w:t>
      </w:r>
      <w:r w:rsidRPr="00BF1C99">
        <w:rPr>
          <w:rFonts w:ascii="Arial" w:hAnsi="Arial" w:cs="Arial"/>
          <w:i/>
          <w:iCs/>
          <w:sz w:val="20"/>
          <w:szCs w:val="20"/>
          <w:lang w:val="en-GB"/>
        </w:rPr>
        <w:t>p</w:t>
      </w:r>
      <w:r w:rsidRPr="00BF1C99">
        <w:rPr>
          <w:rFonts w:ascii="Arial" w:hAnsi="Arial" w:cs="Arial"/>
          <w:sz w:val="20"/>
          <w:szCs w:val="20"/>
          <w:lang w:val="en-GB"/>
        </w:rPr>
        <w:t xml:space="preserve"> &lt; .01), confirming that users accurately recognize the comfort benefits of ISSB housing.</w:t>
      </w:r>
    </w:p>
    <w:p w14:paraId="0A61628E"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Nevertheless, while ISSB showed improved performance, the study identified challenges such as moisture sensitivity and construction inconsistency, consistent with earlier observations by Hafez (2023). The use of appropriate stabilizer content, exterior finishes, and shading remains essential to achieving long-term durability and comfort.</w:t>
      </w:r>
    </w:p>
    <w:p w14:paraId="29237363" w14:textId="637832AD"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Overall, the study demonstrates that ISSB walls meet passive design criteria in tropical regions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reducing energy demand, maintaining comfortable indoor temperatures, and supporting sustainable housing goals. These outcomes expand on Ibitoye et al. (2023), who highlighted ISSB’s suitability for low-cost, climate-adaptive housing in Nigeria.</w:t>
      </w:r>
    </w:p>
    <w:p w14:paraId="064FD636" w14:textId="2065D8EB" w:rsidR="00F132DF" w:rsidRPr="00BF1C99" w:rsidRDefault="00F132DF"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5.</w:t>
      </w:r>
      <w:r w:rsidR="00A14D99" w:rsidRPr="00BF1C99">
        <w:rPr>
          <w:rFonts w:ascii="Arial" w:hAnsi="Arial" w:cs="Arial"/>
          <w:b/>
          <w:bCs/>
          <w:sz w:val="24"/>
          <w:szCs w:val="24"/>
          <w:lang w:val="en-GB"/>
        </w:rPr>
        <w:t>0</w:t>
      </w:r>
      <w:r w:rsidR="00A14D99" w:rsidRPr="00BF1C99">
        <w:rPr>
          <w:rFonts w:ascii="Arial" w:hAnsi="Arial" w:cs="Arial"/>
          <w:b/>
          <w:bCs/>
          <w:sz w:val="24"/>
          <w:szCs w:val="24"/>
          <w:lang w:val="en-GB"/>
        </w:rPr>
        <w:tab/>
        <w:t>CONCLUSION AND RECOMMENDATIONS</w:t>
      </w:r>
    </w:p>
    <w:p w14:paraId="3FD98EDD" w14:textId="77777777" w:rsidR="00F132DF" w:rsidRPr="00BF1C99" w:rsidRDefault="00F132DF" w:rsidP="00BF1C99">
      <w:pPr>
        <w:pStyle w:val="Body"/>
        <w:spacing w:after="0"/>
        <w:rPr>
          <w:rFonts w:ascii="Arial" w:hAnsi="Arial" w:cs="Arial"/>
          <w:b/>
          <w:bCs/>
          <w:sz w:val="22"/>
          <w:szCs w:val="22"/>
          <w:lang w:val="en-GB"/>
        </w:rPr>
      </w:pPr>
      <w:r w:rsidRPr="00BF1C99">
        <w:rPr>
          <w:rFonts w:ascii="Arial" w:hAnsi="Arial" w:cs="Arial"/>
          <w:b/>
          <w:bCs/>
          <w:sz w:val="22"/>
          <w:szCs w:val="22"/>
          <w:lang w:val="en-GB"/>
        </w:rPr>
        <w:t>5.1 Summary of Findings</w:t>
      </w:r>
    </w:p>
    <w:p w14:paraId="184A856F"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evaluated the thermal performance of Interlocking Stabilised Soil Blocks (ISSB) as a sustainable walling material for passive building design in tropical regions, using both experimental measurements and user perception surveys. The results indicate that ISSB provides superior thermal comfort, energy efficiency, and environmental performance compared to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w:t>
      </w:r>
    </w:p>
    <w:p w14:paraId="7DEDC24C"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Field measurements revealed that ISSB walls recorded an average indoor temperature of 28.4°C, compared to 31.1°C for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during peak heat periods. The reduced diurnal temperature fluctuation and lower heat transmission values confirmed ISSB’s enhanced thermal mass and insulation properties. Survey responses showed strong agreement (mean = 4.11, SD = 0.79) that ISSB improves indoor comfort and reduces the need for mechanical cooling.</w:t>
      </w:r>
    </w:p>
    <w:p w14:paraId="3476AAC8" w14:textId="368DDA5C"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statistical analysis (ANOVA and correlation) validated significant differences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thermal </w:t>
      </w:r>
      <w:proofErr w:type="spellStart"/>
      <w:r w:rsidRPr="00BF1C99">
        <w:rPr>
          <w:rFonts w:ascii="Arial" w:hAnsi="Arial" w:cs="Arial"/>
          <w:sz w:val="20"/>
          <w:szCs w:val="20"/>
          <w:lang w:val="en-GB"/>
        </w:rPr>
        <w:t>behaviors</w:t>
      </w:r>
      <w:proofErr w:type="spellEnd"/>
      <w:r w:rsidRPr="00BF1C99">
        <w:rPr>
          <w:rFonts w:ascii="Arial" w:hAnsi="Arial" w:cs="Arial"/>
          <w:sz w:val="20"/>
          <w:szCs w:val="20"/>
          <w:lang w:val="en-GB"/>
        </w:rPr>
        <w:t xml:space="preserve"> (</w:t>
      </w:r>
      <w:r w:rsidRPr="00BF1C99">
        <w:rPr>
          <w:rFonts w:ascii="Arial" w:hAnsi="Arial" w:cs="Arial"/>
          <w:i/>
          <w:iCs/>
          <w:sz w:val="20"/>
          <w:szCs w:val="20"/>
          <w:lang w:val="en-GB"/>
        </w:rPr>
        <w:t>p</w:t>
      </w:r>
      <w:r w:rsidRPr="00BF1C99">
        <w:rPr>
          <w:rFonts w:ascii="Arial" w:hAnsi="Arial" w:cs="Arial"/>
          <w:sz w:val="20"/>
          <w:szCs w:val="20"/>
          <w:lang w:val="en-GB"/>
        </w:rPr>
        <w:t xml:space="preserve"> &lt; .05). These findings affirm that ISSB supports passive design principles by stabilizing indoor climates and minimizing energy consumption. The results align with similar research by Bailly et al. (2024) and Real et al. (202</w:t>
      </w:r>
      <w:r w:rsidR="00145F3F">
        <w:rPr>
          <w:rFonts w:ascii="Arial" w:hAnsi="Arial" w:cs="Arial"/>
          <w:sz w:val="20"/>
          <w:szCs w:val="20"/>
          <w:lang w:val="en-GB"/>
        </w:rPr>
        <w:t>5</w:t>
      </w:r>
      <w:r w:rsidRPr="00BF1C99">
        <w:rPr>
          <w:rFonts w:ascii="Arial" w:hAnsi="Arial" w:cs="Arial"/>
          <w:sz w:val="20"/>
          <w:szCs w:val="20"/>
          <w:lang w:val="en-GB"/>
        </w:rPr>
        <w:t>), which demonstrated the potential of stabilized earth blocks in improving hygrothermal comfort in warm climates.</w:t>
      </w:r>
    </w:p>
    <w:p w14:paraId="47827FE4" w14:textId="77777777" w:rsidR="00F132DF" w:rsidRPr="00BF1C99" w:rsidRDefault="00F132DF" w:rsidP="00BF1C99">
      <w:pPr>
        <w:spacing w:line="240" w:lineRule="auto"/>
        <w:jc w:val="both"/>
        <w:rPr>
          <w:rFonts w:ascii="Arial" w:hAnsi="Arial" w:cs="Arial"/>
          <w:b/>
          <w:bCs/>
          <w:lang w:val="en-GB"/>
        </w:rPr>
      </w:pPr>
      <w:r w:rsidRPr="00BF1C99">
        <w:rPr>
          <w:rFonts w:ascii="Arial" w:hAnsi="Arial" w:cs="Arial"/>
          <w:b/>
          <w:bCs/>
          <w:lang w:val="en-GB"/>
        </w:rPr>
        <w:t>5.2 Conclusion</w:t>
      </w:r>
    </w:p>
    <w:p w14:paraId="7471215F"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The study concludes that ISSB technology offers a viable and sustainable alternative to conventional walling materials for buildings in tropical environments. By combining locally available soil with minimal cement stabilizer, ISSB achieves high thermal inertia, low embodied energy, and cost-effectiveness. The material’s inherent ability to absorb and slowly release heat makes it ideal for passive and energy-efficient building design in Nigeria and other sub-Saharan regions.</w:t>
      </w:r>
    </w:p>
    <w:p w14:paraId="0ABAA3EA" w14:textId="35F8E9A6" w:rsidR="00EE237A"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Furthermore, occupants’ perceptions of enhanced comfort correspond with measured thermal data, confirming that ISSB buildings deliver tangible indoor comfort benefits. These outcomes advance previous works by Ibitoye et al. (2023) and </w:t>
      </w:r>
      <w:r w:rsidR="006959C9" w:rsidRPr="006959C9">
        <w:rPr>
          <w:rFonts w:ascii="Arial" w:hAnsi="Arial" w:cs="Arial"/>
          <w:sz w:val="20"/>
          <w:szCs w:val="20"/>
          <w:lang w:val="en-GB"/>
        </w:rPr>
        <w:t xml:space="preserve">Laibi </w:t>
      </w:r>
      <w:r w:rsidRPr="00BF1C99">
        <w:rPr>
          <w:rFonts w:ascii="Arial" w:hAnsi="Arial" w:cs="Arial"/>
          <w:sz w:val="20"/>
          <w:szCs w:val="20"/>
          <w:lang w:val="en-GB"/>
        </w:rPr>
        <w:t>et al. (202</w:t>
      </w:r>
      <w:r w:rsidR="00145F3F">
        <w:rPr>
          <w:rFonts w:ascii="Arial" w:hAnsi="Arial" w:cs="Arial"/>
          <w:sz w:val="20"/>
          <w:szCs w:val="20"/>
          <w:lang w:val="en-GB"/>
        </w:rPr>
        <w:t>5</w:t>
      </w:r>
      <w:r w:rsidRPr="00BF1C99">
        <w:rPr>
          <w:rFonts w:ascii="Arial" w:hAnsi="Arial" w:cs="Arial"/>
          <w:sz w:val="20"/>
          <w:szCs w:val="20"/>
          <w:lang w:val="en-GB"/>
        </w:rPr>
        <w:t>), demonstrating that ISSB can be scaled for broader application in green, low-cost housing projects.</w:t>
      </w:r>
      <w:r w:rsidR="00EE237A">
        <w:rPr>
          <w:rFonts w:ascii="Arial" w:hAnsi="Arial" w:cs="Arial"/>
          <w:sz w:val="20"/>
          <w:szCs w:val="20"/>
          <w:lang w:val="en-GB"/>
        </w:rPr>
        <w:t xml:space="preserve"> </w:t>
      </w:r>
    </w:p>
    <w:p w14:paraId="331A27A8" w14:textId="28C43890" w:rsidR="00F132DF" w:rsidRPr="00BF1C99" w:rsidRDefault="00EE237A" w:rsidP="00BF1C99">
      <w:pPr>
        <w:spacing w:line="240" w:lineRule="auto"/>
        <w:jc w:val="both"/>
        <w:rPr>
          <w:rFonts w:ascii="Arial" w:hAnsi="Arial" w:cs="Arial"/>
          <w:sz w:val="20"/>
          <w:szCs w:val="20"/>
          <w:lang w:val="en-GB"/>
        </w:rPr>
      </w:pPr>
      <w:r w:rsidRPr="00EE237A">
        <w:rPr>
          <w:rFonts w:ascii="Arial" w:hAnsi="Arial" w:cs="Arial"/>
          <w:sz w:val="20"/>
          <w:szCs w:val="20"/>
        </w:rPr>
        <w:t>Nevertheless, the successful large-scale adoption of ISSB will depend not only on its technical performance but also on overcoming identified psychological and institutional barriers. As noted by Ibitoye et al. (2026), improving awareness, strengthening policy frameworks, and enhancing stakeholder confidence are essential for mainstreaming ISSB in Nigeria’s construction sector.</w:t>
      </w:r>
    </w:p>
    <w:p w14:paraId="244D08A7" w14:textId="0527D1C5"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The findings also underscore the role of material selection as a key determinant in achieving climate-responsive architecture. With proper stabilization, construction techniques, and design integration, ISSB can significantly contribute to Nigeria’s sustainable building agenda and the global transition toward low-carbon housing solutions.</w:t>
      </w:r>
    </w:p>
    <w:p w14:paraId="3A51A717" w14:textId="77777777" w:rsidR="00F132DF" w:rsidRPr="00BF1C99" w:rsidRDefault="00F132DF" w:rsidP="00BF1C99">
      <w:pPr>
        <w:spacing w:line="240" w:lineRule="auto"/>
        <w:jc w:val="both"/>
        <w:rPr>
          <w:rFonts w:ascii="Arial" w:hAnsi="Arial" w:cs="Arial"/>
          <w:b/>
          <w:bCs/>
          <w:lang w:val="en-GB"/>
        </w:rPr>
      </w:pPr>
      <w:r w:rsidRPr="00BF1C99">
        <w:rPr>
          <w:rFonts w:ascii="Arial" w:hAnsi="Arial" w:cs="Arial"/>
          <w:b/>
          <w:bCs/>
          <w:lang w:val="en-GB"/>
        </w:rPr>
        <w:lastRenderedPageBreak/>
        <w:t>5.3 Recommendations</w:t>
      </w:r>
    </w:p>
    <w:p w14:paraId="6983EE93"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Based on the findings, the following recommendations are proposed:</w:t>
      </w:r>
    </w:p>
    <w:p w14:paraId="056479B6" w14:textId="229B94A1"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Material Optimization:</w:t>
      </w:r>
      <w:r w:rsidR="00A14D99" w:rsidRPr="00BF1C99">
        <w:rPr>
          <w:rFonts w:ascii="Arial" w:hAnsi="Arial" w:cs="Arial"/>
          <w:sz w:val="20"/>
          <w:szCs w:val="20"/>
          <w:lang w:val="en-GB"/>
        </w:rPr>
        <w:t xml:space="preserve"> </w:t>
      </w:r>
      <w:r w:rsidRPr="00BF1C99">
        <w:rPr>
          <w:rFonts w:ascii="Arial" w:hAnsi="Arial" w:cs="Arial"/>
          <w:sz w:val="20"/>
          <w:szCs w:val="20"/>
          <w:lang w:val="en-GB"/>
        </w:rPr>
        <w:t>Further research should explore variations in soil composition, stabilizer ratio, and compaction pressure to improve ISSB’s thermal and moisture resistance properties (Bui et al., 2023).</w:t>
      </w:r>
    </w:p>
    <w:p w14:paraId="7A9DFBB4" w14:textId="67EFFB1E"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Design Integration:</w:t>
      </w:r>
      <w:r w:rsidR="00A14D99" w:rsidRPr="00BF1C99">
        <w:rPr>
          <w:rFonts w:ascii="Arial" w:hAnsi="Arial" w:cs="Arial"/>
          <w:sz w:val="20"/>
          <w:szCs w:val="20"/>
          <w:lang w:val="en-GB"/>
        </w:rPr>
        <w:t xml:space="preserve"> </w:t>
      </w:r>
      <w:r w:rsidRPr="00BF1C99">
        <w:rPr>
          <w:rFonts w:ascii="Arial" w:hAnsi="Arial" w:cs="Arial"/>
          <w:sz w:val="20"/>
          <w:szCs w:val="20"/>
          <w:lang w:val="en-GB"/>
        </w:rPr>
        <w:t xml:space="preserve">Architects should integrate ISSB walls with passive cooling strategies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such as cross ventilation, shading devices, and reflective roofing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to enhance performance in hot–humid climates.</w:t>
      </w:r>
    </w:p>
    <w:p w14:paraId="19CE1843" w14:textId="14743EF8"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Policy and Standardization:</w:t>
      </w:r>
      <w:r w:rsidR="00A14D99" w:rsidRPr="00BF1C99">
        <w:rPr>
          <w:rFonts w:ascii="Arial" w:hAnsi="Arial" w:cs="Arial"/>
          <w:sz w:val="20"/>
          <w:szCs w:val="20"/>
          <w:lang w:val="en-GB"/>
        </w:rPr>
        <w:t xml:space="preserve"> </w:t>
      </w:r>
      <w:r w:rsidRPr="00BF1C99">
        <w:rPr>
          <w:rFonts w:ascii="Arial" w:hAnsi="Arial" w:cs="Arial"/>
          <w:sz w:val="20"/>
          <w:szCs w:val="20"/>
          <w:lang w:val="en-GB"/>
        </w:rPr>
        <w:t>Regulatory bodies such as the Nigerian Building and Road Research Institute (NBRRI) should establish clear standards for ISSB production, thermal performance benchmarks, and certification for large-scale adoption.</w:t>
      </w:r>
    </w:p>
    <w:p w14:paraId="12857D29" w14:textId="0504B621"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Public Awareness and Training:</w:t>
      </w:r>
      <w:r w:rsidR="00A14D99" w:rsidRPr="00BF1C99">
        <w:rPr>
          <w:rFonts w:ascii="Arial" w:hAnsi="Arial" w:cs="Arial"/>
          <w:sz w:val="20"/>
          <w:szCs w:val="20"/>
          <w:lang w:val="en-GB"/>
        </w:rPr>
        <w:t xml:space="preserve"> </w:t>
      </w:r>
      <w:r w:rsidRPr="00BF1C99">
        <w:rPr>
          <w:rFonts w:ascii="Arial" w:hAnsi="Arial" w:cs="Arial"/>
          <w:sz w:val="20"/>
          <w:szCs w:val="20"/>
          <w:lang w:val="en-GB"/>
        </w:rPr>
        <w:t>Capacity-building programs for builders, artisans, and communities should be implemented to promote knowledge of ISSB benefits and correct production methods.</w:t>
      </w:r>
    </w:p>
    <w:p w14:paraId="1B7CE442" w14:textId="35D1E449" w:rsidR="00F132DF"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Future Research:</w:t>
      </w:r>
      <w:r w:rsidR="00A14D99" w:rsidRPr="00BF1C99">
        <w:rPr>
          <w:rFonts w:ascii="Arial" w:hAnsi="Arial" w:cs="Arial"/>
          <w:sz w:val="20"/>
          <w:szCs w:val="20"/>
          <w:lang w:val="en-GB"/>
        </w:rPr>
        <w:t xml:space="preserve"> </w:t>
      </w:r>
      <w:r w:rsidRPr="00BF1C99">
        <w:rPr>
          <w:rFonts w:ascii="Arial" w:hAnsi="Arial" w:cs="Arial"/>
          <w:sz w:val="20"/>
          <w:szCs w:val="20"/>
          <w:lang w:val="en-GB"/>
        </w:rPr>
        <w:t>Long-term monitoring of ISSB buildings is recommended to assess seasonal variations in performance, durability, and maintenance patterns under real-use conditions.</w:t>
      </w:r>
    </w:p>
    <w:p w14:paraId="717B2908" w14:textId="46243ED8" w:rsidR="004E1D10" w:rsidRPr="004E1D10" w:rsidRDefault="004E1D10" w:rsidP="00BF1C99">
      <w:pPr>
        <w:numPr>
          <w:ilvl w:val="0"/>
          <w:numId w:val="5"/>
        </w:numPr>
        <w:spacing w:line="240" w:lineRule="auto"/>
        <w:jc w:val="both"/>
        <w:rPr>
          <w:rFonts w:ascii="Arial" w:hAnsi="Arial" w:cs="Arial"/>
          <w:b/>
          <w:bCs/>
          <w:sz w:val="20"/>
          <w:szCs w:val="20"/>
          <w:lang w:val="en-GB"/>
        </w:rPr>
      </w:pPr>
      <w:r w:rsidRPr="004E1D10">
        <w:rPr>
          <w:rFonts w:ascii="Arial" w:hAnsi="Arial" w:cs="Arial"/>
          <w:b/>
          <w:bCs/>
          <w:sz w:val="20"/>
          <w:szCs w:val="20"/>
          <w:lang w:val="en-GB"/>
        </w:rPr>
        <w:t xml:space="preserve">Ethical </w:t>
      </w:r>
      <w:r w:rsidRPr="004E1D10">
        <w:rPr>
          <w:rFonts w:ascii="Arial" w:hAnsi="Arial" w:cs="Arial"/>
          <w:b/>
          <w:bCs/>
          <w:sz w:val="20"/>
          <w:szCs w:val="20"/>
          <w:lang w:val="en-GB"/>
        </w:rPr>
        <w:t>Approval</w:t>
      </w:r>
    </w:p>
    <w:p w14:paraId="34004E9C" w14:textId="1D195FC1" w:rsidR="004E1D10" w:rsidRDefault="004E1D10" w:rsidP="00BF1C99">
      <w:pPr>
        <w:numPr>
          <w:ilvl w:val="0"/>
          <w:numId w:val="5"/>
        </w:numPr>
        <w:spacing w:line="240" w:lineRule="auto"/>
        <w:jc w:val="both"/>
        <w:rPr>
          <w:rFonts w:ascii="Arial" w:hAnsi="Arial" w:cs="Arial"/>
          <w:sz w:val="20"/>
          <w:szCs w:val="20"/>
          <w:lang w:val="en-GB"/>
        </w:rPr>
      </w:pPr>
      <w:r w:rsidRPr="004E1D10">
        <w:rPr>
          <w:rFonts w:ascii="Arial" w:hAnsi="Arial" w:cs="Arial"/>
          <w:sz w:val="20"/>
          <w:szCs w:val="20"/>
          <w:lang w:val="en-GB"/>
        </w:rPr>
        <w:t>Ethical standards were maintained by ensuring respondents’ anonymity, voluntary participation, and confidentiality. Institutional approval for field data collection was obtained from the university research ethics committee</w:t>
      </w:r>
    </w:p>
    <w:p w14:paraId="15C8E4C3" w14:textId="77777777" w:rsidR="0060697E" w:rsidRPr="0060697E" w:rsidRDefault="0060697E" w:rsidP="0060697E">
      <w:pPr>
        <w:pStyle w:val="ListParagraph"/>
        <w:numPr>
          <w:ilvl w:val="0"/>
          <w:numId w:val="5"/>
        </w:numPr>
        <w:rPr>
          <w:highlight w:val="yellow"/>
        </w:rPr>
      </w:pPr>
      <w:r w:rsidRPr="0060697E">
        <w:rPr>
          <w:highlight w:val="yellow"/>
        </w:rPr>
        <w:t>Disclaimer (Artificial intelligence)</w:t>
      </w:r>
    </w:p>
    <w:p w14:paraId="56FCC616" w14:textId="77777777" w:rsidR="0060697E" w:rsidRPr="0060697E" w:rsidRDefault="0060697E" w:rsidP="0060697E">
      <w:pPr>
        <w:pStyle w:val="ListParagraph"/>
        <w:numPr>
          <w:ilvl w:val="0"/>
          <w:numId w:val="5"/>
        </w:numPr>
        <w:rPr>
          <w:highlight w:val="yellow"/>
        </w:rPr>
      </w:pPr>
      <w:r w:rsidRPr="0060697E">
        <w:rPr>
          <w:highlight w:val="yellow"/>
        </w:rPr>
        <w:t xml:space="preserve">Author(s) hereby declare that NO generative AI technologies such as Large Language Models (ChatGPT, COPILOT, etc.) and text-to-image generators have been used during the writing or editing of this manuscript. </w:t>
      </w:r>
    </w:p>
    <w:p w14:paraId="3A480B24" w14:textId="77777777" w:rsidR="0060697E" w:rsidRDefault="0060697E" w:rsidP="0060697E">
      <w:pPr>
        <w:pStyle w:val="ListParagraph"/>
        <w:numPr>
          <w:ilvl w:val="0"/>
          <w:numId w:val="5"/>
        </w:numPr>
      </w:pPr>
    </w:p>
    <w:p w14:paraId="502F8448" w14:textId="77777777" w:rsidR="00EF08A1" w:rsidRPr="00BF1C99" w:rsidRDefault="00EF08A1" w:rsidP="00EF08A1">
      <w:pPr>
        <w:spacing w:line="240" w:lineRule="auto"/>
        <w:ind w:left="360"/>
        <w:jc w:val="both"/>
        <w:rPr>
          <w:rFonts w:ascii="Arial" w:hAnsi="Arial" w:cs="Arial"/>
          <w:sz w:val="20"/>
          <w:szCs w:val="20"/>
          <w:lang w:val="en-GB"/>
        </w:rPr>
      </w:pPr>
    </w:p>
    <w:p w14:paraId="5BBBD142" w14:textId="6EE8DEBE" w:rsidR="00C92446" w:rsidRPr="00BF1C99" w:rsidRDefault="007062BD" w:rsidP="007062BD">
      <w:pPr>
        <w:spacing w:line="360" w:lineRule="auto"/>
        <w:jc w:val="both"/>
        <w:rPr>
          <w:rFonts w:ascii="Arial" w:hAnsi="Arial" w:cs="Arial"/>
          <w:b/>
          <w:bCs/>
          <w:sz w:val="24"/>
          <w:szCs w:val="24"/>
          <w:lang w:val="en-GB"/>
        </w:rPr>
      </w:pPr>
      <w:r w:rsidRPr="00BF1C99">
        <w:rPr>
          <w:rFonts w:ascii="Arial" w:hAnsi="Arial" w:cs="Arial"/>
          <w:b/>
          <w:bCs/>
          <w:sz w:val="24"/>
          <w:szCs w:val="24"/>
          <w:lang w:val="en-GB"/>
        </w:rPr>
        <w:t>REFERENCES</w:t>
      </w:r>
    </w:p>
    <w:p w14:paraId="64E0BEA9"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Aderinsola, A., Dare-Abel, O., </w:t>
      </w:r>
      <w:proofErr w:type="spellStart"/>
      <w:r w:rsidRPr="00E11818">
        <w:rPr>
          <w:rFonts w:ascii="Arial" w:hAnsi="Arial" w:cs="Arial"/>
          <w:sz w:val="20"/>
          <w:szCs w:val="20"/>
        </w:rPr>
        <w:t>Arayela</w:t>
      </w:r>
      <w:proofErr w:type="spellEnd"/>
      <w:r w:rsidRPr="00E11818">
        <w:rPr>
          <w:rFonts w:ascii="Arial" w:hAnsi="Arial" w:cs="Arial"/>
          <w:sz w:val="20"/>
          <w:szCs w:val="20"/>
        </w:rPr>
        <w:t>, O., &amp; Ajayi, O. (2025). Evaluating Thermal Comfort Standards of Residential Housing in Tropical Climates: A Systematic Review. </w:t>
      </w:r>
      <w:r w:rsidRPr="00E11818">
        <w:rPr>
          <w:rFonts w:ascii="Arial" w:hAnsi="Arial" w:cs="Arial"/>
          <w:i/>
          <w:iCs/>
          <w:sz w:val="20"/>
          <w:szCs w:val="20"/>
        </w:rPr>
        <w:t>Journal of Built Environment and Geological Research</w:t>
      </w:r>
      <w:r w:rsidRPr="00E11818">
        <w:rPr>
          <w:rFonts w:ascii="Arial" w:hAnsi="Arial" w:cs="Arial"/>
          <w:sz w:val="20"/>
          <w:szCs w:val="20"/>
        </w:rPr>
        <w:t>.</w:t>
      </w:r>
    </w:p>
    <w:p w14:paraId="1CFF39AE"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Al-Jabri, K., Hago, A. W., Al-Saadi, S., </w:t>
      </w:r>
      <w:proofErr w:type="spellStart"/>
      <w:r w:rsidRPr="00E11818">
        <w:rPr>
          <w:rFonts w:ascii="Arial" w:hAnsi="Arial" w:cs="Arial"/>
          <w:sz w:val="20"/>
          <w:szCs w:val="20"/>
        </w:rPr>
        <w:t>Amoatey</w:t>
      </w:r>
      <w:proofErr w:type="spellEnd"/>
      <w:r w:rsidRPr="00E11818">
        <w:rPr>
          <w:rFonts w:ascii="Arial" w:hAnsi="Arial" w:cs="Arial"/>
          <w:sz w:val="20"/>
          <w:szCs w:val="20"/>
        </w:rPr>
        <w:t>, P., &amp; Al-Harthy, I. (2022). Structural and thermal performance of sustainable interlocking compressed earth blocks masonry units made with produced water from oilfields. Case Studies in Construction Materials, 17, e01186.</w:t>
      </w:r>
    </w:p>
    <w:p w14:paraId="06548B5A" w14:textId="77777777" w:rsidR="00214406" w:rsidRPr="00E11818" w:rsidRDefault="00214406" w:rsidP="00E11818">
      <w:pPr>
        <w:pStyle w:val="ListParagraph"/>
        <w:numPr>
          <w:ilvl w:val="0"/>
          <w:numId w:val="8"/>
        </w:numPr>
        <w:spacing w:line="240" w:lineRule="auto"/>
        <w:jc w:val="both"/>
        <w:rPr>
          <w:rFonts w:ascii="Arial" w:hAnsi="Arial" w:cs="Arial"/>
          <w:sz w:val="20"/>
          <w:szCs w:val="20"/>
          <w:lang w:val="en-GB"/>
        </w:rPr>
      </w:pPr>
      <w:r w:rsidRPr="00E11818">
        <w:rPr>
          <w:rFonts w:ascii="Arial" w:hAnsi="Arial" w:cs="Arial"/>
          <w:sz w:val="20"/>
          <w:szCs w:val="20"/>
          <w:lang w:val="en-GB"/>
        </w:rPr>
        <w:t xml:space="preserve">Bailly, G. C., El Mendili, Y., Konin, A., &amp; Khoury, E. (2024). Advancing earth-based construction: A comprehensive review of stabilization and reinforcement techniques for adobe and compressed earth blocks. </w:t>
      </w:r>
      <w:r w:rsidRPr="00E11818">
        <w:rPr>
          <w:rFonts w:ascii="Arial" w:hAnsi="Arial" w:cs="Arial"/>
          <w:i/>
          <w:iCs/>
          <w:sz w:val="20"/>
          <w:szCs w:val="20"/>
          <w:lang w:val="en-GB"/>
        </w:rPr>
        <w:t>Eng, 5</w:t>
      </w:r>
      <w:r w:rsidRPr="00E11818">
        <w:rPr>
          <w:rFonts w:ascii="Arial" w:hAnsi="Arial" w:cs="Arial"/>
          <w:sz w:val="20"/>
          <w:szCs w:val="20"/>
          <w:lang w:val="en-GB"/>
        </w:rPr>
        <w:t xml:space="preserve">(2), 750–783. </w:t>
      </w:r>
    </w:p>
    <w:p w14:paraId="7472A594" w14:textId="77777777" w:rsidR="00214406" w:rsidRPr="00E11818" w:rsidRDefault="00214406" w:rsidP="00E11818">
      <w:pPr>
        <w:pStyle w:val="ListParagraph"/>
        <w:numPr>
          <w:ilvl w:val="0"/>
          <w:numId w:val="8"/>
        </w:numPr>
        <w:spacing w:line="240" w:lineRule="auto"/>
        <w:rPr>
          <w:rFonts w:ascii="Arial" w:hAnsi="Arial" w:cs="Arial"/>
          <w:sz w:val="20"/>
          <w:szCs w:val="20"/>
          <w:lang w:val="en-GB"/>
        </w:rPr>
      </w:pPr>
      <w:r w:rsidRPr="00E11818">
        <w:rPr>
          <w:rFonts w:ascii="Arial" w:hAnsi="Arial" w:cs="Arial"/>
          <w:sz w:val="20"/>
          <w:szCs w:val="20"/>
          <w:lang w:val="en-GB"/>
        </w:rPr>
        <w:t xml:space="preserve">Bui, Q. B., et al. (2023). Manually compressed soil blocks stabilised by fly ash geopolymer binder: Properties and potential. </w:t>
      </w:r>
      <w:r w:rsidRPr="00E11818">
        <w:rPr>
          <w:rFonts w:ascii="Arial" w:hAnsi="Arial" w:cs="Arial"/>
          <w:i/>
          <w:iCs/>
          <w:sz w:val="20"/>
          <w:szCs w:val="20"/>
          <w:lang w:val="en-GB"/>
        </w:rPr>
        <w:t>Scientific Reports, 13</w:t>
      </w:r>
      <w:r w:rsidRPr="00E11818">
        <w:rPr>
          <w:rFonts w:ascii="Arial" w:hAnsi="Arial" w:cs="Arial"/>
          <w:sz w:val="20"/>
          <w:szCs w:val="20"/>
          <w:lang w:val="en-GB"/>
        </w:rPr>
        <w:t xml:space="preserve">, Article 50103. </w:t>
      </w:r>
    </w:p>
    <w:p w14:paraId="6D470D35" w14:textId="77777777" w:rsidR="00214406" w:rsidRPr="00E11818" w:rsidRDefault="00214406" w:rsidP="00E11818">
      <w:pPr>
        <w:pStyle w:val="ListParagraph"/>
        <w:numPr>
          <w:ilvl w:val="0"/>
          <w:numId w:val="8"/>
        </w:numPr>
        <w:spacing w:line="240" w:lineRule="auto"/>
        <w:jc w:val="both"/>
        <w:rPr>
          <w:rFonts w:ascii="Arial" w:hAnsi="Arial" w:cs="Arial"/>
          <w:sz w:val="20"/>
          <w:szCs w:val="20"/>
        </w:rPr>
      </w:pPr>
      <w:r w:rsidRPr="00E11818">
        <w:rPr>
          <w:rFonts w:ascii="Arial" w:hAnsi="Arial" w:cs="Arial"/>
          <w:sz w:val="20"/>
          <w:szCs w:val="20"/>
        </w:rPr>
        <w:t xml:space="preserve">Diatta, R., Loisel, R., &amp; </w:t>
      </w:r>
      <w:proofErr w:type="spellStart"/>
      <w:r w:rsidRPr="00E11818">
        <w:rPr>
          <w:rFonts w:ascii="Arial" w:hAnsi="Arial" w:cs="Arial"/>
          <w:sz w:val="20"/>
          <w:szCs w:val="20"/>
        </w:rPr>
        <w:t>Richefort</w:t>
      </w:r>
      <w:proofErr w:type="spellEnd"/>
      <w:r w:rsidRPr="00E11818">
        <w:rPr>
          <w:rFonts w:ascii="Arial" w:hAnsi="Arial" w:cs="Arial"/>
          <w:sz w:val="20"/>
          <w:szCs w:val="20"/>
        </w:rPr>
        <w:t>, L. (2025). Demand Response in power off-grid microgrids in Nigeria: a game theory approach. </w:t>
      </w:r>
      <w:r w:rsidRPr="00E11818">
        <w:rPr>
          <w:rFonts w:ascii="Arial" w:hAnsi="Arial" w:cs="Arial"/>
          <w:i/>
          <w:iCs/>
          <w:sz w:val="20"/>
          <w:szCs w:val="20"/>
        </w:rPr>
        <w:t>Global Energy Interconnection</w:t>
      </w:r>
      <w:r w:rsidRPr="00E11818">
        <w:rPr>
          <w:rFonts w:ascii="Arial" w:hAnsi="Arial" w:cs="Arial"/>
          <w:sz w:val="20"/>
          <w:szCs w:val="20"/>
        </w:rPr>
        <w:t>.</w:t>
      </w:r>
    </w:p>
    <w:p w14:paraId="59D2A090" w14:textId="77777777" w:rsidR="00214406" w:rsidRPr="00E11818" w:rsidRDefault="00214406" w:rsidP="00E11818">
      <w:pPr>
        <w:pStyle w:val="ListParagraph"/>
        <w:numPr>
          <w:ilvl w:val="0"/>
          <w:numId w:val="8"/>
        </w:numPr>
        <w:spacing w:line="240" w:lineRule="auto"/>
        <w:jc w:val="both"/>
        <w:rPr>
          <w:rFonts w:ascii="Arial" w:hAnsi="Arial" w:cs="Arial"/>
          <w:sz w:val="20"/>
          <w:szCs w:val="20"/>
          <w:lang w:val="en-GB"/>
        </w:rPr>
      </w:pPr>
      <w:r w:rsidRPr="00E11818">
        <w:rPr>
          <w:rFonts w:ascii="Arial" w:hAnsi="Arial" w:cs="Arial"/>
          <w:sz w:val="20"/>
          <w:szCs w:val="20"/>
          <w:lang w:val="en-GB"/>
        </w:rPr>
        <w:t xml:space="preserve">George, D., &amp; Mallery, P. (2019). </w:t>
      </w:r>
      <w:r w:rsidRPr="00E11818">
        <w:rPr>
          <w:rFonts w:ascii="Arial" w:hAnsi="Arial" w:cs="Arial"/>
          <w:i/>
          <w:iCs/>
          <w:sz w:val="20"/>
          <w:szCs w:val="20"/>
          <w:lang w:val="en-GB"/>
        </w:rPr>
        <w:t>IBM SPSS Statistics 25 step by step: A simple guide and reference</w:t>
      </w:r>
      <w:r w:rsidRPr="00E11818">
        <w:rPr>
          <w:rFonts w:ascii="Arial" w:hAnsi="Arial" w:cs="Arial"/>
          <w:sz w:val="20"/>
          <w:szCs w:val="20"/>
          <w:lang w:val="en-GB"/>
        </w:rPr>
        <w:t xml:space="preserve"> (15th ed.). Routledge.</w:t>
      </w:r>
    </w:p>
    <w:p w14:paraId="0066AD53" w14:textId="77777777" w:rsidR="00214406" w:rsidRPr="00E11818" w:rsidRDefault="00214406" w:rsidP="00E11818">
      <w:pPr>
        <w:pStyle w:val="ListParagraph"/>
        <w:numPr>
          <w:ilvl w:val="0"/>
          <w:numId w:val="8"/>
        </w:numPr>
        <w:spacing w:line="240" w:lineRule="auto"/>
        <w:jc w:val="both"/>
        <w:rPr>
          <w:rFonts w:ascii="Arial" w:hAnsi="Arial" w:cs="Arial"/>
          <w:sz w:val="20"/>
          <w:szCs w:val="20"/>
        </w:rPr>
      </w:pPr>
      <w:r w:rsidRPr="00E11818">
        <w:rPr>
          <w:rFonts w:ascii="Arial" w:hAnsi="Arial" w:cs="Arial"/>
          <w:sz w:val="20"/>
          <w:szCs w:val="20"/>
        </w:rPr>
        <w:t>Hafez, H., El-Mahdy, D., &amp; Marsh, A. T. (2023). Barriers and enablers for scaled-up adoption of compressed earth blocks in Egypt. </w:t>
      </w:r>
      <w:r w:rsidRPr="00E11818">
        <w:rPr>
          <w:rFonts w:ascii="Arial" w:hAnsi="Arial" w:cs="Arial"/>
          <w:i/>
          <w:iCs/>
          <w:sz w:val="20"/>
          <w:szCs w:val="20"/>
        </w:rPr>
        <w:t>Building Research &amp; Information</w:t>
      </w:r>
      <w:r w:rsidRPr="00E11818">
        <w:rPr>
          <w:rFonts w:ascii="Arial" w:hAnsi="Arial" w:cs="Arial"/>
          <w:sz w:val="20"/>
          <w:szCs w:val="20"/>
        </w:rPr>
        <w:t>, </w:t>
      </w:r>
      <w:r w:rsidRPr="00E11818">
        <w:rPr>
          <w:rFonts w:ascii="Arial" w:hAnsi="Arial" w:cs="Arial"/>
          <w:i/>
          <w:iCs/>
          <w:sz w:val="20"/>
          <w:szCs w:val="20"/>
        </w:rPr>
        <w:t>51</w:t>
      </w:r>
      <w:r w:rsidRPr="00E11818">
        <w:rPr>
          <w:rFonts w:ascii="Arial" w:hAnsi="Arial" w:cs="Arial"/>
          <w:sz w:val="20"/>
          <w:szCs w:val="20"/>
        </w:rPr>
        <w:t>(7), 783-797.</w:t>
      </w:r>
    </w:p>
    <w:p w14:paraId="7E140A09"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Hafez, H., El-Mahdy, D., &amp; Marsh, A. T. (2023). Barriers and enablers for scaled-up adoption of compressed earth blocks in Egypt. </w:t>
      </w:r>
      <w:r w:rsidRPr="00E11818">
        <w:rPr>
          <w:rFonts w:ascii="Arial" w:hAnsi="Arial" w:cs="Arial"/>
          <w:i/>
          <w:iCs/>
          <w:sz w:val="20"/>
          <w:szCs w:val="20"/>
        </w:rPr>
        <w:t>Building Research &amp; Information</w:t>
      </w:r>
      <w:r w:rsidRPr="00E11818">
        <w:rPr>
          <w:rFonts w:ascii="Arial" w:hAnsi="Arial" w:cs="Arial"/>
          <w:sz w:val="20"/>
          <w:szCs w:val="20"/>
        </w:rPr>
        <w:t>, </w:t>
      </w:r>
      <w:r w:rsidRPr="00E11818">
        <w:rPr>
          <w:rFonts w:ascii="Arial" w:hAnsi="Arial" w:cs="Arial"/>
          <w:i/>
          <w:iCs/>
          <w:sz w:val="20"/>
          <w:szCs w:val="20"/>
        </w:rPr>
        <w:t>51</w:t>
      </w:r>
      <w:r w:rsidRPr="00E11818">
        <w:rPr>
          <w:rFonts w:ascii="Arial" w:hAnsi="Arial" w:cs="Arial"/>
          <w:sz w:val="20"/>
          <w:szCs w:val="20"/>
        </w:rPr>
        <w:t>(7), 783-797.</w:t>
      </w:r>
    </w:p>
    <w:p w14:paraId="61D20703"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lastRenderedPageBreak/>
        <w:t xml:space="preserve">Ibitoye, O. A. (2025). A Critical Analysis of Interlocking Stabilized Soil Blocks (ISSB) in Residential Architecture: A Case Study of </w:t>
      </w:r>
      <w:proofErr w:type="spellStart"/>
      <w:r w:rsidRPr="00E11818">
        <w:rPr>
          <w:rFonts w:ascii="Arial" w:hAnsi="Arial" w:cs="Arial"/>
          <w:sz w:val="20"/>
          <w:szCs w:val="20"/>
        </w:rPr>
        <w:t>Obayemi</w:t>
      </w:r>
      <w:proofErr w:type="spellEnd"/>
      <w:r w:rsidRPr="00E11818">
        <w:rPr>
          <w:rFonts w:ascii="Arial" w:hAnsi="Arial" w:cs="Arial"/>
          <w:sz w:val="20"/>
          <w:szCs w:val="20"/>
        </w:rPr>
        <w:t xml:space="preserve"> House, Redemption Camp, Ogun State.</w:t>
      </w:r>
    </w:p>
    <w:p w14:paraId="5163DD2C" w14:textId="77777777" w:rsidR="00214406" w:rsidRPr="00E11818" w:rsidRDefault="00214406" w:rsidP="00E11818">
      <w:pPr>
        <w:pStyle w:val="ListParagraph"/>
        <w:numPr>
          <w:ilvl w:val="0"/>
          <w:numId w:val="8"/>
        </w:numPr>
        <w:spacing w:line="240" w:lineRule="auto"/>
        <w:jc w:val="both"/>
        <w:rPr>
          <w:rFonts w:ascii="Arial" w:hAnsi="Arial" w:cs="Arial"/>
          <w:sz w:val="20"/>
          <w:szCs w:val="20"/>
          <w:lang w:val="en-GB"/>
        </w:rPr>
      </w:pPr>
      <w:r w:rsidRPr="00E11818">
        <w:rPr>
          <w:rFonts w:ascii="Arial" w:hAnsi="Arial" w:cs="Arial"/>
          <w:sz w:val="20"/>
          <w:szCs w:val="20"/>
          <w:lang w:val="en-GB"/>
        </w:rPr>
        <w:t xml:space="preserve">Ibitoye, O. A., Oyewole, A. A., &amp; </w:t>
      </w:r>
      <w:proofErr w:type="spellStart"/>
      <w:r w:rsidRPr="00E11818">
        <w:rPr>
          <w:rFonts w:ascii="Arial" w:hAnsi="Arial" w:cs="Arial"/>
          <w:sz w:val="20"/>
          <w:szCs w:val="20"/>
          <w:lang w:val="en-GB"/>
        </w:rPr>
        <w:t>Babamboni</w:t>
      </w:r>
      <w:proofErr w:type="spellEnd"/>
      <w:r w:rsidRPr="00E11818">
        <w:rPr>
          <w:rFonts w:ascii="Arial" w:hAnsi="Arial" w:cs="Arial"/>
          <w:sz w:val="20"/>
          <w:szCs w:val="20"/>
          <w:lang w:val="en-GB"/>
        </w:rPr>
        <w:t xml:space="preserve">, A. S. (2023). Demographic characteristics of housing estates developed with ISSB technology in selected Southwestern Nigerian cities. </w:t>
      </w:r>
      <w:r w:rsidRPr="00E11818">
        <w:rPr>
          <w:rFonts w:ascii="Arial" w:hAnsi="Arial" w:cs="Arial"/>
          <w:i/>
          <w:iCs/>
          <w:sz w:val="20"/>
          <w:szCs w:val="20"/>
          <w:lang w:val="en-GB"/>
        </w:rPr>
        <w:t>FUDMA Journal of Sciences, 7</w:t>
      </w:r>
      <w:r w:rsidRPr="00E11818">
        <w:rPr>
          <w:rFonts w:ascii="Arial" w:hAnsi="Arial" w:cs="Arial"/>
          <w:sz w:val="20"/>
          <w:szCs w:val="20"/>
          <w:lang w:val="en-GB"/>
        </w:rPr>
        <w:t>(2), 275–283.</w:t>
      </w:r>
    </w:p>
    <w:p w14:paraId="7F28CE14" w14:textId="77777777" w:rsidR="00214406" w:rsidRPr="00E11818" w:rsidRDefault="00214406" w:rsidP="00E11818">
      <w:pPr>
        <w:pStyle w:val="ListParagraph"/>
        <w:numPr>
          <w:ilvl w:val="0"/>
          <w:numId w:val="8"/>
        </w:numPr>
        <w:spacing w:line="240" w:lineRule="auto"/>
        <w:jc w:val="both"/>
        <w:rPr>
          <w:rFonts w:ascii="Times New Roman" w:hAnsi="Times New Roman" w:cs="Times New Roman"/>
          <w:b/>
          <w:bCs/>
          <w:sz w:val="24"/>
          <w:szCs w:val="24"/>
          <w:lang w:val="en-GB"/>
        </w:rPr>
      </w:pPr>
      <w:r w:rsidRPr="00E11818">
        <w:rPr>
          <w:rFonts w:ascii="Arial" w:hAnsi="Arial" w:cs="Arial"/>
          <w:sz w:val="20"/>
          <w:szCs w:val="20"/>
        </w:rPr>
        <w:t xml:space="preserve">Laibi, A. B., </w:t>
      </w:r>
      <w:proofErr w:type="spellStart"/>
      <w:r w:rsidRPr="00E11818">
        <w:rPr>
          <w:rFonts w:ascii="Arial" w:hAnsi="Arial" w:cs="Arial"/>
          <w:sz w:val="20"/>
          <w:szCs w:val="20"/>
        </w:rPr>
        <w:t>Poullain</w:t>
      </w:r>
      <w:proofErr w:type="spellEnd"/>
      <w:r w:rsidRPr="00E11818">
        <w:rPr>
          <w:rFonts w:ascii="Arial" w:hAnsi="Arial" w:cs="Arial"/>
          <w:sz w:val="20"/>
          <w:szCs w:val="20"/>
        </w:rPr>
        <w:t xml:space="preserve">, P., Leklou, N., &amp; </w:t>
      </w:r>
      <w:proofErr w:type="spellStart"/>
      <w:r w:rsidRPr="00E11818">
        <w:rPr>
          <w:rFonts w:ascii="Arial" w:hAnsi="Arial" w:cs="Arial"/>
          <w:sz w:val="20"/>
          <w:szCs w:val="20"/>
        </w:rPr>
        <w:t>Gomina</w:t>
      </w:r>
      <w:proofErr w:type="spellEnd"/>
      <w:r w:rsidRPr="00E11818">
        <w:rPr>
          <w:rFonts w:ascii="Arial" w:hAnsi="Arial" w:cs="Arial"/>
          <w:sz w:val="20"/>
          <w:szCs w:val="20"/>
        </w:rPr>
        <w:t>, M. (2025). Experimental Assessment of the Dynamic Hygrothermal and Mechanical Behavior of Compressed Earth Block Walls in a Tropical Humid Climate. </w:t>
      </w:r>
      <w:r w:rsidRPr="00E11818">
        <w:rPr>
          <w:rFonts w:ascii="Arial" w:hAnsi="Arial" w:cs="Arial"/>
          <w:i/>
          <w:iCs/>
          <w:sz w:val="20"/>
          <w:szCs w:val="20"/>
        </w:rPr>
        <w:t>Buildings</w:t>
      </w:r>
      <w:r w:rsidRPr="00E11818">
        <w:rPr>
          <w:rFonts w:ascii="Arial" w:hAnsi="Arial" w:cs="Arial"/>
          <w:sz w:val="20"/>
          <w:szCs w:val="20"/>
        </w:rPr>
        <w:t>, </w:t>
      </w:r>
      <w:r w:rsidRPr="00E11818">
        <w:rPr>
          <w:rFonts w:ascii="Arial" w:hAnsi="Arial" w:cs="Arial"/>
          <w:i/>
          <w:iCs/>
          <w:sz w:val="20"/>
          <w:szCs w:val="20"/>
        </w:rPr>
        <w:t>15</w:t>
      </w:r>
      <w:r w:rsidRPr="00E11818">
        <w:rPr>
          <w:rFonts w:ascii="Arial" w:hAnsi="Arial" w:cs="Arial"/>
          <w:sz w:val="20"/>
          <w:szCs w:val="20"/>
        </w:rPr>
        <w:t>(19), 3484.</w:t>
      </w:r>
    </w:p>
    <w:p w14:paraId="5B76C116"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Olaniyan, A., </w:t>
      </w:r>
      <w:proofErr w:type="spellStart"/>
      <w:r w:rsidRPr="00E11818">
        <w:rPr>
          <w:rFonts w:ascii="Arial" w:hAnsi="Arial" w:cs="Arial"/>
          <w:sz w:val="20"/>
          <w:szCs w:val="20"/>
        </w:rPr>
        <w:t>Caux</w:t>
      </w:r>
      <w:proofErr w:type="spellEnd"/>
      <w:r w:rsidRPr="00E11818">
        <w:rPr>
          <w:rFonts w:ascii="Arial" w:hAnsi="Arial" w:cs="Arial"/>
          <w:sz w:val="20"/>
          <w:szCs w:val="20"/>
        </w:rPr>
        <w:t xml:space="preserve">, S., &amp; </w:t>
      </w:r>
      <w:proofErr w:type="spellStart"/>
      <w:r w:rsidRPr="00E11818">
        <w:rPr>
          <w:rFonts w:ascii="Arial" w:hAnsi="Arial" w:cs="Arial"/>
          <w:sz w:val="20"/>
          <w:szCs w:val="20"/>
        </w:rPr>
        <w:t>Maussion</w:t>
      </w:r>
      <w:proofErr w:type="spellEnd"/>
      <w:r w:rsidRPr="00E11818">
        <w:rPr>
          <w:rFonts w:ascii="Arial" w:hAnsi="Arial" w:cs="Arial"/>
          <w:sz w:val="20"/>
          <w:szCs w:val="20"/>
        </w:rPr>
        <w:t>, P. (2024). Rural electrification in Nigeria: A review of impacts and effects of frugal energy generation based on some of e-waste components. </w:t>
      </w:r>
      <w:proofErr w:type="spellStart"/>
      <w:r w:rsidRPr="00E11818">
        <w:rPr>
          <w:rFonts w:ascii="Arial" w:hAnsi="Arial" w:cs="Arial"/>
          <w:i/>
          <w:iCs/>
          <w:sz w:val="20"/>
          <w:szCs w:val="20"/>
        </w:rPr>
        <w:t>Heliyon</w:t>
      </w:r>
      <w:proofErr w:type="spellEnd"/>
      <w:r w:rsidRPr="00E11818">
        <w:rPr>
          <w:rFonts w:ascii="Arial" w:hAnsi="Arial" w:cs="Arial"/>
          <w:sz w:val="20"/>
          <w:szCs w:val="20"/>
        </w:rPr>
        <w:t>, </w:t>
      </w:r>
      <w:r w:rsidRPr="00E11818">
        <w:rPr>
          <w:rFonts w:ascii="Arial" w:hAnsi="Arial" w:cs="Arial"/>
          <w:i/>
          <w:iCs/>
          <w:sz w:val="20"/>
          <w:szCs w:val="20"/>
        </w:rPr>
        <w:t>10</w:t>
      </w:r>
      <w:r w:rsidRPr="00E11818">
        <w:rPr>
          <w:rFonts w:ascii="Arial" w:hAnsi="Arial" w:cs="Arial"/>
          <w:sz w:val="20"/>
          <w:szCs w:val="20"/>
        </w:rPr>
        <w:t>(11).</w:t>
      </w:r>
    </w:p>
    <w:p w14:paraId="75DA5184" w14:textId="77777777" w:rsidR="00214406" w:rsidRPr="00E11818" w:rsidRDefault="00214406" w:rsidP="00E11818">
      <w:pPr>
        <w:pStyle w:val="ListParagraph"/>
        <w:numPr>
          <w:ilvl w:val="0"/>
          <w:numId w:val="8"/>
        </w:numPr>
        <w:spacing w:line="240" w:lineRule="auto"/>
        <w:jc w:val="both"/>
        <w:rPr>
          <w:rFonts w:ascii="Arial" w:hAnsi="Arial" w:cs="Arial"/>
          <w:sz w:val="20"/>
          <w:szCs w:val="20"/>
        </w:rPr>
      </w:pPr>
      <w:r w:rsidRPr="00E11818">
        <w:rPr>
          <w:rFonts w:ascii="Arial" w:hAnsi="Arial" w:cs="Arial"/>
          <w:sz w:val="20"/>
          <w:szCs w:val="20"/>
        </w:rPr>
        <w:t xml:space="preserve">Real, S., Bogas, J. A., Cruz, R., Gomes, M. G., &amp; </w:t>
      </w:r>
      <w:proofErr w:type="spellStart"/>
      <w:r w:rsidRPr="00E11818">
        <w:rPr>
          <w:rFonts w:ascii="Arial" w:hAnsi="Arial" w:cs="Arial"/>
          <w:sz w:val="20"/>
          <w:szCs w:val="20"/>
        </w:rPr>
        <w:t>Nabais</w:t>
      </w:r>
      <w:proofErr w:type="spellEnd"/>
      <w:r w:rsidRPr="00E11818">
        <w:rPr>
          <w:rFonts w:ascii="Arial" w:hAnsi="Arial" w:cs="Arial"/>
          <w:sz w:val="20"/>
          <w:szCs w:val="20"/>
        </w:rPr>
        <w:t xml:space="preserve">, M. (2024). Thermal performance of compressed earth blocks </w:t>
      </w:r>
      <w:proofErr w:type="spellStart"/>
      <w:r w:rsidRPr="00E11818">
        <w:rPr>
          <w:rFonts w:ascii="Arial" w:hAnsi="Arial" w:cs="Arial"/>
          <w:sz w:val="20"/>
          <w:szCs w:val="20"/>
        </w:rPr>
        <w:t>stabilised</w:t>
      </w:r>
      <w:proofErr w:type="spellEnd"/>
      <w:r w:rsidRPr="00E11818">
        <w:rPr>
          <w:rFonts w:ascii="Arial" w:hAnsi="Arial" w:cs="Arial"/>
          <w:sz w:val="20"/>
          <w:szCs w:val="20"/>
        </w:rPr>
        <w:t xml:space="preserve"> with thermoactivated recycled cement. </w:t>
      </w:r>
      <w:r w:rsidRPr="00E11818">
        <w:rPr>
          <w:rFonts w:ascii="Arial" w:hAnsi="Arial" w:cs="Arial"/>
          <w:i/>
          <w:iCs/>
          <w:sz w:val="20"/>
          <w:szCs w:val="20"/>
        </w:rPr>
        <w:t>Energy and Buildings</w:t>
      </w:r>
      <w:r w:rsidRPr="00E11818">
        <w:rPr>
          <w:rFonts w:ascii="Arial" w:hAnsi="Arial" w:cs="Arial"/>
          <w:sz w:val="20"/>
          <w:szCs w:val="20"/>
        </w:rPr>
        <w:t>, </w:t>
      </w:r>
      <w:r w:rsidRPr="00E11818">
        <w:rPr>
          <w:rFonts w:ascii="Arial" w:hAnsi="Arial" w:cs="Arial"/>
          <w:i/>
          <w:iCs/>
          <w:sz w:val="20"/>
          <w:szCs w:val="20"/>
        </w:rPr>
        <w:t>314</w:t>
      </w:r>
      <w:r w:rsidRPr="00E11818">
        <w:rPr>
          <w:rFonts w:ascii="Arial" w:hAnsi="Arial" w:cs="Arial"/>
          <w:sz w:val="20"/>
          <w:szCs w:val="20"/>
        </w:rPr>
        <w:t>, 114288.</w:t>
      </w:r>
    </w:p>
    <w:p w14:paraId="53761DB4"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Rosa Latapie, S., Abou-Chakra, A., &amp; </w:t>
      </w:r>
      <w:proofErr w:type="spellStart"/>
      <w:r w:rsidRPr="00E11818">
        <w:rPr>
          <w:rFonts w:ascii="Arial" w:hAnsi="Arial" w:cs="Arial"/>
          <w:sz w:val="20"/>
          <w:szCs w:val="20"/>
        </w:rPr>
        <w:t>Sabathier</w:t>
      </w:r>
      <w:proofErr w:type="spellEnd"/>
      <w:r w:rsidRPr="00E11818">
        <w:rPr>
          <w:rFonts w:ascii="Arial" w:hAnsi="Arial" w:cs="Arial"/>
          <w:sz w:val="20"/>
          <w:szCs w:val="20"/>
        </w:rPr>
        <w:t>, V. (2023). Bibliometric analysis of bio-and earth-based building materials: current and future trends. </w:t>
      </w:r>
      <w:r w:rsidRPr="00E11818">
        <w:rPr>
          <w:rFonts w:ascii="Arial" w:hAnsi="Arial" w:cs="Arial"/>
          <w:i/>
          <w:iCs/>
          <w:sz w:val="20"/>
          <w:szCs w:val="20"/>
        </w:rPr>
        <w:t>Construction Materials</w:t>
      </w:r>
      <w:r w:rsidRPr="00E11818">
        <w:rPr>
          <w:rFonts w:ascii="Arial" w:hAnsi="Arial" w:cs="Arial"/>
          <w:sz w:val="20"/>
          <w:szCs w:val="20"/>
        </w:rPr>
        <w:t>, </w:t>
      </w:r>
      <w:r w:rsidRPr="00E11818">
        <w:rPr>
          <w:rFonts w:ascii="Arial" w:hAnsi="Arial" w:cs="Arial"/>
          <w:i/>
          <w:iCs/>
          <w:sz w:val="20"/>
          <w:szCs w:val="20"/>
        </w:rPr>
        <w:t>3</w:t>
      </w:r>
      <w:r w:rsidRPr="00E11818">
        <w:rPr>
          <w:rFonts w:ascii="Arial" w:hAnsi="Arial" w:cs="Arial"/>
          <w:sz w:val="20"/>
          <w:szCs w:val="20"/>
        </w:rPr>
        <w:t>(4), 474-508.</w:t>
      </w:r>
    </w:p>
    <w:p w14:paraId="755E59D4"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Teixeira, E. R., Machado, G., P. Junior, A. D., Guarnier, C., Fernandes, J., Silva, S. M., &amp; Mateus, R. (2020). Mechanical and thermal performance </w:t>
      </w:r>
      <w:proofErr w:type="spellStart"/>
      <w:r w:rsidRPr="00E11818">
        <w:rPr>
          <w:rFonts w:ascii="Arial" w:hAnsi="Arial" w:cs="Arial"/>
          <w:sz w:val="20"/>
          <w:szCs w:val="20"/>
        </w:rPr>
        <w:t>characterisation</w:t>
      </w:r>
      <w:proofErr w:type="spellEnd"/>
      <w:r w:rsidRPr="00E11818">
        <w:rPr>
          <w:rFonts w:ascii="Arial" w:hAnsi="Arial" w:cs="Arial"/>
          <w:sz w:val="20"/>
          <w:szCs w:val="20"/>
        </w:rPr>
        <w:t xml:space="preserve"> of compressed earth blocks. </w:t>
      </w:r>
      <w:r w:rsidRPr="00E11818">
        <w:rPr>
          <w:rFonts w:ascii="Arial" w:hAnsi="Arial" w:cs="Arial"/>
          <w:i/>
          <w:iCs/>
          <w:sz w:val="20"/>
          <w:szCs w:val="20"/>
        </w:rPr>
        <w:t>Energies</w:t>
      </w:r>
      <w:r w:rsidRPr="00E11818">
        <w:rPr>
          <w:rFonts w:ascii="Arial" w:hAnsi="Arial" w:cs="Arial"/>
          <w:sz w:val="20"/>
          <w:szCs w:val="20"/>
        </w:rPr>
        <w:t>, </w:t>
      </w:r>
      <w:r w:rsidRPr="00E11818">
        <w:rPr>
          <w:rFonts w:ascii="Arial" w:hAnsi="Arial" w:cs="Arial"/>
          <w:i/>
          <w:iCs/>
          <w:sz w:val="20"/>
          <w:szCs w:val="20"/>
        </w:rPr>
        <w:t>13</w:t>
      </w:r>
      <w:r w:rsidRPr="00E11818">
        <w:rPr>
          <w:rFonts w:ascii="Arial" w:hAnsi="Arial" w:cs="Arial"/>
          <w:sz w:val="20"/>
          <w:szCs w:val="20"/>
        </w:rPr>
        <w:t>(11), 2978.</w:t>
      </w:r>
    </w:p>
    <w:p w14:paraId="3FA9193F"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Victor, B. A. Performance Evaluation of Compressed Earth Blocks (CEBs) vs. Conventional Building Materials in Nigeria: Multi-Criteria Analysis: Cost, Durability, Thermal Comfort &amp; Environmental Sustainability.</w:t>
      </w:r>
    </w:p>
    <w:p w14:paraId="553A49D9" w14:textId="77777777" w:rsidR="00214406" w:rsidRPr="00E11818" w:rsidRDefault="00214406" w:rsidP="00E11818">
      <w:pPr>
        <w:pStyle w:val="ListParagraph"/>
        <w:numPr>
          <w:ilvl w:val="0"/>
          <w:numId w:val="8"/>
        </w:numPr>
        <w:spacing w:line="240" w:lineRule="auto"/>
        <w:rPr>
          <w:rFonts w:ascii="Arial" w:hAnsi="Arial" w:cs="Arial"/>
          <w:sz w:val="20"/>
          <w:szCs w:val="20"/>
        </w:rPr>
      </w:pPr>
      <w:r w:rsidRPr="00E11818">
        <w:rPr>
          <w:rFonts w:ascii="Arial" w:hAnsi="Arial" w:cs="Arial"/>
          <w:sz w:val="20"/>
          <w:szCs w:val="20"/>
        </w:rPr>
        <w:t xml:space="preserve">Walker, P., Keable, R., Martin, J., &amp; </w:t>
      </w:r>
      <w:proofErr w:type="spellStart"/>
      <w:r w:rsidRPr="00E11818">
        <w:rPr>
          <w:rFonts w:ascii="Arial" w:hAnsi="Arial" w:cs="Arial"/>
          <w:sz w:val="20"/>
          <w:szCs w:val="20"/>
        </w:rPr>
        <w:t>Maniatidis</w:t>
      </w:r>
      <w:proofErr w:type="spellEnd"/>
      <w:r w:rsidRPr="00E11818">
        <w:rPr>
          <w:rFonts w:ascii="Arial" w:hAnsi="Arial" w:cs="Arial"/>
          <w:sz w:val="20"/>
          <w:szCs w:val="20"/>
        </w:rPr>
        <w:t>, V. (2005). Rammed earth: design and construction guidelines.</w:t>
      </w:r>
    </w:p>
    <w:sectPr w:rsidR="00214406" w:rsidRPr="00E118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0FEB" w14:textId="77777777" w:rsidR="002C2624" w:rsidRDefault="002C2624" w:rsidP="00FA3124">
      <w:pPr>
        <w:spacing w:after="0" w:line="240" w:lineRule="auto"/>
      </w:pPr>
      <w:r>
        <w:separator/>
      </w:r>
    </w:p>
  </w:endnote>
  <w:endnote w:type="continuationSeparator" w:id="0">
    <w:p w14:paraId="798B1D9A" w14:textId="77777777" w:rsidR="002C2624" w:rsidRDefault="002C2624" w:rsidP="00FA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08347"/>
      <w:docPartObj>
        <w:docPartGallery w:val="Page Numbers (Bottom of Page)"/>
        <w:docPartUnique/>
      </w:docPartObj>
    </w:sdtPr>
    <w:sdtEndPr>
      <w:rPr>
        <w:noProof/>
      </w:rPr>
    </w:sdtEndPr>
    <w:sdtContent>
      <w:p w14:paraId="2D75B445" w14:textId="37EA6779" w:rsidR="00FA3124" w:rsidRDefault="00FA3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BFB2E" w14:textId="77777777" w:rsidR="00FA3124" w:rsidRDefault="00FA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9B09" w14:textId="77777777" w:rsidR="002C2624" w:rsidRDefault="002C2624" w:rsidP="00FA3124">
      <w:pPr>
        <w:spacing w:after="0" w:line="240" w:lineRule="auto"/>
      </w:pPr>
      <w:r>
        <w:separator/>
      </w:r>
    </w:p>
  </w:footnote>
  <w:footnote w:type="continuationSeparator" w:id="0">
    <w:p w14:paraId="07B51CF2" w14:textId="77777777" w:rsidR="002C2624" w:rsidRDefault="002C2624" w:rsidP="00FA3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A0E"/>
    <w:multiLevelType w:val="hybridMultilevel"/>
    <w:tmpl w:val="ADD67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942D5"/>
    <w:multiLevelType w:val="multilevel"/>
    <w:tmpl w:val="C576D368"/>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71EAC"/>
    <w:multiLevelType w:val="multilevel"/>
    <w:tmpl w:val="F094EB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068"/>
    <w:multiLevelType w:val="multilevel"/>
    <w:tmpl w:val="3418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E0476"/>
    <w:multiLevelType w:val="multilevel"/>
    <w:tmpl w:val="2DAA1A3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F2022"/>
    <w:multiLevelType w:val="multilevel"/>
    <w:tmpl w:val="8228D79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7E27C9"/>
    <w:multiLevelType w:val="multilevel"/>
    <w:tmpl w:val="7FD69520"/>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D01AB"/>
    <w:multiLevelType w:val="multilevel"/>
    <w:tmpl w:val="E8DA854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2936193">
    <w:abstractNumId w:val="4"/>
  </w:num>
  <w:num w:numId="2" w16cid:durableId="483740558">
    <w:abstractNumId w:val="5"/>
  </w:num>
  <w:num w:numId="3" w16cid:durableId="1561862043">
    <w:abstractNumId w:val="1"/>
  </w:num>
  <w:num w:numId="4" w16cid:durableId="1453939966">
    <w:abstractNumId w:val="2"/>
  </w:num>
  <w:num w:numId="5" w16cid:durableId="858933990">
    <w:abstractNumId w:val="6"/>
  </w:num>
  <w:num w:numId="6" w16cid:durableId="921573669">
    <w:abstractNumId w:val="3"/>
  </w:num>
  <w:num w:numId="7" w16cid:durableId="1673414866">
    <w:abstractNumId w:val="7"/>
  </w:num>
  <w:num w:numId="8" w16cid:durableId="37612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64"/>
    <w:rsid w:val="000C4DC0"/>
    <w:rsid w:val="001111BA"/>
    <w:rsid w:val="00124C9E"/>
    <w:rsid w:val="00145F3F"/>
    <w:rsid w:val="001B426C"/>
    <w:rsid w:val="00214406"/>
    <w:rsid w:val="00261240"/>
    <w:rsid w:val="002C2624"/>
    <w:rsid w:val="00330D6D"/>
    <w:rsid w:val="00384664"/>
    <w:rsid w:val="00384D34"/>
    <w:rsid w:val="003C540D"/>
    <w:rsid w:val="004E1D10"/>
    <w:rsid w:val="00553918"/>
    <w:rsid w:val="00600E4E"/>
    <w:rsid w:val="0060697E"/>
    <w:rsid w:val="0063133F"/>
    <w:rsid w:val="006959C9"/>
    <w:rsid w:val="007062BD"/>
    <w:rsid w:val="00740A77"/>
    <w:rsid w:val="007C6BB0"/>
    <w:rsid w:val="00813666"/>
    <w:rsid w:val="0089208D"/>
    <w:rsid w:val="008F71F0"/>
    <w:rsid w:val="00970CFB"/>
    <w:rsid w:val="00971FD9"/>
    <w:rsid w:val="00A14D99"/>
    <w:rsid w:val="00AC19CD"/>
    <w:rsid w:val="00B30635"/>
    <w:rsid w:val="00B93629"/>
    <w:rsid w:val="00BA602F"/>
    <w:rsid w:val="00BD423A"/>
    <w:rsid w:val="00BF1C99"/>
    <w:rsid w:val="00BF5B42"/>
    <w:rsid w:val="00C43952"/>
    <w:rsid w:val="00C80571"/>
    <w:rsid w:val="00C92446"/>
    <w:rsid w:val="00D77D64"/>
    <w:rsid w:val="00E11818"/>
    <w:rsid w:val="00E52068"/>
    <w:rsid w:val="00E54230"/>
    <w:rsid w:val="00E83A21"/>
    <w:rsid w:val="00EB1A69"/>
    <w:rsid w:val="00EE237A"/>
    <w:rsid w:val="00EF08A1"/>
    <w:rsid w:val="00EF0F58"/>
    <w:rsid w:val="00F132DF"/>
    <w:rsid w:val="00FA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EEA"/>
  <w15:chartTrackingRefBased/>
  <w15:docId w15:val="{14DC527F-0F03-4F63-BDC4-73DF7856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7D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7D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7D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7D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7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7D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7D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7D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7D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7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D64"/>
    <w:rPr>
      <w:rFonts w:eastAsiaTheme="majorEastAsia" w:cstheme="majorBidi"/>
      <w:color w:val="272727" w:themeColor="text1" w:themeTint="D8"/>
    </w:rPr>
  </w:style>
  <w:style w:type="paragraph" w:styleId="Title">
    <w:name w:val="Title"/>
    <w:basedOn w:val="Normal"/>
    <w:next w:val="Normal"/>
    <w:link w:val="TitleChar"/>
    <w:uiPriority w:val="10"/>
    <w:qFormat/>
    <w:rsid w:val="00D77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D64"/>
    <w:pPr>
      <w:spacing w:before="160"/>
      <w:jc w:val="center"/>
    </w:pPr>
    <w:rPr>
      <w:i/>
      <w:iCs/>
      <w:color w:val="404040" w:themeColor="text1" w:themeTint="BF"/>
    </w:rPr>
  </w:style>
  <w:style w:type="character" w:customStyle="1" w:styleId="QuoteChar">
    <w:name w:val="Quote Char"/>
    <w:basedOn w:val="DefaultParagraphFont"/>
    <w:link w:val="Quote"/>
    <w:uiPriority w:val="29"/>
    <w:rsid w:val="00D77D64"/>
    <w:rPr>
      <w:i/>
      <w:iCs/>
      <w:color w:val="404040" w:themeColor="text1" w:themeTint="BF"/>
    </w:rPr>
  </w:style>
  <w:style w:type="paragraph" w:styleId="ListParagraph">
    <w:name w:val="List Paragraph"/>
    <w:basedOn w:val="Normal"/>
    <w:uiPriority w:val="34"/>
    <w:qFormat/>
    <w:rsid w:val="00D77D64"/>
    <w:pPr>
      <w:ind w:left="720"/>
      <w:contextualSpacing/>
    </w:pPr>
  </w:style>
  <w:style w:type="character" w:styleId="IntenseEmphasis">
    <w:name w:val="Intense Emphasis"/>
    <w:basedOn w:val="DefaultParagraphFont"/>
    <w:uiPriority w:val="21"/>
    <w:qFormat/>
    <w:rsid w:val="00D77D64"/>
    <w:rPr>
      <w:i/>
      <w:iCs/>
      <w:color w:val="2E74B5" w:themeColor="accent1" w:themeShade="BF"/>
    </w:rPr>
  </w:style>
  <w:style w:type="paragraph" w:styleId="IntenseQuote">
    <w:name w:val="Intense Quote"/>
    <w:basedOn w:val="Normal"/>
    <w:next w:val="Normal"/>
    <w:link w:val="IntenseQuoteChar"/>
    <w:uiPriority w:val="30"/>
    <w:qFormat/>
    <w:rsid w:val="00D77D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7D64"/>
    <w:rPr>
      <w:i/>
      <w:iCs/>
      <w:color w:val="2E74B5" w:themeColor="accent1" w:themeShade="BF"/>
    </w:rPr>
  </w:style>
  <w:style w:type="character" w:styleId="IntenseReference">
    <w:name w:val="Intense Reference"/>
    <w:basedOn w:val="DefaultParagraphFont"/>
    <w:uiPriority w:val="32"/>
    <w:qFormat/>
    <w:rsid w:val="00D77D64"/>
    <w:rPr>
      <w:b/>
      <w:bCs/>
      <w:smallCaps/>
      <w:color w:val="2E74B5" w:themeColor="accent1" w:themeShade="BF"/>
      <w:spacing w:val="5"/>
    </w:rPr>
  </w:style>
  <w:style w:type="character" w:styleId="Hyperlink">
    <w:name w:val="Hyperlink"/>
    <w:basedOn w:val="DefaultParagraphFont"/>
    <w:uiPriority w:val="99"/>
    <w:unhideWhenUsed/>
    <w:rsid w:val="00B93629"/>
    <w:rPr>
      <w:color w:val="0563C1" w:themeColor="hyperlink"/>
      <w:u w:val="single"/>
    </w:rPr>
  </w:style>
  <w:style w:type="table" w:styleId="TableGridLight">
    <w:name w:val="Grid Table Light"/>
    <w:basedOn w:val="TableNormal"/>
    <w:uiPriority w:val="40"/>
    <w:rsid w:val="00B936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3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24"/>
  </w:style>
  <w:style w:type="paragraph" w:styleId="Footer">
    <w:name w:val="footer"/>
    <w:basedOn w:val="Normal"/>
    <w:link w:val="FooterChar"/>
    <w:uiPriority w:val="99"/>
    <w:unhideWhenUsed/>
    <w:rsid w:val="00FA3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24"/>
  </w:style>
  <w:style w:type="character" w:styleId="UnresolvedMention">
    <w:name w:val="Unresolved Mention"/>
    <w:basedOn w:val="DefaultParagraphFont"/>
    <w:uiPriority w:val="99"/>
    <w:semiHidden/>
    <w:unhideWhenUsed/>
    <w:rsid w:val="00740A77"/>
    <w:rPr>
      <w:color w:val="605E5C"/>
      <w:shd w:val="clear" w:color="auto" w:fill="E1DFDD"/>
    </w:rPr>
  </w:style>
  <w:style w:type="paragraph" w:customStyle="1" w:styleId="Body">
    <w:name w:val="Body"/>
    <w:basedOn w:val="Normal"/>
    <w:rsid w:val="00BF1C99"/>
    <w:pPr>
      <w:spacing w:after="240" w:line="240" w:lineRule="auto"/>
      <w:jc w:val="both"/>
    </w:pPr>
    <w:rPr>
      <w:rFonts w:ascii="Helvetica" w:eastAsia="Times New Roman" w:hAnsi="Helvetica" w:cs="Times New Roman"/>
      <w:kern w:val="0"/>
      <w:sz w:val="20"/>
      <w:szCs w:val="20"/>
      <w14:ligatures w14:val="none"/>
    </w:rPr>
  </w:style>
  <w:style w:type="paragraph" w:styleId="NormalWeb">
    <w:name w:val="Normal (Web)"/>
    <w:basedOn w:val="Normal"/>
    <w:uiPriority w:val="99"/>
    <w:semiHidden/>
    <w:unhideWhenUsed/>
    <w:rsid w:val="002144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981">
      <w:bodyDiv w:val="1"/>
      <w:marLeft w:val="0"/>
      <w:marRight w:val="0"/>
      <w:marTop w:val="0"/>
      <w:marBottom w:val="0"/>
      <w:divBdr>
        <w:top w:val="none" w:sz="0" w:space="0" w:color="auto"/>
        <w:left w:val="none" w:sz="0" w:space="0" w:color="auto"/>
        <w:bottom w:val="none" w:sz="0" w:space="0" w:color="auto"/>
        <w:right w:val="none" w:sz="0" w:space="0" w:color="auto"/>
      </w:divBdr>
    </w:div>
    <w:div w:id="19614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daramola</dc:creator>
  <cp:keywords/>
  <dc:description/>
  <cp:lastModifiedBy>Editor Acc 101</cp:lastModifiedBy>
  <cp:revision>12</cp:revision>
  <dcterms:created xsi:type="dcterms:W3CDTF">2026-03-25T13:05:00Z</dcterms:created>
  <dcterms:modified xsi:type="dcterms:W3CDTF">2026-04-03T06:13:00Z</dcterms:modified>
</cp:coreProperties>
</file>